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606C83" w14:textId="77777777" w:rsidR="001974F1" w:rsidRPr="001974F1" w:rsidRDefault="003F6BA7" w:rsidP="0086579E">
      <w:pPr>
        <w:spacing w:before="100" w:beforeAutospacing="1" w:after="100" w:afterAutospacing="1" w:line="360" w:lineRule="auto"/>
        <w:jc w:val="both"/>
        <w:outlineLvl w:val="0"/>
        <w:rPr>
          <w:rFonts w:ascii="Times New Roman" w:eastAsia="Times New Roman" w:hAnsi="Times New Roman" w:cs="Times New Roman"/>
          <w:b/>
          <w:bCs/>
          <w:kern w:val="36"/>
          <w:sz w:val="24"/>
          <w:szCs w:val="24"/>
          <w:lang w:eastAsia="en-IN"/>
        </w:rPr>
      </w:pPr>
      <w:r w:rsidRPr="001974F1">
        <w:rPr>
          <w:rFonts w:ascii="Times New Roman" w:eastAsia="Times New Roman" w:hAnsi="Times New Roman" w:cs="Times New Roman"/>
          <w:b/>
          <w:bCs/>
          <w:kern w:val="36"/>
          <w:sz w:val="24"/>
          <w:szCs w:val="24"/>
          <w:lang w:eastAsia="en-IN"/>
        </w:rPr>
        <w:t xml:space="preserve">Larvicidal Potential </w:t>
      </w:r>
      <w:r>
        <w:rPr>
          <w:rFonts w:ascii="Times New Roman" w:eastAsia="Times New Roman" w:hAnsi="Times New Roman" w:cs="Times New Roman"/>
          <w:b/>
          <w:bCs/>
          <w:kern w:val="36"/>
          <w:sz w:val="24"/>
          <w:szCs w:val="24"/>
          <w:lang w:eastAsia="en-IN"/>
        </w:rPr>
        <w:t>of</w:t>
      </w:r>
      <w:r w:rsidRPr="001974F1">
        <w:rPr>
          <w:rFonts w:ascii="Times New Roman" w:eastAsia="Times New Roman" w:hAnsi="Times New Roman" w:cs="Times New Roman"/>
          <w:b/>
          <w:bCs/>
          <w:kern w:val="36"/>
          <w:sz w:val="24"/>
          <w:szCs w:val="24"/>
          <w:lang w:eastAsia="en-IN"/>
        </w:rPr>
        <w:t xml:space="preserve"> </w:t>
      </w:r>
      <w:r w:rsidR="001907CD" w:rsidRPr="001974F1">
        <w:rPr>
          <w:rFonts w:ascii="Times New Roman" w:eastAsia="Times New Roman" w:hAnsi="Times New Roman" w:cs="Times New Roman"/>
          <w:b/>
          <w:bCs/>
          <w:i/>
          <w:iCs/>
          <w:kern w:val="36"/>
          <w:sz w:val="24"/>
          <w:szCs w:val="24"/>
          <w:lang w:eastAsia="en-IN"/>
        </w:rPr>
        <w:t xml:space="preserve">Vitex </w:t>
      </w:r>
      <w:r w:rsidR="001907CD">
        <w:rPr>
          <w:rFonts w:ascii="Times New Roman" w:eastAsia="Times New Roman" w:hAnsi="Times New Roman" w:cs="Times New Roman"/>
          <w:b/>
          <w:bCs/>
          <w:i/>
          <w:iCs/>
          <w:kern w:val="36"/>
          <w:sz w:val="24"/>
          <w:szCs w:val="24"/>
          <w:lang w:eastAsia="en-IN"/>
        </w:rPr>
        <w:t>n</w:t>
      </w:r>
      <w:r w:rsidR="001907CD" w:rsidRPr="001974F1">
        <w:rPr>
          <w:rFonts w:ascii="Times New Roman" w:eastAsia="Times New Roman" w:hAnsi="Times New Roman" w:cs="Times New Roman"/>
          <w:b/>
          <w:bCs/>
          <w:i/>
          <w:iCs/>
          <w:kern w:val="36"/>
          <w:sz w:val="24"/>
          <w:szCs w:val="24"/>
          <w:lang w:eastAsia="en-IN"/>
        </w:rPr>
        <w:t>egundo</w:t>
      </w:r>
      <w:r w:rsidR="001907CD" w:rsidRPr="001974F1">
        <w:rPr>
          <w:rFonts w:ascii="Times New Roman" w:eastAsia="Times New Roman" w:hAnsi="Times New Roman" w:cs="Times New Roman"/>
          <w:b/>
          <w:bCs/>
          <w:kern w:val="36"/>
          <w:sz w:val="24"/>
          <w:szCs w:val="24"/>
          <w:lang w:eastAsia="en-IN"/>
        </w:rPr>
        <w:t xml:space="preserve"> </w:t>
      </w:r>
      <w:r w:rsidRPr="001974F1">
        <w:rPr>
          <w:rFonts w:ascii="Times New Roman" w:eastAsia="Times New Roman" w:hAnsi="Times New Roman" w:cs="Times New Roman"/>
          <w:b/>
          <w:bCs/>
          <w:kern w:val="36"/>
          <w:sz w:val="24"/>
          <w:szCs w:val="24"/>
          <w:lang w:eastAsia="en-IN"/>
        </w:rPr>
        <w:t xml:space="preserve">Extracts Against </w:t>
      </w:r>
      <w:r w:rsidR="00E76774" w:rsidRPr="001974F1">
        <w:rPr>
          <w:rFonts w:ascii="Times New Roman" w:eastAsia="Times New Roman" w:hAnsi="Times New Roman" w:cs="Times New Roman"/>
          <w:b/>
          <w:bCs/>
          <w:i/>
          <w:iCs/>
          <w:kern w:val="36"/>
          <w:sz w:val="24"/>
          <w:szCs w:val="24"/>
          <w:lang w:eastAsia="en-IN"/>
        </w:rPr>
        <w:t xml:space="preserve">Aedes </w:t>
      </w:r>
      <w:r w:rsidR="00E76774">
        <w:rPr>
          <w:rFonts w:ascii="Times New Roman" w:eastAsia="Times New Roman" w:hAnsi="Times New Roman" w:cs="Times New Roman"/>
          <w:b/>
          <w:bCs/>
          <w:i/>
          <w:iCs/>
          <w:kern w:val="36"/>
          <w:sz w:val="24"/>
          <w:szCs w:val="24"/>
          <w:lang w:eastAsia="en-IN"/>
        </w:rPr>
        <w:t>a</w:t>
      </w:r>
      <w:r w:rsidR="00E76774" w:rsidRPr="001974F1">
        <w:rPr>
          <w:rFonts w:ascii="Times New Roman" w:eastAsia="Times New Roman" w:hAnsi="Times New Roman" w:cs="Times New Roman"/>
          <w:b/>
          <w:bCs/>
          <w:i/>
          <w:iCs/>
          <w:kern w:val="36"/>
          <w:sz w:val="24"/>
          <w:szCs w:val="24"/>
          <w:lang w:eastAsia="en-IN"/>
        </w:rPr>
        <w:t>egypti</w:t>
      </w:r>
      <w:r w:rsidR="001974F1" w:rsidRPr="001974F1">
        <w:rPr>
          <w:rFonts w:ascii="Times New Roman" w:eastAsia="Times New Roman" w:hAnsi="Times New Roman" w:cs="Times New Roman"/>
          <w:b/>
          <w:bCs/>
          <w:kern w:val="36"/>
          <w:sz w:val="24"/>
          <w:szCs w:val="24"/>
          <w:lang w:eastAsia="en-IN"/>
        </w:rPr>
        <w:t xml:space="preserve"> </w:t>
      </w:r>
      <w:r w:rsidRPr="001974F1">
        <w:rPr>
          <w:rFonts w:ascii="Times New Roman" w:eastAsia="Times New Roman" w:hAnsi="Times New Roman" w:cs="Times New Roman"/>
          <w:b/>
          <w:bCs/>
          <w:kern w:val="36"/>
          <w:sz w:val="24"/>
          <w:szCs w:val="24"/>
          <w:lang w:eastAsia="en-IN"/>
        </w:rPr>
        <w:t>Larvae</w:t>
      </w:r>
    </w:p>
    <w:p w14:paraId="712FA418" w14:textId="77777777" w:rsidR="009C058F" w:rsidRDefault="009C058F" w:rsidP="0086579E">
      <w:pPr>
        <w:spacing w:before="100" w:beforeAutospacing="1" w:after="100" w:afterAutospacing="1" w:line="240" w:lineRule="auto"/>
        <w:jc w:val="both"/>
        <w:rPr>
          <w:rFonts w:ascii="Times New Roman" w:eastAsia="Times New Roman" w:hAnsi="Times New Roman" w:cs="Times New Roman"/>
          <w:b/>
          <w:bCs/>
          <w:sz w:val="24"/>
          <w:szCs w:val="24"/>
          <w:lang w:eastAsia="en-IN"/>
        </w:rPr>
      </w:pPr>
    </w:p>
    <w:p w14:paraId="4BB72A00" w14:textId="77777777" w:rsidR="004F6F2B" w:rsidRPr="000A6623" w:rsidRDefault="004F6F2B" w:rsidP="0086579E">
      <w:pPr>
        <w:spacing w:before="100" w:beforeAutospacing="1" w:after="100" w:afterAutospacing="1" w:line="240" w:lineRule="auto"/>
        <w:jc w:val="both"/>
        <w:rPr>
          <w:rFonts w:ascii="Times New Roman" w:eastAsia="Times New Roman" w:hAnsi="Times New Roman" w:cs="Times New Roman"/>
          <w:sz w:val="24"/>
          <w:szCs w:val="24"/>
          <w:lang w:val="en-US" w:bidi="bn-IN"/>
        </w:rPr>
      </w:pPr>
      <w:r w:rsidRPr="000A6623">
        <w:rPr>
          <w:rFonts w:ascii="Times New Roman" w:eastAsia="Times New Roman" w:hAnsi="Times New Roman" w:cs="Times New Roman"/>
          <w:b/>
          <w:bCs/>
          <w:sz w:val="24"/>
          <w:szCs w:val="24"/>
          <w:lang w:val="en-US" w:bidi="bn-IN"/>
        </w:rPr>
        <w:t>Abstract</w:t>
      </w:r>
    </w:p>
    <w:p w14:paraId="4CD31073" w14:textId="77777777" w:rsidR="00D27B45" w:rsidRDefault="003A04C4" w:rsidP="0086579E">
      <w:pPr>
        <w:spacing w:before="100" w:beforeAutospacing="1" w:after="100" w:afterAutospacing="1" w:line="360" w:lineRule="auto"/>
        <w:jc w:val="both"/>
        <w:rPr>
          <w:rFonts w:ascii="Times New Roman" w:eastAsia="Times New Roman" w:hAnsi="Times New Roman" w:cs="Times New Roman"/>
          <w:b/>
          <w:bCs/>
          <w:sz w:val="24"/>
          <w:szCs w:val="24"/>
          <w:lang w:eastAsia="en-IN"/>
        </w:rPr>
      </w:pPr>
      <w:r>
        <w:rPr>
          <w:rFonts w:ascii="Times New Roman" w:hAnsi="Times New Roman"/>
          <w:sz w:val="24"/>
        </w:rPr>
        <w:t>T</w:t>
      </w:r>
      <w:r w:rsidR="00D27B45">
        <w:rPr>
          <w:rFonts w:ascii="Times New Roman" w:hAnsi="Times New Roman"/>
          <w:sz w:val="24"/>
        </w:rPr>
        <w:t xml:space="preserve">he global paradigm for suppressing mosquito populations has relied almost exclusively on the application of synthetic chemical insecticides, including organophosphates, organochlorines, carbamates, and synthetic pyrethroids. </w:t>
      </w:r>
      <w:r w:rsidR="00D27B45">
        <w:t xml:space="preserve">This study evaluated the phytochemical composition and larvicidal activity of aqueous, ethanol, and isopropanol leaf extracts of </w:t>
      </w:r>
      <w:r w:rsidR="00D27B45">
        <w:rPr>
          <w:rStyle w:val="Emphasis"/>
        </w:rPr>
        <w:t>Vitex negundo</w:t>
      </w:r>
      <w:r w:rsidR="00D27B45">
        <w:t xml:space="preserve"> against fourth-instar larvae of </w:t>
      </w:r>
      <w:r w:rsidR="00D27B45">
        <w:rPr>
          <w:rStyle w:val="Emphasis"/>
        </w:rPr>
        <w:t>Aedes aegypti</w:t>
      </w:r>
      <w:r w:rsidR="00D27B45">
        <w:t xml:space="preserve"> under laboratory conditions. Leaf powder was extracted by cold maceration for 72 hours using water, ethanol, and isopropanol at a 1:10 (w/v) ratio. The crude extracts were qualitatively screened for major phytochemical groups, including alkaloids, flavonoids, phenols, saponins, tannins, and terpenoids. Larvicidal activity was assessed by exposing batches of 50 larvae to 1,000 µg/mL of each extract, and mortality was recorded at 12, 24, and 48 hours across three independent replicates. A DMSO vehicle control was maintained in parallel. The ethanol extract showed the broadest phytochemical profile, with detectable alkaloids, flavonoids, phenols, tannins, and terpenoids. The isopropanol extract contained flavonoids, phenols, tannins, terpenoids, and saponins, whereas the aqueous extract showed a more limited profile. Larval mortality increased with exposure time in all treated groups. At 48 hours, the ethanol extract produced the highest mortality (68.00% ± 4.62%), followed by the isopropanol extract (52.00% ± 6.43%) and the aqueous extract (16.67% ± 0.67%). No mortality was observed in the control group. Dose-response testing of the ethanol extract showed increasing mortality from 100 to 750 µg/mL, with an estimated LC50 of 520.0 µg/mL and LC90 of 845.0 µg/mL at 48 hours. These findings indicate that ethanol leaf extract of </w:t>
      </w:r>
      <w:r w:rsidR="00D27B45">
        <w:rPr>
          <w:rStyle w:val="Emphasis"/>
        </w:rPr>
        <w:t>V. negundo</w:t>
      </w:r>
      <w:r w:rsidR="00D27B45">
        <w:t xml:space="preserve"> has measurable larvicidal activity against </w:t>
      </w:r>
      <w:r w:rsidR="00D27B45">
        <w:rPr>
          <w:rStyle w:val="Emphasis"/>
        </w:rPr>
        <w:t>A. aegypti</w:t>
      </w:r>
      <w:r w:rsidR="00D27B45">
        <w:t xml:space="preserve"> larvae under laboratory conditions.</w:t>
      </w:r>
      <w:r w:rsidR="00D27B45" w:rsidRPr="001974F1">
        <w:rPr>
          <w:rFonts w:ascii="Times New Roman" w:eastAsia="Times New Roman" w:hAnsi="Times New Roman" w:cs="Times New Roman"/>
          <w:b/>
          <w:bCs/>
          <w:sz w:val="24"/>
          <w:szCs w:val="24"/>
          <w:lang w:eastAsia="en-IN"/>
        </w:rPr>
        <w:t xml:space="preserve"> </w:t>
      </w:r>
    </w:p>
    <w:p w14:paraId="582AEC6F" w14:textId="77777777" w:rsidR="00D27B45" w:rsidRDefault="00D27B45" w:rsidP="0086579E">
      <w:pPr>
        <w:spacing w:before="100" w:beforeAutospacing="1" w:after="100" w:afterAutospacing="1" w:line="360" w:lineRule="auto"/>
        <w:jc w:val="both"/>
        <w:outlineLvl w:val="1"/>
        <w:rPr>
          <w:rFonts w:ascii="Times New Roman" w:eastAsia="Times New Roman" w:hAnsi="Times New Roman" w:cs="Times New Roman"/>
          <w:b/>
          <w:bCs/>
          <w:sz w:val="24"/>
          <w:szCs w:val="24"/>
          <w:lang w:eastAsia="en-IN"/>
        </w:rPr>
      </w:pPr>
      <w:r>
        <w:rPr>
          <w:rStyle w:val="Strong"/>
        </w:rPr>
        <w:t>Keywords:</w:t>
      </w:r>
      <w:r>
        <w:t xml:space="preserve"> </w:t>
      </w:r>
      <w:r>
        <w:rPr>
          <w:rStyle w:val="Emphasis"/>
        </w:rPr>
        <w:t>Vitex negundo</w:t>
      </w:r>
      <w:r>
        <w:t xml:space="preserve">; </w:t>
      </w:r>
      <w:r>
        <w:rPr>
          <w:rStyle w:val="Emphasis"/>
        </w:rPr>
        <w:t>Aedes aegypti</w:t>
      </w:r>
      <w:r>
        <w:t>; larvicidal activity; botanical larvicide; phytochemical screening; ethanol extract; isopropanol extract; aqueous extract; fourth-instar larvae; vector management.</w:t>
      </w:r>
      <w:r w:rsidRPr="001974F1">
        <w:rPr>
          <w:rFonts w:ascii="Times New Roman" w:eastAsia="Times New Roman" w:hAnsi="Times New Roman" w:cs="Times New Roman"/>
          <w:b/>
          <w:bCs/>
          <w:sz w:val="24"/>
          <w:szCs w:val="24"/>
          <w:lang w:eastAsia="en-IN"/>
        </w:rPr>
        <w:t xml:space="preserve"> </w:t>
      </w:r>
    </w:p>
    <w:p w14:paraId="01BD444E" w14:textId="77777777" w:rsidR="001974F1" w:rsidRPr="001974F1" w:rsidRDefault="001974F1" w:rsidP="0086579E">
      <w:pPr>
        <w:spacing w:before="100" w:beforeAutospacing="1" w:after="100" w:afterAutospacing="1" w:line="360" w:lineRule="auto"/>
        <w:jc w:val="both"/>
        <w:outlineLvl w:val="1"/>
        <w:rPr>
          <w:rFonts w:ascii="Times New Roman" w:eastAsia="Times New Roman" w:hAnsi="Times New Roman" w:cs="Times New Roman"/>
          <w:b/>
          <w:bCs/>
          <w:sz w:val="24"/>
          <w:szCs w:val="24"/>
          <w:lang w:eastAsia="en-IN"/>
        </w:rPr>
      </w:pPr>
      <w:r w:rsidRPr="001974F1">
        <w:rPr>
          <w:rFonts w:ascii="Times New Roman" w:eastAsia="Times New Roman" w:hAnsi="Times New Roman" w:cs="Times New Roman"/>
          <w:b/>
          <w:bCs/>
          <w:sz w:val="24"/>
          <w:szCs w:val="24"/>
          <w:lang w:eastAsia="en-IN"/>
        </w:rPr>
        <w:t>1. INTRODUCTION</w:t>
      </w:r>
    </w:p>
    <w:p w14:paraId="54F21FFA" w14:textId="77777777" w:rsidR="001974F1" w:rsidRPr="001974F1" w:rsidRDefault="001974F1" w:rsidP="0086579E">
      <w:pPr>
        <w:spacing w:before="100" w:beforeAutospacing="1" w:after="100" w:afterAutospacing="1" w:line="360" w:lineRule="auto"/>
        <w:jc w:val="both"/>
        <w:rPr>
          <w:rFonts w:ascii="Times New Roman" w:eastAsia="Times New Roman" w:hAnsi="Times New Roman" w:cs="Times New Roman"/>
          <w:sz w:val="24"/>
          <w:szCs w:val="24"/>
          <w:lang w:eastAsia="en-IN"/>
        </w:rPr>
      </w:pPr>
      <w:r>
        <w:rPr>
          <w:rFonts w:ascii="Times New Roman" w:hAnsi="Times New Roman"/>
          <w:sz w:val="24"/>
        </w:rPr>
        <w:t xml:space="preserve">Global livestock production and public health infrastructure face unprecedented challenges from the geographic expansion of vector-borne diseases, a phenomenon accelerated by climate change, unplanned </w:t>
      </w:r>
      <w:r>
        <w:rPr>
          <w:rFonts w:ascii="Times New Roman" w:hAnsi="Times New Roman"/>
          <w:sz w:val="24"/>
          <w:highlight w:val="yellow"/>
        </w:rPr>
        <w:t>urbanisation, and globalised</w:t>
      </w:r>
      <w:r>
        <w:rPr>
          <w:rFonts w:ascii="Times New Roman" w:hAnsi="Times New Roman"/>
          <w:sz w:val="24"/>
        </w:rPr>
        <w:t xml:space="preserve"> trade networks (Faburay, 2015). Dipteran vectors, most notably mosquitoes belonging to the genera </w:t>
      </w:r>
      <w:r>
        <w:rPr>
          <w:rFonts w:ascii="Times New Roman" w:hAnsi="Times New Roman"/>
          <w:i/>
          <w:sz w:val="24"/>
        </w:rPr>
        <w:t>Aedes</w:t>
      </w:r>
      <w:r>
        <w:rPr>
          <w:rFonts w:ascii="Times New Roman" w:hAnsi="Times New Roman"/>
          <w:sz w:val="24"/>
        </w:rPr>
        <w:t xml:space="preserve">, </w:t>
      </w:r>
      <w:r>
        <w:rPr>
          <w:rFonts w:ascii="Times New Roman" w:hAnsi="Times New Roman"/>
          <w:i/>
          <w:sz w:val="24"/>
        </w:rPr>
        <w:t>Anopheles</w:t>
      </w:r>
      <w:r>
        <w:rPr>
          <w:rFonts w:ascii="Times New Roman" w:hAnsi="Times New Roman"/>
          <w:sz w:val="24"/>
        </w:rPr>
        <w:t xml:space="preserve">, and </w:t>
      </w:r>
      <w:r>
        <w:rPr>
          <w:rFonts w:ascii="Times New Roman" w:hAnsi="Times New Roman"/>
          <w:i/>
          <w:sz w:val="24"/>
        </w:rPr>
        <w:t>Culex</w:t>
      </w:r>
      <w:r>
        <w:rPr>
          <w:rFonts w:ascii="Times New Roman" w:hAnsi="Times New Roman"/>
          <w:sz w:val="24"/>
        </w:rPr>
        <w:t xml:space="preserve">, are no longer confined to historical tropical boundaries. Among these, </w:t>
      </w:r>
      <w:r>
        <w:rPr>
          <w:rFonts w:ascii="Times New Roman" w:hAnsi="Times New Roman"/>
          <w:i/>
          <w:sz w:val="24"/>
        </w:rPr>
        <w:t>Aedes aegypti</w:t>
      </w:r>
      <w:r>
        <w:rPr>
          <w:rFonts w:ascii="Times New Roman" w:hAnsi="Times New Roman"/>
          <w:sz w:val="24"/>
        </w:rPr>
        <w:t xml:space="preserve"> stands out as an </w:t>
      </w:r>
      <w:r>
        <w:rPr>
          <w:rFonts w:ascii="Times New Roman" w:hAnsi="Times New Roman"/>
          <w:sz w:val="24"/>
        </w:rPr>
        <w:lastRenderedPageBreak/>
        <w:t xml:space="preserve">adaptive, anthropophilic vector capable of breeding in minimal artificial water containers, making its control highly complex (Ryan et al., 2019). While </w:t>
      </w:r>
      <w:r>
        <w:rPr>
          <w:rFonts w:ascii="Times New Roman" w:hAnsi="Times New Roman"/>
          <w:i/>
          <w:sz w:val="24"/>
        </w:rPr>
        <w:t>A. aegypti</w:t>
      </w:r>
      <w:r>
        <w:rPr>
          <w:rFonts w:ascii="Times New Roman" w:hAnsi="Times New Roman"/>
          <w:sz w:val="24"/>
        </w:rPr>
        <w:t xml:space="preserve"> is widely </w:t>
      </w:r>
      <w:r>
        <w:rPr>
          <w:rFonts w:ascii="Times New Roman" w:hAnsi="Times New Roman"/>
          <w:sz w:val="24"/>
          <w:highlight w:val="yellow"/>
        </w:rPr>
        <w:t>recognised</w:t>
      </w:r>
      <w:r>
        <w:rPr>
          <w:rFonts w:ascii="Times New Roman" w:hAnsi="Times New Roman"/>
          <w:sz w:val="24"/>
        </w:rPr>
        <w:t xml:space="preserve"> as the primary vector </w:t>
      </w:r>
      <w:r>
        <w:rPr>
          <w:rFonts w:ascii="Times New Roman" w:hAnsi="Times New Roman"/>
          <w:sz w:val="24"/>
          <w:highlight w:val="yellow"/>
        </w:rPr>
        <w:t>of</w:t>
      </w:r>
      <w:r>
        <w:rPr>
          <w:rFonts w:ascii="Times New Roman" w:hAnsi="Times New Roman"/>
          <w:sz w:val="24"/>
        </w:rPr>
        <w:t xml:space="preserve"> human arboviruses such as dengue, Zika, chikungunya, and yellow fever, its role within the wider "One Health" framework</w:t>
      </w:r>
      <w:r>
        <w:rPr>
          <w:rFonts w:ascii="Times New Roman" w:hAnsi="Times New Roman"/>
          <w:sz w:val="24"/>
          <w:highlight w:val="yellow"/>
        </w:rPr>
        <w:t>, which interconnects</w:t>
      </w:r>
      <w:r>
        <w:rPr>
          <w:rFonts w:ascii="Times New Roman" w:hAnsi="Times New Roman"/>
          <w:sz w:val="24"/>
        </w:rPr>
        <w:t xml:space="preserve"> human, animal, and environmental health</w:t>
      </w:r>
      <w:r>
        <w:rPr>
          <w:rFonts w:ascii="Times New Roman" w:hAnsi="Times New Roman"/>
          <w:sz w:val="24"/>
          <w:highlight w:val="yellow"/>
        </w:rPr>
        <w:t xml:space="preserve">, </w:t>
      </w:r>
      <w:r>
        <w:rPr>
          <w:rFonts w:ascii="Times New Roman" w:hAnsi="Times New Roman"/>
          <w:sz w:val="24"/>
        </w:rPr>
        <w:t>is frequently underappreciated in conventional vector literature (World Health Organization [WHO], 2023).</w:t>
      </w:r>
    </w:p>
    <w:p w14:paraId="67C1AA23" w14:textId="77777777" w:rsidR="001974F1" w:rsidRPr="001974F1" w:rsidRDefault="001974F1" w:rsidP="0086579E">
      <w:pPr>
        <w:spacing w:before="100" w:beforeAutospacing="1" w:after="100" w:afterAutospacing="1" w:line="360" w:lineRule="auto"/>
        <w:jc w:val="both"/>
        <w:rPr>
          <w:rFonts w:ascii="Times New Roman" w:eastAsia="Times New Roman" w:hAnsi="Times New Roman" w:cs="Times New Roman"/>
          <w:sz w:val="24"/>
          <w:szCs w:val="24"/>
          <w:lang w:eastAsia="en-IN"/>
        </w:rPr>
      </w:pPr>
      <w:r>
        <w:rPr>
          <w:rFonts w:ascii="Times New Roman" w:hAnsi="Times New Roman"/>
          <w:sz w:val="24"/>
        </w:rPr>
        <w:t xml:space="preserve">Mosquito-borne pathogens </w:t>
      </w:r>
      <w:r>
        <w:rPr>
          <w:rFonts w:ascii="Times New Roman" w:hAnsi="Times New Roman"/>
          <w:sz w:val="24"/>
          <w:highlight w:val="yellow"/>
        </w:rPr>
        <w:t xml:space="preserve">can </w:t>
      </w:r>
      <w:r>
        <w:rPr>
          <w:rFonts w:ascii="Times New Roman" w:hAnsi="Times New Roman"/>
          <w:sz w:val="24"/>
        </w:rPr>
        <w:t xml:space="preserve">inflict </w:t>
      </w:r>
      <w:r>
        <w:rPr>
          <w:rFonts w:ascii="Times New Roman" w:hAnsi="Times New Roman"/>
          <w:sz w:val="24"/>
          <w:highlight w:val="yellow"/>
        </w:rPr>
        <w:t>substantial</w:t>
      </w:r>
      <w:r>
        <w:rPr>
          <w:rFonts w:ascii="Times New Roman" w:hAnsi="Times New Roman"/>
          <w:sz w:val="24"/>
        </w:rPr>
        <w:t xml:space="preserve"> economic damage on the global livestock industry </w:t>
      </w:r>
      <w:r>
        <w:rPr>
          <w:rFonts w:ascii="Times New Roman" w:hAnsi="Times New Roman"/>
          <w:sz w:val="24"/>
          <w:highlight w:val="yellow"/>
        </w:rPr>
        <w:t>(O'Neill et al., 2024)</w:t>
      </w:r>
      <w:r>
        <w:rPr>
          <w:rFonts w:ascii="Times New Roman" w:hAnsi="Times New Roman"/>
          <w:sz w:val="24"/>
        </w:rPr>
        <w:t xml:space="preserve">. For instance, Rift Valley Fever (RVF), caused by a </w:t>
      </w:r>
      <w:proofErr w:type="spellStart"/>
      <w:r>
        <w:rPr>
          <w:rFonts w:ascii="Times New Roman" w:hAnsi="Times New Roman"/>
          <w:sz w:val="24"/>
        </w:rPr>
        <w:t>phlebovirus</w:t>
      </w:r>
      <w:proofErr w:type="spellEnd"/>
      <w:r>
        <w:rPr>
          <w:rFonts w:ascii="Times New Roman" w:hAnsi="Times New Roman"/>
          <w:sz w:val="24"/>
        </w:rPr>
        <w:t xml:space="preserve"> and transmitted by </w:t>
      </w:r>
      <w:r>
        <w:rPr>
          <w:rFonts w:ascii="Times New Roman" w:hAnsi="Times New Roman"/>
          <w:i/>
          <w:sz w:val="24"/>
        </w:rPr>
        <w:t>Aedes</w:t>
      </w:r>
      <w:r>
        <w:rPr>
          <w:rFonts w:ascii="Times New Roman" w:hAnsi="Times New Roman"/>
          <w:sz w:val="24"/>
        </w:rPr>
        <w:t xml:space="preserve"> and </w:t>
      </w:r>
      <w:r>
        <w:rPr>
          <w:rFonts w:ascii="Times New Roman" w:hAnsi="Times New Roman"/>
          <w:i/>
          <w:sz w:val="24"/>
        </w:rPr>
        <w:t>Culex</w:t>
      </w:r>
      <w:r>
        <w:rPr>
          <w:rFonts w:ascii="Times New Roman" w:hAnsi="Times New Roman"/>
          <w:sz w:val="24"/>
        </w:rPr>
        <w:t xml:space="preserve"> bridge vectors, is notorious for causing catastrophic "abortion storms" and near-total mortality rates among neonatal lambs, kids, and calves (Wright et al., 2019). The sudden loss of an entire generation of livestock decimates the capital assets of smallholder farmers and </w:t>
      </w:r>
      <w:r>
        <w:rPr>
          <w:rFonts w:ascii="Times New Roman" w:hAnsi="Times New Roman"/>
          <w:sz w:val="24"/>
          <w:highlight w:val="yellow"/>
        </w:rPr>
        <w:t>destabilises</w:t>
      </w:r>
      <w:r>
        <w:rPr>
          <w:rFonts w:ascii="Times New Roman" w:hAnsi="Times New Roman"/>
          <w:sz w:val="24"/>
        </w:rPr>
        <w:t xml:space="preserve"> regional food security. Similarly, Bluetongue Virus (BTV), an </w:t>
      </w:r>
      <w:proofErr w:type="spellStart"/>
      <w:r>
        <w:rPr>
          <w:rFonts w:ascii="Times New Roman" w:hAnsi="Times New Roman"/>
          <w:sz w:val="24"/>
        </w:rPr>
        <w:t>orbivirus</w:t>
      </w:r>
      <w:proofErr w:type="spellEnd"/>
      <w:r>
        <w:rPr>
          <w:rFonts w:ascii="Times New Roman" w:hAnsi="Times New Roman"/>
          <w:sz w:val="24"/>
        </w:rPr>
        <w:t xml:space="preserve"> predominantly transmitted by </w:t>
      </w:r>
      <w:r>
        <w:rPr>
          <w:rFonts w:ascii="Times New Roman" w:hAnsi="Times New Roman"/>
          <w:i/>
          <w:sz w:val="24"/>
        </w:rPr>
        <w:t>Culicoides</w:t>
      </w:r>
      <w:r>
        <w:rPr>
          <w:rFonts w:ascii="Times New Roman" w:hAnsi="Times New Roman"/>
          <w:sz w:val="24"/>
        </w:rPr>
        <w:t xml:space="preserve"> biting midges but increasingly associated with mechanical or secondary transmission by dense mosquito populations in specific </w:t>
      </w:r>
      <w:proofErr w:type="spellStart"/>
      <w:r>
        <w:rPr>
          <w:rFonts w:ascii="Times New Roman" w:hAnsi="Times New Roman"/>
          <w:sz w:val="24"/>
        </w:rPr>
        <w:t>agro</w:t>
      </w:r>
      <w:proofErr w:type="spellEnd"/>
      <w:r>
        <w:rPr>
          <w:rFonts w:ascii="Times New Roman" w:hAnsi="Times New Roman"/>
          <w:sz w:val="24"/>
        </w:rPr>
        <w:t xml:space="preserve">-ecological zones, manifests as a severe </w:t>
      </w:r>
      <w:r>
        <w:rPr>
          <w:rFonts w:ascii="Times New Roman" w:hAnsi="Times New Roman"/>
          <w:sz w:val="24"/>
          <w:highlight w:val="yellow"/>
        </w:rPr>
        <w:t>haemorrhagic</w:t>
      </w:r>
      <w:r>
        <w:rPr>
          <w:rFonts w:ascii="Times New Roman" w:hAnsi="Times New Roman"/>
          <w:sz w:val="24"/>
        </w:rPr>
        <w:t xml:space="preserve"> syndrome in sheep (Thabet &amp; Lajnef, 2024). Chronic manifestations of BTV include severe weight loss, wool tenderness, a drop in milk yield, and prolonged convalescence periods, all of which compromise herd productivity. Beyond these, other high-consequence veterinary arboviruses, such as West Nile Virus (WNV) and Eastern Equine Encephalitis (EEE), exploit avian reservoirs and mosquito vectors to cause fatal neurological disease in horses and valuable ratite populations (Long, 2014). The cumulative economic shocks of these veterinary vector-borne diseases are profound, encompassing not only direct animal mortality and reduced yields of meat, milk, and wool, but also prohibitive veterinary treatment bills, costly diagnostic surveillance, and severe international trade restrictions imposed on livestock exports from endemic zones (Perry &amp; Grace, 2009).</w:t>
      </w:r>
    </w:p>
    <w:p w14:paraId="0BA8FC46" w14:textId="77777777" w:rsidR="00584DA2" w:rsidRPr="00D27B45" w:rsidRDefault="001974F1" w:rsidP="0086579E">
      <w:pPr>
        <w:spacing w:before="100" w:beforeAutospacing="1" w:after="100" w:afterAutospacing="1" w:line="360" w:lineRule="auto"/>
        <w:jc w:val="both"/>
        <w:rPr>
          <w:rFonts w:ascii="Times New Roman" w:eastAsia="Times New Roman" w:hAnsi="Times New Roman" w:cs="Times New Roman"/>
          <w:sz w:val="24"/>
          <w:szCs w:val="24"/>
          <w:lang w:eastAsia="en-IN"/>
        </w:rPr>
      </w:pPr>
      <w:r>
        <w:rPr>
          <w:rFonts w:ascii="Times New Roman" w:hAnsi="Times New Roman"/>
          <w:sz w:val="24"/>
        </w:rPr>
        <w:t xml:space="preserve">For over half a century, the global paradigm for suppressing mosquito populations has relied almost exclusively on the application of synthetic chemical insecticides, including organophosphates, organochlorines, carbamates, and synthetic pyrethroids (Tudi et al., 2021). However, this intensive chemical </w:t>
      </w:r>
      <w:r>
        <w:rPr>
          <w:rFonts w:ascii="Times New Roman" w:hAnsi="Times New Roman"/>
          <w:sz w:val="24"/>
          <w:highlight w:val="yellow"/>
        </w:rPr>
        <w:t>use</w:t>
      </w:r>
      <w:r>
        <w:rPr>
          <w:rFonts w:ascii="Times New Roman" w:hAnsi="Times New Roman"/>
          <w:sz w:val="24"/>
        </w:rPr>
        <w:t xml:space="preserve"> has triggered severe biological and ecological </w:t>
      </w:r>
      <w:r>
        <w:rPr>
          <w:rFonts w:ascii="Times New Roman" w:hAnsi="Times New Roman"/>
          <w:sz w:val="24"/>
          <w:highlight w:val="yellow"/>
        </w:rPr>
        <w:t>consequences</w:t>
      </w:r>
      <w:r>
        <w:rPr>
          <w:rFonts w:ascii="Times New Roman" w:hAnsi="Times New Roman"/>
          <w:sz w:val="24"/>
        </w:rPr>
        <w:t>. First, continuous selection pressure has led to the widespread evolution of knockdown resistance (</w:t>
      </w:r>
      <w:proofErr w:type="spellStart"/>
      <w:r>
        <w:rPr>
          <w:rFonts w:ascii="Times New Roman" w:hAnsi="Times New Roman"/>
          <w:sz w:val="24"/>
        </w:rPr>
        <w:t>kdr</w:t>
      </w:r>
      <w:proofErr w:type="spellEnd"/>
      <w:r>
        <w:rPr>
          <w:rFonts w:ascii="Times New Roman" w:hAnsi="Times New Roman"/>
          <w:sz w:val="24"/>
        </w:rPr>
        <w:t xml:space="preserve">) mutations and metabolic detoxification mechanisms in </w:t>
      </w:r>
      <w:r>
        <w:rPr>
          <w:rFonts w:ascii="Times New Roman" w:hAnsi="Times New Roman"/>
          <w:i/>
          <w:sz w:val="24"/>
        </w:rPr>
        <w:t>A. aegypti</w:t>
      </w:r>
      <w:r>
        <w:rPr>
          <w:rFonts w:ascii="Times New Roman" w:hAnsi="Times New Roman"/>
          <w:sz w:val="24"/>
        </w:rPr>
        <w:t xml:space="preserve">, rendering many commercially available synthetic formulations obsolete (Hernandez &amp; </w:t>
      </w:r>
      <w:r>
        <w:rPr>
          <w:rFonts w:ascii="Times New Roman" w:hAnsi="Times New Roman"/>
          <w:sz w:val="24"/>
        </w:rPr>
        <w:lastRenderedPageBreak/>
        <w:t xml:space="preserve">Pietrantonio, 2025). Second, synthetic chemical residues are highly persistent, </w:t>
      </w:r>
      <w:r>
        <w:rPr>
          <w:rFonts w:ascii="Times New Roman" w:hAnsi="Times New Roman"/>
          <w:sz w:val="24"/>
          <w:highlight w:val="yellow"/>
        </w:rPr>
        <w:t>bioaccumulate</w:t>
      </w:r>
      <w:r>
        <w:rPr>
          <w:rFonts w:ascii="Times New Roman" w:hAnsi="Times New Roman"/>
          <w:sz w:val="24"/>
        </w:rPr>
        <w:t xml:space="preserve"> across trophic levels</w:t>
      </w:r>
      <w:r>
        <w:rPr>
          <w:rFonts w:ascii="Times New Roman" w:hAnsi="Times New Roman"/>
          <w:sz w:val="24"/>
          <w:highlight w:val="yellow"/>
        </w:rPr>
        <w:t>, and exert</w:t>
      </w:r>
      <w:r>
        <w:rPr>
          <w:rFonts w:ascii="Times New Roman" w:hAnsi="Times New Roman"/>
          <w:sz w:val="24"/>
        </w:rPr>
        <w:t xml:space="preserve"> acute toxicity on non-target beneficial organisms, including pollinators </w:t>
      </w:r>
      <w:r>
        <w:rPr>
          <w:rFonts w:ascii="Times New Roman" w:hAnsi="Times New Roman"/>
          <w:sz w:val="24"/>
          <w:highlight w:val="yellow"/>
        </w:rPr>
        <w:t>such as</w:t>
      </w:r>
      <w:r>
        <w:rPr>
          <w:rFonts w:ascii="Times New Roman" w:hAnsi="Times New Roman"/>
          <w:sz w:val="24"/>
        </w:rPr>
        <w:t xml:space="preserve"> </w:t>
      </w:r>
      <w:r>
        <w:rPr>
          <w:rFonts w:ascii="Times New Roman" w:hAnsi="Times New Roman"/>
          <w:i/>
          <w:sz w:val="24"/>
        </w:rPr>
        <w:t>Apis mellifera</w:t>
      </w:r>
      <w:r>
        <w:rPr>
          <w:rFonts w:ascii="Times New Roman" w:hAnsi="Times New Roman"/>
          <w:sz w:val="24"/>
        </w:rPr>
        <w:t xml:space="preserve"> and natural aquatic predators of mosquito larvae, such as </w:t>
      </w:r>
      <w:proofErr w:type="spellStart"/>
      <w:r>
        <w:rPr>
          <w:rFonts w:ascii="Times New Roman" w:hAnsi="Times New Roman"/>
          <w:sz w:val="24"/>
        </w:rPr>
        <w:t>odonate</w:t>
      </w:r>
      <w:proofErr w:type="spellEnd"/>
      <w:r>
        <w:rPr>
          <w:rFonts w:ascii="Times New Roman" w:hAnsi="Times New Roman"/>
          <w:sz w:val="24"/>
        </w:rPr>
        <w:t xml:space="preserve"> nymphs and </w:t>
      </w:r>
      <w:proofErr w:type="spellStart"/>
      <w:r>
        <w:rPr>
          <w:rFonts w:ascii="Times New Roman" w:hAnsi="Times New Roman"/>
          <w:sz w:val="24"/>
        </w:rPr>
        <w:t>larvivorous</w:t>
      </w:r>
      <w:proofErr w:type="spellEnd"/>
      <w:r>
        <w:rPr>
          <w:rFonts w:ascii="Times New Roman" w:hAnsi="Times New Roman"/>
          <w:sz w:val="24"/>
        </w:rPr>
        <w:t xml:space="preserve"> fish (Stehle &amp; Schulz, 2015). Furthermore, from a veterinary perspective, the systemic use of synthetic pesticides around livestock sheds introduces a risk of chemical residues contaminating milk, meat, and fat deposits, thereby posing a direct threat to consumer food safety and violating strict maximum residue limits (MRLs) required for international trade.</w:t>
      </w:r>
      <w:r w:rsidR="00D27B45">
        <w:rPr>
          <w:rFonts w:ascii="Times New Roman" w:eastAsia="Times New Roman" w:hAnsi="Times New Roman" w:cs="Times New Roman"/>
          <w:sz w:val="24"/>
          <w:szCs w:val="24"/>
          <w:lang w:eastAsia="en-IN"/>
        </w:rPr>
        <w:t xml:space="preserve"> </w:t>
      </w:r>
      <w:r w:rsidRPr="00D27B45">
        <w:rPr>
          <w:bCs/>
          <w:highlight w:val="yellow"/>
        </w:rPr>
        <w:t xml:space="preserve">Recent synthesis of global evidence on pyrethroid resistance in </w:t>
      </w:r>
      <w:r w:rsidRPr="00D27B45">
        <w:rPr>
          <w:bCs/>
          <w:i/>
          <w:highlight w:val="yellow"/>
        </w:rPr>
        <w:t>Ae. aegypti</w:t>
      </w:r>
      <w:r w:rsidRPr="00D27B45">
        <w:rPr>
          <w:bCs/>
          <w:highlight w:val="yellow"/>
        </w:rPr>
        <w:t xml:space="preserve"> has reinforced the need for vector-control strategies that combine toxicity bioassays with resistance-aware integrated vector management (Hernandez &amp; Pietrantonio, 2025).</w:t>
      </w:r>
    </w:p>
    <w:p w14:paraId="6CE2D10F" w14:textId="77777777" w:rsidR="00584DA2" w:rsidRPr="00D27B45" w:rsidRDefault="001974F1" w:rsidP="0086579E">
      <w:pPr>
        <w:spacing w:before="100" w:beforeAutospacing="1" w:after="100" w:afterAutospacing="1" w:line="360" w:lineRule="auto"/>
        <w:jc w:val="both"/>
        <w:rPr>
          <w:rFonts w:ascii="Times New Roman" w:eastAsia="Times New Roman" w:hAnsi="Times New Roman" w:cs="Times New Roman"/>
          <w:sz w:val="24"/>
          <w:szCs w:val="24"/>
          <w:lang w:eastAsia="en-IN"/>
        </w:rPr>
      </w:pPr>
      <w:r>
        <w:rPr>
          <w:rFonts w:ascii="Times New Roman" w:hAnsi="Times New Roman"/>
          <w:sz w:val="24"/>
        </w:rPr>
        <w:t xml:space="preserve">Faced with the twin crises of widespread insecticide resistance and environmental degradation, the scientific community is </w:t>
      </w:r>
      <w:r>
        <w:rPr>
          <w:rFonts w:ascii="Times New Roman" w:hAnsi="Times New Roman"/>
          <w:sz w:val="24"/>
          <w:highlight w:val="yellow"/>
        </w:rPr>
        <w:t>increasingly</w:t>
      </w:r>
      <w:r>
        <w:rPr>
          <w:rFonts w:ascii="Times New Roman" w:hAnsi="Times New Roman"/>
          <w:sz w:val="24"/>
        </w:rPr>
        <w:t xml:space="preserve"> </w:t>
      </w:r>
      <w:r>
        <w:rPr>
          <w:rFonts w:ascii="Times New Roman" w:hAnsi="Times New Roman"/>
          <w:sz w:val="24"/>
          <w:highlight w:val="yellow"/>
        </w:rPr>
        <w:t>turning</w:t>
      </w:r>
      <w:r>
        <w:rPr>
          <w:rFonts w:ascii="Times New Roman" w:hAnsi="Times New Roman"/>
          <w:sz w:val="24"/>
        </w:rPr>
        <w:t xml:space="preserve"> toward green chemistry and botanical insecticides as alternative pillars of Integrated Vector Management (IVM). Plant-derived secondary metabolites offer a sustainable pathway forward because they are typically biodegradable, exhibit low mammalian toxicity, and </w:t>
      </w:r>
      <w:r>
        <w:rPr>
          <w:rFonts w:ascii="Times New Roman" w:hAnsi="Times New Roman"/>
          <w:sz w:val="24"/>
          <w:highlight w:val="yellow"/>
        </w:rPr>
        <w:t>contain</w:t>
      </w:r>
      <w:r>
        <w:rPr>
          <w:rFonts w:ascii="Times New Roman" w:hAnsi="Times New Roman"/>
          <w:sz w:val="24"/>
        </w:rPr>
        <w:t xml:space="preserve"> complex </w:t>
      </w:r>
      <w:r>
        <w:rPr>
          <w:rFonts w:ascii="Times New Roman" w:hAnsi="Times New Roman"/>
          <w:sz w:val="24"/>
          <w:highlight w:val="yellow"/>
        </w:rPr>
        <w:t>mixtures</w:t>
      </w:r>
      <w:r>
        <w:rPr>
          <w:rFonts w:ascii="Times New Roman" w:hAnsi="Times New Roman"/>
          <w:sz w:val="24"/>
        </w:rPr>
        <w:t xml:space="preserve"> of active compounds that </w:t>
      </w:r>
      <w:r>
        <w:rPr>
          <w:rFonts w:ascii="Times New Roman" w:hAnsi="Times New Roman"/>
          <w:sz w:val="24"/>
          <w:highlight w:val="yellow"/>
        </w:rPr>
        <w:t>may act</w:t>
      </w:r>
      <w:r>
        <w:rPr>
          <w:rFonts w:ascii="Times New Roman" w:hAnsi="Times New Roman"/>
          <w:sz w:val="24"/>
        </w:rPr>
        <w:t xml:space="preserve"> synergistically, </w:t>
      </w:r>
      <w:r>
        <w:rPr>
          <w:rFonts w:ascii="Times New Roman" w:hAnsi="Times New Roman"/>
          <w:sz w:val="24"/>
          <w:highlight w:val="yellow"/>
        </w:rPr>
        <w:t>which may reduce</w:t>
      </w:r>
      <w:r>
        <w:rPr>
          <w:rFonts w:ascii="Times New Roman" w:hAnsi="Times New Roman"/>
          <w:sz w:val="24"/>
        </w:rPr>
        <w:t xml:space="preserve"> the </w:t>
      </w:r>
      <w:r>
        <w:rPr>
          <w:rFonts w:ascii="Times New Roman" w:hAnsi="Times New Roman"/>
          <w:sz w:val="24"/>
          <w:highlight w:val="yellow"/>
        </w:rPr>
        <w:t>likelihood</w:t>
      </w:r>
      <w:r>
        <w:rPr>
          <w:rFonts w:ascii="Times New Roman" w:hAnsi="Times New Roman"/>
          <w:sz w:val="24"/>
        </w:rPr>
        <w:t xml:space="preserve"> of resistance</w:t>
      </w:r>
      <w:r>
        <w:rPr>
          <w:rFonts w:ascii="Times New Roman" w:hAnsi="Times New Roman"/>
          <w:sz w:val="24"/>
          <w:highlight w:val="yellow"/>
        </w:rPr>
        <w:t xml:space="preserve"> development</w:t>
      </w:r>
      <w:r>
        <w:rPr>
          <w:rFonts w:ascii="Times New Roman" w:hAnsi="Times New Roman"/>
          <w:sz w:val="24"/>
        </w:rPr>
        <w:t xml:space="preserve"> in target pests (Nawarathne &amp; Dharmarathne, </w:t>
      </w:r>
      <w:r>
        <w:rPr>
          <w:rFonts w:ascii="Times New Roman" w:hAnsi="Times New Roman"/>
          <w:sz w:val="24"/>
          <w:highlight w:val="yellow"/>
        </w:rPr>
        <w:t>2024</w:t>
      </w:r>
      <w:r>
        <w:rPr>
          <w:rFonts w:ascii="Times New Roman" w:hAnsi="Times New Roman"/>
          <w:sz w:val="24"/>
        </w:rPr>
        <w:t>).</w:t>
      </w:r>
      <w:r w:rsidR="00D27B45">
        <w:rPr>
          <w:rFonts w:ascii="Times New Roman" w:eastAsia="Times New Roman" w:hAnsi="Times New Roman" w:cs="Times New Roman"/>
          <w:sz w:val="24"/>
          <w:szCs w:val="24"/>
          <w:lang w:eastAsia="en-IN"/>
        </w:rPr>
        <w:t xml:space="preserve"> </w:t>
      </w:r>
      <w:r w:rsidRPr="00D27B45">
        <w:rPr>
          <w:bCs/>
          <w:highlight w:val="yellow"/>
        </w:rPr>
        <w:t xml:space="preserve">Recent evaluations of plant-mediated larvicidal approaches, including neem-derived preparations and </w:t>
      </w:r>
      <w:r w:rsidRPr="00D27B45">
        <w:rPr>
          <w:bCs/>
          <w:i/>
          <w:highlight w:val="yellow"/>
        </w:rPr>
        <w:t>Annona squamosa</w:t>
      </w:r>
      <w:r w:rsidRPr="00D27B45">
        <w:rPr>
          <w:bCs/>
          <w:highlight w:val="yellow"/>
        </w:rPr>
        <w:t xml:space="preserve"> extract in combination with </w:t>
      </w:r>
      <w:r w:rsidRPr="00D27B45">
        <w:rPr>
          <w:bCs/>
          <w:i/>
          <w:highlight w:val="yellow"/>
        </w:rPr>
        <w:t>Bacillus thuringiensis</w:t>
      </w:r>
      <w:r w:rsidRPr="00D27B45">
        <w:rPr>
          <w:bCs/>
          <w:highlight w:val="yellow"/>
        </w:rPr>
        <w:t xml:space="preserve"> var. </w:t>
      </w:r>
      <w:proofErr w:type="spellStart"/>
      <w:r w:rsidRPr="00D27B45">
        <w:rPr>
          <w:bCs/>
          <w:i/>
          <w:highlight w:val="yellow"/>
        </w:rPr>
        <w:t>israelensis</w:t>
      </w:r>
      <w:proofErr w:type="spellEnd"/>
      <w:r w:rsidRPr="00D27B45">
        <w:rPr>
          <w:bCs/>
          <w:highlight w:val="yellow"/>
        </w:rPr>
        <w:t xml:space="preserve">, further support the assessment of botanical and bio-derived larvicidal options against </w:t>
      </w:r>
      <w:r w:rsidRPr="00D27B45">
        <w:rPr>
          <w:bCs/>
          <w:i/>
          <w:highlight w:val="yellow"/>
        </w:rPr>
        <w:t>A. aegypti</w:t>
      </w:r>
      <w:r w:rsidRPr="00D27B45">
        <w:rPr>
          <w:bCs/>
          <w:highlight w:val="yellow"/>
        </w:rPr>
        <w:t xml:space="preserve"> (Kumari et al., 2025; Vincent &amp; Marin, 2024).</w:t>
      </w:r>
      <w:r w:rsidR="00D27B45">
        <w:rPr>
          <w:rFonts w:ascii="Times New Roman" w:eastAsia="Times New Roman" w:hAnsi="Times New Roman" w:cs="Times New Roman"/>
          <w:sz w:val="24"/>
          <w:szCs w:val="24"/>
          <w:lang w:eastAsia="en-IN"/>
        </w:rPr>
        <w:t xml:space="preserve"> </w:t>
      </w:r>
      <w:r w:rsidRPr="00D27B45">
        <w:rPr>
          <w:bCs/>
        </w:rPr>
        <w:t>A recent review also indicates that larvicidal responses vary by plant species, plant part, phytochemical profile</w:t>
      </w:r>
      <w:r w:rsidRPr="00D27B45">
        <w:rPr>
          <w:bCs/>
          <w:highlight w:val="yellow"/>
        </w:rPr>
        <w:t>,</w:t>
      </w:r>
      <w:r w:rsidRPr="00D27B45">
        <w:rPr>
          <w:bCs/>
        </w:rPr>
        <w:t xml:space="preserve"> and extraction solvent, supporting the need for solvent-specific evaluation rather than single-extract screening (</w:t>
      </w:r>
      <w:proofErr w:type="spellStart"/>
      <w:r w:rsidRPr="00D27B45">
        <w:rPr>
          <w:bCs/>
        </w:rPr>
        <w:t>Nawarathne</w:t>
      </w:r>
      <w:proofErr w:type="spellEnd"/>
      <w:r w:rsidRPr="00D27B45">
        <w:rPr>
          <w:bCs/>
        </w:rPr>
        <w:t xml:space="preserve"> &amp; </w:t>
      </w:r>
      <w:proofErr w:type="spellStart"/>
      <w:r w:rsidRPr="00D27B45">
        <w:rPr>
          <w:bCs/>
        </w:rPr>
        <w:t>Dharmarathne</w:t>
      </w:r>
      <w:proofErr w:type="spellEnd"/>
      <w:r w:rsidRPr="00D27B45">
        <w:rPr>
          <w:bCs/>
        </w:rPr>
        <w:t>, 2024).</w:t>
      </w:r>
    </w:p>
    <w:p w14:paraId="547B1F2A" w14:textId="77777777" w:rsidR="00584DA2" w:rsidRPr="00D27B45" w:rsidRDefault="001974F1" w:rsidP="0086579E">
      <w:pPr>
        <w:spacing w:before="100" w:beforeAutospacing="1" w:after="100" w:afterAutospacing="1" w:line="360" w:lineRule="auto"/>
        <w:jc w:val="both"/>
        <w:rPr>
          <w:rFonts w:ascii="Times New Roman" w:eastAsia="Times New Roman" w:hAnsi="Times New Roman" w:cs="Times New Roman"/>
          <w:sz w:val="24"/>
          <w:szCs w:val="24"/>
          <w:lang w:eastAsia="en-IN"/>
        </w:rPr>
      </w:pPr>
      <w:r>
        <w:rPr>
          <w:rFonts w:ascii="Times New Roman" w:hAnsi="Times New Roman"/>
          <w:sz w:val="24"/>
        </w:rPr>
        <w:t xml:space="preserve">Within the rich repertoire of ethnomedicinal flora, </w:t>
      </w:r>
      <w:r>
        <w:rPr>
          <w:rFonts w:ascii="Times New Roman" w:hAnsi="Times New Roman"/>
          <w:i/>
          <w:sz w:val="24"/>
        </w:rPr>
        <w:t>Vitex negundo</w:t>
      </w:r>
      <w:r>
        <w:rPr>
          <w:rFonts w:ascii="Times New Roman" w:hAnsi="Times New Roman"/>
          <w:sz w:val="24"/>
        </w:rPr>
        <w:t xml:space="preserve"> Linn. (Family: </w:t>
      </w:r>
      <w:proofErr w:type="spellStart"/>
      <w:r>
        <w:rPr>
          <w:rFonts w:ascii="Times New Roman" w:hAnsi="Times New Roman"/>
          <w:sz w:val="24"/>
        </w:rPr>
        <w:t>Lamiaceae</w:t>
      </w:r>
      <w:proofErr w:type="spellEnd"/>
      <w:r>
        <w:rPr>
          <w:rFonts w:ascii="Times New Roman" w:hAnsi="Times New Roman"/>
          <w:sz w:val="24"/>
        </w:rPr>
        <w:t xml:space="preserve">), commonly known as </w:t>
      </w:r>
      <w:proofErr w:type="spellStart"/>
      <w:r>
        <w:rPr>
          <w:rFonts w:ascii="Times New Roman" w:hAnsi="Times New Roman"/>
          <w:sz w:val="24"/>
        </w:rPr>
        <w:t>Notchi</w:t>
      </w:r>
      <w:proofErr w:type="spellEnd"/>
      <w:r>
        <w:rPr>
          <w:rFonts w:ascii="Times New Roman" w:hAnsi="Times New Roman"/>
          <w:sz w:val="24"/>
        </w:rPr>
        <w:t xml:space="preserve"> or the five-leaved chaste tree, </w:t>
      </w:r>
      <w:r>
        <w:rPr>
          <w:rFonts w:ascii="Times New Roman" w:hAnsi="Times New Roman"/>
          <w:sz w:val="24"/>
          <w:highlight w:val="yellow"/>
        </w:rPr>
        <w:t>is</w:t>
      </w:r>
      <w:r>
        <w:rPr>
          <w:rFonts w:ascii="Times New Roman" w:hAnsi="Times New Roman"/>
          <w:sz w:val="24"/>
        </w:rPr>
        <w:t xml:space="preserve"> a candidate for </w:t>
      </w:r>
      <w:r>
        <w:rPr>
          <w:rFonts w:ascii="Times New Roman" w:hAnsi="Times New Roman"/>
          <w:sz w:val="24"/>
          <w:highlight w:val="yellow"/>
        </w:rPr>
        <w:t>biopesticide</w:t>
      </w:r>
      <w:r>
        <w:rPr>
          <w:rFonts w:ascii="Times New Roman" w:hAnsi="Times New Roman"/>
          <w:sz w:val="24"/>
        </w:rPr>
        <w:t xml:space="preserve"> synthesis. Historically </w:t>
      </w:r>
      <w:r>
        <w:rPr>
          <w:rFonts w:ascii="Times New Roman" w:hAnsi="Times New Roman"/>
          <w:sz w:val="24"/>
          <w:highlight w:val="yellow"/>
        </w:rPr>
        <w:t>used</w:t>
      </w:r>
      <w:r>
        <w:rPr>
          <w:rFonts w:ascii="Times New Roman" w:hAnsi="Times New Roman"/>
          <w:sz w:val="24"/>
        </w:rPr>
        <w:t xml:space="preserve"> in traditional Ayurvedic and Siddha medicine for its anti-inflammatory, analgesic, and antimicrobial properties, </w:t>
      </w:r>
      <w:r>
        <w:rPr>
          <w:rFonts w:ascii="Times New Roman" w:hAnsi="Times New Roman"/>
          <w:i/>
          <w:sz w:val="24"/>
        </w:rPr>
        <w:t>V. negundo</w:t>
      </w:r>
      <w:r>
        <w:rPr>
          <w:rFonts w:ascii="Times New Roman" w:hAnsi="Times New Roman"/>
          <w:sz w:val="24"/>
        </w:rPr>
        <w:t xml:space="preserve"> </w:t>
      </w:r>
      <w:r>
        <w:rPr>
          <w:rFonts w:ascii="Times New Roman" w:hAnsi="Times New Roman"/>
          <w:sz w:val="24"/>
          <w:highlight w:val="yellow"/>
        </w:rPr>
        <w:t>contains</w:t>
      </w:r>
      <w:r>
        <w:rPr>
          <w:rFonts w:ascii="Times New Roman" w:hAnsi="Times New Roman"/>
          <w:sz w:val="24"/>
        </w:rPr>
        <w:t xml:space="preserve"> a diverse array of defensive secondary metabolites. Previous preliminary investigations have noted that the leaves of this hardy, drought-resistant shrub possess natural insecticidal, repellent, and insect growth-regulating properties against agricultural and public health pests (Chandrasekaran et al., </w:t>
      </w:r>
      <w:r>
        <w:rPr>
          <w:rFonts w:ascii="Times New Roman" w:hAnsi="Times New Roman"/>
          <w:sz w:val="24"/>
          <w:highlight w:val="yellow"/>
        </w:rPr>
        <w:t>2019</w:t>
      </w:r>
      <w:r>
        <w:rPr>
          <w:rFonts w:ascii="Times New Roman" w:hAnsi="Times New Roman"/>
          <w:sz w:val="24"/>
        </w:rPr>
        <w:t xml:space="preserve">). The defensive chemistry of </w:t>
      </w:r>
      <w:r>
        <w:rPr>
          <w:rFonts w:ascii="Times New Roman" w:hAnsi="Times New Roman"/>
          <w:i/>
          <w:sz w:val="24"/>
        </w:rPr>
        <w:t>V. negundo</w:t>
      </w:r>
      <w:r>
        <w:rPr>
          <w:rFonts w:ascii="Times New Roman" w:hAnsi="Times New Roman"/>
          <w:sz w:val="24"/>
        </w:rPr>
        <w:t xml:space="preserve"> is believed to be driven by its unique profile of volatile monoterpenes, sesquiterpenes, iridoid glycosides, and polyphenolic flavonoids, </w:t>
      </w:r>
      <w:r>
        <w:rPr>
          <w:rFonts w:ascii="Times New Roman" w:hAnsi="Times New Roman"/>
          <w:sz w:val="24"/>
        </w:rPr>
        <w:lastRenderedPageBreak/>
        <w:t>which can disrupt the endocrine and nervous systems of immature dipterans.</w:t>
      </w:r>
      <w:r w:rsidR="00D27B45">
        <w:rPr>
          <w:rFonts w:ascii="Times New Roman" w:eastAsia="Times New Roman" w:hAnsi="Times New Roman" w:cs="Times New Roman"/>
          <w:sz w:val="24"/>
          <w:szCs w:val="24"/>
          <w:lang w:eastAsia="en-IN"/>
        </w:rPr>
        <w:t xml:space="preserve"> </w:t>
      </w:r>
      <w:r w:rsidRPr="00D27B45">
        <w:rPr>
          <w:bCs/>
          <w:highlight w:val="yellow"/>
        </w:rPr>
        <w:t xml:space="preserve">Comparable solvent-based bioassays of </w:t>
      </w:r>
      <w:proofErr w:type="spellStart"/>
      <w:r w:rsidRPr="00D27B45">
        <w:rPr>
          <w:bCs/>
          <w:i/>
          <w:highlight w:val="yellow"/>
        </w:rPr>
        <w:t>Persea</w:t>
      </w:r>
      <w:proofErr w:type="spellEnd"/>
      <w:r w:rsidRPr="00D27B45">
        <w:rPr>
          <w:bCs/>
          <w:i/>
          <w:highlight w:val="yellow"/>
        </w:rPr>
        <w:t xml:space="preserve"> americana</w:t>
      </w:r>
      <w:r w:rsidRPr="00D27B45">
        <w:rPr>
          <w:bCs/>
          <w:highlight w:val="yellow"/>
        </w:rPr>
        <w:t xml:space="preserve"> leaf extracts against fourth-instar </w:t>
      </w:r>
      <w:r w:rsidRPr="00D27B45">
        <w:rPr>
          <w:bCs/>
          <w:i/>
          <w:highlight w:val="yellow"/>
        </w:rPr>
        <w:t>A. aegypti</w:t>
      </w:r>
      <w:r w:rsidRPr="00D27B45">
        <w:rPr>
          <w:bCs/>
          <w:highlight w:val="yellow"/>
        </w:rPr>
        <w:t xml:space="preserve"> have shown different larvicidal responses among methanol, ethanol, hexane, and acetone extracts, which is consistent with a comparative solvent approach (</w:t>
      </w:r>
      <w:proofErr w:type="spellStart"/>
      <w:r w:rsidRPr="00D27B45">
        <w:rPr>
          <w:bCs/>
          <w:highlight w:val="yellow"/>
        </w:rPr>
        <w:t>Ajaegbu</w:t>
      </w:r>
      <w:proofErr w:type="spellEnd"/>
      <w:r w:rsidRPr="00D27B45">
        <w:rPr>
          <w:bCs/>
          <w:highlight w:val="yellow"/>
        </w:rPr>
        <w:t xml:space="preserve"> et al., 2025).</w:t>
      </w:r>
    </w:p>
    <w:p w14:paraId="12676BB2" w14:textId="77777777" w:rsidR="00584DA2" w:rsidRPr="00D27B45" w:rsidRDefault="001974F1" w:rsidP="0086579E">
      <w:pPr>
        <w:spacing w:before="100" w:beforeAutospacing="1" w:after="100" w:afterAutospacing="1" w:line="360" w:lineRule="auto"/>
        <w:jc w:val="both"/>
        <w:rPr>
          <w:rFonts w:ascii="Times New Roman" w:eastAsia="Times New Roman" w:hAnsi="Times New Roman" w:cs="Times New Roman"/>
          <w:sz w:val="24"/>
          <w:szCs w:val="24"/>
          <w:lang w:eastAsia="en-IN"/>
        </w:rPr>
      </w:pPr>
      <w:r>
        <w:rPr>
          <w:rFonts w:ascii="Times New Roman" w:hAnsi="Times New Roman"/>
          <w:sz w:val="24"/>
        </w:rPr>
        <w:t xml:space="preserve">Despite its known potential, a critical gap remains in systematically </w:t>
      </w:r>
      <w:r>
        <w:rPr>
          <w:rFonts w:ascii="Times New Roman" w:hAnsi="Times New Roman"/>
          <w:sz w:val="24"/>
          <w:highlight w:val="yellow"/>
        </w:rPr>
        <w:t>optimising</w:t>
      </w:r>
      <w:r>
        <w:rPr>
          <w:rFonts w:ascii="Times New Roman" w:hAnsi="Times New Roman"/>
          <w:sz w:val="24"/>
        </w:rPr>
        <w:t xml:space="preserve"> the extraction efficiency of </w:t>
      </w:r>
      <w:r>
        <w:rPr>
          <w:rFonts w:ascii="Times New Roman" w:hAnsi="Times New Roman"/>
          <w:i/>
          <w:sz w:val="24"/>
        </w:rPr>
        <w:t>V. negundo</w:t>
      </w:r>
      <w:r>
        <w:rPr>
          <w:rFonts w:ascii="Times New Roman" w:hAnsi="Times New Roman"/>
          <w:sz w:val="24"/>
        </w:rPr>
        <w:t xml:space="preserve"> leaves using solvent systems of varying polarities, specifically tailored to target the resilient larval stages of </w:t>
      </w:r>
      <w:r>
        <w:rPr>
          <w:rFonts w:ascii="Times New Roman" w:hAnsi="Times New Roman"/>
          <w:i/>
          <w:sz w:val="24"/>
        </w:rPr>
        <w:t>Aedes aegypti</w:t>
      </w:r>
      <w:r>
        <w:rPr>
          <w:rFonts w:ascii="Times New Roman" w:hAnsi="Times New Roman"/>
          <w:sz w:val="24"/>
        </w:rPr>
        <w:t xml:space="preserve"> within a veterinary-centric vector management context. Targeting mosquitoes at the larval stage is widely considered </w:t>
      </w:r>
      <w:r>
        <w:rPr>
          <w:rFonts w:ascii="Times New Roman" w:hAnsi="Times New Roman"/>
          <w:sz w:val="24"/>
          <w:highlight w:val="yellow"/>
        </w:rPr>
        <w:t>an</w:t>
      </w:r>
      <w:r>
        <w:rPr>
          <w:rFonts w:ascii="Times New Roman" w:hAnsi="Times New Roman"/>
          <w:sz w:val="24"/>
        </w:rPr>
        <w:t xml:space="preserve"> effective control strategy, as larvae are confined to distinct, accessible aquatic habitats before they can disperse as highly mobile, disease-vectoring adults.</w:t>
      </w:r>
      <w:r w:rsidR="00D27B45">
        <w:rPr>
          <w:rFonts w:ascii="Times New Roman" w:eastAsia="Times New Roman" w:hAnsi="Times New Roman" w:cs="Times New Roman"/>
          <w:sz w:val="24"/>
          <w:szCs w:val="24"/>
          <w:lang w:eastAsia="en-IN"/>
        </w:rPr>
        <w:t xml:space="preserve"> </w:t>
      </w:r>
      <w:r w:rsidRPr="00D27B45">
        <w:rPr>
          <w:bCs/>
        </w:rPr>
        <w:t>The present work therefore addresses the need for a direct comparison of aqueous, ethanol</w:t>
      </w:r>
      <w:r w:rsidRPr="00D27B45">
        <w:rPr>
          <w:bCs/>
          <w:highlight w:val="yellow"/>
        </w:rPr>
        <w:t>,</w:t>
      </w:r>
      <w:r w:rsidRPr="00D27B45">
        <w:rPr>
          <w:bCs/>
        </w:rPr>
        <w:t xml:space="preserve"> and isopropanol leaf extracts of </w:t>
      </w:r>
      <w:r w:rsidRPr="00D27B45">
        <w:rPr>
          <w:bCs/>
          <w:i/>
        </w:rPr>
        <w:t>V. negundo</w:t>
      </w:r>
      <w:r w:rsidRPr="00D27B45">
        <w:rPr>
          <w:bCs/>
        </w:rPr>
        <w:t xml:space="preserve"> under the same laboratory bioassay conditions, with emphasis on fourth-instar </w:t>
      </w:r>
      <w:r w:rsidRPr="00D27B45">
        <w:rPr>
          <w:bCs/>
          <w:i/>
        </w:rPr>
        <w:t>A. aegypti</w:t>
      </w:r>
      <w:r w:rsidRPr="00D27B45">
        <w:rPr>
          <w:bCs/>
        </w:rPr>
        <w:t xml:space="preserve"> larvae.</w:t>
      </w:r>
    </w:p>
    <w:p w14:paraId="249B528C" w14:textId="77777777" w:rsidR="001974F1" w:rsidRPr="001974F1" w:rsidRDefault="001974F1" w:rsidP="0086579E">
      <w:pPr>
        <w:spacing w:before="100" w:beforeAutospacing="1" w:after="100" w:afterAutospacing="1" w:line="360" w:lineRule="auto"/>
        <w:jc w:val="both"/>
        <w:rPr>
          <w:rFonts w:ascii="Times New Roman" w:eastAsia="Times New Roman" w:hAnsi="Times New Roman" w:cs="Times New Roman"/>
          <w:sz w:val="24"/>
          <w:szCs w:val="24"/>
          <w:lang w:eastAsia="en-IN"/>
        </w:rPr>
      </w:pPr>
      <w:r>
        <w:rPr>
          <w:rFonts w:ascii="Times New Roman" w:hAnsi="Times New Roman"/>
          <w:sz w:val="24"/>
        </w:rPr>
        <w:t xml:space="preserve">Therefore, the objective of this study was to conduct a comparative evaluation of the qualitative phytochemical profiles and quantitative larvicidal </w:t>
      </w:r>
      <w:r>
        <w:rPr>
          <w:rFonts w:ascii="Times New Roman" w:hAnsi="Times New Roman"/>
          <w:sz w:val="24"/>
          <w:highlight w:val="yellow"/>
        </w:rPr>
        <w:t>efficacy</w:t>
      </w:r>
      <w:r>
        <w:rPr>
          <w:rFonts w:ascii="Times New Roman" w:hAnsi="Times New Roman"/>
          <w:sz w:val="24"/>
        </w:rPr>
        <w:t xml:space="preserve"> of aqueous, ethanol, and isopropanol leaf extracts of </w:t>
      </w:r>
      <w:r>
        <w:rPr>
          <w:rFonts w:ascii="Times New Roman" w:hAnsi="Times New Roman"/>
          <w:i/>
          <w:sz w:val="24"/>
        </w:rPr>
        <w:t>Vitex negundo</w:t>
      </w:r>
      <w:r>
        <w:rPr>
          <w:rFonts w:ascii="Times New Roman" w:hAnsi="Times New Roman"/>
          <w:sz w:val="24"/>
        </w:rPr>
        <w:t xml:space="preserve"> against fourth-instar larvae of </w:t>
      </w:r>
      <w:r>
        <w:rPr>
          <w:rFonts w:ascii="Times New Roman" w:hAnsi="Times New Roman"/>
          <w:i/>
          <w:sz w:val="24"/>
        </w:rPr>
        <w:t>Aedes aegypti</w:t>
      </w:r>
      <w:r>
        <w:rPr>
          <w:rFonts w:ascii="Times New Roman" w:hAnsi="Times New Roman"/>
          <w:sz w:val="24"/>
        </w:rPr>
        <w:t xml:space="preserve">. By defining the median lethal concentration (LC50) values and </w:t>
      </w:r>
      <w:r>
        <w:rPr>
          <w:rFonts w:ascii="Times New Roman" w:hAnsi="Times New Roman"/>
          <w:sz w:val="24"/>
          <w:highlight w:val="yellow"/>
        </w:rPr>
        <w:t>examining</w:t>
      </w:r>
      <w:r>
        <w:rPr>
          <w:rFonts w:ascii="Times New Roman" w:hAnsi="Times New Roman"/>
          <w:sz w:val="24"/>
        </w:rPr>
        <w:t xml:space="preserve"> the statistical variations in mortality over time, this research seeks to </w:t>
      </w:r>
      <w:r>
        <w:rPr>
          <w:rFonts w:ascii="Times New Roman" w:hAnsi="Times New Roman"/>
          <w:sz w:val="24"/>
          <w:highlight w:val="yellow"/>
        </w:rPr>
        <w:t>evaluate</w:t>
      </w:r>
      <w:r>
        <w:rPr>
          <w:rFonts w:ascii="Times New Roman" w:hAnsi="Times New Roman"/>
          <w:sz w:val="24"/>
        </w:rPr>
        <w:t xml:space="preserve"> a </w:t>
      </w:r>
      <w:r>
        <w:rPr>
          <w:rFonts w:ascii="Times New Roman" w:hAnsi="Times New Roman"/>
          <w:sz w:val="24"/>
          <w:highlight w:val="yellow"/>
        </w:rPr>
        <w:t xml:space="preserve">potentially </w:t>
      </w:r>
      <w:r>
        <w:rPr>
          <w:rFonts w:ascii="Times New Roman" w:hAnsi="Times New Roman"/>
          <w:sz w:val="24"/>
        </w:rPr>
        <w:t xml:space="preserve">scalable, cost-effective, and ecologically benign botanical </w:t>
      </w:r>
      <w:r>
        <w:rPr>
          <w:rFonts w:ascii="Times New Roman" w:hAnsi="Times New Roman"/>
          <w:sz w:val="24"/>
          <w:highlight w:val="yellow"/>
        </w:rPr>
        <w:t>formulation</w:t>
      </w:r>
      <w:r>
        <w:rPr>
          <w:rFonts w:ascii="Times New Roman" w:hAnsi="Times New Roman"/>
          <w:sz w:val="24"/>
        </w:rPr>
        <w:t xml:space="preserve">. Ultimately, this work aims to provide livestock management systems with an actionable alternative to synthetic chemicals, </w:t>
      </w:r>
      <w:r>
        <w:rPr>
          <w:rFonts w:ascii="Times New Roman" w:hAnsi="Times New Roman"/>
          <w:sz w:val="24"/>
          <w:highlight w:val="yellow"/>
        </w:rPr>
        <w:t>safeguard</w:t>
      </w:r>
      <w:r>
        <w:rPr>
          <w:rFonts w:ascii="Times New Roman" w:hAnsi="Times New Roman"/>
          <w:sz w:val="24"/>
        </w:rPr>
        <w:t xml:space="preserve"> animal health, </w:t>
      </w:r>
      <w:r>
        <w:rPr>
          <w:rFonts w:ascii="Times New Roman" w:hAnsi="Times New Roman"/>
          <w:sz w:val="24"/>
          <w:highlight w:val="yellow"/>
        </w:rPr>
        <w:t>protect</w:t>
      </w:r>
      <w:r>
        <w:rPr>
          <w:rFonts w:ascii="Times New Roman" w:hAnsi="Times New Roman"/>
          <w:sz w:val="24"/>
        </w:rPr>
        <w:t xml:space="preserve"> smallholder livelihoods, and </w:t>
      </w:r>
      <w:r>
        <w:rPr>
          <w:rFonts w:ascii="Times New Roman" w:hAnsi="Times New Roman"/>
          <w:sz w:val="24"/>
          <w:highlight w:val="yellow"/>
        </w:rPr>
        <w:t>advance</w:t>
      </w:r>
      <w:r>
        <w:rPr>
          <w:rFonts w:ascii="Times New Roman" w:hAnsi="Times New Roman"/>
          <w:sz w:val="24"/>
        </w:rPr>
        <w:t xml:space="preserve"> the core principles of sustainable animal agriculture.</w:t>
      </w:r>
    </w:p>
    <w:p w14:paraId="75BA9840" w14:textId="77777777" w:rsidR="001974F1" w:rsidRDefault="001974F1" w:rsidP="0086579E">
      <w:pPr>
        <w:spacing w:before="100" w:beforeAutospacing="1" w:after="100" w:afterAutospacing="1" w:line="360" w:lineRule="auto"/>
        <w:jc w:val="both"/>
        <w:outlineLvl w:val="1"/>
        <w:rPr>
          <w:rFonts w:ascii="Times New Roman" w:eastAsia="Times New Roman" w:hAnsi="Times New Roman" w:cs="Times New Roman"/>
          <w:b/>
          <w:bCs/>
          <w:sz w:val="24"/>
          <w:szCs w:val="24"/>
          <w:lang w:eastAsia="en-IN"/>
        </w:rPr>
      </w:pPr>
    </w:p>
    <w:p w14:paraId="126FD5D3" w14:textId="77777777" w:rsidR="001974F1" w:rsidRPr="001974F1" w:rsidRDefault="001974F1" w:rsidP="0086579E">
      <w:pPr>
        <w:spacing w:before="100" w:beforeAutospacing="1" w:after="100" w:afterAutospacing="1" w:line="360" w:lineRule="auto"/>
        <w:jc w:val="both"/>
        <w:outlineLvl w:val="1"/>
        <w:rPr>
          <w:rFonts w:ascii="Times New Roman" w:eastAsia="Times New Roman" w:hAnsi="Times New Roman" w:cs="Times New Roman"/>
          <w:b/>
          <w:bCs/>
          <w:sz w:val="24"/>
          <w:szCs w:val="24"/>
          <w:lang w:eastAsia="en-IN"/>
        </w:rPr>
      </w:pPr>
      <w:r w:rsidRPr="001974F1">
        <w:rPr>
          <w:rFonts w:ascii="Times New Roman" w:eastAsia="Times New Roman" w:hAnsi="Times New Roman" w:cs="Times New Roman"/>
          <w:b/>
          <w:bCs/>
          <w:sz w:val="24"/>
          <w:szCs w:val="24"/>
          <w:lang w:eastAsia="en-IN"/>
        </w:rPr>
        <w:t>2. MATERIALS AND METHODS</w:t>
      </w:r>
    </w:p>
    <w:p w14:paraId="676ABBD1" w14:textId="77777777" w:rsidR="001974F1" w:rsidRPr="001974F1" w:rsidRDefault="001974F1" w:rsidP="0086579E">
      <w:pPr>
        <w:spacing w:before="100" w:beforeAutospacing="1" w:after="100" w:afterAutospacing="1" w:line="360" w:lineRule="auto"/>
        <w:jc w:val="both"/>
        <w:outlineLvl w:val="2"/>
        <w:rPr>
          <w:rFonts w:ascii="Times New Roman" w:eastAsia="Times New Roman" w:hAnsi="Times New Roman" w:cs="Times New Roman"/>
          <w:b/>
          <w:bCs/>
          <w:sz w:val="24"/>
          <w:szCs w:val="24"/>
          <w:lang w:eastAsia="en-IN"/>
        </w:rPr>
      </w:pPr>
      <w:r w:rsidRPr="001974F1">
        <w:rPr>
          <w:rFonts w:ascii="Times New Roman" w:eastAsia="Times New Roman" w:hAnsi="Times New Roman" w:cs="Times New Roman"/>
          <w:b/>
          <w:bCs/>
          <w:sz w:val="24"/>
          <w:szCs w:val="24"/>
          <w:lang w:eastAsia="en-IN"/>
        </w:rPr>
        <w:t>2.1 Plant Material and Extract Preparation</w:t>
      </w:r>
    </w:p>
    <w:p w14:paraId="04B43BAA" w14:textId="77777777" w:rsidR="001974F1" w:rsidRPr="001974F1" w:rsidRDefault="001974F1" w:rsidP="0086579E">
      <w:pPr>
        <w:spacing w:before="100" w:beforeAutospacing="1" w:after="100" w:afterAutospacing="1" w:line="360" w:lineRule="auto"/>
        <w:jc w:val="both"/>
        <w:rPr>
          <w:rFonts w:ascii="Times New Roman" w:eastAsia="Times New Roman" w:hAnsi="Times New Roman" w:cs="Times New Roman"/>
          <w:sz w:val="24"/>
          <w:szCs w:val="24"/>
          <w:lang w:eastAsia="en-IN"/>
        </w:rPr>
      </w:pPr>
      <w:r>
        <w:rPr>
          <w:rFonts w:ascii="Times New Roman" w:hAnsi="Times New Roman"/>
          <w:i/>
          <w:sz w:val="24"/>
        </w:rPr>
        <w:t>Vitex negundo</w:t>
      </w:r>
      <w:r>
        <w:rPr>
          <w:rFonts w:ascii="Times New Roman" w:hAnsi="Times New Roman"/>
          <w:sz w:val="24"/>
        </w:rPr>
        <w:t xml:space="preserve"> leaves were collected from a local farm in Theni, Tamil Nadu, India, and authenticated by a botanist. The leaves were washed thoroughly to remove any surface impurities, air-dried under shade at room temperature, and ground into a uniform, fine powder. Extracts were prepared by macerating 50 grams of the powdered leaves in 500 mL of three distinct solvents representing different polarities: </w:t>
      </w:r>
      <w:r>
        <w:rPr>
          <w:rFonts w:ascii="Times New Roman" w:hAnsi="Times New Roman"/>
          <w:sz w:val="24"/>
          <w:highlight w:val="yellow"/>
        </w:rPr>
        <w:t>water</w:t>
      </w:r>
      <w:r>
        <w:rPr>
          <w:rFonts w:ascii="Times New Roman" w:hAnsi="Times New Roman"/>
          <w:sz w:val="24"/>
        </w:rPr>
        <w:t xml:space="preserve">, absolute ethanol, and isopropanol at a fixed 1:10 (w/v) ratio. The cold maceration extraction process was carried out over 72 hours </w:t>
      </w:r>
      <w:r>
        <w:rPr>
          <w:rFonts w:ascii="Times New Roman" w:hAnsi="Times New Roman"/>
          <w:sz w:val="24"/>
        </w:rPr>
        <w:lastRenderedPageBreak/>
        <w:t xml:space="preserve">with occasional mechanical agitation. After the extraction </w:t>
      </w:r>
      <w:r>
        <w:rPr>
          <w:rFonts w:ascii="Times New Roman" w:hAnsi="Times New Roman"/>
          <w:sz w:val="24"/>
          <w:highlight w:val="yellow"/>
        </w:rPr>
        <w:t>period</w:t>
      </w:r>
      <w:r>
        <w:rPr>
          <w:rFonts w:ascii="Times New Roman" w:hAnsi="Times New Roman"/>
          <w:sz w:val="24"/>
        </w:rPr>
        <w:t>, each mixture was filtered through Whatman No. 1 filter paper, and the solvent phases were evaporated under reduced pressure using a rotary evaporator. The concentrated crude extracts were weighed and stored in airtight amber vials at 4°C for subsequent bioassays.</w:t>
      </w:r>
    </w:p>
    <w:p w14:paraId="11618A1B" w14:textId="77777777" w:rsidR="001974F1" w:rsidRPr="001974F1" w:rsidRDefault="001974F1" w:rsidP="0086579E">
      <w:pPr>
        <w:spacing w:before="100" w:beforeAutospacing="1" w:after="100" w:afterAutospacing="1" w:line="360" w:lineRule="auto"/>
        <w:jc w:val="both"/>
        <w:outlineLvl w:val="2"/>
        <w:rPr>
          <w:rFonts w:ascii="Times New Roman" w:eastAsia="Times New Roman" w:hAnsi="Times New Roman" w:cs="Times New Roman"/>
          <w:b/>
          <w:bCs/>
          <w:sz w:val="24"/>
          <w:szCs w:val="24"/>
          <w:lang w:eastAsia="en-IN"/>
        </w:rPr>
      </w:pPr>
      <w:r w:rsidRPr="001974F1">
        <w:rPr>
          <w:rFonts w:ascii="Times New Roman" w:eastAsia="Times New Roman" w:hAnsi="Times New Roman" w:cs="Times New Roman"/>
          <w:b/>
          <w:bCs/>
          <w:sz w:val="24"/>
          <w:szCs w:val="24"/>
          <w:lang w:eastAsia="en-IN"/>
        </w:rPr>
        <w:t>2.2 Phytochemical Screening</w:t>
      </w:r>
    </w:p>
    <w:p w14:paraId="65FBDAC3" w14:textId="77777777" w:rsidR="001974F1" w:rsidRPr="001974F1" w:rsidRDefault="001974F1" w:rsidP="0086579E">
      <w:pPr>
        <w:spacing w:before="100" w:beforeAutospacing="1" w:after="100" w:afterAutospacing="1" w:line="360" w:lineRule="auto"/>
        <w:jc w:val="both"/>
        <w:rPr>
          <w:rFonts w:ascii="Times New Roman" w:eastAsia="Times New Roman" w:hAnsi="Times New Roman" w:cs="Times New Roman"/>
          <w:sz w:val="24"/>
          <w:szCs w:val="24"/>
          <w:lang w:eastAsia="en-IN"/>
        </w:rPr>
      </w:pPr>
      <w:r>
        <w:rPr>
          <w:rFonts w:ascii="Times New Roman" w:hAnsi="Times New Roman"/>
          <w:sz w:val="24"/>
        </w:rPr>
        <w:t xml:space="preserve">Phytochemical screening of the aqueous, ethanol, and isopropanol </w:t>
      </w:r>
      <w:r>
        <w:rPr>
          <w:rFonts w:ascii="Times New Roman" w:hAnsi="Times New Roman"/>
          <w:i/>
          <w:sz w:val="24"/>
        </w:rPr>
        <w:t>Vitex negundo</w:t>
      </w:r>
      <w:r>
        <w:rPr>
          <w:rFonts w:ascii="Times New Roman" w:hAnsi="Times New Roman"/>
          <w:sz w:val="24"/>
        </w:rPr>
        <w:t xml:space="preserve"> extracts was conducted using standard qualitative diagnostic reagent procedures described by Harborne (1998). The assays targeted the identification of fundamental secondary metabolites</w:t>
      </w:r>
      <w:r>
        <w:rPr>
          <w:rFonts w:ascii="Times New Roman" w:hAnsi="Times New Roman"/>
          <w:sz w:val="24"/>
          <w:highlight w:val="yellow"/>
        </w:rPr>
        <w:t>,</w:t>
      </w:r>
      <w:r>
        <w:rPr>
          <w:rFonts w:ascii="Times New Roman" w:hAnsi="Times New Roman"/>
          <w:sz w:val="24"/>
        </w:rPr>
        <w:t xml:space="preserve"> including alkaloids (Mayer’s and Wagner’s tests), flavonoids (alkaline reagent and Shinoda tests), phenols (ferric chloride test), saponins (froth test), tannins (</w:t>
      </w:r>
      <w:proofErr w:type="spellStart"/>
      <w:r>
        <w:rPr>
          <w:rFonts w:ascii="Times New Roman" w:hAnsi="Times New Roman"/>
          <w:sz w:val="24"/>
        </w:rPr>
        <w:t>gelatin</w:t>
      </w:r>
      <w:proofErr w:type="spellEnd"/>
      <w:r>
        <w:rPr>
          <w:rFonts w:ascii="Times New Roman" w:hAnsi="Times New Roman"/>
          <w:sz w:val="24"/>
        </w:rPr>
        <w:t xml:space="preserve"> test), and terpenoids (Salkowski test). Positive indicators were established based on immediate </w:t>
      </w:r>
      <w:r>
        <w:rPr>
          <w:rFonts w:ascii="Times New Roman" w:hAnsi="Times New Roman"/>
          <w:sz w:val="24"/>
          <w:highlight w:val="yellow"/>
        </w:rPr>
        <w:t>colour</w:t>
      </w:r>
      <w:r>
        <w:rPr>
          <w:rFonts w:ascii="Times New Roman" w:hAnsi="Times New Roman"/>
          <w:sz w:val="24"/>
        </w:rPr>
        <w:t xml:space="preserve"> transitions or the formation of distinct precipitates.</w:t>
      </w:r>
    </w:p>
    <w:p w14:paraId="0A046A72" w14:textId="77777777" w:rsidR="001974F1" w:rsidRPr="001974F1" w:rsidRDefault="001974F1" w:rsidP="0086579E">
      <w:pPr>
        <w:spacing w:before="100" w:beforeAutospacing="1" w:after="100" w:afterAutospacing="1" w:line="360" w:lineRule="auto"/>
        <w:jc w:val="both"/>
        <w:outlineLvl w:val="2"/>
        <w:rPr>
          <w:rFonts w:ascii="Times New Roman" w:eastAsia="Times New Roman" w:hAnsi="Times New Roman" w:cs="Times New Roman"/>
          <w:b/>
          <w:bCs/>
          <w:sz w:val="24"/>
          <w:szCs w:val="24"/>
          <w:lang w:eastAsia="en-IN"/>
        </w:rPr>
      </w:pPr>
      <w:r w:rsidRPr="001974F1">
        <w:rPr>
          <w:rFonts w:ascii="Times New Roman" w:eastAsia="Times New Roman" w:hAnsi="Times New Roman" w:cs="Times New Roman"/>
          <w:b/>
          <w:bCs/>
          <w:sz w:val="24"/>
          <w:szCs w:val="24"/>
          <w:lang w:eastAsia="en-IN"/>
        </w:rPr>
        <w:t>2.3 Larvicidal Bioassay</w:t>
      </w:r>
    </w:p>
    <w:p w14:paraId="667457B3" w14:textId="77777777" w:rsidR="001974F1" w:rsidRPr="001974F1" w:rsidRDefault="001974F1" w:rsidP="0086579E">
      <w:pPr>
        <w:spacing w:before="100" w:beforeAutospacing="1" w:after="100" w:afterAutospacing="1" w:line="360" w:lineRule="auto"/>
        <w:jc w:val="both"/>
        <w:rPr>
          <w:rFonts w:ascii="Times New Roman" w:eastAsia="Times New Roman" w:hAnsi="Times New Roman" w:cs="Times New Roman"/>
          <w:sz w:val="24"/>
          <w:szCs w:val="24"/>
          <w:lang w:eastAsia="en-IN"/>
        </w:rPr>
      </w:pPr>
      <w:r>
        <w:rPr>
          <w:rFonts w:ascii="Times New Roman" w:hAnsi="Times New Roman"/>
          <w:sz w:val="24"/>
        </w:rPr>
        <w:t xml:space="preserve">The larvicidal activity of the extracts was evaluated against fourth-instar </w:t>
      </w:r>
      <w:r>
        <w:rPr>
          <w:rFonts w:ascii="Times New Roman" w:hAnsi="Times New Roman"/>
          <w:i/>
          <w:sz w:val="24"/>
        </w:rPr>
        <w:t>Aedes aegypti</w:t>
      </w:r>
      <w:r>
        <w:rPr>
          <w:rFonts w:ascii="Times New Roman" w:hAnsi="Times New Roman"/>
          <w:sz w:val="24"/>
        </w:rPr>
        <w:t xml:space="preserve"> larvae following modified </w:t>
      </w:r>
      <w:r>
        <w:rPr>
          <w:rFonts w:ascii="Times New Roman" w:hAnsi="Times New Roman"/>
          <w:sz w:val="24"/>
          <w:highlight w:val="yellow"/>
        </w:rPr>
        <w:t>World Health Organization</w:t>
      </w:r>
      <w:r>
        <w:rPr>
          <w:rFonts w:ascii="Times New Roman" w:hAnsi="Times New Roman"/>
          <w:sz w:val="24"/>
        </w:rPr>
        <w:t xml:space="preserve"> protocols (WHO, 2005). Wild-type larvae were sourced from active breeding sites around livestock installations in Theni, Tamil Nadu, and </w:t>
      </w:r>
      <w:r>
        <w:rPr>
          <w:rFonts w:ascii="Times New Roman" w:hAnsi="Times New Roman"/>
          <w:sz w:val="24"/>
          <w:highlight w:val="yellow"/>
        </w:rPr>
        <w:t>acclimatised</w:t>
      </w:r>
      <w:r>
        <w:rPr>
          <w:rFonts w:ascii="Times New Roman" w:hAnsi="Times New Roman"/>
          <w:sz w:val="24"/>
        </w:rPr>
        <w:t xml:space="preserve"> to laboratory conditions. Bioassays were performed in 250 mL glass beakers containing 100 mL of distilled water. Batches of 50 healthy fourth-instar larvae were transferred into each beaker. The larvae were treated with a primary screening concentration of 1,000 µg/mL of each extract, </w:t>
      </w:r>
      <w:r>
        <w:rPr>
          <w:rFonts w:ascii="Times New Roman" w:hAnsi="Times New Roman"/>
          <w:sz w:val="24"/>
          <w:highlight w:val="yellow"/>
        </w:rPr>
        <w:t>homogenised</w:t>
      </w:r>
      <w:r>
        <w:rPr>
          <w:rFonts w:ascii="Times New Roman" w:hAnsi="Times New Roman"/>
          <w:sz w:val="24"/>
        </w:rPr>
        <w:t xml:space="preserve"> using a dimethyl sulfoxide (DMSO) carrier system (≤1%</w:t>
      </w:r>
      <w:r>
        <w:rPr>
          <w:rFonts w:ascii="Times New Roman" w:hAnsi="Times New Roman"/>
          <w:sz w:val="24"/>
          <w:highlight w:val="yellow"/>
        </w:rPr>
        <w:t xml:space="preserve"> </w:t>
      </w:r>
      <w:r>
        <w:rPr>
          <w:rFonts w:ascii="Times New Roman" w:hAnsi="Times New Roman"/>
          <w:sz w:val="24"/>
        </w:rPr>
        <w:t xml:space="preserve">v/v). Negative control groups were run in parallel containing only the DMSO vehicle in distilled water. The experimental </w:t>
      </w:r>
      <w:r>
        <w:rPr>
          <w:rFonts w:ascii="Times New Roman" w:hAnsi="Times New Roman"/>
          <w:sz w:val="24"/>
          <w:highlight w:val="yellow"/>
        </w:rPr>
        <w:t>set-ups</w:t>
      </w:r>
      <w:r>
        <w:rPr>
          <w:rFonts w:ascii="Times New Roman" w:hAnsi="Times New Roman"/>
          <w:sz w:val="24"/>
        </w:rPr>
        <w:t xml:space="preserve"> were maintained under controlled environmental conditions (27±2∘C; 75%–85%</w:t>
      </w:r>
      <w:r>
        <w:rPr>
          <w:rFonts w:ascii="Times New Roman" w:hAnsi="Times New Roman"/>
          <w:sz w:val="24"/>
          <w:highlight w:val="yellow"/>
        </w:rPr>
        <w:t xml:space="preserve"> relative humidity</w:t>
      </w:r>
      <w:r>
        <w:rPr>
          <w:rFonts w:ascii="Times New Roman" w:hAnsi="Times New Roman"/>
          <w:sz w:val="24"/>
        </w:rPr>
        <w:t xml:space="preserve">). Cumulative larval mortality counts were systematically monitored and documented at 12, 24, and 48 hours post-treatment. Larvae were considered dead if they showed no signs of movement after gentle prodding with a macroscopic needle. The bioassays were conducted across three independent, </w:t>
      </w:r>
      <w:r>
        <w:rPr>
          <w:rFonts w:ascii="Times New Roman" w:hAnsi="Times New Roman"/>
          <w:sz w:val="24"/>
          <w:highlight w:val="yellow"/>
        </w:rPr>
        <w:t>synchronised</w:t>
      </w:r>
      <w:r>
        <w:rPr>
          <w:rFonts w:ascii="Times New Roman" w:hAnsi="Times New Roman"/>
          <w:sz w:val="24"/>
        </w:rPr>
        <w:t xml:space="preserve"> replicates.</w:t>
      </w:r>
    </w:p>
    <w:p w14:paraId="18556863" w14:textId="77777777" w:rsidR="001974F1" w:rsidRPr="001974F1" w:rsidRDefault="001974F1" w:rsidP="0086579E">
      <w:pPr>
        <w:spacing w:before="100" w:beforeAutospacing="1" w:after="100" w:afterAutospacing="1" w:line="360" w:lineRule="auto"/>
        <w:jc w:val="both"/>
        <w:outlineLvl w:val="2"/>
        <w:rPr>
          <w:rFonts w:ascii="Times New Roman" w:eastAsia="Times New Roman" w:hAnsi="Times New Roman" w:cs="Times New Roman"/>
          <w:b/>
          <w:bCs/>
          <w:sz w:val="24"/>
          <w:szCs w:val="24"/>
          <w:lang w:eastAsia="en-IN"/>
        </w:rPr>
      </w:pPr>
      <w:r w:rsidRPr="001974F1">
        <w:rPr>
          <w:rFonts w:ascii="Times New Roman" w:eastAsia="Times New Roman" w:hAnsi="Times New Roman" w:cs="Times New Roman"/>
          <w:b/>
          <w:bCs/>
          <w:sz w:val="24"/>
          <w:szCs w:val="24"/>
          <w:lang w:eastAsia="en-IN"/>
        </w:rPr>
        <w:t>2.4 Lethal Concentration (LC50​) Determination</w:t>
      </w:r>
    </w:p>
    <w:p w14:paraId="1F926932" w14:textId="77777777" w:rsidR="001974F1" w:rsidRPr="001974F1" w:rsidRDefault="001974F1" w:rsidP="0086579E">
      <w:pPr>
        <w:spacing w:before="100" w:beforeAutospacing="1" w:after="100" w:afterAutospacing="1" w:line="360" w:lineRule="auto"/>
        <w:jc w:val="both"/>
        <w:rPr>
          <w:rFonts w:ascii="Times New Roman" w:eastAsia="Times New Roman" w:hAnsi="Times New Roman" w:cs="Times New Roman"/>
          <w:sz w:val="24"/>
          <w:szCs w:val="24"/>
          <w:lang w:eastAsia="en-IN"/>
        </w:rPr>
      </w:pPr>
      <w:r>
        <w:rPr>
          <w:rFonts w:ascii="Times New Roman" w:hAnsi="Times New Roman"/>
          <w:sz w:val="24"/>
        </w:rPr>
        <w:lastRenderedPageBreak/>
        <w:t xml:space="preserve">To </w:t>
      </w:r>
      <w:r>
        <w:rPr>
          <w:rFonts w:ascii="Times New Roman" w:hAnsi="Times New Roman"/>
          <w:sz w:val="24"/>
          <w:highlight w:val="yellow"/>
        </w:rPr>
        <w:t>determine</w:t>
      </w:r>
      <w:r>
        <w:rPr>
          <w:rFonts w:ascii="Times New Roman" w:hAnsi="Times New Roman"/>
          <w:sz w:val="24"/>
        </w:rPr>
        <w:t xml:space="preserve"> the detailed dose-response toxicological profile, the most active extraction system (ethanol extract) was subjected to multi-dose testing. Fresh batches of 50 fourth-instar larvae were exposed to graded concentrations of 100, 250, 500, and 750 µg/</w:t>
      </w:r>
      <w:proofErr w:type="spellStart"/>
      <w:r>
        <w:rPr>
          <w:rFonts w:ascii="Times New Roman" w:hAnsi="Times New Roman"/>
          <w:sz w:val="24"/>
        </w:rPr>
        <w:t>mL.</w:t>
      </w:r>
      <w:proofErr w:type="spellEnd"/>
      <w:r>
        <w:rPr>
          <w:rFonts w:ascii="Times New Roman" w:hAnsi="Times New Roman"/>
          <w:sz w:val="24"/>
        </w:rPr>
        <w:t xml:space="preserve"> Larval mortality percentages were </w:t>
      </w:r>
      <w:r>
        <w:rPr>
          <w:rFonts w:ascii="Times New Roman" w:hAnsi="Times New Roman"/>
          <w:sz w:val="24"/>
          <w:highlight w:val="yellow"/>
        </w:rPr>
        <w:t>recorded</w:t>
      </w:r>
      <w:r>
        <w:rPr>
          <w:rFonts w:ascii="Times New Roman" w:hAnsi="Times New Roman"/>
          <w:sz w:val="24"/>
        </w:rPr>
        <w:t xml:space="preserve"> at 24 and 48 hours. The median lethal concentration (LC50) and 90% lethal concentration (LC90) values, together with their corresponding 95% confidence intervals (CI) and chi-square (χ2) metrics, were calculated </w:t>
      </w:r>
      <w:r>
        <w:rPr>
          <w:rFonts w:ascii="Times New Roman" w:hAnsi="Times New Roman"/>
          <w:sz w:val="24"/>
          <w:highlight w:val="yellow"/>
        </w:rPr>
        <w:t>using</w:t>
      </w:r>
      <w:r>
        <w:rPr>
          <w:rFonts w:ascii="Times New Roman" w:hAnsi="Times New Roman"/>
          <w:sz w:val="24"/>
        </w:rPr>
        <w:t xml:space="preserve"> Probit regression analysis </w:t>
      </w:r>
      <w:r>
        <w:rPr>
          <w:rFonts w:ascii="Times New Roman" w:hAnsi="Times New Roman"/>
          <w:sz w:val="24"/>
          <w:highlight w:val="yellow"/>
        </w:rPr>
        <w:t>in</w:t>
      </w:r>
      <w:r>
        <w:rPr>
          <w:rFonts w:ascii="Times New Roman" w:hAnsi="Times New Roman"/>
          <w:sz w:val="24"/>
        </w:rPr>
        <w:t xml:space="preserve"> GraphPad Prism software (Version 8.0.2).</w:t>
      </w:r>
    </w:p>
    <w:p w14:paraId="4EDA64BA" w14:textId="77777777" w:rsidR="001974F1" w:rsidRPr="001974F1" w:rsidRDefault="001974F1" w:rsidP="0086579E">
      <w:pPr>
        <w:spacing w:before="100" w:beforeAutospacing="1" w:after="100" w:afterAutospacing="1" w:line="360" w:lineRule="auto"/>
        <w:jc w:val="both"/>
        <w:outlineLvl w:val="2"/>
        <w:rPr>
          <w:rFonts w:ascii="Times New Roman" w:eastAsia="Times New Roman" w:hAnsi="Times New Roman" w:cs="Times New Roman"/>
          <w:b/>
          <w:bCs/>
          <w:sz w:val="24"/>
          <w:szCs w:val="24"/>
          <w:lang w:eastAsia="en-IN"/>
        </w:rPr>
      </w:pPr>
      <w:r w:rsidRPr="001974F1">
        <w:rPr>
          <w:rFonts w:ascii="Times New Roman" w:eastAsia="Times New Roman" w:hAnsi="Times New Roman" w:cs="Times New Roman"/>
          <w:b/>
          <w:bCs/>
          <w:sz w:val="24"/>
          <w:szCs w:val="24"/>
          <w:lang w:eastAsia="en-IN"/>
        </w:rPr>
        <w:t>2.5 Statistical Analysis</w:t>
      </w:r>
    </w:p>
    <w:p w14:paraId="2B570AF0" w14:textId="77777777" w:rsidR="001974F1" w:rsidRPr="001974F1" w:rsidRDefault="001974F1" w:rsidP="0086579E">
      <w:pPr>
        <w:spacing w:before="100" w:beforeAutospacing="1" w:after="100" w:afterAutospacing="1" w:line="360" w:lineRule="auto"/>
        <w:jc w:val="both"/>
        <w:rPr>
          <w:rFonts w:ascii="Times New Roman" w:eastAsia="Times New Roman" w:hAnsi="Times New Roman" w:cs="Times New Roman"/>
          <w:sz w:val="24"/>
          <w:szCs w:val="24"/>
          <w:lang w:eastAsia="en-IN"/>
        </w:rPr>
      </w:pPr>
      <w:r>
        <w:rPr>
          <w:rFonts w:ascii="Times New Roman" w:hAnsi="Times New Roman"/>
          <w:sz w:val="24"/>
        </w:rPr>
        <w:t xml:space="preserve">Raw larval mortality counts were converted to percentage values. Data were </w:t>
      </w:r>
      <w:r>
        <w:rPr>
          <w:rFonts w:ascii="Times New Roman" w:hAnsi="Times New Roman"/>
          <w:sz w:val="24"/>
          <w:highlight w:val="yellow"/>
        </w:rPr>
        <w:t>analysed</w:t>
      </w:r>
      <w:r>
        <w:rPr>
          <w:rFonts w:ascii="Times New Roman" w:hAnsi="Times New Roman"/>
          <w:sz w:val="24"/>
        </w:rPr>
        <w:t xml:space="preserve"> </w:t>
      </w:r>
      <w:r>
        <w:rPr>
          <w:rFonts w:ascii="Times New Roman" w:hAnsi="Times New Roman"/>
          <w:sz w:val="24"/>
          <w:highlight w:val="yellow"/>
        </w:rPr>
        <w:t>using</w:t>
      </w:r>
      <w:r>
        <w:rPr>
          <w:rFonts w:ascii="Times New Roman" w:hAnsi="Times New Roman"/>
          <w:sz w:val="24"/>
        </w:rPr>
        <w:t xml:space="preserve"> one-way </w:t>
      </w:r>
      <w:r>
        <w:rPr>
          <w:rFonts w:ascii="Times New Roman" w:hAnsi="Times New Roman"/>
          <w:sz w:val="24"/>
          <w:highlight w:val="yellow"/>
        </w:rPr>
        <w:t>analysis</w:t>
      </w:r>
      <w:r>
        <w:rPr>
          <w:rFonts w:ascii="Times New Roman" w:hAnsi="Times New Roman"/>
          <w:sz w:val="24"/>
        </w:rPr>
        <w:t xml:space="preserve"> of </w:t>
      </w:r>
      <w:r>
        <w:rPr>
          <w:rFonts w:ascii="Times New Roman" w:hAnsi="Times New Roman"/>
          <w:sz w:val="24"/>
          <w:highlight w:val="yellow"/>
        </w:rPr>
        <w:t>variance</w:t>
      </w:r>
      <w:r>
        <w:rPr>
          <w:rFonts w:ascii="Times New Roman" w:hAnsi="Times New Roman"/>
          <w:sz w:val="24"/>
        </w:rPr>
        <w:t xml:space="preserve"> (ANOVA) </w:t>
      </w:r>
      <w:r>
        <w:rPr>
          <w:rFonts w:ascii="Times New Roman" w:hAnsi="Times New Roman"/>
          <w:sz w:val="24"/>
          <w:highlight w:val="yellow"/>
        </w:rPr>
        <w:t>in</w:t>
      </w:r>
      <w:r>
        <w:rPr>
          <w:rFonts w:ascii="Times New Roman" w:hAnsi="Times New Roman"/>
          <w:sz w:val="24"/>
        </w:rPr>
        <w:t xml:space="preserve"> SPSS </w:t>
      </w:r>
      <w:r>
        <w:rPr>
          <w:rFonts w:ascii="Times New Roman" w:hAnsi="Times New Roman"/>
          <w:sz w:val="24"/>
          <w:highlight w:val="yellow"/>
        </w:rPr>
        <w:t>software</w:t>
      </w:r>
      <w:r>
        <w:rPr>
          <w:rFonts w:ascii="Times New Roman" w:hAnsi="Times New Roman"/>
          <w:sz w:val="24"/>
        </w:rPr>
        <w:t xml:space="preserve"> (Version 21.0) to evaluate differences in mortality across extraction treatments and exposure </w:t>
      </w:r>
      <w:r>
        <w:rPr>
          <w:rFonts w:ascii="Times New Roman" w:hAnsi="Times New Roman"/>
          <w:sz w:val="24"/>
          <w:highlight w:val="yellow"/>
        </w:rPr>
        <w:t>times</w:t>
      </w:r>
      <w:r>
        <w:rPr>
          <w:rFonts w:ascii="Times New Roman" w:hAnsi="Times New Roman"/>
          <w:sz w:val="24"/>
        </w:rPr>
        <w:t xml:space="preserve">. Means were separated using Tukey’s Honestly Significant Difference (HSD) </w:t>
      </w:r>
      <w:r>
        <w:rPr>
          <w:rFonts w:ascii="Times New Roman" w:hAnsi="Times New Roman"/>
          <w:sz w:val="24"/>
          <w:highlight w:val="yellow"/>
        </w:rPr>
        <w:t>post hoc</w:t>
      </w:r>
      <w:r>
        <w:rPr>
          <w:rFonts w:ascii="Times New Roman" w:hAnsi="Times New Roman"/>
          <w:sz w:val="24"/>
        </w:rPr>
        <w:t xml:space="preserve"> test. </w:t>
      </w:r>
      <w:r>
        <w:rPr>
          <w:rFonts w:ascii="Times New Roman" w:hAnsi="Times New Roman"/>
          <w:sz w:val="24"/>
          <w:highlight w:val="yellow"/>
        </w:rPr>
        <w:t>Statistical</w:t>
      </w:r>
      <w:r>
        <w:rPr>
          <w:rFonts w:ascii="Times New Roman" w:hAnsi="Times New Roman"/>
          <w:sz w:val="24"/>
        </w:rPr>
        <w:t xml:space="preserve"> significance was set at </w:t>
      </w:r>
      <w:r>
        <w:rPr>
          <w:rFonts w:ascii="Times New Roman" w:hAnsi="Times New Roman"/>
          <w:sz w:val="24"/>
          <w:highlight w:val="yellow"/>
        </w:rPr>
        <w:t>P</w:t>
      </w:r>
      <w:r>
        <w:rPr>
          <w:rFonts w:ascii="Times New Roman" w:hAnsi="Times New Roman"/>
          <w:sz w:val="24"/>
        </w:rPr>
        <w:t xml:space="preserve"> </w:t>
      </w:r>
      <w:r>
        <w:rPr>
          <w:rFonts w:ascii="Times New Roman" w:hAnsi="Times New Roman"/>
          <w:sz w:val="24"/>
          <w:highlight w:val="yellow"/>
        </w:rPr>
        <w:t>&lt;</w:t>
      </w:r>
      <w:r>
        <w:rPr>
          <w:rFonts w:ascii="Times New Roman" w:hAnsi="Times New Roman"/>
          <w:sz w:val="24"/>
        </w:rPr>
        <w:t xml:space="preserve"> .05.</w:t>
      </w:r>
    </w:p>
    <w:p w14:paraId="454B6B16" w14:textId="77777777" w:rsidR="001974F1" w:rsidRPr="001974F1" w:rsidRDefault="001974F1" w:rsidP="0086579E">
      <w:pPr>
        <w:spacing w:before="100" w:beforeAutospacing="1" w:after="100" w:afterAutospacing="1" w:line="360" w:lineRule="auto"/>
        <w:jc w:val="both"/>
        <w:outlineLvl w:val="1"/>
        <w:rPr>
          <w:rFonts w:ascii="Times New Roman" w:eastAsia="Times New Roman" w:hAnsi="Times New Roman" w:cs="Times New Roman"/>
          <w:b/>
          <w:bCs/>
          <w:sz w:val="24"/>
          <w:szCs w:val="24"/>
          <w:lang w:eastAsia="en-IN"/>
        </w:rPr>
      </w:pPr>
      <w:r w:rsidRPr="001974F1">
        <w:rPr>
          <w:rFonts w:ascii="Times New Roman" w:eastAsia="Times New Roman" w:hAnsi="Times New Roman" w:cs="Times New Roman"/>
          <w:b/>
          <w:bCs/>
          <w:sz w:val="24"/>
          <w:szCs w:val="24"/>
          <w:lang w:eastAsia="en-IN"/>
        </w:rPr>
        <w:t>3. RESULTS AND DISCUSSION</w:t>
      </w:r>
    </w:p>
    <w:p w14:paraId="7957F2EC" w14:textId="77777777" w:rsidR="001974F1" w:rsidRPr="001974F1" w:rsidRDefault="001974F1" w:rsidP="0086579E">
      <w:pPr>
        <w:spacing w:before="100" w:beforeAutospacing="1" w:after="100" w:afterAutospacing="1" w:line="360" w:lineRule="auto"/>
        <w:jc w:val="both"/>
        <w:outlineLvl w:val="2"/>
        <w:rPr>
          <w:rFonts w:ascii="Times New Roman" w:eastAsia="Times New Roman" w:hAnsi="Times New Roman" w:cs="Times New Roman"/>
          <w:b/>
          <w:bCs/>
          <w:sz w:val="24"/>
          <w:szCs w:val="24"/>
          <w:lang w:eastAsia="en-IN"/>
        </w:rPr>
      </w:pPr>
      <w:r w:rsidRPr="001974F1">
        <w:rPr>
          <w:rFonts w:ascii="Times New Roman" w:eastAsia="Times New Roman" w:hAnsi="Times New Roman" w:cs="Times New Roman"/>
          <w:b/>
          <w:bCs/>
          <w:sz w:val="24"/>
          <w:szCs w:val="24"/>
          <w:lang w:eastAsia="en-IN"/>
        </w:rPr>
        <w:t xml:space="preserve">3.1 Phytochemical Screening of </w:t>
      </w:r>
      <w:r w:rsidRPr="001974F1">
        <w:rPr>
          <w:rFonts w:ascii="Times New Roman" w:eastAsia="Times New Roman" w:hAnsi="Times New Roman" w:cs="Times New Roman"/>
          <w:b/>
          <w:bCs/>
          <w:i/>
          <w:iCs/>
          <w:sz w:val="24"/>
          <w:szCs w:val="24"/>
          <w:lang w:eastAsia="en-IN"/>
        </w:rPr>
        <w:t>Vitex negundo</w:t>
      </w:r>
      <w:r w:rsidRPr="001974F1">
        <w:rPr>
          <w:rFonts w:ascii="Times New Roman" w:eastAsia="Times New Roman" w:hAnsi="Times New Roman" w:cs="Times New Roman"/>
          <w:b/>
          <w:bCs/>
          <w:sz w:val="24"/>
          <w:szCs w:val="24"/>
          <w:lang w:eastAsia="en-IN"/>
        </w:rPr>
        <w:t xml:space="preserve"> Extracts</w:t>
      </w:r>
    </w:p>
    <w:p w14:paraId="3E0F2FF6" w14:textId="77777777" w:rsidR="001974F1" w:rsidRPr="001974F1" w:rsidRDefault="001974F1" w:rsidP="0086579E">
      <w:pPr>
        <w:spacing w:before="100" w:beforeAutospacing="1" w:after="100" w:afterAutospacing="1" w:line="360" w:lineRule="auto"/>
        <w:jc w:val="both"/>
        <w:rPr>
          <w:rFonts w:ascii="Times New Roman" w:eastAsia="Times New Roman" w:hAnsi="Times New Roman" w:cs="Times New Roman"/>
          <w:sz w:val="24"/>
          <w:szCs w:val="24"/>
          <w:lang w:eastAsia="en-IN"/>
        </w:rPr>
      </w:pPr>
      <w:r>
        <w:rPr>
          <w:rFonts w:ascii="Times New Roman" w:hAnsi="Times New Roman"/>
          <w:sz w:val="24"/>
        </w:rPr>
        <w:t xml:space="preserve">Phytochemical analysis revealed the presence of key bioactive compounds across the </w:t>
      </w:r>
      <w:proofErr w:type="gramStart"/>
      <w:r>
        <w:rPr>
          <w:rFonts w:ascii="Times New Roman" w:hAnsi="Times New Roman"/>
          <w:sz w:val="24"/>
        </w:rPr>
        <w:t>three extraction</w:t>
      </w:r>
      <w:proofErr w:type="gramEnd"/>
      <w:r>
        <w:rPr>
          <w:rFonts w:ascii="Times New Roman" w:hAnsi="Times New Roman"/>
          <w:sz w:val="24"/>
        </w:rPr>
        <w:t xml:space="preserve"> media. The qualitative composition is presented in Table 1. The evaluation of primary and secondary metabolites confirmed that the organic ethanol and isopropanol solvent systems extracted higher </w:t>
      </w:r>
      <w:r>
        <w:rPr>
          <w:rFonts w:ascii="Times New Roman" w:hAnsi="Times New Roman"/>
          <w:sz w:val="24"/>
          <w:highlight w:val="yellow"/>
        </w:rPr>
        <w:t>amounts</w:t>
      </w:r>
      <w:r>
        <w:rPr>
          <w:rFonts w:ascii="Times New Roman" w:hAnsi="Times New Roman"/>
          <w:sz w:val="24"/>
        </w:rPr>
        <w:t xml:space="preserve"> of flavonoids, terpenoids, and alkaloids than water. The ethanol extract contained alkaloids, flavonoids, phenols, saponins, tannins, and terpenoids, suggesting its potential for insecticidal activity. The isopropanol extract had a closely related composition but lacked detectable alkaloids, while the aqueous extract tested positive</w:t>
      </w:r>
      <w:r>
        <w:rPr>
          <w:rFonts w:ascii="Times New Roman" w:hAnsi="Times New Roman"/>
          <w:sz w:val="24"/>
          <w:highlight w:val="yellow"/>
        </w:rPr>
        <w:t xml:space="preserve"> only</w:t>
      </w:r>
      <w:r>
        <w:rPr>
          <w:rFonts w:ascii="Times New Roman" w:hAnsi="Times New Roman"/>
          <w:sz w:val="24"/>
        </w:rPr>
        <w:t xml:space="preserve"> for carbohydrates, phenols, saponins, and tannins.</w:t>
      </w:r>
    </w:p>
    <w:p w14:paraId="67AFBD51" w14:textId="77777777" w:rsidR="001974F1" w:rsidRPr="001974F1" w:rsidRDefault="001974F1" w:rsidP="0086579E">
      <w:pPr>
        <w:spacing w:before="100" w:beforeAutospacing="1" w:after="100" w:afterAutospacing="1" w:line="360" w:lineRule="auto"/>
        <w:jc w:val="both"/>
        <w:rPr>
          <w:rFonts w:ascii="Times New Roman" w:eastAsia="Times New Roman" w:hAnsi="Times New Roman" w:cs="Times New Roman"/>
          <w:sz w:val="24"/>
          <w:szCs w:val="24"/>
          <w:lang w:eastAsia="en-IN"/>
        </w:rPr>
      </w:pPr>
      <w:r>
        <w:rPr>
          <w:rFonts w:ascii="Times New Roman" w:hAnsi="Times New Roman"/>
          <w:sz w:val="24"/>
        </w:rPr>
        <w:t xml:space="preserve">These classes of secondary metabolites are </w:t>
      </w:r>
      <w:r>
        <w:rPr>
          <w:rFonts w:ascii="Times New Roman" w:hAnsi="Times New Roman"/>
          <w:sz w:val="24"/>
          <w:highlight w:val="yellow"/>
        </w:rPr>
        <w:t>well documented</w:t>
      </w:r>
      <w:r>
        <w:rPr>
          <w:rFonts w:ascii="Times New Roman" w:hAnsi="Times New Roman"/>
          <w:sz w:val="24"/>
        </w:rPr>
        <w:t xml:space="preserve"> for their insecticidal properties, and their </w:t>
      </w:r>
      <w:r>
        <w:rPr>
          <w:rFonts w:ascii="Times New Roman" w:hAnsi="Times New Roman"/>
          <w:sz w:val="24"/>
          <w:highlight w:val="yellow"/>
        </w:rPr>
        <w:t>presence</w:t>
      </w:r>
      <w:r>
        <w:rPr>
          <w:rFonts w:ascii="Times New Roman" w:hAnsi="Times New Roman"/>
          <w:sz w:val="24"/>
        </w:rPr>
        <w:t xml:space="preserve"> in </w:t>
      </w:r>
      <w:r>
        <w:rPr>
          <w:rFonts w:ascii="Times New Roman" w:hAnsi="Times New Roman"/>
          <w:i/>
          <w:sz w:val="24"/>
        </w:rPr>
        <w:t>Vitex negundo</w:t>
      </w:r>
      <w:r>
        <w:rPr>
          <w:rFonts w:ascii="Times New Roman" w:hAnsi="Times New Roman"/>
          <w:sz w:val="24"/>
        </w:rPr>
        <w:t xml:space="preserve"> </w:t>
      </w:r>
      <w:r>
        <w:rPr>
          <w:rFonts w:ascii="Times New Roman" w:hAnsi="Times New Roman"/>
          <w:sz w:val="24"/>
          <w:highlight w:val="yellow"/>
        </w:rPr>
        <w:t>supports</w:t>
      </w:r>
      <w:r>
        <w:rPr>
          <w:rFonts w:ascii="Times New Roman" w:hAnsi="Times New Roman"/>
          <w:sz w:val="24"/>
        </w:rPr>
        <w:t xml:space="preserve"> its potential as a functional botanical pesticide. These qualitative outcomes align with </w:t>
      </w:r>
      <w:r>
        <w:rPr>
          <w:rFonts w:ascii="Times New Roman" w:hAnsi="Times New Roman"/>
          <w:sz w:val="24"/>
          <w:highlight w:val="yellow"/>
        </w:rPr>
        <w:t>earlier</w:t>
      </w:r>
      <w:r>
        <w:rPr>
          <w:rFonts w:ascii="Times New Roman" w:hAnsi="Times New Roman"/>
          <w:sz w:val="24"/>
        </w:rPr>
        <w:t xml:space="preserve"> screenings by Harborne (1998) and extraction-method reviews by Azmir et al. (</w:t>
      </w:r>
      <w:r>
        <w:rPr>
          <w:rFonts w:ascii="Times New Roman" w:hAnsi="Times New Roman"/>
          <w:sz w:val="24"/>
          <w:highlight w:val="yellow"/>
        </w:rPr>
        <w:t>2013</w:t>
      </w:r>
      <w:r>
        <w:rPr>
          <w:rFonts w:ascii="Times New Roman" w:hAnsi="Times New Roman"/>
          <w:sz w:val="24"/>
        </w:rPr>
        <w:t>), which noted that the extraction of non-polar and mid-polar defensive compounds</w:t>
      </w:r>
      <w:r>
        <w:rPr>
          <w:rFonts w:ascii="Times New Roman" w:hAnsi="Times New Roman"/>
          <w:sz w:val="24"/>
          <w:highlight w:val="yellow"/>
        </w:rPr>
        <w:t xml:space="preserve">, </w:t>
      </w:r>
      <w:r>
        <w:rPr>
          <w:rFonts w:ascii="Times New Roman" w:hAnsi="Times New Roman"/>
          <w:sz w:val="24"/>
        </w:rPr>
        <w:t>such as iridoid glycosides and specific terpenoids</w:t>
      </w:r>
      <w:r>
        <w:rPr>
          <w:rFonts w:ascii="Times New Roman" w:hAnsi="Times New Roman"/>
          <w:sz w:val="24"/>
          <w:highlight w:val="yellow"/>
        </w:rPr>
        <w:t xml:space="preserve">, </w:t>
      </w:r>
      <w:r>
        <w:rPr>
          <w:rFonts w:ascii="Times New Roman" w:hAnsi="Times New Roman"/>
          <w:sz w:val="24"/>
        </w:rPr>
        <w:t xml:space="preserve">is significantly improved when </w:t>
      </w:r>
      <w:r>
        <w:rPr>
          <w:rFonts w:ascii="Times New Roman" w:hAnsi="Times New Roman"/>
          <w:sz w:val="24"/>
          <w:highlight w:val="yellow"/>
        </w:rPr>
        <w:t>using</w:t>
      </w:r>
      <w:r>
        <w:rPr>
          <w:rFonts w:ascii="Times New Roman" w:hAnsi="Times New Roman"/>
          <w:sz w:val="24"/>
        </w:rPr>
        <w:t xml:space="preserve"> </w:t>
      </w:r>
      <w:r>
        <w:rPr>
          <w:rFonts w:ascii="Times New Roman" w:hAnsi="Times New Roman"/>
          <w:sz w:val="24"/>
          <w:highlight w:val="yellow"/>
        </w:rPr>
        <w:t>alternatives</w:t>
      </w:r>
      <w:r>
        <w:rPr>
          <w:rFonts w:ascii="Times New Roman" w:hAnsi="Times New Roman"/>
          <w:sz w:val="24"/>
        </w:rPr>
        <w:t xml:space="preserve"> </w:t>
      </w:r>
      <w:r>
        <w:rPr>
          <w:rFonts w:ascii="Times New Roman" w:hAnsi="Times New Roman"/>
          <w:sz w:val="24"/>
          <w:highlight w:val="yellow"/>
        </w:rPr>
        <w:t>to</w:t>
      </w:r>
      <w:r>
        <w:rPr>
          <w:rFonts w:ascii="Times New Roman" w:hAnsi="Times New Roman"/>
          <w:sz w:val="24"/>
        </w:rPr>
        <w:t xml:space="preserve"> purely aqueous phases.</w:t>
      </w:r>
    </w:p>
    <w:p w14:paraId="5BFEBB2B" w14:textId="77777777" w:rsidR="001974F1" w:rsidRPr="001974F1" w:rsidRDefault="001974F1" w:rsidP="0086579E">
      <w:pPr>
        <w:spacing w:before="100" w:beforeAutospacing="1" w:after="100" w:afterAutospacing="1"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b/>
          <w:bCs/>
          <w:sz w:val="24"/>
          <w:szCs w:val="24"/>
          <w:lang w:eastAsia="en-IN"/>
        </w:rPr>
        <w:lastRenderedPageBreak/>
        <w:t xml:space="preserve">Table 1. Phytochemical Composition of </w:t>
      </w:r>
      <w:r w:rsidRPr="001974F1">
        <w:rPr>
          <w:rFonts w:ascii="Times New Roman" w:eastAsia="Times New Roman" w:hAnsi="Times New Roman" w:cs="Times New Roman"/>
          <w:b/>
          <w:bCs/>
          <w:i/>
          <w:iCs/>
          <w:sz w:val="24"/>
          <w:szCs w:val="24"/>
          <w:lang w:eastAsia="en-IN"/>
        </w:rPr>
        <w:t>Vitex negundo</w:t>
      </w:r>
      <w:r w:rsidRPr="001974F1">
        <w:rPr>
          <w:rFonts w:ascii="Times New Roman" w:eastAsia="Times New Roman" w:hAnsi="Times New Roman" w:cs="Times New Roman"/>
          <w:b/>
          <w:bCs/>
          <w:sz w:val="24"/>
          <w:szCs w:val="24"/>
          <w:lang w:eastAsia="en-IN"/>
        </w:rPr>
        <w:t xml:space="preserve"> Extracts (Aqueous, Ethanol, and Isopropanol)</w:t>
      </w:r>
    </w:p>
    <w:tbl>
      <w:tblPr>
        <w:tblStyle w:val="TableGrid"/>
        <w:tblW w:w="0" w:type="auto"/>
        <w:tblLook w:val="04A0" w:firstRow="1" w:lastRow="0" w:firstColumn="1" w:lastColumn="0" w:noHBand="0" w:noVBand="1"/>
      </w:tblPr>
      <w:tblGrid>
        <w:gridCol w:w="2343"/>
        <w:gridCol w:w="1943"/>
        <w:gridCol w:w="1863"/>
        <w:gridCol w:w="2290"/>
      </w:tblGrid>
      <w:tr w:rsidR="001974F1" w:rsidRPr="001974F1" w14:paraId="37E0BCDB" w14:textId="77777777" w:rsidTr="001974F1">
        <w:tc>
          <w:tcPr>
            <w:tcW w:w="0" w:type="auto"/>
            <w:hideMark/>
          </w:tcPr>
          <w:p w14:paraId="565F4C4B" w14:textId="77777777" w:rsidR="001974F1" w:rsidRPr="001974F1" w:rsidRDefault="001974F1" w:rsidP="0086579E">
            <w:pPr>
              <w:spacing w:line="360" w:lineRule="auto"/>
              <w:jc w:val="both"/>
              <w:rPr>
                <w:rFonts w:ascii="Times New Roman" w:eastAsia="Times New Roman" w:hAnsi="Times New Roman" w:cs="Times New Roman"/>
                <w:b/>
                <w:bCs/>
                <w:sz w:val="24"/>
                <w:szCs w:val="24"/>
                <w:lang w:eastAsia="en-IN"/>
              </w:rPr>
            </w:pPr>
            <w:r w:rsidRPr="001974F1">
              <w:rPr>
                <w:rFonts w:ascii="Times New Roman" w:eastAsia="Times New Roman" w:hAnsi="Times New Roman" w:cs="Times New Roman"/>
                <w:b/>
                <w:bCs/>
                <w:sz w:val="24"/>
                <w:szCs w:val="24"/>
                <w:lang w:eastAsia="en-IN"/>
              </w:rPr>
              <w:t>Extract Components</w:t>
            </w:r>
          </w:p>
        </w:tc>
        <w:tc>
          <w:tcPr>
            <w:tcW w:w="0" w:type="auto"/>
            <w:hideMark/>
          </w:tcPr>
          <w:p w14:paraId="20FEB3C3" w14:textId="77777777" w:rsidR="001974F1" w:rsidRPr="001974F1" w:rsidRDefault="001974F1" w:rsidP="0086579E">
            <w:pPr>
              <w:spacing w:line="360" w:lineRule="auto"/>
              <w:jc w:val="both"/>
              <w:rPr>
                <w:rFonts w:ascii="Times New Roman" w:eastAsia="Times New Roman" w:hAnsi="Times New Roman" w:cs="Times New Roman"/>
                <w:b/>
                <w:bCs/>
                <w:sz w:val="24"/>
                <w:szCs w:val="24"/>
                <w:lang w:eastAsia="en-IN"/>
              </w:rPr>
            </w:pPr>
            <w:r w:rsidRPr="001974F1">
              <w:rPr>
                <w:rFonts w:ascii="Times New Roman" w:eastAsia="Times New Roman" w:hAnsi="Times New Roman" w:cs="Times New Roman"/>
                <w:b/>
                <w:bCs/>
                <w:sz w:val="24"/>
                <w:szCs w:val="24"/>
                <w:lang w:eastAsia="en-IN"/>
              </w:rPr>
              <w:t>Aqueous Extract</w:t>
            </w:r>
          </w:p>
        </w:tc>
        <w:tc>
          <w:tcPr>
            <w:tcW w:w="0" w:type="auto"/>
            <w:hideMark/>
          </w:tcPr>
          <w:p w14:paraId="66430380" w14:textId="77777777" w:rsidR="001974F1" w:rsidRPr="001974F1" w:rsidRDefault="001974F1" w:rsidP="0086579E">
            <w:pPr>
              <w:spacing w:line="360" w:lineRule="auto"/>
              <w:jc w:val="both"/>
              <w:rPr>
                <w:rFonts w:ascii="Times New Roman" w:eastAsia="Times New Roman" w:hAnsi="Times New Roman" w:cs="Times New Roman"/>
                <w:b/>
                <w:bCs/>
                <w:sz w:val="24"/>
                <w:szCs w:val="24"/>
                <w:lang w:eastAsia="en-IN"/>
              </w:rPr>
            </w:pPr>
            <w:r w:rsidRPr="001974F1">
              <w:rPr>
                <w:rFonts w:ascii="Times New Roman" w:eastAsia="Times New Roman" w:hAnsi="Times New Roman" w:cs="Times New Roman"/>
                <w:b/>
                <w:bCs/>
                <w:sz w:val="24"/>
                <w:szCs w:val="24"/>
                <w:lang w:eastAsia="en-IN"/>
              </w:rPr>
              <w:t>Ethanol Extract</w:t>
            </w:r>
          </w:p>
        </w:tc>
        <w:tc>
          <w:tcPr>
            <w:tcW w:w="0" w:type="auto"/>
            <w:hideMark/>
          </w:tcPr>
          <w:p w14:paraId="33EA202A" w14:textId="77777777" w:rsidR="001974F1" w:rsidRPr="001974F1" w:rsidRDefault="001974F1" w:rsidP="0086579E">
            <w:pPr>
              <w:spacing w:line="360" w:lineRule="auto"/>
              <w:jc w:val="both"/>
              <w:rPr>
                <w:rFonts w:ascii="Times New Roman" w:eastAsia="Times New Roman" w:hAnsi="Times New Roman" w:cs="Times New Roman"/>
                <w:b/>
                <w:bCs/>
                <w:sz w:val="24"/>
                <w:szCs w:val="24"/>
                <w:lang w:eastAsia="en-IN"/>
              </w:rPr>
            </w:pPr>
            <w:r w:rsidRPr="001974F1">
              <w:rPr>
                <w:rFonts w:ascii="Times New Roman" w:eastAsia="Times New Roman" w:hAnsi="Times New Roman" w:cs="Times New Roman"/>
                <w:b/>
                <w:bCs/>
                <w:sz w:val="24"/>
                <w:szCs w:val="24"/>
                <w:lang w:eastAsia="en-IN"/>
              </w:rPr>
              <w:t>Isopropanol Extract</w:t>
            </w:r>
          </w:p>
        </w:tc>
      </w:tr>
      <w:tr w:rsidR="001974F1" w:rsidRPr="001974F1" w14:paraId="5D3E0970" w14:textId="77777777" w:rsidTr="001974F1">
        <w:tc>
          <w:tcPr>
            <w:tcW w:w="0" w:type="auto"/>
            <w:hideMark/>
          </w:tcPr>
          <w:p w14:paraId="43B9EFFB" w14:textId="77777777" w:rsidR="001974F1" w:rsidRPr="001974F1" w:rsidRDefault="001974F1" w:rsidP="0086579E">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Carbohydrates</w:t>
            </w:r>
          </w:p>
        </w:tc>
        <w:tc>
          <w:tcPr>
            <w:tcW w:w="0" w:type="auto"/>
            <w:hideMark/>
          </w:tcPr>
          <w:p w14:paraId="4F384287" w14:textId="77777777" w:rsidR="001974F1" w:rsidRPr="001974F1" w:rsidRDefault="001974F1" w:rsidP="0086579E">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w:t>
            </w:r>
          </w:p>
        </w:tc>
        <w:tc>
          <w:tcPr>
            <w:tcW w:w="0" w:type="auto"/>
            <w:hideMark/>
          </w:tcPr>
          <w:p w14:paraId="3C5D26C9" w14:textId="77777777" w:rsidR="001974F1" w:rsidRPr="001974F1" w:rsidRDefault="001974F1" w:rsidP="0086579E">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w:t>
            </w:r>
          </w:p>
        </w:tc>
        <w:tc>
          <w:tcPr>
            <w:tcW w:w="0" w:type="auto"/>
            <w:hideMark/>
          </w:tcPr>
          <w:p w14:paraId="5CA5BC84" w14:textId="77777777" w:rsidR="001974F1" w:rsidRPr="001974F1" w:rsidRDefault="001974F1" w:rsidP="0086579E">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w:t>
            </w:r>
          </w:p>
        </w:tc>
      </w:tr>
      <w:tr w:rsidR="001974F1" w:rsidRPr="001974F1" w14:paraId="30B29E6B" w14:textId="77777777" w:rsidTr="001974F1">
        <w:tc>
          <w:tcPr>
            <w:tcW w:w="0" w:type="auto"/>
            <w:hideMark/>
          </w:tcPr>
          <w:p w14:paraId="2FFD06B3" w14:textId="77777777" w:rsidR="001974F1" w:rsidRPr="001974F1" w:rsidRDefault="001974F1" w:rsidP="0086579E">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Alkaloids</w:t>
            </w:r>
          </w:p>
        </w:tc>
        <w:tc>
          <w:tcPr>
            <w:tcW w:w="0" w:type="auto"/>
            <w:hideMark/>
          </w:tcPr>
          <w:p w14:paraId="18F6C1EB" w14:textId="77777777" w:rsidR="001974F1" w:rsidRPr="001974F1" w:rsidRDefault="001974F1" w:rsidP="0086579E">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w:t>
            </w:r>
          </w:p>
        </w:tc>
        <w:tc>
          <w:tcPr>
            <w:tcW w:w="0" w:type="auto"/>
            <w:hideMark/>
          </w:tcPr>
          <w:p w14:paraId="4D7A1363" w14:textId="77777777" w:rsidR="001974F1" w:rsidRPr="001974F1" w:rsidRDefault="001974F1" w:rsidP="0086579E">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w:t>
            </w:r>
          </w:p>
        </w:tc>
        <w:tc>
          <w:tcPr>
            <w:tcW w:w="0" w:type="auto"/>
            <w:hideMark/>
          </w:tcPr>
          <w:p w14:paraId="5F468D96" w14:textId="77777777" w:rsidR="001974F1" w:rsidRPr="001974F1" w:rsidRDefault="001974F1" w:rsidP="0086579E">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w:t>
            </w:r>
          </w:p>
        </w:tc>
      </w:tr>
      <w:tr w:rsidR="001974F1" w:rsidRPr="001974F1" w14:paraId="324CCF5E" w14:textId="77777777" w:rsidTr="001974F1">
        <w:tc>
          <w:tcPr>
            <w:tcW w:w="0" w:type="auto"/>
            <w:hideMark/>
          </w:tcPr>
          <w:p w14:paraId="4F742A10" w14:textId="77777777" w:rsidR="001974F1" w:rsidRPr="001974F1" w:rsidRDefault="001974F1" w:rsidP="0086579E">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Saponins</w:t>
            </w:r>
          </w:p>
        </w:tc>
        <w:tc>
          <w:tcPr>
            <w:tcW w:w="0" w:type="auto"/>
            <w:hideMark/>
          </w:tcPr>
          <w:p w14:paraId="367E94AF" w14:textId="77777777" w:rsidR="001974F1" w:rsidRPr="001974F1" w:rsidRDefault="001974F1" w:rsidP="0086579E">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w:t>
            </w:r>
          </w:p>
        </w:tc>
        <w:tc>
          <w:tcPr>
            <w:tcW w:w="0" w:type="auto"/>
            <w:hideMark/>
          </w:tcPr>
          <w:p w14:paraId="311AD47E" w14:textId="77777777" w:rsidR="001974F1" w:rsidRPr="001974F1" w:rsidRDefault="001974F1" w:rsidP="0086579E">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w:t>
            </w:r>
          </w:p>
        </w:tc>
        <w:tc>
          <w:tcPr>
            <w:tcW w:w="0" w:type="auto"/>
            <w:hideMark/>
          </w:tcPr>
          <w:p w14:paraId="6D56B439" w14:textId="77777777" w:rsidR="001974F1" w:rsidRPr="001974F1" w:rsidRDefault="001974F1" w:rsidP="0086579E">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w:t>
            </w:r>
          </w:p>
        </w:tc>
      </w:tr>
      <w:tr w:rsidR="001974F1" w:rsidRPr="001974F1" w14:paraId="767BE5D6" w14:textId="77777777" w:rsidTr="001974F1">
        <w:tc>
          <w:tcPr>
            <w:tcW w:w="0" w:type="auto"/>
            <w:hideMark/>
          </w:tcPr>
          <w:p w14:paraId="47BC08EA" w14:textId="77777777" w:rsidR="001974F1" w:rsidRPr="001974F1" w:rsidRDefault="001974F1" w:rsidP="0086579E">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Flavonoids</w:t>
            </w:r>
          </w:p>
        </w:tc>
        <w:tc>
          <w:tcPr>
            <w:tcW w:w="0" w:type="auto"/>
            <w:hideMark/>
          </w:tcPr>
          <w:p w14:paraId="13AEC297" w14:textId="77777777" w:rsidR="001974F1" w:rsidRPr="001974F1" w:rsidRDefault="001974F1" w:rsidP="0086579E">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w:t>
            </w:r>
          </w:p>
        </w:tc>
        <w:tc>
          <w:tcPr>
            <w:tcW w:w="0" w:type="auto"/>
            <w:hideMark/>
          </w:tcPr>
          <w:p w14:paraId="326BDC92" w14:textId="77777777" w:rsidR="001974F1" w:rsidRPr="001974F1" w:rsidRDefault="001974F1" w:rsidP="0086579E">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w:t>
            </w:r>
          </w:p>
        </w:tc>
        <w:tc>
          <w:tcPr>
            <w:tcW w:w="0" w:type="auto"/>
            <w:hideMark/>
          </w:tcPr>
          <w:p w14:paraId="6EF98BFA" w14:textId="77777777" w:rsidR="001974F1" w:rsidRPr="001974F1" w:rsidRDefault="001974F1" w:rsidP="0086579E">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w:t>
            </w:r>
          </w:p>
        </w:tc>
      </w:tr>
      <w:tr w:rsidR="001974F1" w:rsidRPr="001974F1" w14:paraId="4883EB58" w14:textId="77777777" w:rsidTr="001974F1">
        <w:tc>
          <w:tcPr>
            <w:tcW w:w="0" w:type="auto"/>
            <w:hideMark/>
          </w:tcPr>
          <w:p w14:paraId="0A2D31DD" w14:textId="77777777" w:rsidR="001974F1" w:rsidRPr="001974F1" w:rsidRDefault="001974F1" w:rsidP="0086579E">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Phenols</w:t>
            </w:r>
          </w:p>
        </w:tc>
        <w:tc>
          <w:tcPr>
            <w:tcW w:w="0" w:type="auto"/>
            <w:hideMark/>
          </w:tcPr>
          <w:p w14:paraId="02DEAD27" w14:textId="77777777" w:rsidR="001974F1" w:rsidRPr="001974F1" w:rsidRDefault="001974F1" w:rsidP="0086579E">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w:t>
            </w:r>
          </w:p>
        </w:tc>
        <w:tc>
          <w:tcPr>
            <w:tcW w:w="0" w:type="auto"/>
            <w:hideMark/>
          </w:tcPr>
          <w:p w14:paraId="33A557AF" w14:textId="77777777" w:rsidR="001974F1" w:rsidRPr="001974F1" w:rsidRDefault="001974F1" w:rsidP="0086579E">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w:t>
            </w:r>
          </w:p>
        </w:tc>
        <w:tc>
          <w:tcPr>
            <w:tcW w:w="0" w:type="auto"/>
            <w:hideMark/>
          </w:tcPr>
          <w:p w14:paraId="692195FD" w14:textId="77777777" w:rsidR="001974F1" w:rsidRPr="001974F1" w:rsidRDefault="001974F1" w:rsidP="0086579E">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w:t>
            </w:r>
          </w:p>
        </w:tc>
      </w:tr>
      <w:tr w:rsidR="001974F1" w:rsidRPr="001974F1" w14:paraId="791ABA98" w14:textId="77777777" w:rsidTr="001974F1">
        <w:tc>
          <w:tcPr>
            <w:tcW w:w="0" w:type="auto"/>
            <w:hideMark/>
          </w:tcPr>
          <w:p w14:paraId="07E8600B" w14:textId="77777777" w:rsidR="001974F1" w:rsidRPr="001974F1" w:rsidRDefault="001974F1" w:rsidP="0086579E">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Tannins</w:t>
            </w:r>
          </w:p>
        </w:tc>
        <w:tc>
          <w:tcPr>
            <w:tcW w:w="0" w:type="auto"/>
            <w:hideMark/>
          </w:tcPr>
          <w:p w14:paraId="78B94E00" w14:textId="77777777" w:rsidR="001974F1" w:rsidRPr="001974F1" w:rsidRDefault="001974F1" w:rsidP="0086579E">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w:t>
            </w:r>
          </w:p>
        </w:tc>
        <w:tc>
          <w:tcPr>
            <w:tcW w:w="0" w:type="auto"/>
            <w:hideMark/>
          </w:tcPr>
          <w:p w14:paraId="77F24531" w14:textId="77777777" w:rsidR="001974F1" w:rsidRPr="001974F1" w:rsidRDefault="001974F1" w:rsidP="0086579E">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w:t>
            </w:r>
          </w:p>
        </w:tc>
        <w:tc>
          <w:tcPr>
            <w:tcW w:w="0" w:type="auto"/>
            <w:hideMark/>
          </w:tcPr>
          <w:p w14:paraId="245557EC" w14:textId="77777777" w:rsidR="001974F1" w:rsidRPr="001974F1" w:rsidRDefault="001974F1" w:rsidP="0086579E">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w:t>
            </w:r>
          </w:p>
        </w:tc>
      </w:tr>
      <w:tr w:rsidR="001974F1" w:rsidRPr="001974F1" w14:paraId="2783D984" w14:textId="77777777" w:rsidTr="001974F1">
        <w:tc>
          <w:tcPr>
            <w:tcW w:w="0" w:type="auto"/>
            <w:hideMark/>
          </w:tcPr>
          <w:p w14:paraId="11754C76" w14:textId="77777777" w:rsidR="001974F1" w:rsidRPr="001974F1" w:rsidRDefault="001974F1" w:rsidP="0086579E">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Terpenoids</w:t>
            </w:r>
          </w:p>
        </w:tc>
        <w:tc>
          <w:tcPr>
            <w:tcW w:w="0" w:type="auto"/>
            <w:hideMark/>
          </w:tcPr>
          <w:p w14:paraId="5C030C6E" w14:textId="77777777" w:rsidR="001974F1" w:rsidRPr="001974F1" w:rsidRDefault="001974F1" w:rsidP="0086579E">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w:t>
            </w:r>
          </w:p>
        </w:tc>
        <w:tc>
          <w:tcPr>
            <w:tcW w:w="0" w:type="auto"/>
            <w:hideMark/>
          </w:tcPr>
          <w:p w14:paraId="7C00AF53" w14:textId="77777777" w:rsidR="001974F1" w:rsidRPr="001974F1" w:rsidRDefault="001974F1" w:rsidP="0086579E">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w:t>
            </w:r>
          </w:p>
        </w:tc>
        <w:tc>
          <w:tcPr>
            <w:tcW w:w="0" w:type="auto"/>
            <w:hideMark/>
          </w:tcPr>
          <w:p w14:paraId="4152FB6A" w14:textId="77777777" w:rsidR="001974F1" w:rsidRPr="001974F1" w:rsidRDefault="001974F1" w:rsidP="0086579E">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w:t>
            </w:r>
          </w:p>
        </w:tc>
      </w:tr>
      <w:tr w:rsidR="001974F1" w:rsidRPr="001974F1" w14:paraId="101998C7" w14:textId="77777777" w:rsidTr="007C0FD7">
        <w:tc>
          <w:tcPr>
            <w:tcW w:w="0" w:type="auto"/>
            <w:gridSpan w:val="4"/>
            <w:hideMark/>
          </w:tcPr>
          <w:p w14:paraId="083C65CA" w14:textId="77777777" w:rsidR="001974F1" w:rsidRPr="001974F1" w:rsidRDefault="001974F1" w:rsidP="0086579E">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i/>
                <w:iCs/>
                <w:sz w:val="24"/>
                <w:szCs w:val="24"/>
                <w:lang w:eastAsia="en-IN"/>
              </w:rPr>
              <w:t>Note:</w:t>
            </w:r>
            <w:r w:rsidRPr="001974F1">
              <w:rPr>
                <w:rFonts w:ascii="Times New Roman" w:eastAsia="Times New Roman" w:hAnsi="Times New Roman" w:cs="Times New Roman"/>
                <w:sz w:val="24"/>
                <w:szCs w:val="24"/>
                <w:lang w:eastAsia="en-IN"/>
              </w:rPr>
              <w:t xml:space="preserve"> (+) denotes presence; (−) denotes absence.</w:t>
            </w:r>
          </w:p>
        </w:tc>
      </w:tr>
    </w:tbl>
    <w:p w14:paraId="4106CC15" w14:textId="77777777" w:rsidR="001974F1" w:rsidRPr="001974F1" w:rsidRDefault="001974F1" w:rsidP="0086579E">
      <w:pPr>
        <w:spacing w:before="100" w:beforeAutospacing="1" w:after="100" w:afterAutospacing="1" w:line="360" w:lineRule="auto"/>
        <w:jc w:val="both"/>
        <w:outlineLvl w:val="2"/>
        <w:rPr>
          <w:rFonts w:ascii="Times New Roman" w:eastAsia="Times New Roman" w:hAnsi="Times New Roman" w:cs="Times New Roman"/>
          <w:b/>
          <w:bCs/>
          <w:sz w:val="24"/>
          <w:szCs w:val="24"/>
          <w:lang w:eastAsia="en-IN"/>
        </w:rPr>
      </w:pPr>
      <w:r w:rsidRPr="001974F1">
        <w:rPr>
          <w:rFonts w:ascii="Times New Roman" w:eastAsia="Times New Roman" w:hAnsi="Times New Roman" w:cs="Times New Roman"/>
          <w:b/>
          <w:bCs/>
          <w:sz w:val="24"/>
          <w:szCs w:val="24"/>
          <w:lang w:eastAsia="en-IN"/>
        </w:rPr>
        <w:t>3.2 Larvicidal Bioassay</w:t>
      </w:r>
    </w:p>
    <w:p w14:paraId="3CD0078A" w14:textId="77777777" w:rsidR="001974F1" w:rsidRPr="001974F1" w:rsidRDefault="001974F1" w:rsidP="0086579E">
      <w:pPr>
        <w:spacing w:before="100" w:beforeAutospacing="1" w:after="100" w:afterAutospacing="1" w:line="360" w:lineRule="auto"/>
        <w:jc w:val="both"/>
        <w:rPr>
          <w:rFonts w:ascii="Times New Roman" w:eastAsia="Times New Roman" w:hAnsi="Times New Roman" w:cs="Times New Roman"/>
          <w:sz w:val="24"/>
          <w:szCs w:val="24"/>
          <w:lang w:eastAsia="en-IN"/>
        </w:rPr>
      </w:pPr>
      <w:r>
        <w:rPr>
          <w:rFonts w:ascii="Times New Roman" w:hAnsi="Times New Roman"/>
          <w:sz w:val="24"/>
        </w:rPr>
        <w:t xml:space="preserve">The quantitative larvicidal activity of the extracts was assessed at a fixed </w:t>
      </w:r>
      <w:r>
        <w:rPr>
          <w:rFonts w:ascii="Times New Roman" w:hAnsi="Times New Roman"/>
          <w:sz w:val="24"/>
          <w:highlight w:val="yellow"/>
        </w:rPr>
        <w:t>screening</w:t>
      </w:r>
      <w:r>
        <w:rPr>
          <w:rFonts w:ascii="Times New Roman" w:hAnsi="Times New Roman"/>
          <w:sz w:val="24"/>
        </w:rPr>
        <w:t xml:space="preserve"> concentration of 1,000 µg/mL across 12, 24, and 48 hours of exposure (Table 2). Larval mortality increased significantly over time for all experimental groups, whereas the negative control group maintained 0.0% mortality throughout the study. At 1,000 µg/mL, one-way ANOVA confirmed </w:t>
      </w:r>
      <w:r>
        <w:rPr>
          <w:rFonts w:ascii="Times New Roman" w:hAnsi="Times New Roman"/>
          <w:sz w:val="24"/>
          <w:highlight w:val="yellow"/>
        </w:rPr>
        <w:t>statistically</w:t>
      </w:r>
      <w:r>
        <w:rPr>
          <w:rFonts w:ascii="Times New Roman" w:hAnsi="Times New Roman"/>
          <w:sz w:val="24"/>
        </w:rPr>
        <w:t xml:space="preserve"> significant differences in larvicidal activity across the extracts (F=42.6; P=.012). The ethanol extract achieved the highest </w:t>
      </w:r>
      <w:r>
        <w:rPr>
          <w:rFonts w:ascii="Times New Roman" w:hAnsi="Times New Roman"/>
          <w:sz w:val="24"/>
          <w:highlight w:val="yellow"/>
        </w:rPr>
        <w:t>effect</w:t>
      </w:r>
      <w:r>
        <w:rPr>
          <w:rFonts w:ascii="Times New Roman" w:hAnsi="Times New Roman"/>
          <w:sz w:val="24"/>
        </w:rPr>
        <w:t xml:space="preserve">, yielding a cumulative mortality rate of 68.00% ± 4.62% at 48 hours, which was significantly higher than the aqueous extract (16.67% ± 0.67%). The isopropanol extract demonstrated intermediate efficacy, </w:t>
      </w:r>
      <w:r>
        <w:rPr>
          <w:rFonts w:ascii="Times New Roman" w:hAnsi="Times New Roman"/>
          <w:sz w:val="24"/>
          <w:highlight w:val="yellow"/>
        </w:rPr>
        <w:t>reaching 52.00% ± 6.43%</w:t>
      </w:r>
      <w:r>
        <w:rPr>
          <w:rFonts w:ascii="Times New Roman" w:hAnsi="Times New Roman"/>
          <w:sz w:val="24"/>
        </w:rPr>
        <w:t xml:space="preserve"> at the 48-hour mark.</w:t>
      </w:r>
    </w:p>
    <w:p w14:paraId="13BDFEAB" w14:textId="77777777" w:rsidR="001974F1" w:rsidRPr="001974F1" w:rsidRDefault="001974F1" w:rsidP="0086579E">
      <w:pPr>
        <w:spacing w:before="100" w:beforeAutospacing="1" w:after="100" w:afterAutospacing="1" w:line="360" w:lineRule="auto"/>
        <w:jc w:val="both"/>
        <w:rPr>
          <w:rFonts w:ascii="Times New Roman" w:eastAsia="Times New Roman" w:hAnsi="Times New Roman" w:cs="Times New Roman"/>
          <w:sz w:val="24"/>
          <w:szCs w:val="24"/>
          <w:lang w:eastAsia="en-IN"/>
        </w:rPr>
      </w:pPr>
      <w:r>
        <w:t xml:space="preserve">This trend of superior alcoholic or organic extract performance over water is widely supported in recent botanical vector literature. For instance, Rajasekaran and Duraikannan (2012) noted a similar reduction in larvicidal potential when using crude aqueous extractions of Lamiaceae species, attributing it to the incomplete extraction of hydrophobic terpenoids. Furthermore, Chandrasekaran et al. (2019) reported significant larvicidal activity of </w:t>
      </w:r>
      <w:r>
        <w:rPr>
          <w:i/>
        </w:rPr>
        <w:t>V. negundo</w:t>
      </w:r>
      <w:r>
        <w:t xml:space="preserve"> essential oil against </w:t>
      </w:r>
      <w:r>
        <w:rPr>
          <w:i/>
        </w:rPr>
        <w:t>A. aegypti</w:t>
      </w:r>
      <w:r>
        <w:t xml:space="preserve"> larvae, indicating that the active fractions may require organic carriers for optimal tissue penetration in dipteran larvae. The physical setup, showing larval grouping and distribution within the clear test environments during screening, is documented in Figure 1.</w:t>
      </w:r>
    </w:p>
    <w:p w14:paraId="7ADFAF2C" w14:textId="77777777" w:rsidR="001974F1" w:rsidRPr="001974F1" w:rsidRDefault="001974F1" w:rsidP="0086579E">
      <w:pPr>
        <w:spacing w:before="100" w:beforeAutospacing="1" w:after="100" w:afterAutospacing="1"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b/>
          <w:bCs/>
          <w:sz w:val="24"/>
          <w:szCs w:val="24"/>
          <w:lang w:eastAsia="en-IN"/>
        </w:rPr>
        <w:lastRenderedPageBreak/>
        <w:t xml:space="preserve">Table 2. Mortality Rates of </w:t>
      </w:r>
      <w:r w:rsidRPr="001974F1">
        <w:rPr>
          <w:rFonts w:ascii="Times New Roman" w:eastAsia="Times New Roman" w:hAnsi="Times New Roman" w:cs="Times New Roman"/>
          <w:b/>
          <w:bCs/>
          <w:i/>
          <w:iCs/>
          <w:sz w:val="24"/>
          <w:szCs w:val="24"/>
          <w:lang w:eastAsia="en-IN"/>
        </w:rPr>
        <w:t>Aedes aegypti</w:t>
      </w:r>
      <w:r w:rsidRPr="001974F1">
        <w:rPr>
          <w:rFonts w:ascii="Times New Roman" w:eastAsia="Times New Roman" w:hAnsi="Times New Roman" w:cs="Times New Roman"/>
          <w:b/>
          <w:bCs/>
          <w:sz w:val="24"/>
          <w:szCs w:val="24"/>
          <w:lang w:eastAsia="en-IN"/>
        </w:rPr>
        <w:t xml:space="preserve"> Larvae Exposed to </w:t>
      </w:r>
      <w:r w:rsidRPr="001974F1">
        <w:rPr>
          <w:rFonts w:ascii="Times New Roman" w:eastAsia="Times New Roman" w:hAnsi="Times New Roman" w:cs="Times New Roman"/>
          <w:b/>
          <w:bCs/>
          <w:i/>
          <w:iCs/>
          <w:sz w:val="24"/>
          <w:szCs w:val="24"/>
          <w:lang w:eastAsia="en-IN"/>
        </w:rPr>
        <w:t>Vitex negundo</w:t>
      </w:r>
      <w:r w:rsidRPr="001974F1">
        <w:rPr>
          <w:rFonts w:ascii="Times New Roman" w:eastAsia="Times New Roman" w:hAnsi="Times New Roman" w:cs="Times New Roman"/>
          <w:b/>
          <w:bCs/>
          <w:sz w:val="24"/>
          <w:szCs w:val="24"/>
          <w:lang w:eastAsia="en-IN"/>
        </w:rPr>
        <w:t xml:space="preserve"> Extracts (1,000 µg/mL) over Time</w:t>
      </w:r>
      <w:r w:rsidR="00814517">
        <w:rPr>
          <w:rFonts w:ascii="Times New Roman" w:eastAsia="Times New Roman" w:hAnsi="Times New Roman" w:cs="Times New Roman"/>
          <w:b/>
          <w:bCs/>
          <w:sz w:val="24"/>
          <w:szCs w:val="24"/>
          <w:lang w:eastAsia="en-IN"/>
        </w:rPr>
        <w:t xml:space="preserve"> </w:t>
      </w:r>
    </w:p>
    <w:tbl>
      <w:tblPr>
        <w:tblStyle w:val="TableGrid"/>
        <w:tblW w:w="0" w:type="auto"/>
        <w:tblLook w:val="04A0" w:firstRow="1" w:lastRow="0" w:firstColumn="1" w:lastColumn="0" w:noHBand="0" w:noVBand="1"/>
      </w:tblPr>
      <w:tblGrid>
        <w:gridCol w:w="1481"/>
        <w:gridCol w:w="1846"/>
        <w:gridCol w:w="1806"/>
        <w:gridCol w:w="2092"/>
        <w:gridCol w:w="1791"/>
      </w:tblGrid>
      <w:tr w:rsidR="001974F1" w:rsidRPr="001974F1" w14:paraId="288B1FF4" w14:textId="77777777" w:rsidTr="001974F1">
        <w:tc>
          <w:tcPr>
            <w:tcW w:w="0" w:type="auto"/>
            <w:hideMark/>
          </w:tcPr>
          <w:p w14:paraId="72502F01" w14:textId="77777777" w:rsidR="001974F1" w:rsidRPr="001974F1" w:rsidRDefault="001974F1" w:rsidP="0086579E">
            <w:pPr>
              <w:spacing w:line="360" w:lineRule="auto"/>
              <w:jc w:val="both"/>
              <w:rPr>
                <w:rFonts w:ascii="Times New Roman" w:eastAsia="Times New Roman" w:hAnsi="Times New Roman" w:cs="Times New Roman"/>
                <w:b/>
                <w:bCs/>
                <w:sz w:val="24"/>
                <w:szCs w:val="24"/>
                <w:lang w:eastAsia="en-IN"/>
              </w:rPr>
            </w:pPr>
            <w:r w:rsidRPr="001974F1">
              <w:rPr>
                <w:rFonts w:ascii="Times New Roman" w:eastAsia="Times New Roman" w:hAnsi="Times New Roman" w:cs="Times New Roman"/>
                <w:b/>
                <w:bCs/>
                <w:sz w:val="24"/>
                <w:szCs w:val="24"/>
                <w:lang w:eastAsia="en-IN"/>
              </w:rPr>
              <w:t>Exposure Time</w:t>
            </w:r>
          </w:p>
        </w:tc>
        <w:tc>
          <w:tcPr>
            <w:tcW w:w="0" w:type="auto"/>
            <w:hideMark/>
          </w:tcPr>
          <w:p w14:paraId="09283BAB" w14:textId="77777777" w:rsidR="001974F1" w:rsidRDefault="001974F1" w:rsidP="0086579E">
            <w:pPr>
              <w:spacing w:line="360" w:lineRule="auto"/>
              <w:jc w:val="both"/>
              <w:rPr>
                <w:rFonts w:ascii="Times New Roman" w:eastAsia="Times New Roman" w:hAnsi="Times New Roman" w:cs="Times New Roman"/>
                <w:b/>
                <w:bCs/>
                <w:sz w:val="24"/>
                <w:szCs w:val="24"/>
                <w:lang w:eastAsia="en-IN"/>
              </w:rPr>
            </w:pPr>
            <w:r w:rsidRPr="001974F1">
              <w:rPr>
                <w:rFonts w:ascii="Times New Roman" w:eastAsia="Times New Roman" w:hAnsi="Times New Roman" w:cs="Times New Roman"/>
                <w:b/>
                <w:bCs/>
                <w:sz w:val="24"/>
                <w:szCs w:val="24"/>
                <w:lang w:eastAsia="en-IN"/>
              </w:rPr>
              <w:t>Aqueous Extract (%)</w:t>
            </w:r>
          </w:p>
          <w:p w14:paraId="6785BDCD" w14:textId="77777777" w:rsidR="00814517" w:rsidRPr="001974F1" w:rsidRDefault="00814517" w:rsidP="0086579E">
            <w:pPr>
              <w:spacing w:line="360" w:lineRule="auto"/>
              <w:jc w:val="both"/>
              <w:rPr>
                <w:rFonts w:ascii="Times New Roman" w:eastAsia="Times New Roman" w:hAnsi="Times New Roman" w:cs="Times New Roman"/>
                <w:b/>
                <w:bCs/>
                <w:sz w:val="24"/>
                <w:szCs w:val="24"/>
                <w:lang w:eastAsia="en-IN"/>
              </w:rPr>
            </w:pPr>
            <w:r>
              <w:rPr>
                <w:rFonts w:ascii="Times New Roman" w:eastAsia="Times New Roman" w:hAnsi="Times New Roman" w:cs="Times New Roman"/>
                <w:b/>
                <w:bCs/>
                <w:sz w:val="24"/>
                <w:szCs w:val="24"/>
                <w:lang w:eastAsia="en-IN"/>
              </w:rPr>
              <w:t>(N=50)</w:t>
            </w:r>
          </w:p>
        </w:tc>
        <w:tc>
          <w:tcPr>
            <w:tcW w:w="0" w:type="auto"/>
            <w:hideMark/>
          </w:tcPr>
          <w:p w14:paraId="10CF4189" w14:textId="77777777" w:rsidR="001974F1" w:rsidRDefault="001974F1" w:rsidP="0086579E">
            <w:pPr>
              <w:spacing w:line="360" w:lineRule="auto"/>
              <w:jc w:val="both"/>
              <w:rPr>
                <w:rFonts w:ascii="Times New Roman" w:eastAsia="Times New Roman" w:hAnsi="Times New Roman" w:cs="Times New Roman"/>
                <w:b/>
                <w:bCs/>
                <w:sz w:val="24"/>
                <w:szCs w:val="24"/>
                <w:lang w:eastAsia="en-IN"/>
              </w:rPr>
            </w:pPr>
            <w:r w:rsidRPr="001974F1">
              <w:rPr>
                <w:rFonts w:ascii="Times New Roman" w:eastAsia="Times New Roman" w:hAnsi="Times New Roman" w:cs="Times New Roman"/>
                <w:b/>
                <w:bCs/>
                <w:sz w:val="24"/>
                <w:szCs w:val="24"/>
                <w:lang w:eastAsia="en-IN"/>
              </w:rPr>
              <w:t>Ethanol Extract (%)</w:t>
            </w:r>
          </w:p>
          <w:p w14:paraId="7A11D2FF" w14:textId="77777777" w:rsidR="00814517" w:rsidRPr="001974F1" w:rsidRDefault="00814517" w:rsidP="0086579E">
            <w:pPr>
              <w:spacing w:line="360" w:lineRule="auto"/>
              <w:jc w:val="both"/>
              <w:rPr>
                <w:rFonts w:ascii="Times New Roman" w:eastAsia="Times New Roman" w:hAnsi="Times New Roman" w:cs="Times New Roman"/>
                <w:b/>
                <w:bCs/>
                <w:sz w:val="24"/>
                <w:szCs w:val="24"/>
                <w:lang w:eastAsia="en-IN"/>
              </w:rPr>
            </w:pPr>
            <w:r>
              <w:rPr>
                <w:rFonts w:ascii="Times New Roman" w:eastAsia="Times New Roman" w:hAnsi="Times New Roman" w:cs="Times New Roman"/>
                <w:b/>
                <w:bCs/>
                <w:sz w:val="24"/>
                <w:szCs w:val="24"/>
                <w:lang w:eastAsia="en-IN"/>
              </w:rPr>
              <w:t>(N=50)</w:t>
            </w:r>
          </w:p>
        </w:tc>
        <w:tc>
          <w:tcPr>
            <w:tcW w:w="0" w:type="auto"/>
            <w:hideMark/>
          </w:tcPr>
          <w:p w14:paraId="18D8839D" w14:textId="77777777" w:rsidR="001974F1" w:rsidRDefault="001974F1" w:rsidP="0086579E">
            <w:pPr>
              <w:spacing w:line="360" w:lineRule="auto"/>
              <w:jc w:val="both"/>
              <w:rPr>
                <w:rFonts w:ascii="Times New Roman" w:eastAsia="Times New Roman" w:hAnsi="Times New Roman" w:cs="Times New Roman"/>
                <w:b/>
                <w:bCs/>
                <w:sz w:val="24"/>
                <w:szCs w:val="24"/>
                <w:lang w:eastAsia="en-IN"/>
              </w:rPr>
            </w:pPr>
            <w:r w:rsidRPr="001974F1">
              <w:rPr>
                <w:rFonts w:ascii="Times New Roman" w:eastAsia="Times New Roman" w:hAnsi="Times New Roman" w:cs="Times New Roman"/>
                <w:b/>
                <w:bCs/>
                <w:sz w:val="24"/>
                <w:szCs w:val="24"/>
                <w:lang w:eastAsia="en-IN"/>
              </w:rPr>
              <w:t>Isopropanol Extract (%)</w:t>
            </w:r>
          </w:p>
          <w:p w14:paraId="453DE4FE" w14:textId="77777777" w:rsidR="00814517" w:rsidRPr="001974F1" w:rsidRDefault="00814517" w:rsidP="0086579E">
            <w:pPr>
              <w:spacing w:line="360" w:lineRule="auto"/>
              <w:jc w:val="both"/>
              <w:rPr>
                <w:rFonts w:ascii="Times New Roman" w:eastAsia="Times New Roman" w:hAnsi="Times New Roman" w:cs="Times New Roman"/>
                <w:b/>
                <w:bCs/>
                <w:sz w:val="24"/>
                <w:szCs w:val="24"/>
                <w:lang w:eastAsia="en-IN"/>
              </w:rPr>
            </w:pPr>
            <w:r>
              <w:rPr>
                <w:rFonts w:ascii="Times New Roman" w:eastAsia="Times New Roman" w:hAnsi="Times New Roman" w:cs="Times New Roman"/>
                <w:b/>
                <w:bCs/>
                <w:sz w:val="24"/>
                <w:szCs w:val="24"/>
                <w:lang w:eastAsia="en-IN"/>
              </w:rPr>
              <w:t>(N=50)</w:t>
            </w:r>
          </w:p>
        </w:tc>
        <w:tc>
          <w:tcPr>
            <w:tcW w:w="0" w:type="auto"/>
            <w:hideMark/>
          </w:tcPr>
          <w:p w14:paraId="7286BEA2" w14:textId="77777777" w:rsidR="001974F1" w:rsidRDefault="001974F1" w:rsidP="0086579E">
            <w:pPr>
              <w:spacing w:line="360" w:lineRule="auto"/>
              <w:jc w:val="both"/>
              <w:rPr>
                <w:rFonts w:ascii="Times New Roman" w:eastAsia="Times New Roman" w:hAnsi="Times New Roman" w:cs="Times New Roman"/>
                <w:b/>
                <w:bCs/>
                <w:sz w:val="24"/>
                <w:szCs w:val="24"/>
                <w:lang w:eastAsia="en-IN"/>
              </w:rPr>
            </w:pPr>
            <w:r w:rsidRPr="001974F1">
              <w:rPr>
                <w:rFonts w:ascii="Times New Roman" w:eastAsia="Times New Roman" w:hAnsi="Times New Roman" w:cs="Times New Roman"/>
                <w:b/>
                <w:bCs/>
                <w:sz w:val="24"/>
                <w:szCs w:val="24"/>
                <w:lang w:eastAsia="en-IN"/>
              </w:rPr>
              <w:t>Control (DMSO) (%)</w:t>
            </w:r>
          </w:p>
          <w:p w14:paraId="364C4F4D" w14:textId="77777777" w:rsidR="00814517" w:rsidRPr="001974F1" w:rsidRDefault="00814517" w:rsidP="0086579E">
            <w:pPr>
              <w:spacing w:line="360" w:lineRule="auto"/>
              <w:jc w:val="both"/>
              <w:rPr>
                <w:rFonts w:ascii="Times New Roman" w:eastAsia="Times New Roman" w:hAnsi="Times New Roman" w:cs="Times New Roman"/>
                <w:b/>
                <w:bCs/>
                <w:sz w:val="24"/>
                <w:szCs w:val="24"/>
                <w:lang w:eastAsia="en-IN"/>
              </w:rPr>
            </w:pPr>
            <w:r>
              <w:rPr>
                <w:rFonts w:ascii="Times New Roman" w:eastAsia="Times New Roman" w:hAnsi="Times New Roman" w:cs="Times New Roman"/>
                <w:b/>
                <w:bCs/>
                <w:sz w:val="24"/>
                <w:szCs w:val="24"/>
                <w:lang w:eastAsia="en-IN"/>
              </w:rPr>
              <w:t>(N=50)</w:t>
            </w:r>
          </w:p>
        </w:tc>
      </w:tr>
      <w:tr w:rsidR="001974F1" w:rsidRPr="001974F1" w14:paraId="57778F7F" w14:textId="77777777" w:rsidTr="001974F1">
        <w:tc>
          <w:tcPr>
            <w:tcW w:w="0" w:type="auto"/>
            <w:hideMark/>
          </w:tcPr>
          <w:p w14:paraId="7C55AB74" w14:textId="77777777" w:rsidR="001974F1" w:rsidRPr="001974F1" w:rsidRDefault="001974F1" w:rsidP="0086579E">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b/>
                <w:bCs/>
                <w:sz w:val="24"/>
                <w:szCs w:val="24"/>
                <w:lang w:eastAsia="en-IN"/>
              </w:rPr>
              <w:t>12 hours</w:t>
            </w:r>
          </w:p>
        </w:tc>
        <w:tc>
          <w:tcPr>
            <w:tcW w:w="0" w:type="auto"/>
            <w:hideMark/>
          </w:tcPr>
          <w:p w14:paraId="7D9F7CD8" w14:textId="77777777" w:rsidR="001974F1" w:rsidRPr="001974F1" w:rsidRDefault="001974F1" w:rsidP="0086579E">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0.00±0.00</w:t>
            </w:r>
          </w:p>
        </w:tc>
        <w:tc>
          <w:tcPr>
            <w:tcW w:w="0" w:type="auto"/>
            <w:hideMark/>
          </w:tcPr>
          <w:p w14:paraId="6A856679" w14:textId="77777777" w:rsidR="001974F1" w:rsidRPr="001974F1" w:rsidRDefault="001974F1" w:rsidP="0086579E">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6.00±1.33</w:t>
            </w:r>
          </w:p>
        </w:tc>
        <w:tc>
          <w:tcPr>
            <w:tcW w:w="0" w:type="auto"/>
            <w:hideMark/>
          </w:tcPr>
          <w:p w14:paraId="1AB9217A" w14:textId="77777777" w:rsidR="001974F1" w:rsidRPr="001974F1" w:rsidRDefault="001974F1" w:rsidP="0086579E">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2.00±0.67</w:t>
            </w:r>
          </w:p>
        </w:tc>
        <w:tc>
          <w:tcPr>
            <w:tcW w:w="0" w:type="auto"/>
            <w:hideMark/>
          </w:tcPr>
          <w:p w14:paraId="4B45FFEA" w14:textId="77777777" w:rsidR="001974F1" w:rsidRPr="001974F1" w:rsidRDefault="001974F1" w:rsidP="0086579E">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0.00±0.00</w:t>
            </w:r>
          </w:p>
        </w:tc>
      </w:tr>
      <w:tr w:rsidR="001974F1" w:rsidRPr="001974F1" w14:paraId="0B45B5D7" w14:textId="77777777" w:rsidTr="001974F1">
        <w:tc>
          <w:tcPr>
            <w:tcW w:w="0" w:type="auto"/>
            <w:hideMark/>
          </w:tcPr>
          <w:p w14:paraId="20C8CCA9" w14:textId="77777777" w:rsidR="001974F1" w:rsidRPr="001974F1" w:rsidRDefault="001974F1" w:rsidP="0086579E">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b/>
                <w:bCs/>
                <w:sz w:val="24"/>
                <w:szCs w:val="24"/>
                <w:lang w:eastAsia="en-IN"/>
              </w:rPr>
              <w:t>24 hours</w:t>
            </w:r>
          </w:p>
        </w:tc>
        <w:tc>
          <w:tcPr>
            <w:tcW w:w="0" w:type="auto"/>
            <w:hideMark/>
          </w:tcPr>
          <w:p w14:paraId="52603AD9" w14:textId="77777777" w:rsidR="001974F1" w:rsidRPr="001974F1" w:rsidRDefault="001974F1" w:rsidP="0086579E">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12.00±0.67</w:t>
            </w:r>
          </w:p>
        </w:tc>
        <w:tc>
          <w:tcPr>
            <w:tcW w:w="0" w:type="auto"/>
            <w:hideMark/>
          </w:tcPr>
          <w:p w14:paraId="50BE6D4C" w14:textId="77777777" w:rsidR="001974F1" w:rsidRPr="001974F1" w:rsidRDefault="001974F1" w:rsidP="0086579E">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24.67±5.24</w:t>
            </w:r>
          </w:p>
        </w:tc>
        <w:tc>
          <w:tcPr>
            <w:tcW w:w="0" w:type="auto"/>
            <w:hideMark/>
          </w:tcPr>
          <w:p w14:paraId="3473EDFA" w14:textId="77777777" w:rsidR="001974F1" w:rsidRPr="001974F1" w:rsidRDefault="001974F1" w:rsidP="0086579E">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16.67±4.18</w:t>
            </w:r>
          </w:p>
        </w:tc>
        <w:tc>
          <w:tcPr>
            <w:tcW w:w="0" w:type="auto"/>
            <w:hideMark/>
          </w:tcPr>
          <w:p w14:paraId="5E7D62D7" w14:textId="77777777" w:rsidR="001974F1" w:rsidRPr="001974F1" w:rsidRDefault="001974F1" w:rsidP="0086579E">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0.00±0.00</w:t>
            </w:r>
          </w:p>
        </w:tc>
      </w:tr>
      <w:tr w:rsidR="001974F1" w:rsidRPr="001974F1" w14:paraId="04C2876C" w14:textId="77777777" w:rsidTr="001974F1">
        <w:tc>
          <w:tcPr>
            <w:tcW w:w="0" w:type="auto"/>
            <w:hideMark/>
          </w:tcPr>
          <w:p w14:paraId="0C5DA385" w14:textId="77777777" w:rsidR="001974F1" w:rsidRPr="001974F1" w:rsidRDefault="001974F1" w:rsidP="0086579E">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b/>
                <w:bCs/>
                <w:sz w:val="24"/>
                <w:szCs w:val="24"/>
                <w:lang w:eastAsia="en-IN"/>
              </w:rPr>
              <w:t>48 hours</w:t>
            </w:r>
          </w:p>
        </w:tc>
        <w:tc>
          <w:tcPr>
            <w:tcW w:w="0" w:type="auto"/>
            <w:hideMark/>
          </w:tcPr>
          <w:p w14:paraId="7F56D172" w14:textId="77777777" w:rsidR="001974F1" w:rsidRPr="001974F1" w:rsidRDefault="001974F1" w:rsidP="0086579E">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16.67±0.67</w:t>
            </w:r>
          </w:p>
        </w:tc>
        <w:tc>
          <w:tcPr>
            <w:tcW w:w="0" w:type="auto"/>
            <w:hideMark/>
          </w:tcPr>
          <w:p w14:paraId="40AE0218" w14:textId="77777777" w:rsidR="001974F1" w:rsidRPr="001974F1" w:rsidRDefault="001974F1" w:rsidP="0086579E">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68.00±4.62</w:t>
            </w:r>
          </w:p>
        </w:tc>
        <w:tc>
          <w:tcPr>
            <w:tcW w:w="0" w:type="auto"/>
            <w:hideMark/>
          </w:tcPr>
          <w:p w14:paraId="6E9319F9" w14:textId="77777777" w:rsidR="001974F1" w:rsidRPr="001974F1" w:rsidRDefault="001974F1" w:rsidP="0086579E">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52.00±6.43</w:t>
            </w:r>
          </w:p>
        </w:tc>
        <w:tc>
          <w:tcPr>
            <w:tcW w:w="0" w:type="auto"/>
            <w:hideMark/>
          </w:tcPr>
          <w:p w14:paraId="1C585BB2" w14:textId="77777777" w:rsidR="001974F1" w:rsidRPr="001974F1" w:rsidRDefault="001974F1" w:rsidP="0086579E">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0.00±0.00</w:t>
            </w:r>
          </w:p>
        </w:tc>
      </w:tr>
      <w:tr w:rsidR="001974F1" w:rsidRPr="001974F1" w14:paraId="4F8568B7" w14:textId="77777777" w:rsidTr="001974F1">
        <w:tc>
          <w:tcPr>
            <w:tcW w:w="0" w:type="auto"/>
            <w:gridSpan w:val="5"/>
            <w:hideMark/>
          </w:tcPr>
          <w:p w14:paraId="35D1DFD9" w14:textId="77777777" w:rsidR="001974F1" w:rsidRPr="001974F1" w:rsidRDefault="001974F1" w:rsidP="0086579E">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i/>
                <w:iCs/>
                <w:sz w:val="24"/>
                <w:szCs w:val="24"/>
                <w:lang w:eastAsia="en-IN"/>
              </w:rPr>
              <w:t>Note:</w:t>
            </w:r>
            <w:r w:rsidRPr="001974F1">
              <w:rPr>
                <w:rFonts w:ascii="Times New Roman" w:eastAsia="Times New Roman" w:hAnsi="Times New Roman" w:cs="Times New Roman"/>
                <w:sz w:val="24"/>
                <w:szCs w:val="24"/>
                <w:lang w:eastAsia="en-IN"/>
              </w:rPr>
              <w:t xml:space="preserve"> Values are expressed as Mean ± Standard Error (SE) from three independent replicates (N=50 larvae per batch).</w:t>
            </w:r>
          </w:p>
        </w:tc>
      </w:tr>
    </w:tbl>
    <w:p w14:paraId="4C0F0900" w14:textId="77777777" w:rsidR="001974F1" w:rsidRPr="001974F1" w:rsidRDefault="001974F1" w:rsidP="0086579E">
      <w:pPr>
        <w:spacing w:before="100" w:beforeAutospacing="1" w:after="100" w:afterAutospacing="1" w:line="360" w:lineRule="auto"/>
        <w:jc w:val="both"/>
        <w:outlineLvl w:val="2"/>
        <w:rPr>
          <w:rFonts w:ascii="Times New Roman" w:eastAsia="Times New Roman" w:hAnsi="Times New Roman" w:cs="Times New Roman"/>
          <w:b/>
          <w:bCs/>
          <w:sz w:val="24"/>
          <w:szCs w:val="24"/>
          <w:lang w:eastAsia="en-IN"/>
        </w:rPr>
      </w:pPr>
      <w:r w:rsidRPr="001974F1">
        <w:rPr>
          <w:rFonts w:ascii="Times New Roman" w:eastAsia="Times New Roman" w:hAnsi="Times New Roman" w:cs="Times New Roman"/>
          <w:b/>
          <w:bCs/>
          <w:sz w:val="24"/>
          <w:szCs w:val="24"/>
          <w:lang w:eastAsia="en-IN"/>
        </w:rPr>
        <w:t>3.3 Lethal Concentration (LC50​) of Ethanol Extract</w:t>
      </w:r>
    </w:p>
    <w:p w14:paraId="77D91AA4" w14:textId="77777777" w:rsidR="001974F1" w:rsidRPr="001974F1" w:rsidRDefault="001974F1" w:rsidP="0086579E">
      <w:pPr>
        <w:spacing w:before="100" w:beforeAutospacing="1" w:after="100" w:afterAutospacing="1" w:line="360" w:lineRule="auto"/>
        <w:jc w:val="both"/>
        <w:rPr>
          <w:rFonts w:ascii="Times New Roman" w:eastAsia="Times New Roman" w:hAnsi="Times New Roman" w:cs="Times New Roman"/>
          <w:sz w:val="24"/>
          <w:szCs w:val="24"/>
          <w:lang w:eastAsia="en-IN"/>
        </w:rPr>
      </w:pPr>
      <w:r>
        <w:rPr>
          <w:rFonts w:ascii="Times New Roman" w:hAnsi="Times New Roman"/>
          <w:sz w:val="24"/>
        </w:rPr>
        <w:t>Because the ethanol extract yielded the most potent larvicidal effect, it was subjected to</w:t>
      </w:r>
      <w:r>
        <w:rPr>
          <w:rFonts w:ascii="Times New Roman" w:hAnsi="Times New Roman"/>
          <w:sz w:val="24"/>
          <w:highlight w:val="yellow"/>
        </w:rPr>
        <w:t xml:space="preserve"> a</w:t>
      </w:r>
      <w:r>
        <w:rPr>
          <w:rFonts w:ascii="Times New Roman" w:hAnsi="Times New Roman"/>
          <w:sz w:val="24"/>
        </w:rPr>
        <w:t xml:space="preserve"> detailed dose-response screening at concentrations ranging from 100 to 750 µg/mL (Table 3). The mortality profile showed a clear dose-dependent relationship, with </w:t>
      </w:r>
      <w:r>
        <w:rPr>
          <w:rFonts w:ascii="Times New Roman" w:hAnsi="Times New Roman"/>
          <w:sz w:val="24"/>
          <w:highlight w:val="yellow"/>
        </w:rPr>
        <w:t>mortality</w:t>
      </w:r>
      <w:r>
        <w:rPr>
          <w:rFonts w:ascii="Times New Roman" w:hAnsi="Times New Roman"/>
          <w:sz w:val="24"/>
        </w:rPr>
        <w:t xml:space="preserve"> increasing </w:t>
      </w:r>
      <w:r>
        <w:rPr>
          <w:rFonts w:ascii="Times New Roman" w:hAnsi="Times New Roman"/>
          <w:sz w:val="24"/>
          <w:highlight w:val="yellow"/>
        </w:rPr>
        <w:t>with concentration</w:t>
      </w:r>
      <w:r>
        <w:rPr>
          <w:rFonts w:ascii="Times New Roman" w:hAnsi="Times New Roman"/>
          <w:sz w:val="24"/>
        </w:rPr>
        <w:t xml:space="preserve">. Probit analysis </w:t>
      </w:r>
      <w:r>
        <w:rPr>
          <w:rFonts w:ascii="Times New Roman" w:hAnsi="Times New Roman"/>
          <w:sz w:val="24"/>
          <w:highlight w:val="yellow"/>
        </w:rPr>
        <w:t>estimated</w:t>
      </w:r>
      <w:r>
        <w:rPr>
          <w:rFonts w:ascii="Times New Roman" w:hAnsi="Times New Roman"/>
          <w:sz w:val="24"/>
        </w:rPr>
        <w:t xml:space="preserve"> that the median lethal concentration (LC50) of the ethanol extract against fourth-instar </w:t>
      </w:r>
      <w:r>
        <w:rPr>
          <w:rFonts w:ascii="Times New Roman" w:hAnsi="Times New Roman"/>
          <w:i/>
          <w:sz w:val="24"/>
        </w:rPr>
        <w:t>Aedes aegypti</w:t>
      </w:r>
      <w:r>
        <w:rPr>
          <w:rFonts w:ascii="Times New Roman" w:hAnsi="Times New Roman"/>
          <w:sz w:val="24"/>
        </w:rPr>
        <w:t xml:space="preserve"> larvae was 520.0 µg/mL at 48 hours (95% </w:t>
      </w:r>
      <w:r>
        <w:rPr>
          <w:rFonts w:ascii="Times New Roman" w:hAnsi="Times New Roman"/>
          <w:sz w:val="24"/>
          <w:highlight w:val="yellow"/>
        </w:rPr>
        <w:t>confidence</w:t>
      </w:r>
      <w:r>
        <w:rPr>
          <w:rFonts w:ascii="Times New Roman" w:hAnsi="Times New Roman"/>
          <w:sz w:val="24"/>
        </w:rPr>
        <w:t xml:space="preserve"> </w:t>
      </w:r>
      <w:r>
        <w:rPr>
          <w:rFonts w:ascii="Times New Roman" w:hAnsi="Times New Roman"/>
          <w:sz w:val="24"/>
          <w:highlight w:val="yellow"/>
        </w:rPr>
        <w:t>interval</w:t>
      </w:r>
      <w:r>
        <w:rPr>
          <w:rFonts w:ascii="Times New Roman" w:hAnsi="Times New Roman"/>
          <w:sz w:val="24"/>
        </w:rPr>
        <w:t>: 485.4–556.8 µg/mL; χ2=3.12; P=.024). The calculated LC90 value was 845.0 µg/</w:t>
      </w:r>
      <w:proofErr w:type="spellStart"/>
      <w:r>
        <w:rPr>
          <w:rFonts w:ascii="Times New Roman" w:hAnsi="Times New Roman"/>
          <w:sz w:val="24"/>
        </w:rPr>
        <w:t>mL.</w:t>
      </w:r>
      <w:proofErr w:type="spellEnd"/>
    </w:p>
    <w:p w14:paraId="5EDFF705" w14:textId="77777777" w:rsidR="001974F1" w:rsidRPr="001974F1" w:rsidRDefault="001974F1" w:rsidP="0086579E">
      <w:pPr>
        <w:spacing w:before="100" w:beforeAutospacing="1" w:after="100" w:afterAutospacing="1" w:line="360" w:lineRule="auto"/>
        <w:jc w:val="both"/>
        <w:rPr>
          <w:rFonts w:ascii="Times New Roman" w:eastAsia="Times New Roman" w:hAnsi="Times New Roman" w:cs="Times New Roman"/>
          <w:sz w:val="24"/>
          <w:szCs w:val="24"/>
          <w:lang w:eastAsia="en-IN"/>
        </w:rPr>
      </w:pPr>
      <w:r>
        <w:rPr>
          <w:rFonts w:ascii="Times New Roman" w:hAnsi="Times New Roman"/>
          <w:sz w:val="24"/>
        </w:rPr>
        <w:t xml:space="preserve">This LC50 value </w:t>
      </w:r>
      <w:r>
        <w:rPr>
          <w:rFonts w:ascii="Times New Roman" w:hAnsi="Times New Roman"/>
          <w:sz w:val="24"/>
          <w:highlight w:val="yellow"/>
        </w:rPr>
        <w:t>is consistent with</w:t>
      </w:r>
      <w:r>
        <w:rPr>
          <w:rFonts w:ascii="Times New Roman" w:hAnsi="Times New Roman"/>
          <w:sz w:val="24"/>
        </w:rPr>
        <w:t xml:space="preserve"> trends observed in green larvicidal trials. Previous literature profiling methanolic and polar solvent leaf extractions of </w:t>
      </w:r>
      <w:r>
        <w:rPr>
          <w:rFonts w:ascii="Times New Roman" w:hAnsi="Times New Roman"/>
          <w:i/>
          <w:sz w:val="24"/>
        </w:rPr>
        <w:t>V. negundo</w:t>
      </w:r>
      <w:r>
        <w:rPr>
          <w:rFonts w:ascii="Times New Roman" w:hAnsi="Times New Roman"/>
          <w:sz w:val="24"/>
        </w:rPr>
        <w:t xml:space="preserve"> against </w:t>
      </w:r>
      <w:r>
        <w:rPr>
          <w:rFonts w:ascii="Times New Roman" w:hAnsi="Times New Roman"/>
          <w:i/>
          <w:sz w:val="24"/>
        </w:rPr>
        <w:t>Aedes aegypti</w:t>
      </w:r>
      <w:r>
        <w:rPr>
          <w:rFonts w:ascii="Times New Roman" w:hAnsi="Times New Roman"/>
          <w:sz w:val="24"/>
        </w:rPr>
        <w:t xml:space="preserve"> reported comparable median lethality thresholds (Chandrasekaran et al., 2019). Minor </w:t>
      </w:r>
      <w:r>
        <w:rPr>
          <w:rFonts w:ascii="Times New Roman" w:hAnsi="Times New Roman"/>
          <w:sz w:val="24"/>
          <w:highlight w:val="yellow"/>
        </w:rPr>
        <w:t>differences</w:t>
      </w:r>
      <w:r>
        <w:rPr>
          <w:rFonts w:ascii="Times New Roman" w:hAnsi="Times New Roman"/>
          <w:sz w:val="24"/>
        </w:rPr>
        <w:t xml:space="preserve"> in absolute concentrations reported across </w:t>
      </w:r>
      <w:r>
        <w:rPr>
          <w:rFonts w:ascii="Times New Roman" w:hAnsi="Times New Roman"/>
          <w:sz w:val="24"/>
          <w:highlight w:val="yellow"/>
        </w:rPr>
        <w:t>earlier</w:t>
      </w:r>
      <w:r>
        <w:rPr>
          <w:rFonts w:ascii="Times New Roman" w:hAnsi="Times New Roman"/>
          <w:sz w:val="24"/>
        </w:rPr>
        <w:t xml:space="preserve"> studies are typically attributed to regional variations in plant </w:t>
      </w:r>
      <w:r>
        <w:rPr>
          <w:rFonts w:ascii="Times New Roman" w:hAnsi="Times New Roman"/>
          <w:sz w:val="24"/>
          <w:highlight w:val="yellow"/>
        </w:rPr>
        <w:t>chemical profiles</w:t>
      </w:r>
      <w:r>
        <w:rPr>
          <w:rFonts w:ascii="Times New Roman" w:hAnsi="Times New Roman"/>
          <w:sz w:val="24"/>
        </w:rPr>
        <w:t xml:space="preserve">, microclimatic collection factors, and the specific metabolic resistance profiles of targeted local vector strains (Nawarathne &amp; Dharmarathne, </w:t>
      </w:r>
      <w:r>
        <w:rPr>
          <w:rFonts w:ascii="Times New Roman" w:hAnsi="Times New Roman"/>
          <w:sz w:val="24"/>
          <w:highlight w:val="yellow"/>
        </w:rPr>
        <w:t>2024</w:t>
      </w:r>
      <w:r>
        <w:rPr>
          <w:rFonts w:ascii="Times New Roman" w:hAnsi="Times New Roman"/>
          <w:sz w:val="24"/>
        </w:rPr>
        <w:t xml:space="preserve">). The relatively low chi-square value (χ2=3.12) indicates that the observed mortality trends </w:t>
      </w:r>
      <w:r>
        <w:rPr>
          <w:rFonts w:ascii="Times New Roman" w:hAnsi="Times New Roman"/>
          <w:sz w:val="24"/>
          <w:highlight w:val="yellow"/>
        </w:rPr>
        <w:t>fit</w:t>
      </w:r>
      <w:r>
        <w:rPr>
          <w:rFonts w:ascii="Times New Roman" w:hAnsi="Times New Roman"/>
          <w:sz w:val="24"/>
        </w:rPr>
        <w:t xml:space="preserve"> the Probit regression model, confirming a </w:t>
      </w:r>
      <w:r>
        <w:rPr>
          <w:rFonts w:ascii="Times New Roman" w:hAnsi="Times New Roman"/>
          <w:sz w:val="24"/>
          <w:highlight w:val="yellow"/>
        </w:rPr>
        <w:t>consistent</w:t>
      </w:r>
      <w:r>
        <w:rPr>
          <w:rFonts w:ascii="Times New Roman" w:hAnsi="Times New Roman"/>
          <w:sz w:val="24"/>
        </w:rPr>
        <w:t xml:space="preserve"> dose-response curve.</w:t>
      </w:r>
    </w:p>
    <w:p w14:paraId="511454F4" w14:textId="77777777" w:rsidR="001974F1" w:rsidRPr="001974F1" w:rsidRDefault="001974F1" w:rsidP="0086579E">
      <w:pPr>
        <w:spacing w:before="100" w:beforeAutospacing="1" w:after="100" w:afterAutospacing="1"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b/>
          <w:bCs/>
          <w:sz w:val="24"/>
          <w:szCs w:val="24"/>
          <w:lang w:eastAsia="en-IN"/>
        </w:rPr>
        <w:t xml:space="preserve">Table 3. Dose-Response Larvicidal Mortality and Probit Values of Ethanol Extract of </w:t>
      </w:r>
      <w:r w:rsidRPr="001974F1">
        <w:rPr>
          <w:rFonts w:ascii="Times New Roman" w:eastAsia="Times New Roman" w:hAnsi="Times New Roman" w:cs="Times New Roman"/>
          <w:b/>
          <w:bCs/>
          <w:i/>
          <w:iCs/>
          <w:sz w:val="24"/>
          <w:szCs w:val="24"/>
          <w:lang w:eastAsia="en-IN"/>
        </w:rPr>
        <w:t>Vitex negundo</w:t>
      </w:r>
    </w:p>
    <w:tbl>
      <w:tblPr>
        <w:tblStyle w:val="TableGrid"/>
        <w:tblW w:w="0" w:type="auto"/>
        <w:tblLook w:val="04A0" w:firstRow="1" w:lastRow="0" w:firstColumn="1" w:lastColumn="0" w:noHBand="0" w:noVBand="1"/>
      </w:tblPr>
      <w:tblGrid>
        <w:gridCol w:w="2225"/>
        <w:gridCol w:w="2026"/>
        <w:gridCol w:w="2026"/>
        <w:gridCol w:w="2739"/>
      </w:tblGrid>
      <w:tr w:rsidR="001974F1" w:rsidRPr="001974F1" w14:paraId="2F22C02A" w14:textId="77777777" w:rsidTr="001974F1">
        <w:tc>
          <w:tcPr>
            <w:tcW w:w="0" w:type="auto"/>
            <w:hideMark/>
          </w:tcPr>
          <w:p w14:paraId="140C0230" w14:textId="77777777" w:rsidR="001974F1" w:rsidRPr="001974F1" w:rsidRDefault="001974F1" w:rsidP="0086579E">
            <w:pPr>
              <w:spacing w:line="360" w:lineRule="auto"/>
              <w:jc w:val="both"/>
              <w:rPr>
                <w:rFonts w:ascii="Times New Roman" w:eastAsia="Times New Roman" w:hAnsi="Times New Roman" w:cs="Times New Roman"/>
                <w:b/>
                <w:bCs/>
                <w:sz w:val="24"/>
                <w:szCs w:val="24"/>
                <w:lang w:eastAsia="en-IN"/>
              </w:rPr>
            </w:pPr>
            <w:r w:rsidRPr="001974F1">
              <w:rPr>
                <w:rFonts w:ascii="Times New Roman" w:eastAsia="Times New Roman" w:hAnsi="Times New Roman" w:cs="Times New Roman"/>
                <w:b/>
                <w:bCs/>
                <w:sz w:val="24"/>
                <w:szCs w:val="24"/>
                <w:lang w:eastAsia="en-IN"/>
              </w:rPr>
              <w:lastRenderedPageBreak/>
              <w:t>Concentration (µg/mL)</w:t>
            </w:r>
          </w:p>
        </w:tc>
        <w:tc>
          <w:tcPr>
            <w:tcW w:w="0" w:type="auto"/>
            <w:hideMark/>
          </w:tcPr>
          <w:p w14:paraId="2BBCB458" w14:textId="77777777" w:rsidR="001974F1" w:rsidRPr="001974F1" w:rsidRDefault="001974F1" w:rsidP="0086579E">
            <w:pPr>
              <w:spacing w:line="360" w:lineRule="auto"/>
              <w:jc w:val="both"/>
              <w:rPr>
                <w:rFonts w:ascii="Times New Roman" w:eastAsia="Times New Roman" w:hAnsi="Times New Roman" w:cs="Times New Roman"/>
                <w:b/>
                <w:bCs/>
                <w:sz w:val="24"/>
                <w:szCs w:val="24"/>
                <w:lang w:eastAsia="en-IN"/>
              </w:rPr>
            </w:pPr>
            <w:r w:rsidRPr="001974F1">
              <w:rPr>
                <w:rFonts w:ascii="Times New Roman" w:eastAsia="Times New Roman" w:hAnsi="Times New Roman" w:cs="Times New Roman"/>
                <w:b/>
                <w:bCs/>
                <w:sz w:val="24"/>
                <w:szCs w:val="24"/>
                <w:lang w:eastAsia="en-IN"/>
              </w:rPr>
              <w:t>24-hour Mortality (%)</w:t>
            </w:r>
          </w:p>
        </w:tc>
        <w:tc>
          <w:tcPr>
            <w:tcW w:w="0" w:type="auto"/>
            <w:hideMark/>
          </w:tcPr>
          <w:p w14:paraId="015F63B2" w14:textId="77777777" w:rsidR="001974F1" w:rsidRPr="001974F1" w:rsidRDefault="001974F1" w:rsidP="0086579E">
            <w:pPr>
              <w:spacing w:line="360" w:lineRule="auto"/>
              <w:jc w:val="both"/>
              <w:rPr>
                <w:rFonts w:ascii="Times New Roman" w:eastAsia="Times New Roman" w:hAnsi="Times New Roman" w:cs="Times New Roman"/>
                <w:b/>
                <w:bCs/>
                <w:sz w:val="24"/>
                <w:szCs w:val="24"/>
                <w:lang w:eastAsia="en-IN"/>
              </w:rPr>
            </w:pPr>
            <w:r w:rsidRPr="001974F1">
              <w:rPr>
                <w:rFonts w:ascii="Times New Roman" w:eastAsia="Times New Roman" w:hAnsi="Times New Roman" w:cs="Times New Roman"/>
                <w:b/>
                <w:bCs/>
                <w:sz w:val="24"/>
                <w:szCs w:val="24"/>
                <w:lang w:eastAsia="en-IN"/>
              </w:rPr>
              <w:t>48-hour Mortality (%)</w:t>
            </w:r>
          </w:p>
        </w:tc>
        <w:tc>
          <w:tcPr>
            <w:tcW w:w="0" w:type="auto"/>
            <w:hideMark/>
          </w:tcPr>
          <w:p w14:paraId="43806155" w14:textId="77777777" w:rsidR="001974F1" w:rsidRPr="001974F1" w:rsidRDefault="001974F1" w:rsidP="0086579E">
            <w:pPr>
              <w:spacing w:line="360" w:lineRule="auto"/>
              <w:jc w:val="both"/>
              <w:rPr>
                <w:rFonts w:ascii="Times New Roman" w:eastAsia="Times New Roman" w:hAnsi="Times New Roman" w:cs="Times New Roman"/>
                <w:b/>
                <w:bCs/>
                <w:sz w:val="24"/>
                <w:szCs w:val="24"/>
                <w:lang w:eastAsia="en-IN"/>
              </w:rPr>
            </w:pPr>
            <w:r w:rsidRPr="001974F1">
              <w:rPr>
                <w:rFonts w:ascii="Times New Roman" w:eastAsia="Times New Roman" w:hAnsi="Times New Roman" w:cs="Times New Roman"/>
                <w:b/>
                <w:bCs/>
                <w:sz w:val="24"/>
                <w:szCs w:val="24"/>
                <w:lang w:eastAsia="en-IN"/>
              </w:rPr>
              <w:t>Regression Parameters (48 hours)</w:t>
            </w:r>
          </w:p>
        </w:tc>
      </w:tr>
      <w:tr w:rsidR="001974F1" w:rsidRPr="001974F1" w14:paraId="59039739" w14:textId="77777777" w:rsidTr="001974F1">
        <w:tc>
          <w:tcPr>
            <w:tcW w:w="0" w:type="auto"/>
            <w:hideMark/>
          </w:tcPr>
          <w:p w14:paraId="6332D8BB" w14:textId="77777777" w:rsidR="001974F1" w:rsidRPr="001974F1" w:rsidRDefault="001974F1" w:rsidP="0086579E">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b/>
                <w:bCs/>
                <w:sz w:val="24"/>
                <w:szCs w:val="24"/>
                <w:lang w:eastAsia="en-IN"/>
              </w:rPr>
              <w:t>100</w:t>
            </w:r>
          </w:p>
        </w:tc>
        <w:tc>
          <w:tcPr>
            <w:tcW w:w="0" w:type="auto"/>
            <w:hideMark/>
          </w:tcPr>
          <w:p w14:paraId="30B17718" w14:textId="77777777" w:rsidR="001974F1" w:rsidRPr="001974F1" w:rsidRDefault="001974F1" w:rsidP="0086579E">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6.00±0.82</w:t>
            </w:r>
          </w:p>
        </w:tc>
        <w:tc>
          <w:tcPr>
            <w:tcW w:w="0" w:type="auto"/>
            <w:hideMark/>
          </w:tcPr>
          <w:p w14:paraId="2332A28C" w14:textId="77777777" w:rsidR="001974F1" w:rsidRPr="001974F1" w:rsidRDefault="001974F1" w:rsidP="0086579E">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14.00±1.25</w:t>
            </w:r>
          </w:p>
        </w:tc>
        <w:tc>
          <w:tcPr>
            <w:tcW w:w="0" w:type="auto"/>
            <w:hideMark/>
          </w:tcPr>
          <w:p w14:paraId="68928BA1" w14:textId="77777777" w:rsidR="001974F1" w:rsidRPr="001974F1" w:rsidRDefault="001974F1" w:rsidP="0086579E">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b/>
                <w:bCs/>
                <w:sz w:val="24"/>
                <w:szCs w:val="24"/>
                <w:lang w:eastAsia="en-IN"/>
              </w:rPr>
              <w:t>LC50​:</w:t>
            </w:r>
            <w:r w:rsidRPr="001974F1">
              <w:rPr>
                <w:rFonts w:ascii="Times New Roman" w:eastAsia="Times New Roman" w:hAnsi="Times New Roman" w:cs="Times New Roman"/>
                <w:sz w:val="24"/>
                <w:szCs w:val="24"/>
                <w:lang w:eastAsia="en-IN"/>
              </w:rPr>
              <w:t xml:space="preserve"> 520.0 µg/mL (485.4–556.8)</w:t>
            </w:r>
          </w:p>
        </w:tc>
      </w:tr>
      <w:tr w:rsidR="001974F1" w:rsidRPr="001974F1" w14:paraId="75273F70" w14:textId="77777777" w:rsidTr="001974F1">
        <w:tc>
          <w:tcPr>
            <w:tcW w:w="0" w:type="auto"/>
            <w:hideMark/>
          </w:tcPr>
          <w:p w14:paraId="79CD4995" w14:textId="77777777" w:rsidR="001974F1" w:rsidRPr="001974F1" w:rsidRDefault="001974F1" w:rsidP="0086579E">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b/>
                <w:bCs/>
                <w:sz w:val="24"/>
                <w:szCs w:val="24"/>
                <w:lang w:eastAsia="en-IN"/>
              </w:rPr>
              <w:t>250</w:t>
            </w:r>
          </w:p>
        </w:tc>
        <w:tc>
          <w:tcPr>
            <w:tcW w:w="0" w:type="auto"/>
            <w:hideMark/>
          </w:tcPr>
          <w:p w14:paraId="538CDE33" w14:textId="77777777" w:rsidR="001974F1" w:rsidRPr="001974F1" w:rsidRDefault="001974F1" w:rsidP="0086579E">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16.00±1.47</w:t>
            </w:r>
          </w:p>
        </w:tc>
        <w:tc>
          <w:tcPr>
            <w:tcW w:w="0" w:type="auto"/>
            <w:hideMark/>
          </w:tcPr>
          <w:p w14:paraId="5E353B25" w14:textId="77777777" w:rsidR="001974F1" w:rsidRPr="001974F1" w:rsidRDefault="001974F1" w:rsidP="0086579E">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32.00±2.04</w:t>
            </w:r>
          </w:p>
        </w:tc>
        <w:tc>
          <w:tcPr>
            <w:tcW w:w="0" w:type="auto"/>
            <w:hideMark/>
          </w:tcPr>
          <w:p w14:paraId="3B2AD481" w14:textId="77777777" w:rsidR="001974F1" w:rsidRPr="001974F1" w:rsidRDefault="001974F1" w:rsidP="0086579E">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b/>
                <w:bCs/>
                <w:sz w:val="24"/>
                <w:szCs w:val="24"/>
                <w:lang w:eastAsia="en-IN"/>
              </w:rPr>
              <w:t>LC90​:</w:t>
            </w:r>
            <w:r w:rsidRPr="001974F1">
              <w:rPr>
                <w:rFonts w:ascii="Times New Roman" w:eastAsia="Times New Roman" w:hAnsi="Times New Roman" w:cs="Times New Roman"/>
                <w:sz w:val="24"/>
                <w:szCs w:val="24"/>
                <w:lang w:eastAsia="en-IN"/>
              </w:rPr>
              <w:t xml:space="preserve"> 845.0 µg/mL</w:t>
            </w:r>
          </w:p>
        </w:tc>
      </w:tr>
      <w:tr w:rsidR="001974F1" w:rsidRPr="001974F1" w14:paraId="4868EDA1" w14:textId="77777777" w:rsidTr="001974F1">
        <w:tc>
          <w:tcPr>
            <w:tcW w:w="0" w:type="auto"/>
            <w:hideMark/>
          </w:tcPr>
          <w:p w14:paraId="7DB99F13" w14:textId="77777777" w:rsidR="001974F1" w:rsidRPr="001974F1" w:rsidRDefault="001974F1" w:rsidP="0086579E">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b/>
                <w:bCs/>
                <w:sz w:val="24"/>
                <w:szCs w:val="24"/>
                <w:lang w:eastAsia="en-IN"/>
              </w:rPr>
              <w:t>500</w:t>
            </w:r>
          </w:p>
        </w:tc>
        <w:tc>
          <w:tcPr>
            <w:tcW w:w="0" w:type="auto"/>
            <w:hideMark/>
          </w:tcPr>
          <w:p w14:paraId="5518919D" w14:textId="77777777" w:rsidR="001974F1" w:rsidRPr="001974F1" w:rsidRDefault="001974F1" w:rsidP="0086579E">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22.00±1.89</w:t>
            </w:r>
          </w:p>
        </w:tc>
        <w:tc>
          <w:tcPr>
            <w:tcW w:w="0" w:type="auto"/>
            <w:hideMark/>
          </w:tcPr>
          <w:p w14:paraId="2A971BAA" w14:textId="77777777" w:rsidR="001974F1" w:rsidRPr="001974F1" w:rsidRDefault="001974F1" w:rsidP="0086579E">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50.00±2.81</w:t>
            </w:r>
          </w:p>
        </w:tc>
        <w:tc>
          <w:tcPr>
            <w:tcW w:w="0" w:type="auto"/>
            <w:hideMark/>
          </w:tcPr>
          <w:p w14:paraId="020D0441" w14:textId="77777777" w:rsidR="001974F1" w:rsidRPr="001974F1" w:rsidRDefault="001974F1" w:rsidP="0086579E">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b/>
                <w:bCs/>
                <w:sz w:val="24"/>
                <w:szCs w:val="24"/>
                <w:lang w:eastAsia="en-IN"/>
              </w:rPr>
              <w:t>χ2:</w:t>
            </w:r>
            <w:r w:rsidRPr="001974F1">
              <w:rPr>
                <w:rFonts w:ascii="Times New Roman" w:eastAsia="Times New Roman" w:hAnsi="Times New Roman" w:cs="Times New Roman"/>
                <w:sz w:val="24"/>
                <w:szCs w:val="24"/>
                <w:lang w:eastAsia="en-IN"/>
              </w:rPr>
              <w:t xml:space="preserve"> 3.12</w:t>
            </w:r>
          </w:p>
        </w:tc>
      </w:tr>
      <w:tr w:rsidR="001974F1" w:rsidRPr="001974F1" w14:paraId="09F1BCAB" w14:textId="77777777" w:rsidTr="001974F1">
        <w:tc>
          <w:tcPr>
            <w:tcW w:w="0" w:type="auto"/>
            <w:hideMark/>
          </w:tcPr>
          <w:p w14:paraId="7C712648" w14:textId="77777777" w:rsidR="001974F1" w:rsidRPr="001974F1" w:rsidRDefault="001974F1" w:rsidP="0086579E">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b/>
                <w:bCs/>
                <w:sz w:val="24"/>
                <w:szCs w:val="24"/>
                <w:lang w:eastAsia="en-IN"/>
              </w:rPr>
              <w:t>750</w:t>
            </w:r>
          </w:p>
        </w:tc>
        <w:tc>
          <w:tcPr>
            <w:tcW w:w="0" w:type="auto"/>
            <w:hideMark/>
          </w:tcPr>
          <w:p w14:paraId="1BD6A579" w14:textId="77777777" w:rsidR="001974F1" w:rsidRPr="001974F1" w:rsidRDefault="001974F1" w:rsidP="0086579E">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28.00±2.16</w:t>
            </w:r>
          </w:p>
        </w:tc>
        <w:tc>
          <w:tcPr>
            <w:tcW w:w="0" w:type="auto"/>
            <w:hideMark/>
          </w:tcPr>
          <w:p w14:paraId="1496DC9D" w14:textId="77777777" w:rsidR="001974F1" w:rsidRPr="001974F1" w:rsidRDefault="001974F1" w:rsidP="0086579E">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sz w:val="24"/>
                <w:szCs w:val="24"/>
                <w:lang w:eastAsia="en-IN"/>
              </w:rPr>
              <w:t>62.00±3.42</w:t>
            </w:r>
          </w:p>
        </w:tc>
        <w:tc>
          <w:tcPr>
            <w:tcW w:w="0" w:type="auto"/>
            <w:hideMark/>
          </w:tcPr>
          <w:p w14:paraId="7A9A3BB6" w14:textId="77777777" w:rsidR="001974F1" w:rsidRPr="001974F1" w:rsidRDefault="001974F1" w:rsidP="0086579E">
            <w:pPr>
              <w:spacing w:line="360" w:lineRule="auto"/>
              <w:jc w:val="both"/>
              <w:rPr>
                <w:rFonts w:ascii="Times New Roman" w:eastAsia="Times New Roman" w:hAnsi="Times New Roman" w:cs="Times New Roman"/>
                <w:sz w:val="24"/>
                <w:szCs w:val="24"/>
                <w:lang w:eastAsia="en-IN"/>
              </w:rPr>
            </w:pPr>
            <w:r w:rsidRPr="001974F1">
              <w:rPr>
                <w:rFonts w:ascii="Times New Roman" w:eastAsia="Times New Roman" w:hAnsi="Times New Roman" w:cs="Times New Roman"/>
                <w:b/>
                <w:bCs/>
                <w:sz w:val="24"/>
                <w:szCs w:val="24"/>
                <w:lang w:eastAsia="en-IN"/>
              </w:rPr>
              <w:t>P-value:</w:t>
            </w:r>
            <w:r w:rsidRPr="001974F1">
              <w:rPr>
                <w:rFonts w:ascii="Times New Roman" w:eastAsia="Times New Roman" w:hAnsi="Times New Roman" w:cs="Times New Roman"/>
                <w:sz w:val="24"/>
                <w:szCs w:val="24"/>
                <w:lang w:eastAsia="en-IN"/>
              </w:rPr>
              <w:t xml:space="preserve"> .024</w:t>
            </w:r>
          </w:p>
        </w:tc>
      </w:tr>
    </w:tbl>
    <w:p w14:paraId="19DF8FDD" w14:textId="77777777" w:rsidR="001974F1" w:rsidRPr="001974F1" w:rsidRDefault="001974F1" w:rsidP="0086579E">
      <w:pPr>
        <w:spacing w:before="100" w:beforeAutospacing="1" w:after="100" w:afterAutospacing="1" w:line="360" w:lineRule="auto"/>
        <w:jc w:val="both"/>
        <w:outlineLvl w:val="2"/>
        <w:rPr>
          <w:rFonts w:ascii="Times New Roman" w:eastAsia="Times New Roman" w:hAnsi="Times New Roman" w:cs="Times New Roman"/>
          <w:b/>
          <w:bCs/>
          <w:sz w:val="24"/>
          <w:szCs w:val="24"/>
          <w:lang w:eastAsia="en-IN"/>
        </w:rPr>
      </w:pPr>
      <w:r w:rsidRPr="001974F1">
        <w:rPr>
          <w:rFonts w:ascii="Times New Roman" w:eastAsia="Times New Roman" w:hAnsi="Times New Roman" w:cs="Times New Roman"/>
          <w:b/>
          <w:bCs/>
          <w:sz w:val="24"/>
          <w:szCs w:val="24"/>
          <w:lang w:eastAsia="en-IN"/>
        </w:rPr>
        <w:t>3.4 Effect of Exposure Time on Larvicidal Activity</w:t>
      </w:r>
    </w:p>
    <w:p w14:paraId="309EDD6A" w14:textId="77777777" w:rsidR="001974F1" w:rsidRPr="001974F1" w:rsidRDefault="001974F1" w:rsidP="0086579E">
      <w:pPr>
        <w:spacing w:before="100" w:beforeAutospacing="1" w:after="100" w:afterAutospacing="1" w:line="360" w:lineRule="auto"/>
        <w:jc w:val="both"/>
        <w:rPr>
          <w:rFonts w:ascii="Times New Roman" w:eastAsia="Times New Roman" w:hAnsi="Times New Roman" w:cs="Times New Roman"/>
          <w:sz w:val="24"/>
          <w:szCs w:val="24"/>
          <w:lang w:eastAsia="en-IN"/>
        </w:rPr>
      </w:pPr>
      <w:r>
        <w:rPr>
          <w:rFonts w:ascii="Times New Roman" w:hAnsi="Times New Roman"/>
          <w:sz w:val="24"/>
        </w:rPr>
        <w:t xml:space="preserve">The length of exposure time significantly </w:t>
      </w:r>
      <w:r>
        <w:rPr>
          <w:rFonts w:ascii="Times New Roman" w:hAnsi="Times New Roman"/>
          <w:sz w:val="24"/>
          <w:highlight w:val="yellow"/>
        </w:rPr>
        <w:t>affected</w:t>
      </w:r>
      <w:r>
        <w:rPr>
          <w:rFonts w:ascii="Times New Roman" w:hAnsi="Times New Roman"/>
          <w:sz w:val="24"/>
        </w:rPr>
        <w:t xml:space="preserve"> the toxicological profile and </w:t>
      </w:r>
      <w:r>
        <w:rPr>
          <w:rFonts w:ascii="Times New Roman" w:hAnsi="Times New Roman"/>
          <w:sz w:val="24"/>
          <w:highlight w:val="yellow"/>
        </w:rPr>
        <w:t>larvicidal</w:t>
      </w:r>
      <w:r>
        <w:rPr>
          <w:rFonts w:ascii="Times New Roman" w:hAnsi="Times New Roman"/>
          <w:sz w:val="24"/>
        </w:rPr>
        <w:t xml:space="preserve"> performance of all tested systems. The isopropanol extract showed </w:t>
      </w:r>
      <w:r>
        <w:rPr>
          <w:rFonts w:ascii="Times New Roman" w:hAnsi="Times New Roman"/>
          <w:sz w:val="24"/>
          <w:highlight w:val="yellow"/>
        </w:rPr>
        <w:t>gradual</w:t>
      </w:r>
      <w:r>
        <w:rPr>
          <w:rFonts w:ascii="Times New Roman" w:hAnsi="Times New Roman"/>
          <w:sz w:val="24"/>
        </w:rPr>
        <w:t xml:space="preserve">, moderate increases in mortality over time, progressing from 2.00% at 12 hours to 52.00% at 48 hours. In comparison, the ethanol extract demonstrated a more pronounced response, accelerating sharply after 24 hours to achieve its peak efficacy of 68.00% at 48 hours. Conversely, the aqueous extract showed poor performance, failing to exceed 16.67% mortality even at the </w:t>
      </w:r>
      <w:r>
        <w:rPr>
          <w:rFonts w:ascii="Times New Roman" w:hAnsi="Times New Roman"/>
          <w:sz w:val="24"/>
          <w:highlight w:val="yellow"/>
        </w:rPr>
        <w:t>longest</w:t>
      </w:r>
      <w:r>
        <w:rPr>
          <w:rFonts w:ascii="Times New Roman" w:hAnsi="Times New Roman"/>
          <w:sz w:val="24"/>
        </w:rPr>
        <w:t xml:space="preserve"> 48-hour exposure interval.</w:t>
      </w:r>
    </w:p>
    <w:p w14:paraId="59A0F3F6" w14:textId="77777777" w:rsidR="001974F1" w:rsidRPr="001974F1" w:rsidRDefault="001974F1" w:rsidP="0086579E">
      <w:pPr>
        <w:spacing w:before="100" w:beforeAutospacing="1" w:after="100" w:afterAutospacing="1" w:line="360" w:lineRule="auto"/>
        <w:jc w:val="both"/>
        <w:rPr>
          <w:rFonts w:ascii="Times New Roman" w:eastAsia="Times New Roman" w:hAnsi="Times New Roman" w:cs="Times New Roman"/>
          <w:sz w:val="24"/>
          <w:szCs w:val="24"/>
          <w:lang w:eastAsia="en-IN"/>
        </w:rPr>
      </w:pPr>
      <w:r>
        <w:t>This latency in peak mortality, occurring closer to the 48-hour threshold rather than the immediate 12-hour window, suggests that the active botanical molecules act primarily as slow-acting stomach poisons or endocrine-disrupting agents rather than rapid neurotoxins. This pattern is consistent with the review by Shaalan et al. (2005), which indicates that botanical phytochemicals can exert mosquitocidal effects through sustained disruption of larval development, respiration, and hormone-driven moulting transitions.</w:t>
      </w:r>
    </w:p>
    <w:p w14:paraId="0EBC1703" w14:textId="77777777" w:rsidR="001974F1" w:rsidRPr="001974F1" w:rsidRDefault="001974F1" w:rsidP="0086579E">
      <w:pPr>
        <w:spacing w:before="100" w:beforeAutospacing="1" w:after="100" w:afterAutospacing="1" w:line="360" w:lineRule="auto"/>
        <w:jc w:val="both"/>
        <w:outlineLvl w:val="2"/>
        <w:rPr>
          <w:rFonts w:ascii="Times New Roman" w:eastAsia="Times New Roman" w:hAnsi="Times New Roman" w:cs="Times New Roman"/>
          <w:b/>
          <w:bCs/>
          <w:sz w:val="24"/>
          <w:szCs w:val="24"/>
          <w:lang w:eastAsia="en-IN"/>
        </w:rPr>
      </w:pPr>
      <w:r w:rsidRPr="001974F1">
        <w:rPr>
          <w:rFonts w:ascii="Times New Roman" w:eastAsia="Times New Roman" w:hAnsi="Times New Roman" w:cs="Times New Roman"/>
          <w:b/>
          <w:bCs/>
          <w:sz w:val="24"/>
          <w:szCs w:val="24"/>
          <w:lang w:eastAsia="en-IN"/>
        </w:rPr>
        <w:t xml:space="preserve">3.5 </w:t>
      </w:r>
      <w:r>
        <w:rPr>
          <w:rFonts w:ascii="Times New Roman" w:eastAsia="Times New Roman" w:hAnsi="Times New Roman" w:cs="Times New Roman"/>
          <w:b/>
          <w:bCs/>
          <w:sz w:val="24"/>
          <w:szCs w:val="24"/>
          <w:lang w:eastAsia="en-IN"/>
        </w:rPr>
        <w:t>Outcome of the research work</w:t>
      </w:r>
    </w:p>
    <w:p w14:paraId="60CB7E1E" w14:textId="77777777" w:rsidR="001974F1" w:rsidRPr="001974F1" w:rsidRDefault="001974F1" w:rsidP="0086579E">
      <w:pPr>
        <w:spacing w:before="100" w:beforeAutospacing="1" w:after="100" w:afterAutospacing="1" w:line="360" w:lineRule="auto"/>
        <w:jc w:val="both"/>
        <w:rPr>
          <w:rFonts w:ascii="Times New Roman" w:eastAsia="Times New Roman" w:hAnsi="Times New Roman" w:cs="Times New Roman"/>
          <w:sz w:val="24"/>
          <w:szCs w:val="24"/>
          <w:lang w:eastAsia="en-IN"/>
        </w:rPr>
      </w:pPr>
      <w:r>
        <w:rPr>
          <w:rFonts w:ascii="Times New Roman" w:hAnsi="Times New Roman"/>
          <w:sz w:val="24"/>
        </w:rPr>
        <w:t xml:space="preserve">While the larvicidal nature of </w:t>
      </w:r>
      <w:r>
        <w:rPr>
          <w:rFonts w:ascii="Times New Roman" w:hAnsi="Times New Roman"/>
          <w:i/>
          <w:sz w:val="24"/>
        </w:rPr>
        <w:t>Vitex negundo</w:t>
      </w:r>
      <w:r>
        <w:rPr>
          <w:rFonts w:ascii="Times New Roman" w:hAnsi="Times New Roman"/>
          <w:sz w:val="24"/>
        </w:rPr>
        <w:t xml:space="preserve"> has been explored in </w:t>
      </w:r>
      <w:r>
        <w:rPr>
          <w:rFonts w:ascii="Times New Roman" w:hAnsi="Times New Roman"/>
          <w:sz w:val="24"/>
          <w:highlight w:val="yellow"/>
        </w:rPr>
        <w:t>generalised</w:t>
      </w:r>
      <w:r>
        <w:rPr>
          <w:rFonts w:ascii="Times New Roman" w:hAnsi="Times New Roman"/>
          <w:sz w:val="24"/>
        </w:rPr>
        <w:t xml:space="preserve"> public health contexts, this investigation introduces several distinct aspects that set it apart from existing literature:</w:t>
      </w:r>
    </w:p>
    <w:p w14:paraId="79B22F4B" w14:textId="77777777" w:rsidR="001974F1" w:rsidRPr="001974F1" w:rsidRDefault="001974F1" w:rsidP="0086579E">
      <w:pPr>
        <w:numPr>
          <w:ilvl w:val="0"/>
          <w:numId w:val="1"/>
        </w:numPr>
        <w:spacing w:before="100" w:beforeAutospacing="1" w:after="100" w:afterAutospacing="1" w:line="360" w:lineRule="auto"/>
        <w:jc w:val="both"/>
        <w:rPr>
          <w:rFonts w:ascii="Times New Roman" w:eastAsia="Times New Roman" w:hAnsi="Times New Roman" w:cs="Times New Roman"/>
          <w:sz w:val="24"/>
          <w:szCs w:val="24"/>
          <w:lang w:eastAsia="en-IN"/>
        </w:rPr>
      </w:pPr>
      <w:r>
        <w:rPr>
          <w:rFonts w:ascii="Times New Roman" w:hAnsi="Times New Roman"/>
          <w:sz w:val="24"/>
        </w:rPr>
        <w:t xml:space="preserve">Veterinary-Centric Vector Orientation: Rather than viewing </w:t>
      </w:r>
      <w:r>
        <w:rPr>
          <w:rFonts w:ascii="Times New Roman" w:hAnsi="Times New Roman"/>
          <w:i/>
          <w:sz w:val="24"/>
        </w:rPr>
        <w:t>Aedes aegypti</w:t>
      </w:r>
      <w:r>
        <w:rPr>
          <w:rFonts w:ascii="Times New Roman" w:hAnsi="Times New Roman"/>
          <w:sz w:val="24"/>
        </w:rPr>
        <w:t xml:space="preserve"> </w:t>
      </w:r>
      <w:r>
        <w:rPr>
          <w:rFonts w:ascii="Times New Roman" w:hAnsi="Times New Roman"/>
          <w:b/>
          <w:sz w:val="24"/>
          <w:highlight w:val="yellow"/>
        </w:rPr>
        <w:t>only</w:t>
      </w:r>
      <w:r>
        <w:rPr>
          <w:rFonts w:ascii="Times New Roman" w:hAnsi="Times New Roman"/>
          <w:sz w:val="24"/>
        </w:rPr>
        <w:t xml:space="preserve"> as an urban human health hazard, this study </w:t>
      </w:r>
      <w:r>
        <w:rPr>
          <w:rFonts w:ascii="Times New Roman" w:hAnsi="Times New Roman"/>
          <w:b/>
          <w:sz w:val="24"/>
          <w:highlight w:val="yellow"/>
        </w:rPr>
        <w:t>examines</w:t>
      </w:r>
      <w:r>
        <w:rPr>
          <w:rFonts w:ascii="Times New Roman" w:hAnsi="Times New Roman"/>
          <w:sz w:val="24"/>
        </w:rPr>
        <w:t xml:space="preserve"> its importance within livestock micro-environments. By focusing on how these botanical extracts can disrupt vector propagation inside and around livestock production systems, this </w:t>
      </w:r>
      <w:r>
        <w:rPr>
          <w:rFonts w:ascii="Times New Roman" w:hAnsi="Times New Roman"/>
          <w:b/>
          <w:sz w:val="24"/>
          <w:highlight w:val="yellow"/>
        </w:rPr>
        <w:t>study</w:t>
      </w:r>
      <w:r>
        <w:rPr>
          <w:rFonts w:ascii="Times New Roman" w:hAnsi="Times New Roman"/>
          <w:b/>
          <w:sz w:val="24"/>
        </w:rPr>
        <w:t xml:space="preserve"> </w:t>
      </w:r>
      <w:r>
        <w:rPr>
          <w:rFonts w:ascii="Times New Roman" w:hAnsi="Times New Roman"/>
          <w:b/>
          <w:sz w:val="24"/>
          <w:highlight w:val="yellow"/>
        </w:rPr>
        <w:t>addresses</w:t>
      </w:r>
      <w:r>
        <w:rPr>
          <w:rFonts w:ascii="Times New Roman" w:hAnsi="Times New Roman"/>
          <w:b/>
          <w:sz w:val="24"/>
        </w:rPr>
        <w:t xml:space="preserve"> a</w:t>
      </w:r>
      <w:r>
        <w:rPr>
          <w:rFonts w:ascii="Times New Roman" w:hAnsi="Times New Roman"/>
          <w:sz w:val="24"/>
        </w:rPr>
        <w:t xml:space="preserve"> gap in veterinary integrated vector management (IVM).</w:t>
      </w:r>
    </w:p>
    <w:p w14:paraId="43CD4DC0" w14:textId="77777777" w:rsidR="001974F1" w:rsidRPr="001974F1" w:rsidRDefault="001974F1" w:rsidP="0086579E">
      <w:pPr>
        <w:numPr>
          <w:ilvl w:val="0"/>
          <w:numId w:val="1"/>
        </w:numPr>
        <w:spacing w:before="100" w:beforeAutospacing="1" w:after="100" w:afterAutospacing="1" w:line="360" w:lineRule="auto"/>
        <w:jc w:val="both"/>
        <w:rPr>
          <w:rFonts w:ascii="Times New Roman" w:eastAsia="Times New Roman" w:hAnsi="Times New Roman" w:cs="Times New Roman"/>
          <w:sz w:val="24"/>
          <w:szCs w:val="24"/>
          <w:lang w:eastAsia="en-IN"/>
        </w:rPr>
      </w:pPr>
      <w:r>
        <w:rPr>
          <w:rFonts w:ascii="Times New Roman" w:hAnsi="Times New Roman"/>
          <w:sz w:val="24"/>
        </w:rPr>
        <w:lastRenderedPageBreak/>
        <w:t xml:space="preserve">Isopropanol Extraction Profiling: While conventional literature predominantly focuses on simple water, methanol, or ethanol extractions, this study includes a systematic validation of an isopropanol extraction system. Documenting its specific phytochemical yield (e.g., maintaining high flavonoids and terpenoids while </w:t>
      </w:r>
      <w:r>
        <w:rPr>
          <w:rFonts w:ascii="Times New Roman" w:hAnsi="Times New Roman"/>
          <w:b/>
          <w:sz w:val="24"/>
          <w:highlight w:val="yellow"/>
        </w:rPr>
        <w:t>excluding</w:t>
      </w:r>
      <w:r>
        <w:rPr>
          <w:rFonts w:ascii="Times New Roman" w:hAnsi="Times New Roman"/>
          <w:b/>
          <w:sz w:val="24"/>
        </w:rPr>
        <w:t xml:space="preserve"> alkaloids) provides </w:t>
      </w:r>
      <w:r>
        <w:rPr>
          <w:rFonts w:ascii="Times New Roman" w:hAnsi="Times New Roman"/>
          <w:b/>
          <w:sz w:val="24"/>
          <w:highlight w:val="yellow"/>
        </w:rPr>
        <w:t>an</w:t>
      </w:r>
      <w:r>
        <w:rPr>
          <w:rFonts w:ascii="Times New Roman" w:hAnsi="Times New Roman"/>
          <w:b/>
          <w:sz w:val="24"/>
        </w:rPr>
        <w:t xml:space="preserve"> extraction </w:t>
      </w:r>
      <w:r>
        <w:rPr>
          <w:rFonts w:ascii="Times New Roman" w:hAnsi="Times New Roman"/>
          <w:b/>
          <w:sz w:val="24"/>
          <w:highlight w:val="yellow"/>
        </w:rPr>
        <w:t>profile</w:t>
      </w:r>
      <w:r>
        <w:rPr>
          <w:rFonts w:ascii="Times New Roman" w:hAnsi="Times New Roman"/>
          <w:b/>
          <w:sz w:val="24"/>
        </w:rPr>
        <w:t xml:space="preserve"> for targeted </w:t>
      </w:r>
      <w:r>
        <w:rPr>
          <w:rFonts w:ascii="Times New Roman" w:hAnsi="Times New Roman"/>
          <w:b/>
          <w:sz w:val="24"/>
          <w:highlight w:val="yellow"/>
        </w:rPr>
        <w:t>biopesticide</w:t>
      </w:r>
      <w:r>
        <w:rPr>
          <w:rFonts w:ascii="Times New Roman" w:hAnsi="Times New Roman"/>
          <w:b/>
          <w:sz w:val="24"/>
        </w:rPr>
        <w:t xml:space="preserve"> formulation.</w:t>
      </w:r>
    </w:p>
    <w:p w14:paraId="362CA22E" w14:textId="77777777" w:rsidR="001974F1" w:rsidRPr="001974F1" w:rsidRDefault="001974F1" w:rsidP="0086579E">
      <w:pPr>
        <w:numPr>
          <w:ilvl w:val="0"/>
          <w:numId w:val="1"/>
        </w:numPr>
        <w:spacing w:before="100" w:beforeAutospacing="1" w:after="100" w:afterAutospacing="1" w:line="360" w:lineRule="auto"/>
        <w:jc w:val="both"/>
        <w:rPr>
          <w:rFonts w:ascii="Times New Roman" w:eastAsia="Times New Roman" w:hAnsi="Times New Roman" w:cs="Times New Roman"/>
          <w:sz w:val="24"/>
          <w:szCs w:val="24"/>
          <w:lang w:eastAsia="en-IN"/>
        </w:rPr>
      </w:pPr>
      <w:r>
        <w:rPr>
          <w:rFonts w:ascii="Times New Roman" w:hAnsi="Times New Roman"/>
          <w:sz w:val="24"/>
        </w:rPr>
        <w:t xml:space="preserve">One Health </w:t>
      </w:r>
      <w:r>
        <w:rPr>
          <w:rFonts w:ascii="Times New Roman" w:hAnsi="Times New Roman"/>
          <w:sz w:val="24"/>
          <w:highlight w:val="yellow"/>
        </w:rPr>
        <w:t>Stabilisation</w:t>
      </w:r>
      <w:r>
        <w:rPr>
          <w:rFonts w:ascii="Times New Roman" w:hAnsi="Times New Roman"/>
          <w:sz w:val="24"/>
        </w:rPr>
        <w:t xml:space="preserve"> Framework: This work </w:t>
      </w:r>
      <w:r>
        <w:rPr>
          <w:rFonts w:ascii="Times New Roman" w:hAnsi="Times New Roman"/>
          <w:sz w:val="24"/>
          <w:highlight w:val="yellow"/>
        </w:rPr>
        <w:t>contextualises</w:t>
      </w:r>
      <w:r>
        <w:rPr>
          <w:rFonts w:ascii="Times New Roman" w:hAnsi="Times New Roman"/>
          <w:sz w:val="24"/>
        </w:rPr>
        <w:t xml:space="preserve"> botanical insecticides as </w:t>
      </w:r>
      <w:r>
        <w:rPr>
          <w:rFonts w:ascii="Times New Roman" w:hAnsi="Times New Roman"/>
          <w:sz w:val="24"/>
          <w:highlight w:val="yellow"/>
        </w:rPr>
        <w:t>a</w:t>
      </w:r>
      <w:r>
        <w:rPr>
          <w:rFonts w:ascii="Times New Roman" w:hAnsi="Times New Roman"/>
          <w:sz w:val="24"/>
        </w:rPr>
        <w:t xml:space="preserve"> </w:t>
      </w:r>
      <w:r>
        <w:rPr>
          <w:rFonts w:ascii="Times New Roman" w:hAnsi="Times New Roman"/>
          <w:sz w:val="24"/>
          <w:highlight w:val="yellow"/>
        </w:rPr>
        <w:t>potential</w:t>
      </w:r>
      <w:r>
        <w:rPr>
          <w:rFonts w:ascii="Times New Roman" w:hAnsi="Times New Roman"/>
          <w:sz w:val="24"/>
        </w:rPr>
        <w:t xml:space="preserve"> tool </w:t>
      </w:r>
      <w:r>
        <w:rPr>
          <w:rFonts w:ascii="Times New Roman" w:hAnsi="Times New Roman"/>
          <w:sz w:val="24"/>
          <w:highlight w:val="yellow"/>
        </w:rPr>
        <w:t>for</w:t>
      </w:r>
      <w:r>
        <w:rPr>
          <w:rFonts w:ascii="Times New Roman" w:hAnsi="Times New Roman"/>
          <w:sz w:val="24"/>
        </w:rPr>
        <w:t xml:space="preserve"> </w:t>
      </w:r>
      <w:r>
        <w:rPr>
          <w:rFonts w:ascii="Times New Roman" w:hAnsi="Times New Roman"/>
          <w:sz w:val="24"/>
          <w:highlight w:val="yellow"/>
        </w:rPr>
        <w:t>reducing</w:t>
      </w:r>
      <w:r>
        <w:rPr>
          <w:rFonts w:ascii="Times New Roman" w:hAnsi="Times New Roman"/>
          <w:sz w:val="24"/>
        </w:rPr>
        <w:t xml:space="preserve"> the transmission cycles of devastating animal arboviruses (such as Rift Valley Fever and Bluetongue Virus variants). It provides a framework for mitigating smallholder economic shocks and preventing </w:t>
      </w:r>
      <w:r>
        <w:rPr>
          <w:rFonts w:ascii="Times New Roman" w:hAnsi="Times New Roman"/>
          <w:sz w:val="24"/>
          <w:highlight w:val="yellow"/>
        </w:rPr>
        <w:t xml:space="preserve">the accumulation of </w:t>
      </w:r>
      <w:r>
        <w:rPr>
          <w:rFonts w:ascii="Times New Roman" w:hAnsi="Times New Roman"/>
          <w:sz w:val="24"/>
        </w:rPr>
        <w:t xml:space="preserve">synthetic chemical </w:t>
      </w:r>
      <w:r>
        <w:rPr>
          <w:rFonts w:ascii="Times New Roman" w:hAnsi="Times New Roman"/>
          <w:sz w:val="24"/>
          <w:highlight w:val="yellow"/>
        </w:rPr>
        <w:t>residues</w:t>
      </w:r>
      <w:r>
        <w:rPr>
          <w:rFonts w:ascii="Times New Roman" w:hAnsi="Times New Roman"/>
          <w:sz w:val="24"/>
        </w:rPr>
        <w:t xml:space="preserve"> in meat and dairy products, directly aligning with contemporary One Health and green chemistry initiatives.</w:t>
      </w:r>
    </w:p>
    <w:p w14:paraId="695699F9" w14:textId="77777777" w:rsidR="004F6F2B" w:rsidRPr="00D27B45" w:rsidRDefault="004F6F2B" w:rsidP="0086579E">
      <w:pPr>
        <w:spacing w:before="100" w:beforeAutospacing="1" w:after="100" w:afterAutospacing="1" w:line="240" w:lineRule="auto"/>
        <w:jc w:val="both"/>
        <w:rPr>
          <w:rFonts w:ascii="Times New Roman" w:eastAsia="Times New Roman" w:hAnsi="Times New Roman" w:cs="Times New Roman"/>
          <w:sz w:val="24"/>
          <w:szCs w:val="24"/>
          <w:lang w:val="en-US" w:bidi="bn-IN"/>
        </w:rPr>
      </w:pPr>
      <w:r w:rsidRPr="00D27B45">
        <w:rPr>
          <w:rFonts w:ascii="Times New Roman" w:eastAsia="Times New Roman" w:hAnsi="Times New Roman" w:cs="Times New Roman"/>
          <w:b/>
          <w:bCs/>
          <w:sz w:val="24"/>
          <w:szCs w:val="24"/>
          <w:lang w:val="en-US" w:bidi="bn-IN"/>
        </w:rPr>
        <w:t>Conclusions</w:t>
      </w:r>
    </w:p>
    <w:p w14:paraId="3A5DC870" w14:textId="77777777" w:rsidR="00D27B45" w:rsidRPr="00D27B45" w:rsidRDefault="00D27B45" w:rsidP="0086579E">
      <w:pPr>
        <w:spacing w:before="100" w:beforeAutospacing="1" w:after="100" w:afterAutospacing="1" w:line="240" w:lineRule="auto"/>
        <w:jc w:val="both"/>
        <w:rPr>
          <w:rFonts w:ascii="Times New Roman" w:eastAsia="Times New Roman" w:hAnsi="Times New Roman" w:cs="Times New Roman"/>
          <w:b/>
          <w:bCs/>
          <w:sz w:val="24"/>
          <w:szCs w:val="24"/>
          <w:lang w:val="en-US" w:bidi="bn-IN"/>
        </w:rPr>
      </w:pPr>
      <w:r>
        <w:t xml:space="preserve">The laboratory findings indicate that leaf extracts of </w:t>
      </w:r>
      <w:r>
        <w:rPr>
          <w:rStyle w:val="Emphasis"/>
        </w:rPr>
        <w:t>Vitex negundo</w:t>
      </w:r>
      <w:r>
        <w:t xml:space="preserve"> possess larvicidal activity against fourth-instar larvae of </w:t>
      </w:r>
      <w:r>
        <w:rPr>
          <w:rStyle w:val="Emphasis"/>
        </w:rPr>
        <w:t>Aedes aegypti</w:t>
      </w:r>
      <w:r>
        <w:t>, with activity varying according to extraction solvent and exposure duration. Among the three extracts tested, the ethanol extract produced the highest larval mortality, reaching 68.00% ± 4.62% at 48 hours at 1,000 µg/</w:t>
      </w:r>
      <w:proofErr w:type="spellStart"/>
      <w:r>
        <w:t>mL.</w:t>
      </w:r>
      <w:proofErr w:type="spellEnd"/>
      <w:r>
        <w:t xml:space="preserve"> The isopropanol extract showed moderate activity, whereas the aqueous extract produced comparatively low mortality. The broader phytochemical profile of the ethanol extract, including alkaloids, flavonoids, phenols, tannins, and terpenoids, may have contributed to its stronger larvicidal effect. Dose-response analysis further showed concentration-dependent mortality for the ethanol extract, with an estimated LC50 of 520.0 µg/mL at 48 hours. These results suggest that ethanol leaf extract of </w:t>
      </w:r>
      <w:r>
        <w:rPr>
          <w:rStyle w:val="Emphasis"/>
        </w:rPr>
        <w:t>V. negundo</w:t>
      </w:r>
      <w:r>
        <w:t xml:space="preserve"> may be considered a botanical larvicidal candidate under controlled laboratory conditions. Further chemical characterisation, safety assessment, formulation studies, and field validation are required before practical use in vector management programmes.</w:t>
      </w:r>
      <w:r w:rsidRPr="00D27B45">
        <w:rPr>
          <w:rFonts w:ascii="Times New Roman" w:eastAsia="Times New Roman" w:hAnsi="Times New Roman" w:cs="Times New Roman"/>
          <w:b/>
          <w:bCs/>
          <w:sz w:val="24"/>
          <w:szCs w:val="24"/>
          <w:lang w:val="en-US" w:bidi="bn-IN"/>
        </w:rPr>
        <w:t xml:space="preserve"> </w:t>
      </w:r>
    </w:p>
    <w:p w14:paraId="7BACFD55" w14:textId="77777777" w:rsidR="006853EA" w:rsidRPr="006853EA" w:rsidRDefault="006853EA" w:rsidP="006853EA">
      <w:pPr>
        <w:spacing w:line="278" w:lineRule="auto"/>
        <w:rPr>
          <w:rFonts w:ascii="Calibri" w:eastAsia="Calibri" w:hAnsi="Calibri" w:cs="Times New Roman"/>
          <w:b/>
          <w:bCs/>
          <w:kern w:val="2"/>
          <w:sz w:val="24"/>
          <w:szCs w:val="24"/>
          <w:lang w:val="en-US" w:bidi="ar-SA"/>
          <w14:ligatures w14:val="standardContextual"/>
        </w:rPr>
      </w:pPr>
      <w:r w:rsidRPr="006853EA">
        <w:rPr>
          <w:rFonts w:ascii="Calibri" w:eastAsia="Calibri" w:hAnsi="Calibri" w:cs="Times New Roman"/>
          <w:b/>
          <w:bCs/>
          <w:kern w:val="2"/>
          <w:sz w:val="24"/>
          <w:szCs w:val="24"/>
          <w:lang w:val="en-US" w:bidi="ar-SA"/>
          <w14:ligatures w14:val="standardContextual"/>
        </w:rPr>
        <w:t>Declaration of AI Use</w:t>
      </w:r>
    </w:p>
    <w:p w14:paraId="367FA81B" w14:textId="77777777" w:rsidR="006853EA" w:rsidRPr="006853EA" w:rsidRDefault="006853EA" w:rsidP="006853EA">
      <w:pPr>
        <w:spacing w:line="278" w:lineRule="auto"/>
        <w:jc w:val="both"/>
        <w:rPr>
          <w:rFonts w:ascii="Calibri" w:eastAsia="Calibri" w:hAnsi="Calibri" w:cs="Times New Roman"/>
          <w:kern w:val="2"/>
          <w:sz w:val="24"/>
          <w:szCs w:val="24"/>
          <w:lang w:val="en-US" w:bidi="ar-SA"/>
          <w14:ligatures w14:val="standardContextual"/>
        </w:rPr>
      </w:pPr>
      <w:r w:rsidRPr="006853EA">
        <w:rPr>
          <w:rFonts w:ascii="Calibri" w:eastAsia="Calibri" w:hAnsi="Calibri" w:cs="Times New Roman"/>
          <w:kern w:val="2"/>
          <w:sz w:val="24"/>
          <w:szCs w:val="24"/>
          <w:lang w:val="en-US" w:bidi="ar-SA"/>
          <w14:ligatures w14:val="standardContextual"/>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3ADF4881" w14:textId="77777777" w:rsidR="00D27B45" w:rsidRDefault="00D27B45" w:rsidP="0086579E">
      <w:pPr>
        <w:pStyle w:val="ListParagraph"/>
        <w:spacing w:before="100" w:beforeAutospacing="1" w:after="100" w:afterAutospacing="1" w:line="240" w:lineRule="auto"/>
        <w:jc w:val="both"/>
        <w:rPr>
          <w:rFonts w:ascii="Times New Roman" w:eastAsia="Times New Roman" w:hAnsi="Times New Roman" w:cs="Times New Roman"/>
          <w:b/>
          <w:bCs/>
          <w:sz w:val="24"/>
          <w:szCs w:val="24"/>
          <w:lang w:val="en-US" w:bidi="bn-IN"/>
        </w:rPr>
      </w:pPr>
    </w:p>
    <w:p w14:paraId="22ED5235" w14:textId="77777777" w:rsidR="004F6F2B" w:rsidRPr="00D27B45" w:rsidRDefault="004F6F2B" w:rsidP="0086579E">
      <w:pPr>
        <w:spacing w:before="100" w:beforeAutospacing="1" w:after="100" w:afterAutospacing="1" w:line="240" w:lineRule="auto"/>
        <w:jc w:val="both"/>
        <w:rPr>
          <w:rFonts w:ascii="Times New Roman" w:eastAsia="Times New Roman" w:hAnsi="Times New Roman" w:cs="Times New Roman"/>
          <w:sz w:val="24"/>
          <w:szCs w:val="24"/>
          <w:lang w:val="en-US" w:bidi="bn-IN"/>
        </w:rPr>
      </w:pPr>
      <w:r w:rsidRPr="00D27B45">
        <w:rPr>
          <w:rFonts w:ascii="Times New Roman" w:eastAsia="Times New Roman" w:hAnsi="Times New Roman" w:cs="Times New Roman"/>
          <w:b/>
          <w:bCs/>
          <w:sz w:val="24"/>
          <w:szCs w:val="24"/>
          <w:lang w:val="en-US" w:bidi="bn-IN"/>
        </w:rPr>
        <w:t>Limitations</w:t>
      </w:r>
    </w:p>
    <w:p w14:paraId="057790D3" w14:textId="77777777" w:rsidR="00D27B45" w:rsidRDefault="00D27B45" w:rsidP="0086579E">
      <w:pPr>
        <w:spacing w:before="100" w:beforeAutospacing="1" w:after="100" w:afterAutospacing="1" w:line="360" w:lineRule="auto"/>
        <w:jc w:val="both"/>
        <w:outlineLvl w:val="1"/>
        <w:rPr>
          <w:rFonts w:ascii="Times New Roman" w:eastAsia="Times New Roman" w:hAnsi="Times New Roman" w:cs="Times New Roman"/>
          <w:b/>
          <w:bCs/>
          <w:sz w:val="24"/>
          <w:szCs w:val="24"/>
          <w:lang w:eastAsia="en-IN"/>
        </w:rPr>
      </w:pPr>
      <w:r>
        <w:lastRenderedPageBreak/>
        <w:t xml:space="preserve">This study was limited to laboratory bioassays and did not evaluate field performance. Only fourth-instar </w:t>
      </w:r>
      <w:r>
        <w:rPr>
          <w:rStyle w:val="Emphasis"/>
        </w:rPr>
        <w:t>Aedes aegypti</w:t>
      </w:r>
      <w:r>
        <w:t xml:space="preserve"> larvae were tested, and the findings may not apply to other mosquito species, larval stages, or ecological settings. The extracts were crude, and the active compounds were not isolated or quantified. Environmental stability, residual activity, non-target safety, formulation properties, and operational feasibility were also not assessed.</w:t>
      </w:r>
      <w:r w:rsidRPr="001974F1">
        <w:rPr>
          <w:rFonts w:ascii="Times New Roman" w:eastAsia="Times New Roman" w:hAnsi="Times New Roman" w:cs="Times New Roman"/>
          <w:b/>
          <w:bCs/>
          <w:sz w:val="24"/>
          <w:szCs w:val="24"/>
          <w:lang w:eastAsia="en-IN"/>
        </w:rPr>
        <w:t xml:space="preserve"> </w:t>
      </w:r>
    </w:p>
    <w:p w14:paraId="56FBB2C3" w14:textId="77777777" w:rsidR="001974F1" w:rsidRPr="001974F1" w:rsidRDefault="001974F1" w:rsidP="0086579E">
      <w:pPr>
        <w:spacing w:before="100" w:beforeAutospacing="1" w:after="100" w:afterAutospacing="1" w:line="360" w:lineRule="auto"/>
        <w:jc w:val="both"/>
        <w:outlineLvl w:val="1"/>
        <w:rPr>
          <w:rFonts w:ascii="Times New Roman" w:eastAsia="Times New Roman" w:hAnsi="Times New Roman" w:cs="Times New Roman"/>
          <w:b/>
          <w:bCs/>
          <w:sz w:val="24"/>
          <w:szCs w:val="24"/>
          <w:lang w:eastAsia="en-IN"/>
        </w:rPr>
      </w:pPr>
      <w:r w:rsidRPr="001974F1">
        <w:rPr>
          <w:rFonts w:ascii="Times New Roman" w:eastAsia="Times New Roman" w:hAnsi="Times New Roman" w:cs="Times New Roman"/>
          <w:b/>
          <w:bCs/>
          <w:sz w:val="24"/>
          <w:szCs w:val="24"/>
          <w:lang w:eastAsia="en-IN"/>
        </w:rPr>
        <w:t>REFERENCES</w:t>
      </w:r>
    </w:p>
    <w:p w14:paraId="1105C0F4" w14:textId="77777777" w:rsidR="009834D5" w:rsidRDefault="00000000">
      <w:r>
        <w:t xml:space="preserve">Ajaegbu, E. E., Onah, G. T., Ikuesan, A. J., &amp; Bello, A. M. (2025). Synergistic potency and GC-MS analysis of </w:t>
      </w:r>
      <w:r>
        <w:rPr>
          <w:i/>
        </w:rPr>
        <w:t>Persea americana</w:t>
      </w:r>
      <w:r>
        <w:t xml:space="preserve"> extracts against </w:t>
      </w:r>
      <w:r>
        <w:rPr>
          <w:i/>
        </w:rPr>
        <w:t>Aedes aegypti</w:t>
      </w:r>
      <w:r>
        <w:t xml:space="preserve">. </w:t>
      </w:r>
      <w:r>
        <w:rPr>
          <w:i/>
        </w:rPr>
        <w:t>Scientific Reports</w:t>
      </w:r>
      <w:r>
        <w:t xml:space="preserve">, </w:t>
      </w:r>
      <w:r>
        <w:rPr>
          <w:i/>
        </w:rPr>
        <w:t>15</w:t>
      </w:r>
      <w:r>
        <w:t xml:space="preserve">, Article 33902. </w:t>
      </w:r>
      <w:hyperlink r:id="rId7">
        <w:r>
          <w:rPr>
            <w:color w:val="0563C1"/>
            <w:u w:val="single"/>
          </w:rPr>
          <w:t>https://doi.org/10.1038/s41598-025-08105-z</w:t>
        </w:r>
      </w:hyperlink>
    </w:p>
    <w:p w14:paraId="24C80983" w14:textId="77777777" w:rsidR="009834D5" w:rsidRDefault="00000000">
      <w:r>
        <w:t xml:space="preserve">Azmir, J., Zaidul, I. S. M., Rahman, M. M., Sharif, K. M., Mohamed, A., Sahena, F., Jahurul, M. H. A., Ghafoor, K., Norulaini, N. A. N., &amp; Omar, A. K. M. (2013). Techniques for extraction of bioactive compounds from plant materials: A review. </w:t>
      </w:r>
      <w:r>
        <w:rPr>
          <w:i/>
        </w:rPr>
        <w:t>Journal of Food Engineering</w:t>
      </w:r>
      <w:r>
        <w:t xml:space="preserve">, </w:t>
      </w:r>
      <w:r>
        <w:rPr>
          <w:i/>
        </w:rPr>
        <w:t>117</w:t>
      </w:r>
      <w:r>
        <w:t xml:space="preserve">(4), 426-436. </w:t>
      </w:r>
      <w:hyperlink r:id="rId8">
        <w:r>
          <w:rPr>
            <w:color w:val="0563C1"/>
            <w:u w:val="single"/>
          </w:rPr>
          <w:t>https://doi.org/10.1016/j.jfoodeng.2013.01.014</w:t>
        </w:r>
      </w:hyperlink>
    </w:p>
    <w:p w14:paraId="2921BB43" w14:textId="77777777" w:rsidR="009834D5" w:rsidRDefault="00000000">
      <w:r>
        <w:t xml:space="preserve">Chandrasekaran, T., Thyagarajan, A., Santhakumari, P. G., Pillai, A. K. B., &amp; Krishnan, U. M. (2019). Larvicidal activity of essential oil from </w:t>
      </w:r>
      <w:r>
        <w:rPr>
          <w:i/>
        </w:rPr>
        <w:t>Vitex negundo</w:t>
      </w:r>
      <w:r>
        <w:t xml:space="preserve"> and </w:t>
      </w:r>
      <w:r>
        <w:rPr>
          <w:i/>
        </w:rPr>
        <w:t>Vitex trifolia</w:t>
      </w:r>
      <w:r>
        <w:t xml:space="preserve"> on dengue vector mosquito </w:t>
      </w:r>
      <w:r>
        <w:rPr>
          <w:i/>
        </w:rPr>
        <w:t>Aedes aegypti</w:t>
      </w:r>
      <w:r>
        <w:t xml:space="preserve">. </w:t>
      </w:r>
      <w:r>
        <w:rPr>
          <w:i/>
        </w:rPr>
        <w:t>Revista da Sociedade Brasileira de Medicina Tropical</w:t>
      </w:r>
      <w:r>
        <w:t xml:space="preserve">, </w:t>
      </w:r>
      <w:r>
        <w:rPr>
          <w:i/>
        </w:rPr>
        <w:t>52</w:t>
      </w:r>
      <w:r>
        <w:t xml:space="preserve">, e20180459. </w:t>
      </w:r>
      <w:hyperlink r:id="rId9">
        <w:r>
          <w:rPr>
            <w:color w:val="0563C1"/>
            <w:u w:val="single"/>
          </w:rPr>
          <w:t>https://doi.org/10.1590/0037-8682-0459-2018</w:t>
        </w:r>
      </w:hyperlink>
    </w:p>
    <w:p w14:paraId="0E19B68F" w14:textId="77777777" w:rsidR="009834D5" w:rsidRDefault="00000000">
      <w:r>
        <w:t xml:space="preserve">Faburay, B. (2015). The case for a one health approach to combating vector-borne diseases. </w:t>
      </w:r>
      <w:r>
        <w:rPr>
          <w:i/>
        </w:rPr>
        <w:t>Infection Ecology &amp; Epidemiology</w:t>
      </w:r>
      <w:r>
        <w:t xml:space="preserve">, </w:t>
      </w:r>
      <w:r>
        <w:rPr>
          <w:i/>
        </w:rPr>
        <w:t>5</w:t>
      </w:r>
      <w:r>
        <w:t xml:space="preserve">(1), 28132. </w:t>
      </w:r>
      <w:hyperlink r:id="rId10">
        <w:r>
          <w:rPr>
            <w:color w:val="0563C1"/>
            <w:u w:val="single"/>
          </w:rPr>
          <w:t>https://doi.org/10.3402/iee.v5.28132</w:t>
        </w:r>
      </w:hyperlink>
    </w:p>
    <w:p w14:paraId="0B7D4ECA" w14:textId="77777777" w:rsidR="009834D5" w:rsidRDefault="00000000">
      <w:r>
        <w:t xml:space="preserve">Harborne, J. B. (1998). </w:t>
      </w:r>
      <w:r>
        <w:rPr>
          <w:i/>
        </w:rPr>
        <w:t>Phytochemical methods: A guide to modern techniques of plant analysis</w:t>
      </w:r>
      <w:r>
        <w:t xml:space="preserve"> (3rd ed.). Chapman &amp; Hall. </w:t>
      </w:r>
      <w:hyperlink r:id="rId11">
        <w:r>
          <w:rPr>
            <w:color w:val="0563C1"/>
            <w:u w:val="single"/>
          </w:rPr>
          <w:t>https://link.springer.com/book/9780412572609</w:t>
        </w:r>
      </w:hyperlink>
    </w:p>
    <w:p w14:paraId="61444FC2" w14:textId="77777777" w:rsidR="009834D5" w:rsidRDefault="00000000">
      <w:r>
        <w:t xml:space="preserve">Hernandez, J. R., &amp; Pietrantonio, P. V. (2025). Pyrethroid resistance in </w:t>
      </w:r>
      <w:r>
        <w:rPr>
          <w:i/>
        </w:rPr>
        <w:t>Aedes aegypti</w:t>
      </w:r>
      <w:r>
        <w:t xml:space="preserve">: Genetic mechanisms worldwide, and recommendations for effective vector control. </w:t>
      </w:r>
      <w:r>
        <w:rPr>
          <w:i/>
        </w:rPr>
        <w:t>Parasites &amp; Vectors</w:t>
      </w:r>
      <w:r>
        <w:t xml:space="preserve">, </w:t>
      </w:r>
      <w:r>
        <w:rPr>
          <w:i/>
        </w:rPr>
        <w:t>18</w:t>
      </w:r>
      <w:r>
        <w:t xml:space="preserve">, Article 409. </w:t>
      </w:r>
      <w:hyperlink r:id="rId12">
        <w:r>
          <w:rPr>
            <w:color w:val="0563C1"/>
            <w:u w:val="single"/>
          </w:rPr>
          <w:t>https://doi.org/10.1186/s13071-025-07010-8</w:t>
        </w:r>
      </w:hyperlink>
    </w:p>
    <w:p w14:paraId="14B49E0B" w14:textId="77777777" w:rsidR="009834D5" w:rsidRDefault="00000000">
      <w:r>
        <w:t xml:space="preserve">Kumari, P., Sarker, S., Vimal, B., Bhushan, A., &amp; Saini, V. P. (2025). Lavicidal effect of green synthesized silver nanoparticles against </w:t>
      </w:r>
      <w:r>
        <w:rPr>
          <w:i/>
        </w:rPr>
        <w:t>Aedes aegypti</w:t>
      </w:r>
      <w:r>
        <w:t xml:space="preserve"> larvae. </w:t>
      </w:r>
      <w:r>
        <w:rPr>
          <w:i/>
        </w:rPr>
        <w:t>Journal of Advances in Biology &amp; Biotechnology</w:t>
      </w:r>
      <w:r>
        <w:t xml:space="preserve">, </w:t>
      </w:r>
      <w:r>
        <w:rPr>
          <w:i/>
        </w:rPr>
        <w:t>28</w:t>
      </w:r>
      <w:r>
        <w:t xml:space="preserve">(8), 1743-1758. </w:t>
      </w:r>
      <w:hyperlink r:id="rId13">
        <w:r>
          <w:rPr>
            <w:color w:val="0563C1"/>
            <w:u w:val="single"/>
          </w:rPr>
          <w:t>https://doi.org/10.9734/jabb/2025/v28i82845</w:t>
        </w:r>
      </w:hyperlink>
    </w:p>
    <w:p w14:paraId="701FDA4B" w14:textId="77777777" w:rsidR="009834D5" w:rsidRDefault="00000000">
      <w:r>
        <w:t xml:space="preserve">Long, M. T. (2014). West Nile virus and equine encephalitis viruses: New perspectives. </w:t>
      </w:r>
      <w:r>
        <w:rPr>
          <w:i/>
        </w:rPr>
        <w:t>Veterinary Clinics of North America: Equine Practice</w:t>
      </w:r>
      <w:r>
        <w:t xml:space="preserve">, </w:t>
      </w:r>
      <w:r>
        <w:rPr>
          <w:i/>
        </w:rPr>
        <w:t>30</w:t>
      </w:r>
      <w:r>
        <w:t xml:space="preserve">(3), 523-542. </w:t>
      </w:r>
      <w:hyperlink r:id="rId14">
        <w:r>
          <w:rPr>
            <w:color w:val="0563C1"/>
            <w:u w:val="single"/>
          </w:rPr>
          <w:t>https://doi.org/10.1016/j.cveq.2014.08.009</w:t>
        </w:r>
      </w:hyperlink>
    </w:p>
    <w:p w14:paraId="11066855" w14:textId="77777777" w:rsidR="009834D5" w:rsidRDefault="00000000">
      <w:r>
        <w:t xml:space="preserve">Nawarathne, M. P., &amp; Dharmarathne, C. (2024). Control of dengue larvae of </w:t>
      </w:r>
      <w:r>
        <w:rPr>
          <w:i/>
        </w:rPr>
        <w:t>Aedes aegypti</w:t>
      </w:r>
      <w:r>
        <w:t xml:space="preserve"> and </w:t>
      </w:r>
      <w:r>
        <w:rPr>
          <w:i/>
        </w:rPr>
        <w:t>Aedes albopictus</w:t>
      </w:r>
      <w:r>
        <w:t xml:space="preserve"> using the larvicidal bioactive compounds in different plant extracts and plant extract-mediated nanoparticles. </w:t>
      </w:r>
      <w:r>
        <w:rPr>
          <w:i/>
        </w:rPr>
        <w:t>Tropical Medicine and Health</w:t>
      </w:r>
      <w:r>
        <w:t xml:space="preserve">, </w:t>
      </w:r>
      <w:r>
        <w:rPr>
          <w:i/>
        </w:rPr>
        <w:t>52</w:t>
      </w:r>
      <w:r>
        <w:t xml:space="preserve">, Article 95. </w:t>
      </w:r>
      <w:hyperlink r:id="rId15">
        <w:r>
          <w:rPr>
            <w:color w:val="0563C1"/>
            <w:u w:val="single"/>
          </w:rPr>
          <w:t>https://doi.org/10.1186/s41182-024-00654-9</w:t>
        </w:r>
      </w:hyperlink>
    </w:p>
    <w:p w14:paraId="3DDD4CBC" w14:textId="77777777" w:rsidR="009834D5" w:rsidRDefault="00000000">
      <w:r>
        <w:t xml:space="preserve">O'Neill, L., Gubbins, S., Reynolds, C., Limon, G., &amp; Giorgakoudi, K. (2024). The socioeconomic impacts of Rift Valley fever: A rapid review. </w:t>
      </w:r>
      <w:r>
        <w:rPr>
          <w:i/>
        </w:rPr>
        <w:t>PLOS Neglected Tropical Diseases</w:t>
      </w:r>
      <w:r>
        <w:t xml:space="preserve">, </w:t>
      </w:r>
      <w:r>
        <w:rPr>
          <w:i/>
        </w:rPr>
        <w:t>18</w:t>
      </w:r>
      <w:r>
        <w:t xml:space="preserve">(8), e0012347. </w:t>
      </w:r>
      <w:hyperlink r:id="rId16">
        <w:r>
          <w:rPr>
            <w:color w:val="0563C1"/>
            <w:u w:val="single"/>
          </w:rPr>
          <w:t>https://doi.org/10.1371/journal.pntd.0012347</w:t>
        </w:r>
      </w:hyperlink>
    </w:p>
    <w:p w14:paraId="6DD5A98D" w14:textId="77777777" w:rsidR="009834D5" w:rsidRDefault="00000000">
      <w:r>
        <w:lastRenderedPageBreak/>
        <w:t xml:space="preserve">Perry, B., &amp; Grace, D. (2009). The impacts of livestock diseases and their control on growth and development processes that are pro-poor. </w:t>
      </w:r>
      <w:r>
        <w:rPr>
          <w:i/>
        </w:rPr>
        <w:t>Philosophical Transactions of the Royal Society B: Biological Sciences</w:t>
      </w:r>
      <w:r>
        <w:t xml:space="preserve">, </w:t>
      </w:r>
      <w:r>
        <w:rPr>
          <w:i/>
        </w:rPr>
        <w:t>364</w:t>
      </w:r>
      <w:r>
        <w:t xml:space="preserve">(1530), 2643-2655. </w:t>
      </w:r>
      <w:hyperlink r:id="rId17">
        <w:r>
          <w:rPr>
            <w:color w:val="0563C1"/>
            <w:u w:val="single"/>
          </w:rPr>
          <w:t>https://doi.org/10.1098/rstb.2009.0097</w:t>
        </w:r>
      </w:hyperlink>
    </w:p>
    <w:p w14:paraId="38D67D96" w14:textId="77777777" w:rsidR="009834D5" w:rsidRDefault="00000000">
      <w:r>
        <w:t xml:space="preserve">Rajasekaran, A., &amp; Duraikannan, G. (2012). Larvicidal activity of plant extracts on </w:t>
      </w:r>
      <w:r>
        <w:rPr>
          <w:i/>
        </w:rPr>
        <w:t>Aedes aegypti</w:t>
      </w:r>
      <w:r>
        <w:t xml:space="preserve"> L. </w:t>
      </w:r>
      <w:r>
        <w:rPr>
          <w:i/>
        </w:rPr>
        <w:t>Asian Pacific Journal of Tropical Biomedicine</w:t>
      </w:r>
      <w:r>
        <w:t xml:space="preserve">, </w:t>
      </w:r>
      <w:r>
        <w:rPr>
          <w:i/>
        </w:rPr>
        <w:t>2</w:t>
      </w:r>
      <w:r>
        <w:t xml:space="preserve">(3, Suppl.), S1578-S1582. </w:t>
      </w:r>
      <w:hyperlink r:id="rId18">
        <w:r>
          <w:rPr>
            <w:color w:val="0563C1"/>
            <w:u w:val="single"/>
          </w:rPr>
          <w:t>https://doi.org/10.1016/S2221-1691(12)60456-0</w:t>
        </w:r>
      </w:hyperlink>
    </w:p>
    <w:p w14:paraId="179CA49C" w14:textId="77777777" w:rsidR="009834D5" w:rsidRDefault="00000000">
      <w:r>
        <w:t xml:space="preserve">Ryan, S. J., Carlson, C. J., Mordecai, E. A., &amp; Johnson, L. R. (2019). Global expansion and redistribution of </w:t>
      </w:r>
      <w:r>
        <w:rPr>
          <w:i/>
        </w:rPr>
        <w:t>Aedes</w:t>
      </w:r>
      <w:r>
        <w:t xml:space="preserve">-borne virus transmission risk with climate change. </w:t>
      </w:r>
      <w:r>
        <w:rPr>
          <w:i/>
        </w:rPr>
        <w:t>PLOS Neglected Tropical Diseases</w:t>
      </w:r>
      <w:r>
        <w:t xml:space="preserve">, </w:t>
      </w:r>
      <w:r>
        <w:rPr>
          <w:i/>
        </w:rPr>
        <w:t>13</w:t>
      </w:r>
      <w:r>
        <w:t xml:space="preserve">(3), e0007213. </w:t>
      </w:r>
      <w:hyperlink r:id="rId19">
        <w:r>
          <w:rPr>
            <w:color w:val="0563C1"/>
            <w:u w:val="single"/>
          </w:rPr>
          <w:t>https://doi.org/10.1371/journal.pntd.0007213</w:t>
        </w:r>
      </w:hyperlink>
    </w:p>
    <w:p w14:paraId="6F63A23A" w14:textId="77777777" w:rsidR="009834D5" w:rsidRDefault="00000000">
      <w:r>
        <w:t xml:space="preserve">Shaalan, E. A.-S., Canyon, D., Younes, M. W. F., Abdel-Wahab, H., &amp; Mansour, A.-H. (2005). A review of botanical phytochemicals with mosquitocidal potential. </w:t>
      </w:r>
      <w:r>
        <w:rPr>
          <w:i/>
        </w:rPr>
        <w:t>Environment International</w:t>
      </w:r>
      <w:r>
        <w:t xml:space="preserve">, </w:t>
      </w:r>
      <w:r>
        <w:rPr>
          <w:i/>
        </w:rPr>
        <w:t>31</w:t>
      </w:r>
      <w:r>
        <w:t xml:space="preserve">(8), 1149-1166. </w:t>
      </w:r>
      <w:hyperlink r:id="rId20">
        <w:r>
          <w:rPr>
            <w:color w:val="0563C1"/>
            <w:u w:val="single"/>
          </w:rPr>
          <w:t>https://doi.org/10.1016/j.envint.2005.03.003</w:t>
        </w:r>
      </w:hyperlink>
    </w:p>
    <w:p w14:paraId="5C5375B1" w14:textId="77777777" w:rsidR="009834D5" w:rsidRDefault="00000000">
      <w:r>
        <w:t xml:space="preserve">Stehle, S., &amp; Schulz, R. (2015). Agricultural insecticides threaten surface waters at the global scale. </w:t>
      </w:r>
      <w:r>
        <w:rPr>
          <w:i/>
        </w:rPr>
        <w:t>Proceedings of the National Academy of Sciences of the United States of America</w:t>
      </w:r>
      <w:r>
        <w:t xml:space="preserve">, </w:t>
      </w:r>
      <w:r>
        <w:rPr>
          <w:i/>
        </w:rPr>
        <w:t>112</w:t>
      </w:r>
      <w:r>
        <w:t xml:space="preserve">(18), 5750-5755. </w:t>
      </w:r>
      <w:hyperlink r:id="rId21">
        <w:r>
          <w:rPr>
            <w:color w:val="0563C1"/>
            <w:u w:val="single"/>
          </w:rPr>
          <w:t>https://doi.org/10.1073/pnas.1500232112</w:t>
        </w:r>
      </w:hyperlink>
    </w:p>
    <w:p w14:paraId="08D6F36D" w14:textId="77777777" w:rsidR="009834D5" w:rsidRDefault="00000000">
      <w:r>
        <w:t xml:space="preserve">Thabet, S., &amp; Lajnef, R. (2024). Potential mechanisms underlying bluetongue virus emergence and spread. </w:t>
      </w:r>
      <w:r>
        <w:rPr>
          <w:i/>
        </w:rPr>
        <w:t>Frontiers in Virology</w:t>
      </w:r>
      <w:r>
        <w:t xml:space="preserve">, </w:t>
      </w:r>
      <w:r>
        <w:rPr>
          <w:i/>
        </w:rPr>
        <w:t>4</w:t>
      </w:r>
      <w:r>
        <w:t xml:space="preserve">, Article 1448192. </w:t>
      </w:r>
      <w:hyperlink r:id="rId22">
        <w:r>
          <w:rPr>
            <w:color w:val="0563C1"/>
            <w:u w:val="single"/>
          </w:rPr>
          <w:t>https://doi.org/10.3389/fviro.2024.1448192</w:t>
        </w:r>
      </w:hyperlink>
    </w:p>
    <w:p w14:paraId="39455432" w14:textId="77777777" w:rsidR="009834D5" w:rsidRDefault="00000000">
      <w:r>
        <w:t xml:space="preserve">Tudi, M., Daniel Ruan, H., Wang, L., Lyu, J., Sadler, R., Connell, D., Chu, C., &amp; Phung, D. T. (2021). Agriculture development, pesticide application and its impact on the environment. </w:t>
      </w:r>
      <w:r>
        <w:rPr>
          <w:i/>
        </w:rPr>
        <w:t>International Journal of Environmental Research and Public Health</w:t>
      </w:r>
      <w:r>
        <w:t xml:space="preserve">, </w:t>
      </w:r>
      <w:r>
        <w:rPr>
          <w:i/>
        </w:rPr>
        <w:t>18</w:t>
      </w:r>
      <w:r>
        <w:t xml:space="preserve">(3), Article 1112. </w:t>
      </w:r>
      <w:hyperlink r:id="rId23">
        <w:r>
          <w:rPr>
            <w:color w:val="0563C1"/>
            <w:u w:val="single"/>
          </w:rPr>
          <w:t>https://doi.org/10.3390/ijerph18031112</w:t>
        </w:r>
      </w:hyperlink>
    </w:p>
    <w:p w14:paraId="33BBD376" w14:textId="77777777" w:rsidR="009834D5" w:rsidRDefault="00000000">
      <w:r>
        <w:t xml:space="preserve">Vincent, S. X., &amp; Marin, E. G. (2024). Larvicidal effects of plant extract and </w:t>
      </w:r>
      <w:r>
        <w:rPr>
          <w:i/>
        </w:rPr>
        <w:t>Bacillus thuringiensis</w:t>
      </w:r>
      <w:r>
        <w:t xml:space="preserve"> var. </w:t>
      </w:r>
      <w:r>
        <w:rPr>
          <w:i/>
        </w:rPr>
        <w:t>israelensis</w:t>
      </w:r>
      <w:r>
        <w:t xml:space="preserve"> on </w:t>
      </w:r>
      <w:r>
        <w:rPr>
          <w:i/>
        </w:rPr>
        <w:t>Aedes aegypti</w:t>
      </w:r>
      <w:r>
        <w:t xml:space="preserve"> (Diptera: Culicidae). </w:t>
      </w:r>
      <w:r>
        <w:rPr>
          <w:i/>
        </w:rPr>
        <w:t>Uttar Pradesh Journal of Zoology</w:t>
      </w:r>
      <w:r>
        <w:t xml:space="preserve">, </w:t>
      </w:r>
      <w:r>
        <w:rPr>
          <w:i/>
        </w:rPr>
        <w:t>45</w:t>
      </w:r>
      <w:r>
        <w:t xml:space="preserve">(15), 49-56. </w:t>
      </w:r>
      <w:hyperlink r:id="rId24">
        <w:r>
          <w:rPr>
            <w:color w:val="0563C1"/>
            <w:u w:val="single"/>
          </w:rPr>
          <w:t>https://doi.org/10.56557/upjoz/2024/v45i154220</w:t>
        </w:r>
      </w:hyperlink>
    </w:p>
    <w:p w14:paraId="47AC32C7" w14:textId="77777777" w:rsidR="009834D5" w:rsidRDefault="00000000">
      <w:r>
        <w:t xml:space="preserve">World Health Organization. (2005). </w:t>
      </w:r>
      <w:r>
        <w:rPr>
          <w:i/>
        </w:rPr>
        <w:t>Guidelines for laboratory and field testing of mosquito larvicides</w:t>
      </w:r>
      <w:r>
        <w:t xml:space="preserve"> (WHO/CDS/WHOPES/GCDPP/2005.13). </w:t>
      </w:r>
      <w:hyperlink r:id="rId25">
        <w:r>
          <w:rPr>
            <w:color w:val="0563C1"/>
            <w:u w:val="single"/>
          </w:rPr>
          <w:t>https://www.who.int/publications/i/item/WHO-CDS-WHOPES-GCDPP-2005.13</w:t>
        </w:r>
      </w:hyperlink>
    </w:p>
    <w:p w14:paraId="3424DF20" w14:textId="77777777" w:rsidR="009834D5" w:rsidRDefault="00000000">
      <w:r>
        <w:t xml:space="preserve">World Health Organization. (2023, December 21). </w:t>
      </w:r>
      <w:r>
        <w:rPr>
          <w:i/>
        </w:rPr>
        <w:t>Dengue - global situation</w:t>
      </w:r>
      <w:r>
        <w:t xml:space="preserve">. </w:t>
      </w:r>
      <w:hyperlink r:id="rId26">
        <w:r>
          <w:rPr>
            <w:color w:val="0563C1"/>
            <w:u w:val="single"/>
          </w:rPr>
          <w:t>https://www.who.int/emergencies/disease-outbreak-news/item/2023-DON498</w:t>
        </w:r>
      </w:hyperlink>
    </w:p>
    <w:p w14:paraId="05909882" w14:textId="77777777" w:rsidR="009834D5" w:rsidRDefault="00000000">
      <w:r>
        <w:t xml:space="preserve">Wright, D., Kortekaas, J., Bowden, T. A., &amp; Warimwe, G. M. (2019). Rift Valley fever: Biology and epidemiology. </w:t>
      </w:r>
      <w:r>
        <w:rPr>
          <w:i/>
        </w:rPr>
        <w:t>Journal of General Virology</w:t>
      </w:r>
      <w:r>
        <w:t xml:space="preserve">, </w:t>
      </w:r>
      <w:r>
        <w:rPr>
          <w:i/>
        </w:rPr>
        <w:t>100</w:t>
      </w:r>
      <w:r>
        <w:t xml:space="preserve">(8), 1187-1199. </w:t>
      </w:r>
      <w:hyperlink r:id="rId27">
        <w:r>
          <w:rPr>
            <w:color w:val="0563C1"/>
            <w:u w:val="single"/>
          </w:rPr>
          <w:t>https://doi.org/10.1099/jgv.0.001296</w:t>
        </w:r>
      </w:hyperlink>
    </w:p>
    <w:sectPr w:rsidR="009834D5" w:rsidSect="004F6F2B">
      <w:headerReference w:type="even" r:id="rId28"/>
      <w:headerReference w:type="default" r:id="rId29"/>
      <w:footerReference w:type="even" r:id="rId30"/>
      <w:footerReference w:type="default" r:id="rId31"/>
      <w:headerReference w:type="first" r:id="rId32"/>
      <w:footerReference w:type="first" r:id="rId3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10E060" w14:textId="77777777" w:rsidR="00975AAB" w:rsidRDefault="00975AAB" w:rsidP="009C058F">
      <w:pPr>
        <w:spacing w:after="0" w:line="240" w:lineRule="auto"/>
      </w:pPr>
      <w:r>
        <w:separator/>
      </w:r>
    </w:p>
  </w:endnote>
  <w:endnote w:type="continuationSeparator" w:id="0">
    <w:p w14:paraId="5C8EA7E1" w14:textId="77777777" w:rsidR="00975AAB" w:rsidRDefault="00975AAB" w:rsidP="009C05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783AA" w14:textId="77777777" w:rsidR="009C058F" w:rsidRDefault="009C05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3FE78" w14:textId="77777777" w:rsidR="009C058F" w:rsidRDefault="009C058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9CE7A" w14:textId="77777777" w:rsidR="009C058F" w:rsidRDefault="009C05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1A897A" w14:textId="77777777" w:rsidR="00975AAB" w:rsidRDefault="00975AAB" w:rsidP="009C058F">
      <w:pPr>
        <w:spacing w:after="0" w:line="240" w:lineRule="auto"/>
      </w:pPr>
      <w:r>
        <w:separator/>
      </w:r>
    </w:p>
  </w:footnote>
  <w:footnote w:type="continuationSeparator" w:id="0">
    <w:p w14:paraId="49D18D7B" w14:textId="77777777" w:rsidR="00975AAB" w:rsidRDefault="00975AAB" w:rsidP="009C05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04A56" w14:textId="77777777" w:rsidR="009C058F" w:rsidRDefault="00000000">
    <w:pPr>
      <w:pStyle w:val="Header"/>
    </w:pPr>
    <w:r>
      <w:rPr>
        <w:noProof/>
      </w:rPr>
      <w:pict w14:anchorId="288F173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7495079"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F294E" w14:textId="77777777" w:rsidR="009C058F" w:rsidRDefault="00000000">
    <w:pPr>
      <w:pStyle w:val="Header"/>
    </w:pPr>
    <w:r>
      <w:rPr>
        <w:noProof/>
      </w:rPr>
      <w:pict w14:anchorId="58BA368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7495080"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E9F22" w14:textId="77777777" w:rsidR="009C058F" w:rsidRDefault="00000000">
    <w:pPr>
      <w:pStyle w:val="Header"/>
    </w:pPr>
    <w:r>
      <w:rPr>
        <w:noProof/>
      </w:rPr>
      <w:pict w14:anchorId="271BC0A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7495078"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726E4D"/>
    <w:multiLevelType w:val="multilevel"/>
    <w:tmpl w:val="A15E1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498968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je0NDW2NDI0MzU3NjNX0lEKTi0uzszPAykwqQUAgOv3nSwAAAA="/>
  </w:docVars>
  <w:rsids>
    <w:rsidRoot w:val="001974F1"/>
    <w:rsid w:val="0006773A"/>
    <w:rsid w:val="000A0BC1"/>
    <w:rsid w:val="000A19B6"/>
    <w:rsid w:val="00162B9E"/>
    <w:rsid w:val="001907CD"/>
    <w:rsid w:val="001974F1"/>
    <w:rsid w:val="00231125"/>
    <w:rsid w:val="00325AFA"/>
    <w:rsid w:val="003A04C4"/>
    <w:rsid w:val="003E1169"/>
    <w:rsid w:val="003F6BA7"/>
    <w:rsid w:val="004F6F2B"/>
    <w:rsid w:val="005208F2"/>
    <w:rsid w:val="00584DA2"/>
    <w:rsid w:val="005A1B8E"/>
    <w:rsid w:val="005F4FF7"/>
    <w:rsid w:val="00601BD9"/>
    <w:rsid w:val="00667706"/>
    <w:rsid w:val="006853EA"/>
    <w:rsid w:val="00737852"/>
    <w:rsid w:val="007505D2"/>
    <w:rsid w:val="00814517"/>
    <w:rsid w:val="00830F24"/>
    <w:rsid w:val="0086579E"/>
    <w:rsid w:val="00975AAB"/>
    <w:rsid w:val="009834D5"/>
    <w:rsid w:val="009C058F"/>
    <w:rsid w:val="00A44E6C"/>
    <w:rsid w:val="00AC204A"/>
    <w:rsid w:val="00B132FD"/>
    <w:rsid w:val="00B23283"/>
    <w:rsid w:val="00D27B45"/>
    <w:rsid w:val="00D564F5"/>
    <w:rsid w:val="00D7678C"/>
    <w:rsid w:val="00DB2ACB"/>
    <w:rsid w:val="00E76774"/>
    <w:rsid w:val="00F863E3"/>
  </w:rsids>
  <m:mathPr>
    <m:mathFont m:val="Cambria Math"/>
    <m:brkBin m:val="before"/>
    <m:brkBinSub m:val="--"/>
    <m:smallFrac m:val="0"/>
    <m:dispDef/>
    <m:lMargin m:val="0"/>
    <m:rMargin m:val="0"/>
    <m:defJc m:val="centerGroup"/>
    <m:wrapIndent m:val="1440"/>
    <m:intLim m:val="subSup"/>
    <m:naryLim m:val="undOvr"/>
  </m:mathPr>
  <w:themeFontLang w:val="en-IN" w:eastAsia="ko-KR" w:bidi="t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DE48EB"/>
  <w15:chartTrackingRefBased/>
  <w15:docId w15:val="{C655679D-5CC6-4881-A05F-3D17F418A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ta-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974F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paragraph" w:styleId="Heading2">
    <w:name w:val="heading 2"/>
    <w:basedOn w:val="Normal"/>
    <w:link w:val="Heading2Char"/>
    <w:uiPriority w:val="9"/>
    <w:qFormat/>
    <w:rsid w:val="001974F1"/>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3">
    <w:name w:val="heading 3"/>
    <w:basedOn w:val="Normal"/>
    <w:link w:val="Heading3Char"/>
    <w:uiPriority w:val="9"/>
    <w:qFormat/>
    <w:rsid w:val="001974F1"/>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74F1"/>
    <w:rPr>
      <w:rFonts w:ascii="Times New Roman" w:eastAsia="Times New Roman" w:hAnsi="Times New Roman" w:cs="Times New Roman"/>
      <w:b/>
      <w:bCs/>
      <w:kern w:val="36"/>
      <w:sz w:val="48"/>
      <w:szCs w:val="48"/>
      <w:lang w:eastAsia="en-IN"/>
    </w:rPr>
  </w:style>
  <w:style w:type="character" w:customStyle="1" w:styleId="Heading2Char">
    <w:name w:val="Heading 2 Char"/>
    <w:basedOn w:val="DefaultParagraphFont"/>
    <w:link w:val="Heading2"/>
    <w:uiPriority w:val="9"/>
    <w:rsid w:val="001974F1"/>
    <w:rPr>
      <w:rFonts w:ascii="Times New Roman" w:eastAsia="Times New Roman" w:hAnsi="Times New Roman" w:cs="Times New Roman"/>
      <w:b/>
      <w:bCs/>
      <w:sz w:val="36"/>
      <w:szCs w:val="36"/>
      <w:lang w:eastAsia="en-IN"/>
    </w:rPr>
  </w:style>
  <w:style w:type="character" w:customStyle="1" w:styleId="Heading3Char">
    <w:name w:val="Heading 3 Char"/>
    <w:basedOn w:val="DefaultParagraphFont"/>
    <w:link w:val="Heading3"/>
    <w:uiPriority w:val="9"/>
    <w:rsid w:val="001974F1"/>
    <w:rPr>
      <w:rFonts w:ascii="Times New Roman" w:eastAsia="Times New Roman" w:hAnsi="Times New Roman" w:cs="Times New Roman"/>
      <w:b/>
      <w:bCs/>
      <w:sz w:val="27"/>
      <w:szCs w:val="27"/>
      <w:lang w:eastAsia="en-IN"/>
    </w:rPr>
  </w:style>
  <w:style w:type="paragraph" w:styleId="NormalWeb">
    <w:name w:val="Normal (Web)"/>
    <w:basedOn w:val="Normal"/>
    <w:uiPriority w:val="99"/>
    <w:semiHidden/>
    <w:unhideWhenUsed/>
    <w:rsid w:val="001974F1"/>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mord">
    <w:name w:val="mord"/>
    <w:basedOn w:val="DefaultParagraphFont"/>
    <w:rsid w:val="001974F1"/>
  </w:style>
  <w:style w:type="character" w:customStyle="1" w:styleId="mrel">
    <w:name w:val="mrel"/>
    <w:basedOn w:val="DefaultParagraphFont"/>
    <w:rsid w:val="001974F1"/>
  </w:style>
  <w:style w:type="character" w:customStyle="1" w:styleId="vlist-s">
    <w:name w:val="vlist-s"/>
    <w:basedOn w:val="DefaultParagraphFont"/>
    <w:rsid w:val="001974F1"/>
  </w:style>
  <w:style w:type="character" w:customStyle="1" w:styleId="mbin">
    <w:name w:val="mbin"/>
    <w:basedOn w:val="DefaultParagraphFont"/>
    <w:rsid w:val="001974F1"/>
  </w:style>
  <w:style w:type="character" w:styleId="Hyperlink">
    <w:name w:val="Hyperlink"/>
    <w:basedOn w:val="DefaultParagraphFont"/>
    <w:uiPriority w:val="99"/>
    <w:unhideWhenUsed/>
    <w:rsid w:val="001974F1"/>
    <w:rPr>
      <w:color w:val="0000FF"/>
      <w:u w:val="single"/>
    </w:rPr>
  </w:style>
  <w:style w:type="table" w:styleId="TableGrid">
    <w:name w:val="Table Grid"/>
    <w:basedOn w:val="TableNormal"/>
    <w:uiPriority w:val="39"/>
    <w:rsid w:val="001974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1125"/>
    <w:pPr>
      <w:ind w:left="720"/>
      <w:contextualSpacing/>
    </w:pPr>
  </w:style>
  <w:style w:type="character" w:styleId="LineNumber">
    <w:name w:val="line number"/>
    <w:basedOn w:val="DefaultParagraphFont"/>
    <w:uiPriority w:val="99"/>
    <w:semiHidden/>
    <w:unhideWhenUsed/>
    <w:rsid w:val="00231125"/>
  </w:style>
  <w:style w:type="character" w:styleId="UnresolvedMention">
    <w:name w:val="Unresolved Mention"/>
    <w:basedOn w:val="DefaultParagraphFont"/>
    <w:uiPriority w:val="99"/>
    <w:semiHidden/>
    <w:unhideWhenUsed/>
    <w:rsid w:val="00B23283"/>
    <w:rPr>
      <w:color w:val="605E5C"/>
      <w:shd w:val="clear" w:color="auto" w:fill="E1DFDD"/>
    </w:rPr>
  </w:style>
  <w:style w:type="paragraph" w:styleId="Header">
    <w:name w:val="header"/>
    <w:basedOn w:val="Normal"/>
    <w:link w:val="HeaderChar"/>
    <w:uiPriority w:val="99"/>
    <w:unhideWhenUsed/>
    <w:rsid w:val="009C05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058F"/>
  </w:style>
  <w:style w:type="paragraph" w:styleId="Footer">
    <w:name w:val="footer"/>
    <w:basedOn w:val="Normal"/>
    <w:link w:val="FooterChar"/>
    <w:uiPriority w:val="99"/>
    <w:unhideWhenUsed/>
    <w:rsid w:val="009C05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058F"/>
  </w:style>
  <w:style w:type="character" w:styleId="CommentReference">
    <w:name w:val="annotation reference"/>
    <w:basedOn w:val="DefaultParagraphFont"/>
    <w:uiPriority w:val="99"/>
    <w:semiHidden/>
    <w:unhideWhenUsed/>
    <w:rsid w:val="00325AFA"/>
    <w:rPr>
      <w:sz w:val="16"/>
      <w:szCs w:val="16"/>
    </w:rPr>
  </w:style>
  <w:style w:type="paragraph" w:styleId="CommentText">
    <w:name w:val="annotation text"/>
    <w:basedOn w:val="Normal"/>
    <w:link w:val="CommentTextChar"/>
    <w:uiPriority w:val="99"/>
    <w:unhideWhenUsed/>
    <w:rsid w:val="00325AFA"/>
    <w:pPr>
      <w:spacing w:line="240" w:lineRule="auto"/>
    </w:pPr>
    <w:rPr>
      <w:sz w:val="20"/>
      <w:szCs w:val="20"/>
    </w:rPr>
  </w:style>
  <w:style w:type="character" w:customStyle="1" w:styleId="CommentTextChar">
    <w:name w:val="Comment Text Char"/>
    <w:basedOn w:val="DefaultParagraphFont"/>
    <w:link w:val="CommentText"/>
    <w:uiPriority w:val="99"/>
    <w:rsid w:val="00325AFA"/>
    <w:rPr>
      <w:sz w:val="20"/>
      <w:szCs w:val="20"/>
    </w:rPr>
  </w:style>
  <w:style w:type="paragraph" w:styleId="CommentSubject">
    <w:name w:val="annotation subject"/>
    <w:basedOn w:val="CommentText"/>
    <w:next w:val="CommentText"/>
    <w:link w:val="CommentSubjectChar"/>
    <w:uiPriority w:val="99"/>
    <w:semiHidden/>
    <w:unhideWhenUsed/>
    <w:rsid w:val="00325AFA"/>
    <w:rPr>
      <w:b/>
      <w:bCs/>
    </w:rPr>
  </w:style>
  <w:style w:type="character" w:customStyle="1" w:styleId="CommentSubjectChar">
    <w:name w:val="Comment Subject Char"/>
    <w:basedOn w:val="CommentTextChar"/>
    <w:link w:val="CommentSubject"/>
    <w:uiPriority w:val="99"/>
    <w:semiHidden/>
    <w:rsid w:val="00325AFA"/>
    <w:rPr>
      <w:b/>
      <w:bCs/>
      <w:sz w:val="20"/>
      <w:szCs w:val="20"/>
    </w:rPr>
  </w:style>
  <w:style w:type="character" w:styleId="Emphasis">
    <w:name w:val="Emphasis"/>
    <w:basedOn w:val="DefaultParagraphFont"/>
    <w:uiPriority w:val="20"/>
    <w:qFormat/>
    <w:rsid w:val="00D27B45"/>
    <w:rPr>
      <w:i/>
      <w:iCs/>
    </w:rPr>
  </w:style>
  <w:style w:type="character" w:styleId="Strong">
    <w:name w:val="Strong"/>
    <w:basedOn w:val="DefaultParagraphFont"/>
    <w:uiPriority w:val="22"/>
    <w:qFormat/>
    <w:rsid w:val="00D27B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670013">
      <w:bodyDiv w:val="1"/>
      <w:marLeft w:val="0"/>
      <w:marRight w:val="0"/>
      <w:marTop w:val="0"/>
      <w:marBottom w:val="0"/>
      <w:divBdr>
        <w:top w:val="none" w:sz="0" w:space="0" w:color="auto"/>
        <w:left w:val="none" w:sz="0" w:space="0" w:color="auto"/>
        <w:bottom w:val="none" w:sz="0" w:space="0" w:color="auto"/>
        <w:right w:val="none" w:sz="0" w:space="0" w:color="auto"/>
      </w:divBdr>
      <w:divsChild>
        <w:div w:id="352802022">
          <w:marLeft w:val="0"/>
          <w:marRight w:val="0"/>
          <w:marTop w:val="0"/>
          <w:marBottom w:val="0"/>
          <w:divBdr>
            <w:top w:val="none" w:sz="0" w:space="0" w:color="auto"/>
            <w:left w:val="none" w:sz="0" w:space="0" w:color="auto"/>
            <w:bottom w:val="none" w:sz="0" w:space="0" w:color="auto"/>
            <w:right w:val="none" w:sz="0" w:space="0" w:color="auto"/>
          </w:divBdr>
          <w:divsChild>
            <w:div w:id="1458834727">
              <w:marLeft w:val="0"/>
              <w:marRight w:val="0"/>
              <w:marTop w:val="0"/>
              <w:marBottom w:val="0"/>
              <w:divBdr>
                <w:top w:val="none" w:sz="0" w:space="0" w:color="auto"/>
                <w:left w:val="none" w:sz="0" w:space="0" w:color="auto"/>
                <w:bottom w:val="none" w:sz="0" w:space="0" w:color="auto"/>
                <w:right w:val="none" w:sz="0" w:space="0" w:color="auto"/>
              </w:divBdr>
              <w:divsChild>
                <w:div w:id="700546698">
                  <w:marLeft w:val="0"/>
                  <w:marRight w:val="0"/>
                  <w:marTop w:val="0"/>
                  <w:marBottom w:val="0"/>
                  <w:divBdr>
                    <w:top w:val="none" w:sz="0" w:space="0" w:color="auto"/>
                    <w:left w:val="none" w:sz="0" w:space="0" w:color="auto"/>
                    <w:bottom w:val="none" w:sz="0" w:space="0" w:color="auto"/>
                    <w:right w:val="none" w:sz="0" w:space="0" w:color="auto"/>
                  </w:divBdr>
                  <w:divsChild>
                    <w:div w:id="283931233">
                      <w:marLeft w:val="0"/>
                      <w:marRight w:val="0"/>
                      <w:marTop w:val="0"/>
                      <w:marBottom w:val="0"/>
                      <w:divBdr>
                        <w:top w:val="none" w:sz="0" w:space="0" w:color="auto"/>
                        <w:left w:val="none" w:sz="0" w:space="0" w:color="auto"/>
                        <w:bottom w:val="none" w:sz="0" w:space="0" w:color="auto"/>
                        <w:right w:val="none" w:sz="0" w:space="0" w:color="auto"/>
                      </w:divBdr>
                      <w:divsChild>
                        <w:div w:id="1823304982">
                          <w:marLeft w:val="0"/>
                          <w:marRight w:val="0"/>
                          <w:marTop w:val="0"/>
                          <w:marBottom w:val="0"/>
                          <w:divBdr>
                            <w:top w:val="none" w:sz="0" w:space="0" w:color="auto"/>
                            <w:left w:val="none" w:sz="0" w:space="0" w:color="auto"/>
                            <w:bottom w:val="none" w:sz="0" w:space="0" w:color="auto"/>
                            <w:right w:val="none" w:sz="0" w:space="0" w:color="auto"/>
                          </w:divBdr>
                          <w:divsChild>
                            <w:div w:id="74988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067738">
                  <w:marLeft w:val="0"/>
                  <w:marRight w:val="0"/>
                  <w:marTop w:val="0"/>
                  <w:marBottom w:val="0"/>
                  <w:divBdr>
                    <w:top w:val="none" w:sz="0" w:space="0" w:color="auto"/>
                    <w:left w:val="none" w:sz="0" w:space="0" w:color="auto"/>
                    <w:bottom w:val="none" w:sz="0" w:space="0" w:color="auto"/>
                    <w:right w:val="none" w:sz="0" w:space="0" w:color="auto"/>
                  </w:divBdr>
                  <w:divsChild>
                    <w:div w:id="414210541">
                      <w:marLeft w:val="0"/>
                      <w:marRight w:val="0"/>
                      <w:marTop w:val="0"/>
                      <w:marBottom w:val="0"/>
                      <w:divBdr>
                        <w:top w:val="none" w:sz="0" w:space="0" w:color="auto"/>
                        <w:left w:val="none" w:sz="0" w:space="0" w:color="auto"/>
                        <w:bottom w:val="none" w:sz="0" w:space="0" w:color="auto"/>
                        <w:right w:val="none" w:sz="0" w:space="0" w:color="auto"/>
                      </w:divBdr>
                      <w:divsChild>
                        <w:div w:id="217522642">
                          <w:marLeft w:val="0"/>
                          <w:marRight w:val="0"/>
                          <w:marTop w:val="0"/>
                          <w:marBottom w:val="0"/>
                          <w:divBdr>
                            <w:top w:val="none" w:sz="0" w:space="0" w:color="auto"/>
                            <w:left w:val="none" w:sz="0" w:space="0" w:color="auto"/>
                            <w:bottom w:val="none" w:sz="0" w:space="0" w:color="auto"/>
                            <w:right w:val="none" w:sz="0" w:space="0" w:color="auto"/>
                          </w:divBdr>
                          <w:divsChild>
                            <w:div w:id="136146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373926">
                  <w:marLeft w:val="0"/>
                  <w:marRight w:val="0"/>
                  <w:marTop w:val="0"/>
                  <w:marBottom w:val="0"/>
                  <w:divBdr>
                    <w:top w:val="none" w:sz="0" w:space="0" w:color="auto"/>
                    <w:left w:val="none" w:sz="0" w:space="0" w:color="auto"/>
                    <w:bottom w:val="none" w:sz="0" w:space="0" w:color="auto"/>
                    <w:right w:val="none" w:sz="0" w:space="0" w:color="auto"/>
                  </w:divBdr>
                  <w:divsChild>
                    <w:div w:id="1658342077">
                      <w:marLeft w:val="0"/>
                      <w:marRight w:val="0"/>
                      <w:marTop w:val="0"/>
                      <w:marBottom w:val="0"/>
                      <w:divBdr>
                        <w:top w:val="none" w:sz="0" w:space="0" w:color="auto"/>
                        <w:left w:val="none" w:sz="0" w:space="0" w:color="auto"/>
                        <w:bottom w:val="none" w:sz="0" w:space="0" w:color="auto"/>
                        <w:right w:val="none" w:sz="0" w:space="0" w:color="auto"/>
                      </w:divBdr>
                      <w:divsChild>
                        <w:div w:id="6176495">
                          <w:marLeft w:val="0"/>
                          <w:marRight w:val="0"/>
                          <w:marTop w:val="0"/>
                          <w:marBottom w:val="0"/>
                          <w:divBdr>
                            <w:top w:val="none" w:sz="0" w:space="0" w:color="auto"/>
                            <w:left w:val="none" w:sz="0" w:space="0" w:color="auto"/>
                            <w:bottom w:val="none" w:sz="0" w:space="0" w:color="auto"/>
                            <w:right w:val="none" w:sz="0" w:space="0" w:color="auto"/>
                          </w:divBdr>
                          <w:divsChild>
                            <w:div w:id="41066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9734/jabb/2025/v28i82845" TargetMode="External"/><Relationship Id="rId18" Type="http://schemas.openxmlformats.org/officeDocument/2006/relationships/hyperlink" Target="https://doi.org/10.1016/S2221-1691(12)60456-0" TargetMode="External"/><Relationship Id="rId26" Type="http://schemas.openxmlformats.org/officeDocument/2006/relationships/hyperlink" Target="https://www.who.int/emergencies/disease-outbreak-news/item/2023-DON498" TargetMode="External"/><Relationship Id="rId3" Type="http://schemas.openxmlformats.org/officeDocument/2006/relationships/settings" Target="settings.xml"/><Relationship Id="rId21" Type="http://schemas.openxmlformats.org/officeDocument/2006/relationships/hyperlink" Target="https://doi.org/10.1073/pnas.1500232112" TargetMode="External"/><Relationship Id="rId34" Type="http://schemas.openxmlformats.org/officeDocument/2006/relationships/fontTable" Target="fontTable.xml"/><Relationship Id="rId7" Type="http://schemas.openxmlformats.org/officeDocument/2006/relationships/hyperlink" Target="https://doi.org/10.1038/s41598-025-08105-z" TargetMode="External"/><Relationship Id="rId12" Type="http://schemas.openxmlformats.org/officeDocument/2006/relationships/hyperlink" Target="https://doi.org/10.1186/s13071-025-07010-8" TargetMode="External"/><Relationship Id="rId17" Type="http://schemas.openxmlformats.org/officeDocument/2006/relationships/hyperlink" Target="https://doi.org/10.1098/rstb.2009.0097" TargetMode="External"/><Relationship Id="rId25" Type="http://schemas.openxmlformats.org/officeDocument/2006/relationships/hyperlink" Target="https://www.who.int/publications/i/item/WHO-CDS-WHOPES-GCDPP-2005.13" TargetMode="External"/><Relationship Id="rId33"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s://doi.org/10.1371/journal.pntd.0012347" TargetMode="External"/><Relationship Id="rId20" Type="http://schemas.openxmlformats.org/officeDocument/2006/relationships/hyperlink" Target="https://doi.org/10.1016/j.envint.2005.03.003" TargetMode="External"/><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nk.springer.com/book/9780412572609" TargetMode="External"/><Relationship Id="rId24" Type="http://schemas.openxmlformats.org/officeDocument/2006/relationships/hyperlink" Target="https://doi.org/10.56557/upjoz/2024/v45i154220" TargetMode="External"/><Relationship Id="rId32"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doi.org/10.1186/s41182-024-00654-9" TargetMode="External"/><Relationship Id="rId23" Type="http://schemas.openxmlformats.org/officeDocument/2006/relationships/hyperlink" Target="https://doi.org/10.3390/ijerph18031112" TargetMode="External"/><Relationship Id="rId28" Type="http://schemas.openxmlformats.org/officeDocument/2006/relationships/header" Target="header1.xml"/><Relationship Id="rId10" Type="http://schemas.openxmlformats.org/officeDocument/2006/relationships/hyperlink" Target="https://doi.org/10.3402/iee.v5.28132" TargetMode="External"/><Relationship Id="rId19" Type="http://schemas.openxmlformats.org/officeDocument/2006/relationships/hyperlink" Target="https://doi.org/10.1371/journal.pntd.0007213" TargetMode="External"/><Relationship Id="rId3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doi.org/10.1590/0037-8682-0459-2018" TargetMode="External"/><Relationship Id="rId14" Type="http://schemas.openxmlformats.org/officeDocument/2006/relationships/hyperlink" Target="https://doi.org/10.1016/j.cveq.2014.08.009" TargetMode="External"/><Relationship Id="rId22" Type="http://schemas.openxmlformats.org/officeDocument/2006/relationships/hyperlink" Target="https://doi.org/10.3389/fviro.2024.1448192" TargetMode="External"/><Relationship Id="rId27" Type="http://schemas.openxmlformats.org/officeDocument/2006/relationships/hyperlink" Target="https://doi.org/10.1099/jgv.0.001296"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hyperlink" Target="https://doi.org/10.1016/j.jfoodeng.2013.01.0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12</Pages>
  <Words>4612</Words>
  <Characters>26291</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Satheesh Kumar</dc:creator>
  <cp:keywords/>
  <dc:description/>
  <cp:lastModifiedBy>SDI CPU 1117</cp:lastModifiedBy>
  <cp:revision>15</cp:revision>
  <dcterms:created xsi:type="dcterms:W3CDTF">2026-06-06T19:56:00Z</dcterms:created>
  <dcterms:modified xsi:type="dcterms:W3CDTF">2026-07-02T06:26:00Z</dcterms:modified>
</cp:coreProperties>
</file>