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D450B" w14:textId="77777777" w:rsidR="0037422D" w:rsidRPr="000B4886" w:rsidRDefault="0037422D" w:rsidP="00715287">
      <w:pPr>
        <w:tabs>
          <w:tab w:val="left" w:pos="1189"/>
        </w:tabs>
        <w:spacing w:before="2" w:after="2"/>
        <w:jc w:val="center"/>
        <w:rPr>
          <w:rFonts w:ascii="Arial" w:hAnsi="Arial" w:cs="Arial"/>
          <w:b/>
          <w:bCs/>
          <w:i/>
          <w:iCs/>
          <w:u w:val="single"/>
        </w:rPr>
      </w:pPr>
    </w:p>
    <w:p w14:paraId="1C8EB7A7" w14:textId="77777777" w:rsidR="00D74CC5" w:rsidRPr="000B4886" w:rsidRDefault="00DF71D4" w:rsidP="0037422D">
      <w:pPr>
        <w:tabs>
          <w:tab w:val="left" w:pos="1189"/>
        </w:tabs>
        <w:spacing w:before="2" w:after="2"/>
        <w:jc w:val="center"/>
        <w:rPr>
          <w:rFonts w:ascii="Arial" w:hAnsi="Arial" w:cs="Arial"/>
          <w:b/>
          <w:sz w:val="24"/>
        </w:rPr>
      </w:pPr>
      <w:r w:rsidRPr="000B4886">
        <w:rPr>
          <w:rFonts w:ascii="Arial" w:hAnsi="Arial" w:cs="Arial"/>
          <w:b/>
          <w:sz w:val="24"/>
        </w:rPr>
        <w:t>Malaria Prevalence and Traditional Treatment Practices in Afikpo Local Government Area, Ebonyi State, Nigeria</w:t>
      </w:r>
    </w:p>
    <w:p w14:paraId="2A283080" w14:textId="77777777" w:rsidR="00AA3620" w:rsidRPr="000B4886" w:rsidRDefault="00AA3620" w:rsidP="0037422D">
      <w:pPr>
        <w:tabs>
          <w:tab w:val="left" w:pos="1189"/>
        </w:tabs>
        <w:spacing w:before="2" w:after="2"/>
        <w:jc w:val="center"/>
        <w:rPr>
          <w:rFonts w:ascii="Arial" w:hAnsi="Arial" w:cs="Arial"/>
          <w:sz w:val="22"/>
        </w:rPr>
      </w:pPr>
    </w:p>
    <w:p w14:paraId="62D96621" w14:textId="77777777" w:rsidR="00911497" w:rsidRPr="000B4886" w:rsidRDefault="00911497" w:rsidP="00911497">
      <w:pPr>
        <w:tabs>
          <w:tab w:val="left" w:pos="1189"/>
        </w:tabs>
        <w:spacing w:before="2" w:after="2"/>
        <w:jc w:val="center"/>
        <w:rPr>
          <w:rFonts w:ascii="Arial" w:hAnsi="Arial" w:cs="Arial"/>
          <w:sz w:val="22"/>
        </w:rPr>
      </w:pPr>
    </w:p>
    <w:p w14:paraId="492FF2B4" w14:textId="77777777" w:rsidR="00911497" w:rsidRPr="000B4886" w:rsidRDefault="00911497" w:rsidP="00911497">
      <w:pPr>
        <w:spacing w:before="2" w:after="2"/>
        <w:ind w:firstLine="720"/>
        <w:rPr>
          <w:rFonts w:ascii="Arial" w:hAnsi="Arial" w:cs="Arial"/>
          <w:sz w:val="22"/>
        </w:rPr>
      </w:pPr>
    </w:p>
    <w:p w14:paraId="4F7EC0C0" w14:textId="77777777" w:rsidR="00911497" w:rsidRPr="000B4886" w:rsidRDefault="00911497" w:rsidP="00911497">
      <w:pPr>
        <w:pStyle w:val="AbstHead"/>
        <w:spacing w:after="0"/>
        <w:jc w:val="both"/>
        <w:rPr>
          <w:rFonts w:ascii="Arial" w:hAnsi="Arial" w:cs="Arial"/>
        </w:rPr>
      </w:pPr>
      <w:r w:rsidRPr="000B4886">
        <w:rPr>
          <w:rFonts w:ascii="Arial" w:hAnsi="Arial" w:cs="Arial"/>
        </w:rPr>
        <w:t xml:space="preserve">ABSTRACT </w:t>
      </w:r>
    </w:p>
    <w:p w14:paraId="4CB56C07" w14:textId="77777777" w:rsidR="00911497" w:rsidRPr="000B4886" w:rsidRDefault="00911497" w:rsidP="00911497">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911497" w:rsidRPr="000B4886" w14:paraId="6023B77F" w14:textId="77777777" w:rsidTr="00690CD4">
        <w:tc>
          <w:tcPr>
            <w:tcW w:w="9576" w:type="dxa"/>
            <w:shd w:val="clear" w:color="auto" w:fill="F2F2F2"/>
          </w:tcPr>
          <w:p w14:paraId="66FE200F" w14:textId="77777777" w:rsidR="00911497" w:rsidRPr="000B4886" w:rsidRDefault="00911497" w:rsidP="00690CD4">
            <w:pPr>
              <w:pStyle w:val="Body"/>
              <w:spacing w:after="0"/>
              <w:rPr>
                <w:rFonts w:ascii="Arial" w:eastAsia="Calibri" w:hAnsi="Arial" w:cs="Arial"/>
              </w:rPr>
            </w:pPr>
          </w:p>
          <w:p w14:paraId="3E20BF48" w14:textId="77777777" w:rsidR="00911497" w:rsidRPr="000B4886" w:rsidRDefault="00911497" w:rsidP="00690CD4">
            <w:pPr>
              <w:pStyle w:val="Body"/>
              <w:spacing w:after="0"/>
              <w:rPr>
                <w:rFonts w:ascii="Arial" w:eastAsia="Calibri" w:hAnsi="Arial" w:cs="Arial"/>
                <w:b/>
              </w:rPr>
            </w:pPr>
          </w:p>
          <w:p w14:paraId="09571336" w14:textId="77777777" w:rsidR="00BF6D88" w:rsidRPr="000B4886" w:rsidRDefault="00BF6D88" w:rsidP="00BD492F">
            <w:pPr>
              <w:jc w:val="both"/>
              <w:rPr>
                <w:rFonts w:ascii="Arial" w:hAnsi="Arial" w:cs="Arial"/>
                <w:bCs/>
                <w:color w:val="1C1C1C"/>
                <w:shd w:val="clear" w:color="auto" w:fill="FFFFFF"/>
              </w:rPr>
            </w:pPr>
            <w:r w:rsidRPr="000B4886">
              <w:rPr>
                <w:bCs/>
              </w:rPr>
              <w:t>Aim: This study aimed to determine malaria prevalence and document traditional malaria treatment practices among the indigenous people of Afikpo Local Government Area (LGA), Ebonyi State, Nigeria.</w:t>
            </w:r>
          </w:p>
          <w:p w14:paraId="6C88C13A" w14:textId="77777777" w:rsidR="00BF6D88" w:rsidRPr="000B4886" w:rsidRDefault="00BF6D88" w:rsidP="00BF6D88">
            <w:pPr>
              <w:rPr>
                <w:rFonts w:ascii="Arial" w:hAnsi="Arial" w:cs="Arial"/>
                <w:bCs/>
                <w:color w:val="1C1C1C"/>
                <w:shd w:val="clear" w:color="auto" w:fill="FFFFFF"/>
              </w:rPr>
            </w:pPr>
          </w:p>
          <w:p w14:paraId="5569BA44" w14:textId="77777777" w:rsidR="00BF6D88" w:rsidRPr="000B4886" w:rsidRDefault="00BF6D88" w:rsidP="00BF6D88">
            <w:pPr>
              <w:rPr>
                <w:rFonts w:ascii="Arial" w:hAnsi="Arial" w:cs="Arial"/>
                <w:bCs/>
                <w:color w:val="1C1C1C"/>
                <w:shd w:val="clear" w:color="auto" w:fill="FFFFFF"/>
              </w:rPr>
            </w:pPr>
            <w:r w:rsidRPr="000B4886">
              <w:rPr>
                <w:bCs/>
              </w:rPr>
              <w:t>Study Design: A community-based cross-sectional study was conducted.</w:t>
            </w:r>
          </w:p>
          <w:p w14:paraId="541BA7A1" w14:textId="77777777" w:rsidR="00BF6D88" w:rsidRPr="000B4886" w:rsidRDefault="00BF6D88" w:rsidP="00BF6D88">
            <w:pPr>
              <w:rPr>
                <w:rFonts w:ascii="Arial" w:hAnsi="Arial" w:cs="Arial"/>
                <w:bCs/>
                <w:color w:val="1C1C1C"/>
                <w:shd w:val="clear" w:color="auto" w:fill="FFFFFF"/>
              </w:rPr>
            </w:pPr>
            <w:r w:rsidRPr="000B4886">
              <w:rPr>
                <w:rFonts w:ascii="Arial" w:hAnsi="Arial" w:cs="Arial"/>
                <w:bCs/>
                <w:color w:val="1C1C1C"/>
                <w:shd w:val="clear" w:color="auto" w:fill="FFFFFF"/>
              </w:rPr>
              <w:t xml:space="preserve"> </w:t>
            </w:r>
          </w:p>
          <w:p w14:paraId="43FABF07" w14:textId="77777777" w:rsidR="00BF6D88" w:rsidRPr="000B4886" w:rsidRDefault="00BF6D88" w:rsidP="00BF6D88">
            <w:pPr>
              <w:rPr>
                <w:rFonts w:ascii="Arial" w:hAnsi="Arial" w:cs="Arial"/>
                <w:bCs/>
                <w:color w:val="1C1C1C"/>
                <w:shd w:val="clear" w:color="auto" w:fill="FFFFFF"/>
              </w:rPr>
            </w:pPr>
            <w:r w:rsidRPr="000B4886">
              <w:rPr>
                <w:bCs/>
              </w:rPr>
              <w:t>Place and Duration of Study: The research was conducted in the Ukpa Amachara and Ngodo Amachi communities in Afikpo LGA, Ebonyi State, Nigeria, from October to December 2025.</w:t>
            </w:r>
          </w:p>
          <w:p w14:paraId="057F4CD5" w14:textId="77777777" w:rsidR="00BF6D88" w:rsidRPr="000B4886" w:rsidRDefault="00BF6D88" w:rsidP="00BF6D88">
            <w:pPr>
              <w:rPr>
                <w:rFonts w:ascii="Arial" w:hAnsi="Arial" w:cs="Arial"/>
                <w:bCs/>
                <w:color w:val="1C1C1C"/>
                <w:shd w:val="clear" w:color="auto" w:fill="FFFFFF"/>
              </w:rPr>
            </w:pPr>
          </w:p>
          <w:p w14:paraId="7FB34052" w14:textId="77777777" w:rsidR="00BF6D88" w:rsidRPr="000B4886" w:rsidRDefault="00BF6D88" w:rsidP="005C1737">
            <w:pPr>
              <w:jc w:val="both"/>
              <w:rPr>
                <w:rFonts w:ascii="Arial" w:hAnsi="Arial" w:cs="Arial"/>
                <w:bCs/>
                <w:color w:val="1C1C1C"/>
                <w:shd w:val="clear" w:color="auto" w:fill="FFFFFF"/>
              </w:rPr>
            </w:pPr>
            <w:r w:rsidRPr="000B4886">
              <w:rPr>
                <w:bCs/>
              </w:rPr>
              <w:t>Methodology: A total of 100 participants from the Ukpa Amachara and Ngodo Amachi communities volunteered to participate after the study objectives had been explained to them. Malaria screening was performed using CareStart Malaria HRP2 (Pf) rapid diagnostic test (RDT) kits with finger-prick blood samples. Sociodemographic characteristics, malaria treatment choices and traditional malaria treatment practices were collected using a structured questionnaire. Data were analysed using descriptive statistics in IBM SPSS version 25.</w:t>
            </w:r>
          </w:p>
          <w:p w14:paraId="1AB78BCB" w14:textId="77777777" w:rsidR="00BF6D88" w:rsidRPr="000B4886" w:rsidRDefault="00BF6D88" w:rsidP="00BF6D88">
            <w:pPr>
              <w:rPr>
                <w:rFonts w:ascii="Arial" w:hAnsi="Arial" w:cs="Arial"/>
                <w:bCs/>
                <w:color w:val="1C1C1C"/>
                <w:shd w:val="clear" w:color="auto" w:fill="FFFFFF"/>
              </w:rPr>
            </w:pPr>
          </w:p>
          <w:p w14:paraId="0E7AA3EB" w14:textId="77777777" w:rsidR="00BF6D88" w:rsidRPr="000B4886" w:rsidRDefault="00BF6D88" w:rsidP="005C1737">
            <w:pPr>
              <w:jc w:val="both"/>
              <w:rPr>
                <w:rFonts w:ascii="Arial" w:hAnsi="Arial" w:cs="Arial"/>
                <w:bCs/>
                <w:color w:val="1C1C1C"/>
                <w:shd w:val="clear" w:color="auto" w:fill="FFFFFF"/>
              </w:rPr>
            </w:pPr>
            <w:r w:rsidRPr="000B4886">
              <w:rPr>
                <w:bCs/>
              </w:rPr>
              <w:t xml:space="preserve">Results: The overall prevalence of malaria was 20.0% (n/N = 20/100). The highest positivity rate was observed among children, at 33.3% (n/N = 2/6). However, malaria prevalence did not differ significantly across age groups, sex, educational background or occupation (P &gt; 0.05). Among the 100 study participants, conventional antimalarials were the most common treatment modality, accounting for 58.0% (n = 58). By contrast, 34.0% (n = 34) reported using traditional herbal remedies, whereas 8.0% (n = 8) used both conventional and herbal medicine. Of the 67 participants who reported traditional malaria treatment practices, the most frequently reported remedy was </w:t>
            </w:r>
            <w:r w:rsidRPr="000B4886">
              <w:rPr>
                <w:bCs/>
                <w:i/>
              </w:rPr>
              <w:t>Agbo</w:t>
            </w:r>
            <w:r w:rsidRPr="000B4886">
              <w:rPr>
                <w:bCs/>
              </w:rPr>
              <w:t>, a generic herbal mixture (38.81%, n = 26 responses), followed by physical vapour inhalation or bathing (13.43%, n = 9 responses) and boiled Neem leaves (10.45%, n = 7 responses). Of these 67 participants, 62 provided reasons for their treatment choices. Ease of access and perceived rapid action accounted for 58.07% (n = 36) of responses, whereas financial constraint accounted for 1.61% (n = 1).</w:t>
            </w:r>
          </w:p>
          <w:p w14:paraId="11EF388E" w14:textId="77777777" w:rsidR="00BF6D88" w:rsidRPr="000B4886" w:rsidRDefault="00BF6D88" w:rsidP="00BF6D88">
            <w:pPr>
              <w:rPr>
                <w:rFonts w:ascii="Arial" w:hAnsi="Arial" w:cs="Arial"/>
                <w:bCs/>
                <w:color w:val="1C1C1C"/>
                <w:shd w:val="clear" w:color="auto" w:fill="FFFFFF"/>
              </w:rPr>
            </w:pPr>
            <w:r w:rsidRPr="000B4886">
              <w:rPr>
                <w:rFonts w:ascii="Arial" w:hAnsi="Arial" w:cs="Arial"/>
                <w:bCs/>
                <w:color w:val="1C1C1C"/>
                <w:shd w:val="clear" w:color="auto" w:fill="FFFFFF"/>
              </w:rPr>
              <w:t xml:space="preserve"> </w:t>
            </w:r>
          </w:p>
          <w:p w14:paraId="21594C52" w14:textId="77777777" w:rsidR="00BF6D88" w:rsidRDefault="00BF6D88" w:rsidP="00C85BB9">
            <w:pPr>
              <w:jc w:val="both"/>
              <w:rPr>
                <w:bCs/>
              </w:rPr>
            </w:pPr>
            <w:r w:rsidRPr="000B4886">
              <w:rPr>
                <w:bCs/>
              </w:rPr>
              <w:t xml:space="preserve">Conclusion: Malaria remains a public health concern in Afikpo North. The use of herbal remedies such as </w:t>
            </w:r>
            <w:r w:rsidRPr="000B4886">
              <w:rPr>
                <w:bCs/>
                <w:i/>
              </w:rPr>
              <w:t>Agbo</w:t>
            </w:r>
            <w:r w:rsidRPr="000B4886">
              <w:rPr>
                <w:bCs/>
              </w:rPr>
              <w:t>, Neem and Moringa reflects cultural trust and accessibility within the study communities. Public health authorities should collaborate with local herbal practitioners to validate, standardise and regulate commonly used traditional remedies and to promote safe dosing and timely clinical referral for vulnerable groups.</w:t>
            </w:r>
          </w:p>
          <w:p w14:paraId="3A5D34FE" w14:textId="77777777" w:rsidR="00345177" w:rsidRPr="000B4886" w:rsidRDefault="00345177" w:rsidP="00C85BB9">
            <w:pPr>
              <w:jc w:val="both"/>
              <w:rPr>
                <w:rFonts w:ascii="Arial" w:hAnsi="Arial" w:cs="Arial"/>
                <w:bCs/>
              </w:rPr>
            </w:pPr>
          </w:p>
          <w:p w14:paraId="532C28BD" w14:textId="7A70999C" w:rsidR="00911497" w:rsidRPr="000B4886" w:rsidRDefault="00345177" w:rsidP="00345177">
            <w:pPr>
              <w:spacing w:before="2" w:after="2"/>
              <w:rPr>
                <w:rFonts w:ascii="Arial" w:eastAsia="Calibri" w:hAnsi="Arial" w:cs="Arial"/>
              </w:rPr>
            </w:pPr>
            <w:r>
              <w:rPr>
                <w:rStyle w:val="Strong"/>
              </w:rPr>
              <w:t>Keywords:</w:t>
            </w:r>
            <w:r>
              <w:t xml:space="preserve"> Afikpo North LGA; malaria prevalence; traditional medicine; herbal remedies; Agbo; ethnobotany; rapid diagnostic test; treatment-seeking behaviour; antimalarial therapy;</w:t>
            </w:r>
          </w:p>
        </w:tc>
      </w:tr>
    </w:tbl>
    <w:p w14:paraId="55435EFF" w14:textId="77777777" w:rsidR="00635BEF" w:rsidRPr="000B4886" w:rsidRDefault="00635BEF" w:rsidP="00911497">
      <w:pPr>
        <w:spacing w:before="2" w:after="2"/>
        <w:rPr>
          <w:rFonts w:ascii="Arial" w:hAnsi="Arial" w:cs="Arial"/>
        </w:rPr>
      </w:pPr>
    </w:p>
    <w:p w14:paraId="14A05101" w14:textId="77777777" w:rsidR="001B2069" w:rsidRPr="000B4886" w:rsidRDefault="001B2069" w:rsidP="00911497">
      <w:pPr>
        <w:spacing w:before="2" w:after="2"/>
        <w:rPr>
          <w:rFonts w:ascii="Arial" w:hAnsi="Arial" w:cs="Arial"/>
          <w:b/>
        </w:rPr>
      </w:pPr>
    </w:p>
    <w:p w14:paraId="65504A35" w14:textId="77777777" w:rsidR="001B2069" w:rsidRPr="000B4886" w:rsidRDefault="001B2069" w:rsidP="00911497">
      <w:pPr>
        <w:spacing w:before="2" w:after="2"/>
        <w:rPr>
          <w:rFonts w:ascii="Arial" w:hAnsi="Arial" w:cs="Arial"/>
          <w:b/>
        </w:rPr>
      </w:pPr>
    </w:p>
    <w:p w14:paraId="543BD1F5" w14:textId="77777777" w:rsidR="001B2069" w:rsidRPr="000B4886" w:rsidRDefault="001B2069" w:rsidP="00911497">
      <w:pPr>
        <w:spacing w:before="2" w:after="2"/>
        <w:rPr>
          <w:rFonts w:ascii="Arial" w:hAnsi="Arial" w:cs="Arial"/>
          <w:b/>
        </w:rPr>
      </w:pPr>
    </w:p>
    <w:p w14:paraId="15F283C4" w14:textId="77777777" w:rsidR="001B2069" w:rsidRPr="000B4886" w:rsidRDefault="001B2069" w:rsidP="00911497">
      <w:pPr>
        <w:spacing w:before="2" w:after="2"/>
        <w:rPr>
          <w:rFonts w:ascii="Arial" w:hAnsi="Arial" w:cs="Arial"/>
          <w:b/>
        </w:rPr>
      </w:pPr>
    </w:p>
    <w:p w14:paraId="13B5AEED" w14:textId="77777777" w:rsidR="001B2069" w:rsidRPr="000B4886" w:rsidRDefault="001B2069" w:rsidP="00911497">
      <w:pPr>
        <w:spacing w:before="2" w:after="2"/>
        <w:rPr>
          <w:rFonts w:ascii="Arial" w:hAnsi="Arial" w:cs="Arial"/>
          <w:b/>
        </w:rPr>
      </w:pPr>
    </w:p>
    <w:p w14:paraId="3C0480D5" w14:textId="77777777" w:rsidR="001B2069" w:rsidRPr="000B4886" w:rsidRDefault="001B2069" w:rsidP="00911497">
      <w:pPr>
        <w:spacing w:before="2" w:after="2"/>
        <w:rPr>
          <w:rFonts w:ascii="Arial" w:hAnsi="Arial" w:cs="Arial"/>
          <w:b/>
        </w:rPr>
      </w:pPr>
    </w:p>
    <w:p w14:paraId="13CF30D7" w14:textId="77777777" w:rsidR="00911497" w:rsidRPr="000B4886" w:rsidRDefault="004A13F7" w:rsidP="00911497">
      <w:pPr>
        <w:spacing w:before="2" w:after="2"/>
        <w:rPr>
          <w:rFonts w:ascii="Arial" w:hAnsi="Arial" w:cs="Arial"/>
          <w:b/>
        </w:rPr>
      </w:pPr>
      <w:r w:rsidRPr="000B4886">
        <w:rPr>
          <w:rFonts w:ascii="Arial" w:hAnsi="Arial" w:cs="Arial"/>
          <w:b/>
        </w:rPr>
        <w:t xml:space="preserve">1. </w:t>
      </w:r>
      <w:r w:rsidR="00911497" w:rsidRPr="000B4886">
        <w:rPr>
          <w:rFonts w:ascii="Arial" w:hAnsi="Arial" w:cs="Arial"/>
          <w:b/>
        </w:rPr>
        <w:t>INTRODUCTION</w:t>
      </w:r>
    </w:p>
    <w:p w14:paraId="0E916A32" w14:textId="6FAE0AD3" w:rsidR="003753A0" w:rsidRPr="005955F5" w:rsidRDefault="003753A0" w:rsidP="00D737E1">
      <w:pPr>
        <w:shd w:val="clear" w:color="auto" w:fill="FFFFFF"/>
        <w:spacing w:line="276" w:lineRule="auto"/>
        <w:jc w:val="both"/>
        <w:rPr>
          <w:rFonts w:ascii="Arial" w:hAnsi="Arial" w:cs="Arial"/>
          <w:bCs/>
          <w:color w:val="222222"/>
        </w:rPr>
      </w:pPr>
      <w:r w:rsidRPr="005955F5">
        <w:rPr>
          <w:bCs/>
        </w:rPr>
        <w:t xml:space="preserve">Malaria is a significant public health issue in low- and middle-income countries (LMICs), particularly in sub-Saharan Africa, where it remains one of the leading causes of illness and death. Indigenous communities are among the populations most affected, often carrying a disproportionate burden of the disease because of socio-cultural, economic and geographical factors (Deressa &amp; Ali, 2009). The disease is caused by </w:t>
      </w:r>
      <w:r w:rsidRPr="005955F5">
        <w:rPr>
          <w:bCs/>
          <w:i/>
        </w:rPr>
        <w:t>Plasmodium</w:t>
      </w:r>
      <w:r w:rsidRPr="005955F5">
        <w:rPr>
          <w:bCs/>
        </w:rPr>
        <w:t xml:space="preserve"> parasites, which are transmitted to humans through the bites of infected female </w:t>
      </w:r>
      <w:r w:rsidRPr="005955F5">
        <w:rPr>
          <w:bCs/>
          <w:i/>
        </w:rPr>
        <w:t>Anopheles</w:t>
      </w:r>
      <w:r w:rsidRPr="005955F5">
        <w:rPr>
          <w:bCs/>
        </w:rPr>
        <w:t xml:space="preserve"> mosquitoes. Approximately 282 million malaria cases and 610,000 deaths are reported annually (World Health Organization [WHO], </w:t>
      </w:r>
      <w:r w:rsidR="00612227">
        <w:rPr>
          <w:bCs/>
        </w:rPr>
        <w:t>n.d.</w:t>
      </w:r>
      <w:r w:rsidRPr="005955F5">
        <w:rPr>
          <w:bCs/>
        </w:rPr>
        <w:t>).</w:t>
      </w:r>
    </w:p>
    <w:p w14:paraId="7BA3BB94" w14:textId="77777777" w:rsidR="003753A0" w:rsidRPr="005955F5" w:rsidRDefault="003753A0" w:rsidP="00D737E1">
      <w:pPr>
        <w:shd w:val="clear" w:color="auto" w:fill="FFFFFF"/>
        <w:spacing w:line="276" w:lineRule="auto"/>
        <w:jc w:val="both"/>
        <w:rPr>
          <w:rFonts w:ascii="Arial" w:hAnsi="Arial" w:cs="Arial"/>
          <w:bCs/>
          <w:color w:val="222222"/>
        </w:rPr>
      </w:pPr>
    </w:p>
    <w:p w14:paraId="53601E8A" w14:textId="77777777" w:rsidR="004E226A" w:rsidRPr="005955F5" w:rsidRDefault="00FA54BA" w:rsidP="00D737E1">
      <w:pPr>
        <w:shd w:val="clear" w:color="auto" w:fill="FFFFFF"/>
        <w:spacing w:line="276" w:lineRule="auto"/>
        <w:jc w:val="both"/>
        <w:rPr>
          <w:rFonts w:ascii="Arial" w:hAnsi="Arial" w:cs="Arial"/>
          <w:bCs/>
          <w:i/>
          <w:iCs/>
        </w:rPr>
      </w:pPr>
      <w:r w:rsidRPr="005955F5">
        <w:rPr>
          <w:bCs/>
        </w:rPr>
        <w:t xml:space="preserve">Nigeria is one of the countries most affected by malaria, with an estimated 68 million cases and approximately 185,000 to 200,000 deaths each year. The malaria mortality burden in Nigeria is reported to account for 30% of global malaria deaths. Malaria prevalence and transmission in Nigeria are influenced by several factors, including climate, environmental conditions and socio-economic status. Ebonyi State faces particular malaria-related challenges because low-lying terrain, high humidity and substantial agricultural activity may contribute to increased transmission (Chiamah </w:t>
      </w:r>
      <w:r w:rsidRPr="005955F5">
        <w:rPr>
          <w:bCs/>
          <w:i/>
        </w:rPr>
        <w:t>et al.</w:t>
      </w:r>
      <w:r w:rsidRPr="005955F5">
        <w:rPr>
          <w:bCs/>
        </w:rPr>
        <w:t>, 2026).</w:t>
      </w:r>
    </w:p>
    <w:p w14:paraId="2980850D" w14:textId="77777777" w:rsidR="00E700E9" w:rsidRPr="005955F5" w:rsidRDefault="00E700E9" w:rsidP="00D737E1">
      <w:pPr>
        <w:shd w:val="clear" w:color="auto" w:fill="FFFFFF"/>
        <w:spacing w:line="276" w:lineRule="auto"/>
        <w:jc w:val="both"/>
        <w:rPr>
          <w:rFonts w:ascii="Arial" w:hAnsi="Arial" w:cs="Arial"/>
          <w:bCs/>
          <w:i/>
          <w:iCs/>
        </w:rPr>
      </w:pPr>
    </w:p>
    <w:p w14:paraId="427D134C" w14:textId="77777777" w:rsidR="00E700E9" w:rsidRPr="005955F5" w:rsidRDefault="003753A0" w:rsidP="00E700E9">
      <w:pPr>
        <w:shd w:val="clear" w:color="auto" w:fill="FFFFFF"/>
        <w:jc w:val="both"/>
        <w:rPr>
          <w:rFonts w:ascii="Arial" w:hAnsi="Arial" w:cs="Arial"/>
          <w:bCs/>
          <w:color w:val="222222"/>
        </w:rPr>
      </w:pPr>
      <w:r w:rsidRPr="005955F5">
        <w:rPr>
          <w:bCs/>
        </w:rPr>
        <w:t xml:space="preserve">One malaria-control strategy in Africa is diagnosis and case management, including the use of artemisinin-based combination therapies (ACTs) (Mwende, 2024). However, this strategy faces important challenges, including emerging parasite resistance and the high cost of accessing antimalarial treatment (Walker </w:t>
      </w:r>
      <w:r w:rsidRPr="005955F5">
        <w:rPr>
          <w:bCs/>
          <w:i/>
        </w:rPr>
        <w:t>et al.</w:t>
      </w:r>
      <w:r w:rsidRPr="005955F5">
        <w:rPr>
          <w:bCs/>
        </w:rPr>
        <w:t xml:space="preserve">, 2018). Reports indicate that counterfeit drugs are prevalent in malaria-endemic regions, with estimates suggesting that one in every 10 drugs is falsified. In addition, one-third of antimalarial drugs sourced from these countries fail chemical content analysis (Tabernero </w:t>
      </w:r>
      <w:r w:rsidRPr="005955F5">
        <w:rPr>
          <w:bCs/>
          <w:i/>
        </w:rPr>
        <w:t>et al.</w:t>
      </w:r>
      <w:r w:rsidRPr="005955F5">
        <w:rPr>
          <w:bCs/>
        </w:rPr>
        <w:t xml:space="preserve">, 2014). Poor-quality antimalarial drugs can have serious public health consequences, as products containing little or no active pharmaceutical ingredient may increase morbidity and mortality (Kelesidis </w:t>
      </w:r>
      <w:r w:rsidRPr="005955F5">
        <w:rPr>
          <w:bCs/>
          <w:i/>
        </w:rPr>
        <w:t>et al.</w:t>
      </w:r>
      <w:r w:rsidRPr="005955F5">
        <w:rPr>
          <w:bCs/>
        </w:rPr>
        <w:t xml:space="preserve">, 2015). These limitations in modern malaria treatment may contribute to reliance on traditional remedies, as people seek alternatives that they perceive to be effective. Recent evidence from Enugu North also indicates that alternative healthcare providers may have gaps in implementing malaria diagnostic and treatment protocols, reinforcing the need to document community-level treatment pathways (Nwoye </w:t>
      </w:r>
      <w:r w:rsidRPr="005955F5">
        <w:rPr>
          <w:bCs/>
          <w:i/>
        </w:rPr>
        <w:t>et al.</w:t>
      </w:r>
      <w:r w:rsidRPr="005955F5">
        <w:rPr>
          <w:bCs/>
        </w:rPr>
        <w:t xml:space="preserve">, 2025). Recent qualitative evidence from Nigerian urban settlements further shows that patronage of informal healthcare providers, including traditional healers and herbal drug sellers, may be shaped by affordability, perceived illness severity, access to credit and cultural belief (Bamgboye </w:t>
      </w:r>
      <w:r w:rsidRPr="005955F5">
        <w:rPr>
          <w:bCs/>
          <w:i/>
        </w:rPr>
        <w:t>et al.</w:t>
      </w:r>
      <w:r w:rsidRPr="005955F5">
        <w:rPr>
          <w:bCs/>
        </w:rPr>
        <w:t>, 2025).</w:t>
      </w:r>
    </w:p>
    <w:p w14:paraId="535A20B3" w14:textId="77777777" w:rsidR="00911497" w:rsidRPr="005955F5" w:rsidRDefault="00911497" w:rsidP="00911497">
      <w:pPr>
        <w:shd w:val="clear" w:color="auto" w:fill="FFFFFF"/>
        <w:jc w:val="both"/>
        <w:rPr>
          <w:rFonts w:ascii="Arial" w:hAnsi="Arial" w:cs="Arial"/>
          <w:bCs/>
        </w:rPr>
      </w:pPr>
    </w:p>
    <w:p w14:paraId="43A567EA" w14:textId="77777777" w:rsidR="006C7605" w:rsidRPr="005955F5" w:rsidRDefault="006C7605" w:rsidP="00911497">
      <w:pPr>
        <w:shd w:val="clear" w:color="auto" w:fill="FFFFFF"/>
        <w:jc w:val="both"/>
        <w:rPr>
          <w:rFonts w:ascii="Arial" w:hAnsi="Arial" w:cs="Arial"/>
          <w:bCs/>
        </w:rPr>
      </w:pPr>
      <w:r w:rsidRPr="005955F5">
        <w:rPr>
          <w:bCs/>
        </w:rPr>
        <w:t xml:space="preserve">Medicinal herbs have traditionally been used for antimalarial treatment in Africa (Oladeji </w:t>
      </w:r>
      <w:r w:rsidRPr="005955F5">
        <w:rPr>
          <w:bCs/>
          <w:i/>
        </w:rPr>
        <w:t>et al.</w:t>
      </w:r>
      <w:r w:rsidRPr="005955F5">
        <w:rPr>
          <w:bCs/>
        </w:rPr>
        <w:t xml:space="preserve">, 2020). The use of herbs and herbal extracts for managing and treating malaria is common because these remedies are inexpensive, readily available and perceived by users as effective. The global popularity of herbal medicine for treatment is also increasing (Okello &amp; Kang, 2019). In sub-Saharan Africa, traditional herbal medicine for malaria serves as a primary or complementary option for up to 80% of the population (Onukansi </w:t>
      </w:r>
      <w:r w:rsidRPr="005955F5">
        <w:rPr>
          <w:bCs/>
          <w:i/>
        </w:rPr>
        <w:t>et al.</w:t>
      </w:r>
      <w:r w:rsidRPr="005955F5">
        <w:rPr>
          <w:bCs/>
        </w:rPr>
        <w:t xml:space="preserve">, 2025). This reliance on herbal remedies is particularly strong in rural areas, where use can be high in some regions of Nigeria (Oladeji, 2024). Recent evidence among pregnant women in Akwa Ibom State also shows that local herbs may form part of malaria treatment-seeking behaviour, although hospital attendance remains an important pathway (Etuk, 2025). A recent study from Nsukka reported that continued reliance on </w:t>
      </w:r>
      <w:r w:rsidRPr="005955F5">
        <w:rPr>
          <w:bCs/>
          <w:i/>
        </w:rPr>
        <w:t>Cajanus cajan</w:t>
      </w:r>
      <w:r w:rsidRPr="005955F5">
        <w:rPr>
          <w:bCs/>
        </w:rPr>
        <w:t xml:space="preserve"> and </w:t>
      </w:r>
      <w:r w:rsidRPr="005955F5">
        <w:rPr>
          <w:bCs/>
          <w:i/>
        </w:rPr>
        <w:t>Azadirachta indica</w:t>
      </w:r>
      <w:r w:rsidRPr="005955F5">
        <w:rPr>
          <w:bCs/>
        </w:rPr>
        <w:t xml:space="preserve"> for malaria and typhoid management was associated with family traditions, accessibility, perceived efficacy and treatment cost (Osayi </w:t>
      </w:r>
      <w:r w:rsidRPr="005955F5">
        <w:rPr>
          <w:bCs/>
          <w:i/>
        </w:rPr>
        <w:t>et al.</w:t>
      </w:r>
      <w:r w:rsidRPr="005955F5">
        <w:rPr>
          <w:bCs/>
        </w:rPr>
        <w:t>, 2026).</w:t>
      </w:r>
    </w:p>
    <w:p w14:paraId="3B9063A2" w14:textId="77777777" w:rsidR="00BC76F0" w:rsidRPr="005955F5" w:rsidRDefault="00BC76F0" w:rsidP="00911497">
      <w:pPr>
        <w:shd w:val="clear" w:color="auto" w:fill="FFFFFF"/>
        <w:jc w:val="both"/>
        <w:rPr>
          <w:rFonts w:ascii="Arial" w:hAnsi="Arial" w:cs="Arial"/>
          <w:bCs/>
        </w:rPr>
      </w:pPr>
    </w:p>
    <w:p w14:paraId="2D4B1FB6" w14:textId="77777777" w:rsidR="00BC76F0" w:rsidRPr="005955F5" w:rsidRDefault="008C7CF8" w:rsidP="00911497">
      <w:pPr>
        <w:shd w:val="clear" w:color="auto" w:fill="FFFFFF"/>
        <w:jc w:val="both"/>
        <w:rPr>
          <w:rFonts w:ascii="Arial" w:hAnsi="Arial" w:cs="Arial"/>
          <w:bCs/>
          <w:color w:val="1B1B1B"/>
          <w:shd w:val="clear" w:color="auto" w:fill="FFFFFF"/>
        </w:rPr>
      </w:pPr>
      <w:r w:rsidRPr="005955F5">
        <w:rPr>
          <w:bCs/>
        </w:rPr>
        <w:t xml:space="preserve">Many studies have reported the use of medicinal plants for malaria treatment by indigenous people in different regions of Nigeria. A study documenting plants used for malaria treatment by the indigenous people of Nsukka LGA, Enugu State, in south-eastern Nigeria, revealed that 50 plant species belonging to 30 botanical families were used by the indigenous people of this region, with the most frequently cited species being </w:t>
      </w:r>
      <w:r w:rsidRPr="005955F5">
        <w:rPr>
          <w:bCs/>
          <w:i/>
        </w:rPr>
        <w:t>Azadirachta indica</w:t>
      </w:r>
      <w:r w:rsidRPr="005955F5">
        <w:rPr>
          <w:bCs/>
        </w:rPr>
        <w:t xml:space="preserve">, </w:t>
      </w:r>
      <w:r w:rsidRPr="005955F5">
        <w:rPr>
          <w:bCs/>
          <w:i/>
        </w:rPr>
        <w:t>Mangifera indica</w:t>
      </w:r>
      <w:r w:rsidRPr="005955F5">
        <w:rPr>
          <w:bCs/>
        </w:rPr>
        <w:t xml:space="preserve">, </w:t>
      </w:r>
      <w:r w:rsidRPr="005955F5">
        <w:rPr>
          <w:bCs/>
          <w:i/>
        </w:rPr>
        <w:t>Carica papaya</w:t>
      </w:r>
      <w:r w:rsidRPr="005955F5">
        <w:rPr>
          <w:bCs/>
        </w:rPr>
        <w:t xml:space="preserve">, </w:t>
      </w:r>
      <w:r w:rsidRPr="005955F5">
        <w:rPr>
          <w:bCs/>
          <w:i/>
        </w:rPr>
        <w:t>Cymbopogon citratus</w:t>
      </w:r>
      <w:r w:rsidRPr="005955F5">
        <w:rPr>
          <w:bCs/>
        </w:rPr>
        <w:t xml:space="preserve"> and </w:t>
      </w:r>
      <w:r w:rsidRPr="005955F5">
        <w:rPr>
          <w:bCs/>
          <w:i/>
        </w:rPr>
        <w:t>Psidium guajava</w:t>
      </w:r>
      <w:r w:rsidRPr="005955F5">
        <w:rPr>
          <w:bCs/>
        </w:rPr>
        <w:t xml:space="preserve"> (Odoh </w:t>
      </w:r>
      <w:r w:rsidRPr="005955F5">
        <w:rPr>
          <w:bCs/>
          <w:i/>
        </w:rPr>
        <w:t>et al.</w:t>
      </w:r>
      <w:r w:rsidRPr="005955F5">
        <w:rPr>
          <w:bCs/>
        </w:rPr>
        <w:t xml:space="preserve">, 2018). In Kwara State, south-western Nigeria, 62 indigenous medicinal plants were reported to be used for malaria treatment. The plants were prepared as decoctions in aqueous solvent or by steeping in decaffeinated soft drink. Oral administration was the main route of administration, while leaves and stem bark were the dominant plant parts used in herbal preparations. The most cited families were Fabaceae and Rutaceae, while </w:t>
      </w:r>
      <w:r w:rsidRPr="005955F5">
        <w:rPr>
          <w:bCs/>
          <w:i/>
        </w:rPr>
        <w:t>Mangifera indica</w:t>
      </w:r>
      <w:r w:rsidRPr="005955F5">
        <w:rPr>
          <w:bCs/>
        </w:rPr>
        <w:t xml:space="preserve">, </w:t>
      </w:r>
      <w:r w:rsidRPr="005955F5">
        <w:rPr>
          <w:bCs/>
          <w:i/>
        </w:rPr>
        <w:t>Enantia chlorantha</w:t>
      </w:r>
      <w:r w:rsidRPr="005955F5">
        <w:rPr>
          <w:bCs/>
        </w:rPr>
        <w:t xml:space="preserve"> and </w:t>
      </w:r>
      <w:r w:rsidRPr="005955F5">
        <w:rPr>
          <w:bCs/>
          <w:i/>
        </w:rPr>
        <w:t>Alstonia boonei</w:t>
      </w:r>
      <w:r w:rsidRPr="005955F5">
        <w:rPr>
          <w:bCs/>
        </w:rPr>
        <w:t xml:space="preserve">, followed by </w:t>
      </w:r>
      <w:r w:rsidRPr="005955F5">
        <w:rPr>
          <w:bCs/>
          <w:i/>
        </w:rPr>
        <w:t>Cymbopogon citratus</w:t>
      </w:r>
      <w:r w:rsidRPr="005955F5">
        <w:rPr>
          <w:bCs/>
        </w:rPr>
        <w:t xml:space="preserve">, were the most commonly used plants (Evbuomwan </w:t>
      </w:r>
      <w:r w:rsidRPr="005955F5">
        <w:rPr>
          <w:bCs/>
          <w:i/>
        </w:rPr>
        <w:t>et al.</w:t>
      </w:r>
      <w:r w:rsidRPr="005955F5">
        <w:rPr>
          <w:bCs/>
        </w:rPr>
        <w:t xml:space="preserve">, 2023). In North-Central Nigeria, 37 plant species belonging to 22 families were reported to be used in herbal recipes for treating malaria. The most represented families were Fabaceae and Combretaceae, followed by Rubiaceae, Malvaceae, Euphorbiaceae, Anacardiaceae, Moraceae, Melastomataceae, Annonaceae, Phyllanthaceae and Lamiaceae. The plant parts used included leaves, stem bark, roots and whole plants. Water was the main medium for preparing antimalarial recipes, irrespective of whether individual plant parts, whole plants or combinations of plant parts were used (Madara </w:t>
      </w:r>
      <w:r w:rsidRPr="005955F5">
        <w:rPr>
          <w:bCs/>
          <w:i/>
        </w:rPr>
        <w:t>et al.</w:t>
      </w:r>
      <w:r w:rsidRPr="005955F5">
        <w:rPr>
          <w:bCs/>
        </w:rPr>
        <w:t>, 2018).</w:t>
      </w:r>
    </w:p>
    <w:p w14:paraId="360C4523" w14:textId="2413BE62" w:rsidR="009543D6" w:rsidRPr="005955F5" w:rsidRDefault="009543D6" w:rsidP="009543D6">
      <w:pPr>
        <w:pStyle w:val="NormalWeb"/>
        <w:jc w:val="both"/>
        <w:rPr>
          <w:rFonts w:ascii="Arial" w:hAnsi="Arial" w:cs="Arial"/>
          <w:bCs/>
          <w:sz w:val="20"/>
          <w:szCs w:val="20"/>
        </w:rPr>
      </w:pPr>
      <w:r w:rsidRPr="005955F5">
        <w:rPr>
          <w:bCs/>
        </w:rPr>
        <w:t xml:space="preserve">Although malaria prevalence in Afikpo Local Government Area (LGA) has previously been documented (Odikamnoro </w:t>
      </w:r>
      <w:r w:rsidRPr="005955F5">
        <w:rPr>
          <w:bCs/>
          <w:i/>
        </w:rPr>
        <w:t>et al.</w:t>
      </w:r>
      <w:r w:rsidRPr="005955F5">
        <w:rPr>
          <w:bCs/>
        </w:rPr>
        <w:t>, 201</w:t>
      </w:r>
      <w:r w:rsidR="00612227">
        <w:rPr>
          <w:bCs/>
        </w:rPr>
        <w:t>8</w:t>
      </w:r>
      <w:r w:rsidRPr="005955F5">
        <w:rPr>
          <w:bCs/>
        </w:rPr>
        <w:t xml:space="preserve">; Ogundapo </w:t>
      </w:r>
      <w:r w:rsidRPr="005955F5">
        <w:rPr>
          <w:bCs/>
          <w:i/>
        </w:rPr>
        <w:t>et al.</w:t>
      </w:r>
      <w:r w:rsidRPr="005955F5">
        <w:rPr>
          <w:bCs/>
        </w:rPr>
        <w:t xml:space="preserve">, 2022), the specific treatment practices and reliance on traditional remedies for malaria infection among the indigenous people of this area remain insufficiently described. This knowledge gap is important because treatment choices, herbal preparations and the reasons for relying on traditional remedies may vary between communities and may influence malaria management at the local level. Accordingly, this research sought to address the following questions: What is the current status of malaria prevalence among individuals across different demographic variables in Afikpo North LGA? What specific traditional ethnomedicinal products, plant combinations and practices are actively used for malaria treatment in this locality? What socio-cultural, operational or economic factors motivate the indigenous population to rely on </w:t>
      </w:r>
      <w:r w:rsidRPr="005955F5">
        <w:rPr>
          <w:bCs/>
        </w:rPr>
        <w:lastRenderedPageBreak/>
        <w:t>these traditional remedies? To bridge this knowledge gap, this study aimed to evaluate the current prevalence of malaria and document the traditional malaria treatment practices adopted by the indigenous people of Afikpo LGA, Ebonyi State, Nigeria. The specific objectives were: (1) to determine the current prevalence rate of malaria infection among the indigenous people of Afikpo North LGA using rapid diagnostic tests (RDTs); (2) to identify and document the specific traditional herbal remedies, preparations and physical therapies used by the community for malaria management; and (3) to analyse the key underlying reasons and motivations driving the local population to choose traditional treatment alternatives over conventional therapies.</w:t>
      </w:r>
    </w:p>
    <w:p w14:paraId="0FC51627" w14:textId="77777777" w:rsidR="009543D6" w:rsidRPr="005955F5" w:rsidRDefault="009543D6" w:rsidP="00911497">
      <w:pPr>
        <w:shd w:val="clear" w:color="auto" w:fill="FFFFFF"/>
        <w:jc w:val="both"/>
        <w:rPr>
          <w:rFonts w:ascii="Arial" w:hAnsi="Arial" w:cs="Arial"/>
          <w:bCs/>
          <w:color w:val="222222"/>
        </w:rPr>
      </w:pPr>
    </w:p>
    <w:p w14:paraId="16EF7FC2" w14:textId="77777777" w:rsidR="000551F3" w:rsidRPr="000B4886" w:rsidRDefault="000551F3" w:rsidP="00911497">
      <w:pPr>
        <w:shd w:val="clear" w:color="auto" w:fill="FFFFFF"/>
        <w:jc w:val="both"/>
        <w:rPr>
          <w:rFonts w:ascii="Arial" w:hAnsi="Arial" w:cs="Arial"/>
        </w:rPr>
      </w:pPr>
    </w:p>
    <w:p w14:paraId="7D04E1AE" w14:textId="77777777" w:rsidR="00911497" w:rsidRPr="000B4886" w:rsidRDefault="00911497" w:rsidP="00911497">
      <w:pPr>
        <w:spacing w:after="200"/>
        <w:jc w:val="both"/>
        <w:rPr>
          <w:rFonts w:ascii="Arial" w:hAnsi="Arial" w:cs="Arial"/>
        </w:rPr>
      </w:pPr>
    </w:p>
    <w:p w14:paraId="3F52D6DC" w14:textId="77777777" w:rsidR="00911497" w:rsidRPr="000B4886" w:rsidRDefault="004A13F7" w:rsidP="00911497">
      <w:pPr>
        <w:spacing w:after="200"/>
        <w:jc w:val="both"/>
        <w:rPr>
          <w:rFonts w:ascii="Arial" w:hAnsi="Arial" w:cs="Arial"/>
          <w:b/>
          <w:color w:val="000000"/>
        </w:rPr>
      </w:pPr>
      <w:r w:rsidRPr="000B4886">
        <w:rPr>
          <w:rFonts w:ascii="Arial" w:hAnsi="Arial" w:cs="Arial"/>
          <w:b/>
          <w:color w:val="000000"/>
        </w:rPr>
        <w:t xml:space="preserve">2. </w:t>
      </w:r>
      <w:r w:rsidR="00911497" w:rsidRPr="000B4886">
        <w:rPr>
          <w:rFonts w:ascii="Arial" w:hAnsi="Arial" w:cs="Arial"/>
          <w:b/>
          <w:color w:val="000000"/>
        </w:rPr>
        <w:t>MATERIALS AND METHODS</w:t>
      </w:r>
    </w:p>
    <w:p w14:paraId="68097921" w14:textId="77777777" w:rsidR="00911497" w:rsidRPr="000B4886" w:rsidRDefault="004A13F7" w:rsidP="00911497">
      <w:pPr>
        <w:rPr>
          <w:rFonts w:ascii="Arial" w:hAnsi="Arial" w:cs="Arial"/>
          <w:b/>
        </w:rPr>
      </w:pPr>
      <w:r w:rsidRPr="000B4886">
        <w:rPr>
          <w:rFonts w:ascii="Arial" w:hAnsi="Arial" w:cs="Arial"/>
          <w:b/>
        </w:rPr>
        <w:t xml:space="preserve">2.1 </w:t>
      </w:r>
      <w:r w:rsidR="00911497" w:rsidRPr="000B4886">
        <w:rPr>
          <w:rFonts w:ascii="Arial" w:hAnsi="Arial" w:cs="Arial"/>
          <w:b/>
        </w:rPr>
        <w:t>Study area</w:t>
      </w:r>
    </w:p>
    <w:p w14:paraId="4E78E491" w14:textId="77777777" w:rsidR="00911497" w:rsidRPr="000A40F2" w:rsidRDefault="00E85CA1" w:rsidP="00223639">
      <w:pPr>
        <w:jc w:val="both"/>
        <w:rPr>
          <w:rFonts w:ascii="Arial" w:hAnsi="Arial" w:cs="Arial"/>
          <w:bCs/>
        </w:rPr>
      </w:pPr>
      <w:r w:rsidRPr="000A40F2">
        <w:rPr>
          <w:bCs/>
        </w:rPr>
        <w:t xml:space="preserve">The study was conducted in Ebonyi State, specifically in Ukpa Amachara (latitude 5° 53' 29'' N and longitude 7° 56' 7'' E) and Ngodo Amachi (latitude 6° 18' 0" N and longitude 8° 16' 0" E) in Afikpo Local Government Area (LGA). Afikpo is the second-largest city in Ebonyi State. In this LGA, the average temperature typically ranges from 23°C to 33°C (73°F to 91°F), and the area receives an average annual rainfall of about 2,000 mm (79 inches). The rainy season occurs from April to October, with the heaviest rainfall and the greatest number of rainfall hours usually recorded in July, August and September (Oga &amp; Oga, 2016). It has been reported that malaria incidence in Nigeria can increase during the long rainy season (Abeku </w:t>
      </w:r>
      <w:r w:rsidRPr="000A40F2">
        <w:rPr>
          <w:bCs/>
          <w:i/>
        </w:rPr>
        <w:t>et al.</w:t>
      </w:r>
      <w:r w:rsidRPr="000A40F2">
        <w:rPr>
          <w:bCs/>
        </w:rPr>
        <w:t>, 2026).</w:t>
      </w:r>
    </w:p>
    <w:p w14:paraId="0EE57901" w14:textId="77777777" w:rsidR="00911497" w:rsidRPr="000A40F2" w:rsidRDefault="00911497" w:rsidP="00911497">
      <w:pPr>
        <w:jc w:val="both"/>
        <w:rPr>
          <w:rFonts w:ascii="Arial" w:hAnsi="Arial" w:cs="Arial"/>
          <w:bCs/>
          <w:color w:val="EE0000"/>
        </w:rPr>
      </w:pPr>
    </w:p>
    <w:p w14:paraId="145FC52D" w14:textId="77777777" w:rsidR="00911497" w:rsidRPr="000B4886" w:rsidRDefault="004A13F7" w:rsidP="00911497">
      <w:pPr>
        <w:jc w:val="both"/>
        <w:rPr>
          <w:rFonts w:ascii="Arial" w:hAnsi="Arial" w:cs="Arial"/>
          <w:b/>
        </w:rPr>
      </w:pPr>
      <w:r w:rsidRPr="000B4886">
        <w:rPr>
          <w:rFonts w:ascii="Arial" w:hAnsi="Arial" w:cs="Arial"/>
          <w:b/>
        </w:rPr>
        <w:t>2.1.1</w:t>
      </w:r>
      <w:r w:rsidR="004B502F" w:rsidRPr="000B4886">
        <w:rPr>
          <w:rFonts w:ascii="Arial" w:hAnsi="Arial" w:cs="Arial"/>
          <w:b/>
        </w:rPr>
        <w:t xml:space="preserve"> </w:t>
      </w:r>
      <w:r w:rsidR="00911497" w:rsidRPr="000B4886">
        <w:rPr>
          <w:rFonts w:ascii="Arial" w:hAnsi="Arial" w:cs="Arial"/>
          <w:b/>
        </w:rPr>
        <w:t xml:space="preserve">Study design </w:t>
      </w:r>
    </w:p>
    <w:p w14:paraId="391C1076" w14:textId="77777777" w:rsidR="004B502F" w:rsidRPr="000B4886" w:rsidRDefault="00EE3E0E" w:rsidP="004B502F">
      <w:pPr>
        <w:jc w:val="both"/>
        <w:rPr>
          <w:rFonts w:ascii="Arial" w:hAnsi="Arial" w:cs="Arial"/>
          <w:color w:val="1C1C1C"/>
          <w:shd w:val="clear" w:color="auto" w:fill="FFFFFF"/>
        </w:rPr>
      </w:pPr>
      <w:r w:rsidRPr="000A40F2">
        <w:rPr>
          <w:bCs/>
        </w:rPr>
        <w:t>This study used a cross-sectional research design involving indigenous individuals of all age groups from the Ukpa Amachara and Ngodo Amachi communities in Afikpo Local Government Area, Ebonyi State. This design was selected because data were collected from the population at a single point in time over a period of two months. Indigenous participants from both communities who consented to participate were directed to their respective community health centres, namely Ukpa Amachara Civic Health Centre and Ngodo Amachi Health Centre, where certified health practitioners screened them for malaria. Information on traditional practices was also collected. For children, consent was obtained from their caregivers. Only individuals native to these communities were</w:t>
      </w:r>
      <w:r w:rsidRPr="000B4886">
        <w:rPr>
          <w:b/>
        </w:rPr>
        <w:t xml:space="preserve"> </w:t>
      </w:r>
      <w:r w:rsidRPr="000A40F2">
        <w:rPr>
          <w:bCs/>
        </w:rPr>
        <w:t>included in the study.</w:t>
      </w:r>
    </w:p>
    <w:p w14:paraId="04B052CA" w14:textId="77777777" w:rsidR="004B502F" w:rsidRPr="000B4886" w:rsidRDefault="004B502F" w:rsidP="004B502F">
      <w:pPr>
        <w:jc w:val="both"/>
        <w:rPr>
          <w:rFonts w:ascii="Arial" w:hAnsi="Arial" w:cs="Arial"/>
          <w:color w:val="1C1C1C"/>
          <w:sz w:val="21"/>
          <w:szCs w:val="21"/>
          <w:shd w:val="clear" w:color="auto" w:fill="FFFFFF"/>
        </w:rPr>
      </w:pPr>
    </w:p>
    <w:p w14:paraId="7B64D3A4" w14:textId="77777777" w:rsidR="00911497" w:rsidRPr="000B4886" w:rsidRDefault="004A13F7" w:rsidP="004B502F">
      <w:pPr>
        <w:jc w:val="both"/>
        <w:rPr>
          <w:rFonts w:ascii="Arial" w:hAnsi="Arial" w:cs="Arial"/>
          <w:b/>
          <w:i/>
        </w:rPr>
      </w:pPr>
      <w:r w:rsidRPr="000B4886">
        <w:rPr>
          <w:rFonts w:ascii="Arial" w:hAnsi="Arial" w:cs="Arial"/>
          <w:b/>
          <w:i/>
        </w:rPr>
        <w:t xml:space="preserve">2.1.1.1 </w:t>
      </w:r>
      <w:r w:rsidR="00E85CA1" w:rsidRPr="000B4886">
        <w:rPr>
          <w:rFonts w:ascii="Arial" w:hAnsi="Arial" w:cs="Arial"/>
          <w:b/>
          <w:i/>
        </w:rPr>
        <w:t>Screening for malaria infection</w:t>
      </w:r>
    </w:p>
    <w:p w14:paraId="6618269F" w14:textId="77777777" w:rsidR="00911497" w:rsidRPr="000A40F2" w:rsidRDefault="004D7232" w:rsidP="00AF21E2">
      <w:pPr>
        <w:jc w:val="both"/>
        <w:rPr>
          <w:rFonts w:ascii="Arial" w:hAnsi="Arial" w:cs="Arial"/>
          <w:bCs/>
          <w:shd w:val="clear" w:color="auto" w:fill="FFFFFF"/>
        </w:rPr>
      </w:pPr>
      <w:r w:rsidRPr="000A40F2">
        <w:rPr>
          <w:bCs/>
        </w:rPr>
        <w:t>Study participants were screened for malaria infection using the CareStart Malaria HRP2 (Pf) rapid diagnostic test (RDT) kit. First, each participant's finger was cleaned and allowed to air-dry. A sterile lancet was then used to prick the cleaned finger, and a drop of blood was collected with a capillary tube. The blood sample was placed in the lower well of the RDT test kit, after which two drops of buffer were added to the blood in the lower well. After 15 minutes, the results were interpreted according to the manufacturer's instructions and WHO guidelines (WHO, 2026).</w:t>
      </w:r>
    </w:p>
    <w:p w14:paraId="478E9F44" w14:textId="77777777" w:rsidR="00082677" w:rsidRPr="000A40F2" w:rsidRDefault="00082677" w:rsidP="00AF21E2">
      <w:pPr>
        <w:jc w:val="both"/>
        <w:rPr>
          <w:rFonts w:ascii="Arial" w:hAnsi="Arial" w:cs="Arial"/>
          <w:bCs/>
          <w:shd w:val="clear" w:color="auto" w:fill="FFFFFF"/>
        </w:rPr>
      </w:pPr>
    </w:p>
    <w:p w14:paraId="4580D70F" w14:textId="77777777" w:rsidR="00911497" w:rsidRPr="000B4886" w:rsidRDefault="004A13F7" w:rsidP="00911497">
      <w:pPr>
        <w:jc w:val="both"/>
        <w:rPr>
          <w:rFonts w:ascii="Arial" w:hAnsi="Arial" w:cs="Arial"/>
          <w:b/>
          <w:i/>
        </w:rPr>
      </w:pPr>
      <w:r w:rsidRPr="000B4886">
        <w:rPr>
          <w:rFonts w:ascii="Arial" w:hAnsi="Arial" w:cs="Arial"/>
          <w:b/>
          <w:i/>
        </w:rPr>
        <w:t xml:space="preserve">2.1.1.1.1 </w:t>
      </w:r>
      <w:r w:rsidR="00E85CA1" w:rsidRPr="000B4886">
        <w:rPr>
          <w:rFonts w:ascii="Arial" w:hAnsi="Arial" w:cs="Arial"/>
          <w:b/>
          <w:i/>
        </w:rPr>
        <w:t>Assessment of t</w:t>
      </w:r>
      <w:r w:rsidR="00911497" w:rsidRPr="000B4886">
        <w:rPr>
          <w:rFonts w:ascii="Arial" w:hAnsi="Arial" w:cs="Arial"/>
          <w:b/>
          <w:i/>
        </w:rPr>
        <w:t xml:space="preserve">raditional </w:t>
      </w:r>
      <w:r w:rsidR="00E85CA1" w:rsidRPr="000B4886">
        <w:rPr>
          <w:rFonts w:ascii="Arial" w:hAnsi="Arial" w:cs="Arial"/>
          <w:b/>
          <w:i/>
        </w:rPr>
        <w:t>treatment p</w:t>
      </w:r>
      <w:r w:rsidR="00911497" w:rsidRPr="000B4886">
        <w:rPr>
          <w:rFonts w:ascii="Arial" w:hAnsi="Arial" w:cs="Arial"/>
          <w:b/>
          <w:i/>
        </w:rPr>
        <w:t xml:space="preserve">ractices </w:t>
      </w:r>
    </w:p>
    <w:p w14:paraId="7AC72EBE" w14:textId="77777777" w:rsidR="00600D1D" w:rsidRPr="000A40F2" w:rsidRDefault="00EE3E0E" w:rsidP="004B1963">
      <w:pPr>
        <w:spacing w:line="276" w:lineRule="auto"/>
        <w:jc w:val="both"/>
        <w:rPr>
          <w:rFonts w:ascii="Arial" w:hAnsi="Arial" w:cs="Arial"/>
          <w:bCs/>
        </w:rPr>
      </w:pPr>
      <w:r w:rsidRPr="000A40F2">
        <w:rPr>
          <w:bCs/>
        </w:rPr>
        <w:t>A structured questionnaire was used to collect data on the demographics, malaria treatment choices and traditional malaria treatment practices of the indigenous people in Afikpo LGA. The section on malaria treatment choices included closed-ended questions with the following response options: conventional antimalarials, traditional herbal treatments and a combination of conventional antimalarials and traditional herbal remedies. Questions on traditional malaria treatment practices and the reasons for using these practices were open-ended, allowing participants to respond in their own words. The questionnaires were not completed on a single day; they were given to consenting participants after malaria screening at the health centres. Participants who could read and write completed the questionnaire themselves, while those who could not were assisted by an interpreter who explained the questions and recorded their responses. Similar responses to the open-ended questions were grouped together. Caregivers provided the required information for children.</w:t>
      </w:r>
    </w:p>
    <w:p w14:paraId="46591620" w14:textId="77777777" w:rsidR="00BF016D" w:rsidRPr="000B4886" w:rsidRDefault="00BF016D" w:rsidP="00911497">
      <w:pPr>
        <w:jc w:val="both"/>
        <w:rPr>
          <w:rFonts w:ascii="Arial" w:hAnsi="Arial" w:cs="Arial"/>
          <w:b/>
        </w:rPr>
      </w:pPr>
    </w:p>
    <w:p w14:paraId="62B2A111" w14:textId="77777777" w:rsidR="00911497" w:rsidRPr="000B4886" w:rsidRDefault="004A13F7" w:rsidP="00911497">
      <w:pPr>
        <w:jc w:val="both"/>
        <w:rPr>
          <w:rFonts w:ascii="Arial" w:hAnsi="Arial" w:cs="Arial"/>
          <w:b/>
          <w:i/>
        </w:rPr>
      </w:pPr>
      <w:r w:rsidRPr="000B4886">
        <w:rPr>
          <w:b/>
        </w:rPr>
        <w:t>2.1.1.1.1.1 Data analysis</w:t>
      </w:r>
    </w:p>
    <w:p w14:paraId="79D9E20A" w14:textId="77777777" w:rsidR="00600D1D" w:rsidRPr="000A40F2" w:rsidRDefault="006A5FA2" w:rsidP="006A5FA2">
      <w:pPr>
        <w:jc w:val="both"/>
        <w:rPr>
          <w:rFonts w:ascii="Arial" w:hAnsi="Arial" w:cs="Arial"/>
          <w:bCs/>
        </w:rPr>
      </w:pPr>
      <w:r w:rsidRPr="000A40F2">
        <w:rPr>
          <w:bCs/>
        </w:rPr>
        <w:t xml:space="preserve">Data were first entered into Microsoft Excel, cleaned and then imported into IBM SPSS version 25 for statistical analysis. The socio-demographic profile of the study participants and the overall prevalence of malaria were calculated using frequencies and percentages. Malaria prevalence was compared across sex, age, educational status and occupation using the chi-square test. For the total sampled population, the number and percentage of responses regarding malaria treatment choices were calculated using frequencies and percentages. Similar responses to open-ended questions on traditional </w:t>
      </w:r>
      <w:r w:rsidRPr="000A40F2">
        <w:rPr>
          <w:bCs/>
        </w:rPr>
        <w:lastRenderedPageBreak/>
        <w:t>malaria treatment practices and the reasons for choosing these options were also grouped together. Responses that occurred more frequently were reported with higher frequencies and percentages than less common responses.</w:t>
      </w:r>
    </w:p>
    <w:p w14:paraId="36C183CF" w14:textId="77777777" w:rsidR="006A5FA2" w:rsidRPr="000B4886" w:rsidRDefault="006A5FA2" w:rsidP="006A5FA2">
      <w:pPr>
        <w:jc w:val="both"/>
        <w:rPr>
          <w:rFonts w:ascii="Arial" w:hAnsi="Arial" w:cs="Arial"/>
          <w:b/>
          <w:color w:val="000000"/>
        </w:rPr>
      </w:pPr>
    </w:p>
    <w:p w14:paraId="38EA5E83" w14:textId="77777777" w:rsidR="0055473B" w:rsidRPr="000B4886" w:rsidRDefault="0055473B" w:rsidP="00911497">
      <w:pPr>
        <w:spacing w:after="200"/>
        <w:jc w:val="both"/>
        <w:rPr>
          <w:rFonts w:ascii="Arial" w:hAnsi="Arial" w:cs="Arial"/>
          <w:b/>
          <w:color w:val="000000"/>
        </w:rPr>
      </w:pPr>
    </w:p>
    <w:p w14:paraId="123897EB" w14:textId="77777777" w:rsidR="00911497" w:rsidRPr="000B4886" w:rsidRDefault="004A13F7" w:rsidP="00911497">
      <w:pPr>
        <w:spacing w:after="200"/>
        <w:jc w:val="both"/>
        <w:rPr>
          <w:rFonts w:ascii="Arial" w:hAnsi="Arial" w:cs="Arial"/>
          <w:b/>
          <w:color w:val="000000"/>
        </w:rPr>
      </w:pPr>
      <w:r w:rsidRPr="000B4886">
        <w:rPr>
          <w:rFonts w:ascii="Arial" w:hAnsi="Arial" w:cs="Arial"/>
          <w:b/>
          <w:color w:val="000000"/>
        </w:rPr>
        <w:t>3. RESULTS</w:t>
      </w:r>
    </w:p>
    <w:p w14:paraId="2028BB0F" w14:textId="77777777" w:rsidR="00236D1D" w:rsidRPr="000B4886" w:rsidRDefault="004A13F7" w:rsidP="00236D1D">
      <w:pPr>
        <w:rPr>
          <w:rFonts w:ascii="Arial" w:hAnsi="Arial" w:cs="Arial"/>
          <w:b/>
          <w:bCs/>
        </w:rPr>
      </w:pPr>
      <w:r w:rsidRPr="000B4886">
        <w:rPr>
          <w:rFonts w:ascii="Arial" w:hAnsi="Arial" w:cs="Arial"/>
          <w:b/>
          <w:bCs/>
        </w:rPr>
        <w:t xml:space="preserve">3.1 </w:t>
      </w:r>
      <w:r w:rsidR="008F0B0D" w:rsidRPr="000B4886">
        <w:rPr>
          <w:rFonts w:ascii="Arial" w:hAnsi="Arial" w:cs="Arial"/>
          <w:b/>
          <w:bCs/>
        </w:rPr>
        <w:t>Sociod</w:t>
      </w:r>
      <w:r w:rsidR="00600D1D" w:rsidRPr="000B4886">
        <w:rPr>
          <w:rFonts w:ascii="Arial" w:hAnsi="Arial" w:cs="Arial"/>
          <w:b/>
          <w:bCs/>
        </w:rPr>
        <w:t>emographic c</w:t>
      </w:r>
      <w:r w:rsidR="00236D1D" w:rsidRPr="000B4886">
        <w:rPr>
          <w:rFonts w:ascii="Arial" w:hAnsi="Arial" w:cs="Arial"/>
          <w:b/>
          <w:bCs/>
        </w:rPr>
        <w:t>haracteristics of the</w:t>
      </w:r>
      <w:r w:rsidR="00600D1D" w:rsidRPr="000B4886">
        <w:rPr>
          <w:rFonts w:ascii="Arial" w:hAnsi="Arial" w:cs="Arial"/>
          <w:b/>
          <w:bCs/>
        </w:rPr>
        <w:t xml:space="preserve"> s</w:t>
      </w:r>
      <w:r w:rsidR="00CD78EC" w:rsidRPr="000B4886">
        <w:rPr>
          <w:rFonts w:ascii="Arial" w:hAnsi="Arial" w:cs="Arial"/>
          <w:b/>
          <w:bCs/>
        </w:rPr>
        <w:t>tudy</w:t>
      </w:r>
      <w:r w:rsidR="00236D1D" w:rsidRPr="000B4886">
        <w:rPr>
          <w:rFonts w:ascii="Arial" w:hAnsi="Arial" w:cs="Arial"/>
          <w:b/>
          <w:bCs/>
        </w:rPr>
        <w:t xml:space="preserve"> participants</w:t>
      </w:r>
    </w:p>
    <w:p w14:paraId="559CFA20" w14:textId="77777777" w:rsidR="004B502F" w:rsidRPr="00536F3D" w:rsidRDefault="004B502F" w:rsidP="00D7342C">
      <w:pPr>
        <w:pStyle w:val="NormalWeb"/>
        <w:jc w:val="both"/>
        <w:rPr>
          <w:rFonts w:ascii="Arial" w:hAnsi="Arial" w:cs="Arial"/>
          <w:bCs/>
          <w:sz w:val="20"/>
          <w:szCs w:val="20"/>
        </w:rPr>
      </w:pPr>
      <w:r w:rsidRPr="00536F3D">
        <w:rPr>
          <w:bCs/>
        </w:rPr>
        <w:t>A total of 100 indigenous individuals from the Ukpa Amachara and Ngodo Amachi communities participated in this study. The demographic profile of the sample population is presented in Table 1. Assessment of age distribution showed that most participants were adults (54.0%, n = 54), followed by adolescents (34.0%, n = 34). Children and older adults each accounted for a smaller proportion of the sample, representing 6.0% (n = 6) each. Regarding sex distribution, female participants constituted more than half of the study population (59.0%, n = 59), while males accounted for the remaining 41.0% (n = 41). In terms of educational attainment, a large proportion of respondents had higher education qualifications; 54.0% (n = 54) had attained tertiary-level education, and 37.0% (n = 37) had completed secondary education. Only a small proportion had primary-level education (5.0%, n = 5) or no formal education (4.0%, n = 4). The occupational background of the study population was relatively evenly distributed across four sectors: students represented the largest group (28.0%, n = 28), followed closely by traders (27.0%, n = 27) and civil servants (26.0%, n = 26). Artisans constituted the remaining 19.0% (n = 19) of the sampled population.</w:t>
      </w:r>
    </w:p>
    <w:p w14:paraId="02348900" w14:textId="77777777" w:rsidR="00BF016D" w:rsidRPr="000B4886" w:rsidRDefault="00BF016D" w:rsidP="00236D1D">
      <w:pPr>
        <w:rPr>
          <w:rFonts w:ascii="Arial" w:hAnsi="Arial" w:cs="Arial"/>
          <w:b/>
          <w:bCs/>
        </w:rPr>
      </w:pPr>
    </w:p>
    <w:p w14:paraId="347883A4" w14:textId="77777777" w:rsidR="00236D1D" w:rsidRPr="000B4886" w:rsidRDefault="00147C43" w:rsidP="00236D1D">
      <w:pPr>
        <w:rPr>
          <w:rFonts w:ascii="Arial" w:hAnsi="Arial" w:cs="Arial"/>
          <w:b/>
          <w:bCs/>
        </w:rPr>
      </w:pPr>
      <w:r w:rsidRPr="000B4886">
        <w:rPr>
          <w:rFonts w:ascii="Arial" w:hAnsi="Arial" w:cs="Arial"/>
          <w:b/>
          <w:bCs/>
        </w:rPr>
        <w:t xml:space="preserve">Table 1. </w:t>
      </w:r>
      <w:r w:rsidR="00236D1D" w:rsidRPr="000B4886">
        <w:rPr>
          <w:rFonts w:ascii="Arial" w:hAnsi="Arial" w:cs="Arial"/>
          <w:b/>
          <w:bCs/>
        </w:rPr>
        <w:t xml:space="preserve"> Demographic characteristics of the participants</w:t>
      </w:r>
    </w:p>
    <w:tbl>
      <w:tblPr>
        <w:tblStyle w:val="TableGrid"/>
        <w:tblW w:w="8170" w:type="dxa"/>
        <w:tblInd w:w="-9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67"/>
        <w:gridCol w:w="5503"/>
      </w:tblGrid>
      <w:tr w:rsidR="00236D1D" w:rsidRPr="000B4886" w14:paraId="12D4E954" w14:textId="77777777" w:rsidTr="00600D1D">
        <w:trPr>
          <w:trHeight w:val="983"/>
        </w:trPr>
        <w:tc>
          <w:tcPr>
            <w:tcW w:w="2667" w:type="dxa"/>
            <w:tcBorders>
              <w:top w:val="single" w:sz="4" w:space="0" w:color="auto"/>
              <w:bottom w:val="single" w:sz="4" w:space="0" w:color="auto"/>
            </w:tcBorders>
          </w:tcPr>
          <w:p w14:paraId="0E5EFEBA" w14:textId="77777777" w:rsidR="00236D1D" w:rsidRPr="000B4886" w:rsidRDefault="00236D1D" w:rsidP="00600E69">
            <w:pPr>
              <w:rPr>
                <w:rFonts w:ascii="Arial" w:hAnsi="Arial" w:cs="Arial"/>
                <w:sz w:val="20"/>
                <w:szCs w:val="20"/>
              </w:rPr>
            </w:pPr>
            <w:r w:rsidRPr="000B4886">
              <w:rPr>
                <w:rFonts w:ascii="Arial" w:hAnsi="Arial" w:cs="Arial"/>
                <w:b/>
                <w:bCs/>
                <w:sz w:val="20"/>
                <w:szCs w:val="20"/>
              </w:rPr>
              <w:t xml:space="preserve">  </w:t>
            </w:r>
          </w:p>
          <w:p w14:paraId="6D5EEF5F" w14:textId="77777777" w:rsidR="00236D1D" w:rsidRPr="000B4886" w:rsidRDefault="00774CC6" w:rsidP="00600E69">
            <w:pPr>
              <w:rPr>
                <w:rFonts w:ascii="Arial" w:hAnsi="Arial" w:cs="Arial"/>
                <w:sz w:val="20"/>
                <w:szCs w:val="20"/>
              </w:rPr>
            </w:pPr>
            <w:r w:rsidRPr="000B4886">
              <w:rPr>
                <w:rFonts w:ascii="Arial" w:hAnsi="Arial" w:cs="Arial"/>
                <w:sz w:val="20"/>
                <w:szCs w:val="20"/>
              </w:rPr>
              <w:t>Socio-demographic characteristics</w:t>
            </w:r>
          </w:p>
        </w:tc>
        <w:tc>
          <w:tcPr>
            <w:tcW w:w="5503" w:type="dxa"/>
            <w:tcBorders>
              <w:top w:val="single" w:sz="4" w:space="0" w:color="auto"/>
              <w:bottom w:val="single" w:sz="4" w:space="0" w:color="auto"/>
            </w:tcBorders>
          </w:tcPr>
          <w:p w14:paraId="6E120C7D" w14:textId="77777777" w:rsidR="00236D1D" w:rsidRPr="000B4886" w:rsidRDefault="00236D1D" w:rsidP="00600E69">
            <w:pPr>
              <w:rPr>
                <w:rFonts w:ascii="Arial" w:hAnsi="Arial" w:cs="Arial"/>
                <w:sz w:val="20"/>
                <w:szCs w:val="20"/>
              </w:rPr>
            </w:pPr>
          </w:p>
          <w:p w14:paraId="457616B7" w14:textId="77777777" w:rsidR="00236D1D" w:rsidRPr="000B4886" w:rsidRDefault="00236D1D" w:rsidP="00600E69">
            <w:pPr>
              <w:rPr>
                <w:rFonts w:ascii="Arial" w:hAnsi="Arial" w:cs="Arial"/>
                <w:sz w:val="20"/>
                <w:szCs w:val="20"/>
              </w:rPr>
            </w:pPr>
            <w:r w:rsidRPr="000B4886">
              <w:rPr>
                <w:rFonts w:ascii="Arial" w:hAnsi="Arial" w:cs="Arial"/>
                <w:sz w:val="20"/>
                <w:szCs w:val="20"/>
              </w:rPr>
              <w:t>Number Sampled</w:t>
            </w:r>
            <w:r w:rsidR="00600D1D" w:rsidRPr="000B4886">
              <w:rPr>
                <w:rFonts w:ascii="Arial" w:hAnsi="Arial" w:cs="Arial"/>
                <w:sz w:val="20"/>
                <w:szCs w:val="20"/>
              </w:rPr>
              <w:t xml:space="preserve">          </w:t>
            </w:r>
            <w:r w:rsidR="008F0B0D" w:rsidRPr="000B4886">
              <w:rPr>
                <w:rFonts w:ascii="Arial" w:hAnsi="Arial" w:cs="Arial"/>
                <w:sz w:val="20"/>
                <w:szCs w:val="20"/>
              </w:rPr>
              <w:t>Percent</w:t>
            </w:r>
            <w:r w:rsidR="0015451E" w:rsidRPr="000B4886">
              <w:rPr>
                <w:rFonts w:ascii="Arial" w:hAnsi="Arial" w:cs="Arial"/>
                <w:sz w:val="20"/>
                <w:szCs w:val="20"/>
              </w:rPr>
              <w:t xml:space="preserve"> (%)</w:t>
            </w:r>
          </w:p>
          <w:p w14:paraId="5E523555" w14:textId="77777777" w:rsidR="00236D1D" w:rsidRPr="000B4886" w:rsidRDefault="00600D1D" w:rsidP="00600E69">
            <w:pPr>
              <w:rPr>
                <w:rFonts w:ascii="Arial" w:hAnsi="Arial" w:cs="Arial"/>
                <w:sz w:val="20"/>
                <w:szCs w:val="20"/>
              </w:rPr>
            </w:pPr>
            <w:r w:rsidRPr="000B4886">
              <w:rPr>
                <w:rFonts w:ascii="Arial" w:hAnsi="Arial" w:cs="Arial"/>
                <w:sz w:val="20"/>
                <w:szCs w:val="20"/>
              </w:rPr>
              <w:t>(N)</w:t>
            </w:r>
          </w:p>
        </w:tc>
      </w:tr>
      <w:tr w:rsidR="00236D1D" w:rsidRPr="000B4886" w14:paraId="7DE66F9D" w14:textId="77777777" w:rsidTr="00600D1D">
        <w:trPr>
          <w:trHeight w:val="1885"/>
        </w:trPr>
        <w:tc>
          <w:tcPr>
            <w:tcW w:w="2667" w:type="dxa"/>
            <w:tcBorders>
              <w:top w:val="single" w:sz="4" w:space="0" w:color="auto"/>
              <w:bottom w:val="nil"/>
            </w:tcBorders>
          </w:tcPr>
          <w:p w14:paraId="0D080121" w14:textId="77777777" w:rsidR="00236D1D" w:rsidRPr="000B4886" w:rsidRDefault="00236D1D" w:rsidP="00600E69">
            <w:pPr>
              <w:rPr>
                <w:rFonts w:ascii="Arial" w:hAnsi="Arial" w:cs="Arial"/>
                <w:sz w:val="20"/>
                <w:szCs w:val="20"/>
              </w:rPr>
            </w:pPr>
            <w:r w:rsidRPr="000B4886">
              <w:rPr>
                <w:rFonts w:ascii="Arial" w:hAnsi="Arial" w:cs="Arial"/>
                <w:sz w:val="20"/>
                <w:szCs w:val="20"/>
              </w:rPr>
              <w:t>Age group (years)</w:t>
            </w:r>
          </w:p>
          <w:p w14:paraId="071FF8A7" w14:textId="77777777" w:rsidR="00236D1D" w:rsidRPr="000B4886" w:rsidRDefault="00236D1D" w:rsidP="00600E69">
            <w:pPr>
              <w:rPr>
                <w:rFonts w:ascii="Arial" w:hAnsi="Arial" w:cs="Arial"/>
                <w:sz w:val="20"/>
                <w:szCs w:val="20"/>
              </w:rPr>
            </w:pPr>
          </w:p>
          <w:p w14:paraId="7092D1D7" w14:textId="77777777" w:rsidR="00236D1D" w:rsidRPr="000B4886" w:rsidRDefault="00236D1D" w:rsidP="00600E69">
            <w:pPr>
              <w:rPr>
                <w:rFonts w:ascii="Arial" w:hAnsi="Arial" w:cs="Arial"/>
                <w:sz w:val="20"/>
                <w:szCs w:val="20"/>
              </w:rPr>
            </w:pPr>
            <w:r w:rsidRPr="000B4886">
              <w:rPr>
                <w:rFonts w:ascii="Arial" w:hAnsi="Arial" w:cs="Arial"/>
                <w:sz w:val="20"/>
                <w:szCs w:val="20"/>
              </w:rPr>
              <w:t>Children</w:t>
            </w:r>
          </w:p>
          <w:p w14:paraId="4B8927A1" w14:textId="77777777" w:rsidR="00236D1D" w:rsidRPr="000B4886" w:rsidRDefault="00236D1D" w:rsidP="00600E69">
            <w:pPr>
              <w:rPr>
                <w:rFonts w:ascii="Arial" w:hAnsi="Arial" w:cs="Arial"/>
                <w:sz w:val="20"/>
                <w:szCs w:val="20"/>
              </w:rPr>
            </w:pPr>
            <w:r w:rsidRPr="000B4886">
              <w:rPr>
                <w:rFonts w:ascii="Arial" w:hAnsi="Arial" w:cs="Arial"/>
                <w:sz w:val="20"/>
                <w:szCs w:val="20"/>
              </w:rPr>
              <w:t>Adolescent</w:t>
            </w:r>
          </w:p>
          <w:p w14:paraId="67C23582" w14:textId="77777777" w:rsidR="00236D1D" w:rsidRPr="000B4886" w:rsidRDefault="00236D1D" w:rsidP="00600E69">
            <w:pPr>
              <w:rPr>
                <w:rFonts w:ascii="Arial" w:hAnsi="Arial" w:cs="Arial"/>
                <w:sz w:val="20"/>
                <w:szCs w:val="20"/>
              </w:rPr>
            </w:pPr>
            <w:r w:rsidRPr="000B4886">
              <w:rPr>
                <w:rFonts w:ascii="Arial" w:hAnsi="Arial" w:cs="Arial"/>
                <w:sz w:val="20"/>
                <w:szCs w:val="20"/>
              </w:rPr>
              <w:t>Adults</w:t>
            </w:r>
          </w:p>
          <w:p w14:paraId="208BBD41" w14:textId="77777777" w:rsidR="00236D1D" w:rsidRPr="000B4886" w:rsidRDefault="00236D1D" w:rsidP="00600E69">
            <w:pPr>
              <w:rPr>
                <w:rFonts w:ascii="Arial" w:hAnsi="Arial" w:cs="Arial"/>
                <w:sz w:val="20"/>
                <w:szCs w:val="20"/>
              </w:rPr>
            </w:pPr>
            <w:r w:rsidRPr="000B4886">
              <w:rPr>
                <w:rFonts w:ascii="Arial" w:hAnsi="Arial" w:cs="Arial"/>
                <w:sz w:val="20"/>
                <w:szCs w:val="20"/>
              </w:rPr>
              <w:t>Older adults</w:t>
            </w:r>
          </w:p>
          <w:p w14:paraId="2BE83836" w14:textId="77777777" w:rsidR="0015451E" w:rsidRPr="000B4886" w:rsidRDefault="0015451E" w:rsidP="00600E69">
            <w:pPr>
              <w:rPr>
                <w:rFonts w:ascii="Arial" w:hAnsi="Arial" w:cs="Arial"/>
                <w:sz w:val="20"/>
                <w:szCs w:val="20"/>
              </w:rPr>
            </w:pPr>
          </w:p>
          <w:p w14:paraId="06C1420B" w14:textId="77777777" w:rsidR="0015451E" w:rsidRPr="000B4886" w:rsidRDefault="0015451E" w:rsidP="00600E69">
            <w:pPr>
              <w:rPr>
                <w:rFonts w:ascii="Arial" w:hAnsi="Arial" w:cs="Arial"/>
                <w:sz w:val="20"/>
                <w:szCs w:val="20"/>
              </w:rPr>
            </w:pPr>
          </w:p>
        </w:tc>
        <w:tc>
          <w:tcPr>
            <w:tcW w:w="5503" w:type="dxa"/>
            <w:tcBorders>
              <w:top w:val="single" w:sz="4" w:space="0" w:color="auto"/>
              <w:bottom w:val="nil"/>
            </w:tcBorders>
          </w:tcPr>
          <w:p w14:paraId="3F0F4BFB" w14:textId="77777777" w:rsidR="00236D1D" w:rsidRPr="000B4886" w:rsidRDefault="00236D1D" w:rsidP="00600E69">
            <w:pPr>
              <w:rPr>
                <w:rFonts w:ascii="Arial" w:hAnsi="Arial" w:cs="Arial"/>
                <w:b/>
                <w:bCs/>
                <w:sz w:val="20"/>
                <w:szCs w:val="20"/>
              </w:rPr>
            </w:pPr>
          </w:p>
          <w:p w14:paraId="48E2A790" w14:textId="77777777" w:rsidR="00236D1D" w:rsidRPr="000B4886" w:rsidRDefault="00236D1D" w:rsidP="00600E69">
            <w:pPr>
              <w:rPr>
                <w:rFonts w:ascii="Arial" w:hAnsi="Arial" w:cs="Arial"/>
                <w:b/>
                <w:bCs/>
                <w:sz w:val="20"/>
                <w:szCs w:val="20"/>
              </w:rPr>
            </w:pPr>
          </w:p>
          <w:p w14:paraId="3A430ED0" w14:textId="77777777" w:rsidR="00236D1D" w:rsidRPr="000B4886" w:rsidRDefault="00236D1D" w:rsidP="00600E69">
            <w:pPr>
              <w:rPr>
                <w:rFonts w:ascii="Arial" w:hAnsi="Arial" w:cs="Arial"/>
                <w:sz w:val="20"/>
                <w:szCs w:val="20"/>
              </w:rPr>
            </w:pPr>
            <w:r w:rsidRPr="000B4886">
              <w:rPr>
                <w:rFonts w:ascii="Arial" w:hAnsi="Arial" w:cs="Arial"/>
                <w:sz w:val="20"/>
                <w:szCs w:val="20"/>
              </w:rPr>
              <w:t>6</w:t>
            </w:r>
            <w:r w:rsidR="008F0B0D" w:rsidRPr="000B4886">
              <w:rPr>
                <w:rFonts w:ascii="Arial" w:hAnsi="Arial" w:cs="Arial"/>
                <w:sz w:val="20"/>
                <w:szCs w:val="20"/>
              </w:rPr>
              <w:t xml:space="preserve">                                             </w:t>
            </w:r>
            <w:r w:rsidR="0015451E" w:rsidRPr="000B4886">
              <w:rPr>
                <w:rFonts w:ascii="Arial" w:hAnsi="Arial" w:cs="Arial"/>
                <w:sz w:val="20"/>
                <w:szCs w:val="20"/>
              </w:rPr>
              <w:t xml:space="preserve"> 6</w:t>
            </w:r>
            <w:r w:rsidR="008F0B0D" w:rsidRPr="000B4886">
              <w:rPr>
                <w:rFonts w:ascii="Arial" w:hAnsi="Arial" w:cs="Arial"/>
                <w:sz w:val="20"/>
                <w:szCs w:val="20"/>
              </w:rPr>
              <w:t xml:space="preserve">  </w:t>
            </w:r>
          </w:p>
          <w:p w14:paraId="399C10B0" w14:textId="77777777" w:rsidR="00236D1D" w:rsidRPr="000B4886" w:rsidRDefault="00236D1D" w:rsidP="00600E69">
            <w:pPr>
              <w:rPr>
                <w:rFonts w:ascii="Arial" w:hAnsi="Arial" w:cs="Arial"/>
                <w:sz w:val="20"/>
                <w:szCs w:val="20"/>
              </w:rPr>
            </w:pPr>
            <w:r w:rsidRPr="000B4886">
              <w:rPr>
                <w:rFonts w:ascii="Arial" w:hAnsi="Arial" w:cs="Arial"/>
                <w:sz w:val="20"/>
                <w:szCs w:val="20"/>
              </w:rPr>
              <w:t>34</w:t>
            </w:r>
            <w:r w:rsidR="0015451E" w:rsidRPr="000B4886">
              <w:rPr>
                <w:rFonts w:ascii="Arial" w:hAnsi="Arial" w:cs="Arial"/>
                <w:sz w:val="20"/>
                <w:szCs w:val="20"/>
              </w:rPr>
              <w:t xml:space="preserve">                                           34</w:t>
            </w:r>
          </w:p>
          <w:p w14:paraId="33390296" w14:textId="77777777" w:rsidR="00236D1D" w:rsidRPr="000B4886" w:rsidRDefault="00236D1D" w:rsidP="00600E69">
            <w:pPr>
              <w:rPr>
                <w:rFonts w:ascii="Arial" w:hAnsi="Arial" w:cs="Arial"/>
                <w:sz w:val="20"/>
                <w:szCs w:val="20"/>
              </w:rPr>
            </w:pPr>
            <w:r w:rsidRPr="000B4886">
              <w:rPr>
                <w:rFonts w:ascii="Arial" w:hAnsi="Arial" w:cs="Arial"/>
                <w:sz w:val="20"/>
                <w:szCs w:val="20"/>
              </w:rPr>
              <w:t>54</w:t>
            </w:r>
            <w:r w:rsidR="0015451E" w:rsidRPr="000B4886">
              <w:rPr>
                <w:rFonts w:ascii="Arial" w:hAnsi="Arial" w:cs="Arial"/>
                <w:sz w:val="20"/>
                <w:szCs w:val="20"/>
              </w:rPr>
              <w:t xml:space="preserve">                                           54</w:t>
            </w:r>
          </w:p>
          <w:p w14:paraId="2D24F562" w14:textId="77777777" w:rsidR="00236D1D" w:rsidRPr="000B4886" w:rsidRDefault="00236D1D" w:rsidP="00600E69">
            <w:pPr>
              <w:rPr>
                <w:rFonts w:ascii="Arial" w:hAnsi="Arial" w:cs="Arial"/>
                <w:sz w:val="20"/>
                <w:szCs w:val="20"/>
              </w:rPr>
            </w:pPr>
            <w:r w:rsidRPr="000B4886">
              <w:rPr>
                <w:rFonts w:ascii="Arial" w:hAnsi="Arial" w:cs="Arial"/>
                <w:sz w:val="20"/>
                <w:szCs w:val="20"/>
              </w:rPr>
              <w:t>6</w:t>
            </w:r>
            <w:r w:rsidR="0015451E" w:rsidRPr="000B4886">
              <w:rPr>
                <w:rFonts w:ascii="Arial" w:hAnsi="Arial" w:cs="Arial"/>
                <w:sz w:val="20"/>
                <w:szCs w:val="20"/>
              </w:rPr>
              <w:t xml:space="preserve">                                             6</w:t>
            </w:r>
          </w:p>
        </w:tc>
      </w:tr>
      <w:tr w:rsidR="00236D1D" w:rsidRPr="000B4886" w14:paraId="5024F11A" w14:textId="77777777" w:rsidTr="00600D1D">
        <w:trPr>
          <w:trHeight w:val="145"/>
        </w:trPr>
        <w:tc>
          <w:tcPr>
            <w:tcW w:w="2667" w:type="dxa"/>
            <w:tcBorders>
              <w:top w:val="nil"/>
            </w:tcBorders>
          </w:tcPr>
          <w:p w14:paraId="0C54D106" w14:textId="77777777" w:rsidR="00236D1D" w:rsidRPr="000B4886" w:rsidRDefault="00236D1D" w:rsidP="00600E69">
            <w:pPr>
              <w:rPr>
                <w:rFonts w:ascii="Arial" w:hAnsi="Arial" w:cs="Arial"/>
                <w:sz w:val="20"/>
                <w:szCs w:val="20"/>
              </w:rPr>
            </w:pPr>
            <w:r w:rsidRPr="000B4886">
              <w:rPr>
                <w:rFonts w:ascii="Arial" w:hAnsi="Arial" w:cs="Arial"/>
                <w:sz w:val="20"/>
                <w:szCs w:val="20"/>
              </w:rPr>
              <w:t>Sex</w:t>
            </w:r>
          </w:p>
          <w:p w14:paraId="2CE397BE" w14:textId="77777777" w:rsidR="00236D1D" w:rsidRPr="000B4886" w:rsidRDefault="00236D1D" w:rsidP="00600E69">
            <w:pPr>
              <w:rPr>
                <w:rFonts w:ascii="Arial" w:hAnsi="Arial" w:cs="Arial"/>
                <w:sz w:val="20"/>
                <w:szCs w:val="20"/>
              </w:rPr>
            </w:pPr>
          </w:p>
          <w:p w14:paraId="32410F38" w14:textId="77777777" w:rsidR="00236D1D" w:rsidRPr="000B4886" w:rsidRDefault="00236D1D" w:rsidP="00600E69">
            <w:pPr>
              <w:rPr>
                <w:rFonts w:ascii="Arial" w:hAnsi="Arial" w:cs="Arial"/>
                <w:sz w:val="20"/>
                <w:szCs w:val="20"/>
              </w:rPr>
            </w:pPr>
            <w:r w:rsidRPr="000B4886">
              <w:rPr>
                <w:rFonts w:ascii="Arial" w:hAnsi="Arial" w:cs="Arial"/>
                <w:sz w:val="20"/>
                <w:szCs w:val="20"/>
              </w:rPr>
              <w:t>Female</w:t>
            </w:r>
          </w:p>
          <w:p w14:paraId="04F19DDB" w14:textId="77777777" w:rsidR="00236D1D" w:rsidRPr="000B4886" w:rsidRDefault="00236D1D" w:rsidP="00600E69">
            <w:pPr>
              <w:rPr>
                <w:rFonts w:ascii="Arial" w:hAnsi="Arial" w:cs="Arial"/>
                <w:sz w:val="20"/>
                <w:szCs w:val="20"/>
              </w:rPr>
            </w:pPr>
            <w:r w:rsidRPr="000B4886">
              <w:rPr>
                <w:rFonts w:ascii="Arial" w:hAnsi="Arial" w:cs="Arial"/>
                <w:sz w:val="20"/>
                <w:szCs w:val="20"/>
              </w:rPr>
              <w:t>Male</w:t>
            </w:r>
          </w:p>
          <w:p w14:paraId="44418B1D" w14:textId="77777777" w:rsidR="0015451E" w:rsidRPr="000B4886" w:rsidRDefault="0015451E" w:rsidP="00600E69">
            <w:pPr>
              <w:rPr>
                <w:rFonts w:ascii="Arial" w:hAnsi="Arial" w:cs="Arial"/>
                <w:sz w:val="20"/>
                <w:szCs w:val="20"/>
              </w:rPr>
            </w:pPr>
          </w:p>
          <w:p w14:paraId="2182A5FD" w14:textId="77777777" w:rsidR="0015451E" w:rsidRPr="000B4886" w:rsidRDefault="0015451E" w:rsidP="00600E69">
            <w:pPr>
              <w:rPr>
                <w:rFonts w:ascii="Arial" w:hAnsi="Arial" w:cs="Arial"/>
                <w:sz w:val="20"/>
                <w:szCs w:val="20"/>
              </w:rPr>
            </w:pPr>
          </w:p>
        </w:tc>
        <w:tc>
          <w:tcPr>
            <w:tcW w:w="5503" w:type="dxa"/>
            <w:tcBorders>
              <w:top w:val="nil"/>
            </w:tcBorders>
          </w:tcPr>
          <w:p w14:paraId="2C269535" w14:textId="77777777" w:rsidR="00236D1D" w:rsidRPr="000B4886" w:rsidRDefault="00236D1D" w:rsidP="00600E69">
            <w:pPr>
              <w:rPr>
                <w:rFonts w:ascii="Arial" w:hAnsi="Arial" w:cs="Arial"/>
                <w:b/>
                <w:bCs/>
                <w:sz w:val="20"/>
                <w:szCs w:val="20"/>
              </w:rPr>
            </w:pPr>
          </w:p>
          <w:p w14:paraId="5F36D1DE" w14:textId="77777777" w:rsidR="00236D1D" w:rsidRPr="000B4886" w:rsidRDefault="00236D1D" w:rsidP="00600E69">
            <w:pPr>
              <w:rPr>
                <w:rFonts w:ascii="Arial" w:hAnsi="Arial" w:cs="Arial"/>
                <w:b/>
                <w:bCs/>
                <w:sz w:val="20"/>
                <w:szCs w:val="20"/>
              </w:rPr>
            </w:pPr>
          </w:p>
          <w:p w14:paraId="551E13A7" w14:textId="77777777" w:rsidR="00236D1D" w:rsidRPr="000B4886" w:rsidRDefault="00236D1D" w:rsidP="00600E69">
            <w:pPr>
              <w:rPr>
                <w:rFonts w:ascii="Arial" w:hAnsi="Arial" w:cs="Arial"/>
                <w:sz w:val="20"/>
                <w:szCs w:val="20"/>
              </w:rPr>
            </w:pPr>
            <w:r w:rsidRPr="000B4886">
              <w:rPr>
                <w:rFonts w:ascii="Arial" w:hAnsi="Arial" w:cs="Arial"/>
                <w:sz w:val="20"/>
                <w:szCs w:val="20"/>
              </w:rPr>
              <w:t>59</w:t>
            </w:r>
            <w:r w:rsidR="0015451E" w:rsidRPr="000B4886">
              <w:rPr>
                <w:rFonts w:ascii="Arial" w:hAnsi="Arial" w:cs="Arial"/>
                <w:sz w:val="20"/>
                <w:szCs w:val="20"/>
              </w:rPr>
              <w:t xml:space="preserve">                                           59</w:t>
            </w:r>
          </w:p>
          <w:p w14:paraId="7DE4DDFB" w14:textId="77777777" w:rsidR="00236D1D" w:rsidRPr="000B4886" w:rsidRDefault="00236D1D" w:rsidP="00600E69">
            <w:pPr>
              <w:rPr>
                <w:rFonts w:ascii="Arial" w:hAnsi="Arial" w:cs="Arial"/>
                <w:sz w:val="20"/>
                <w:szCs w:val="20"/>
              </w:rPr>
            </w:pPr>
            <w:r w:rsidRPr="000B4886">
              <w:rPr>
                <w:rFonts w:ascii="Arial" w:hAnsi="Arial" w:cs="Arial"/>
                <w:sz w:val="20"/>
                <w:szCs w:val="20"/>
              </w:rPr>
              <w:t>41</w:t>
            </w:r>
            <w:r w:rsidR="0015451E" w:rsidRPr="000B4886">
              <w:rPr>
                <w:rFonts w:ascii="Arial" w:hAnsi="Arial" w:cs="Arial"/>
                <w:sz w:val="20"/>
                <w:szCs w:val="20"/>
              </w:rPr>
              <w:t xml:space="preserve">                                           41</w:t>
            </w:r>
          </w:p>
        </w:tc>
      </w:tr>
      <w:tr w:rsidR="00236D1D" w:rsidRPr="000B4886" w14:paraId="28ED6193" w14:textId="77777777" w:rsidTr="00600D1D">
        <w:trPr>
          <w:trHeight w:val="145"/>
        </w:trPr>
        <w:tc>
          <w:tcPr>
            <w:tcW w:w="2667" w:type="dxa"/>
          </w:tcPr>
          <w:p w14:paraId="3442434B" w14:textId="77777777" w:rsidR="00236D1D" w:rsidRPr="000B4886" w:rsidRDefault="00236D1D" w:rsidP="00600E69">
            <w:pPr>
              <w:rPr>
                <w:rFonts w:ascii="Arial" w:hAnsi="Arial" w:cs="Arial"/>
                <w:sz w:val="20"/>
                <w:szCs w:val="20"/>
              </w:rPr>
            </w:pPr>
            <w:r w:rsidRPr="000B4886">
              <w:rPr>
                <w:rFonts w:ascii="Arial" w:hAnsi="Arial" w:cs="Arial"/>
                <w:sz w:val="20"/>
                <w:szCs w:val="20"/>
              </w:rPr>
              <w:t>Education</w:t>
            </w:r>
            <w:r w:rsidR="00694799" w:rsidRPr="000B4886">
              <w:rPr>
                <w:rFonts w:ascii="Arial" w:hAnsi="Arial" w:cs="Arial"/>
                <w:sz w:val="20"/>
                <w:szCs w:val="20"/>
              </w:rPr>
              <w:t>al level</w:t>
            </w:r>
          </w:p>
          <w:p w14:paraId="6D1C6DB5" w14:textId="77777777" w:rsidR="00236D1D" w:rsidRPr="000B4886" w:rsidRDefault="00236D1D" w:rsidP="00600E69">
            <w:pPr>
              <w:rPr>
                <w:rFonts w:ascii="Arial" w:hAnsi="Arial" w:cs="Arial"/>
                <w:sz w:val="20"/>
                <w:szCs w:val="20"/>
              </w:rPr>
            </w:pPr>
          </w:p>
          <w:p w14:paraId="76A9B44F" w14:textId="77777777" w:rsidR="00236D1D" w:rsidRPr="000B4886" w:rsidRDefault="00236D1D" w:rsidP="00600E69">
            <w:pPr>
              <w:rPr>
                <w:rFonts w:ascii="Arial" w:hAnsi="Arial" w:cs="Arial"/>
                <w:sz w:val="20"/>
                <w:szCs w:val="20"/>
              </w:rPr>
            </w:pPr>
            <w:r w:rsidRPr="000B4886">
              <w:rPr>
                <w:rFonts w:ascii="Arial" w:hAnsi="Arial" w:cs="Arial"/>
                <w:sz w:val="20"/>
                <w:szCs w:val="20"/>
              </w:rPr>
              <w:t>Primary</w:t>
            </w:r>
          </w:p>
          <w:p w14:paraId="677728C4" w14:textId="77777777" w:rsidR="00236D1D" w:rsidRPr="000B4886" w:rsidRDefault="00236D1D" w:rsidP="00600E69">
            <w:pPr>
              <w:rPr>
                <w:rFonts w:ascii="Arial" w:hAnsi="Arial" w:cs="Arial"/>
                <w:sz w:val="20"/>
                <w:szCs w:val="20"/>
              </w:rPr>
            </w:pPr>
            <w:r w:rsidRPr="000B4886">
              <w:rPr>
                <w:rFonts w:ascii="Arial" w:hAnsi="Arial" w:cs="Arial"/>
                <w:sz w:val="20"/>
                <w:szCs w:val="20"/>
              </w:rPr>
              <w:t>Secondary</w:t>
            </w:r>
          </w:p>
          <w:p w14:paraId="6163E0F6" w14:textId="77777777" w:rsidR="00236D1D" w:rsidRPr="000B4886" w:rsidRDefault="00236D1D" w:rsidP="00600E69">
            <w:pPr>
              <w:rPr>
                <w:rFonts w:ascii="Arial" w:hAnsi="Arial" w:cs="Arial"/>
                <w:sz w:val="20"/>
                <w:szCs w:val="20"/>
              </w:rPr>
            </w:pPr>
            <w:r w:rsidRPr="000B4886">
              <w:rPr>
                <w:rFonts w:ascii="Arial" w:hAnsi="Arial" w:cs="Arial"/>
                <w:sz w:val="20"/>
                <w:szCs w:val="20"/>
              </w:rPr>
              <w:t>Tertiary</w:t>
            </w:r>
          </w:p>
          <w:p w14:paraId="4FBA1D93" w14:textId="77777777" w:rsidR="00236D1D" w:rsidRPr="000B4886" w:rsidRDefault="00236D1D" w:rsidP="00600E69">
            <w:pPr>
              <w:rPr>
                <w:rFonts w:ascii="Arial" w:hAnsi="Arial" w:cs="Arial"/>
                <w:sz w:val="20"/>
                <w:szCs w:val="20"/>
              </w:rPr>
            </w:pPr>
            <w:r w:rsidRPr="000B4886">
              <w:rPr>
                <w:rFonts w:ascii="Arial" w:hAnsi="Arial" w:cs="Arial"/>
                <w:sz w:val="20"/>
                <w:szCs w:val="20"/>
              </w:rPr>
              <w:t>No formal education</w:t>
            </w:r>
          </w:p>
        </w:tc>
        <w:tc>
          <w:tcPr>
            <w:tcW w:w="5503" w:type="dxa"/>
          </w:tcPr>
          <w:p w14:paraId="320D72EF" w14:textId="77777777" w:rsidR="00236D1D" w:rsidRPr="000B4886" w:rsidRDefault="00236D1D" w:rsidP="00600E69">
            <w:pPr>
              <w:rPr>
                <w:rFonts w:ascii="Arial" w:hAnsi="Arial" w:cs="Arial"/>
                <w:b/>
                <w:bCs/>
                <w:sz w:val="20"/>
                <w:szCs w:val="20"/>
              </w:rPr>
            </w:pPr>
          </w:p>
          <w:p w14:paraId="48FF0F31" w14:textId="77777777" w:rsidR="00236D1D" w:rsidRPr="000B4886" w:rsidRDefault="00236D1D" w:rsidP="00600E69">
            <w:pPr>
              <w:rPr>
                <w:rFonts w:ascii="Arial" w:hAnsi="Arial" w:cs="Arial"/>
                <w:b/>
                <w:bCs/>
                <w:sz w:val="20"/>
                <w:szCs w:val="20"/>
              </w:rPr>
            </w:pPr>
          </w:p>
          <w:p w14:paraId="7BF6B8DE" w14:textId="77777777" w:rsidR="00236D1D" w:rsidRPr="000B4886" w:rsidRDefault="00236D1D" w:rsidP="00600E69">
            <w:pPr>
              <w:rPr>
                <w:rFonts w:ascii="Arial" w:hAnsi="Arial" w:cs="Arial"/>
                <w:sz w:val="20"/>
                <w:szCs w:val="20"/>
              </w:rPr>
            </w:pPr>
            <w:r w:rsidRPr="000B4886">
              <w:rPr>
                <w:rFonts w:ascii="Arial" w:hAnsi="Arial" w:cs="Arial"/>
                <w:sz w:val="20"/>
                <w:szCs w:val="20"/>
              </w:rPr>
              <w:t>5</w:t>
            </w:r>
            <w:r w:rsidR="0015451E" w:rsidRPr="000B4886">
              <w:rPr>
                <w:rFonts w:ascii="Arial" w:hAnsi="Arial" w:cs="Arial"/>
                <w:sz w:val="20"/>
                <w:szCs w:val="20"/>
              </w:rPr>
              <w:t xml:space="preserve">                                            5</w:t>
            </w:r>
          </w:p>
          <w:p w14:paraId="431F1655" w14:textId="77777777" w:rsidR="00236D1D" w:rsidRPr="000B4886" w:rsidRDefault="00236D1D" w:rsidP="00600E69">
            <w:pPr>
              <w:rPr>
                <w:rFonts w:ascii="Arial" w:hAnsi="Arial" w:cs="Arial"/>
                <w:sz w:val="20"/>
                <w:szCs w:val="20"/>
              </w:rPr>
            </w:pPr>
            <w:r w:rsidRPr="000B4886">
              <w:rPr>
                <w:rFonts w:ascii="Arial" w:hAnsi="Arial" w:cs="Arial"/>
                <w:sz w:val="20"/>
                <w:szCs w:val="20"/>
              </w:rPr>
              <w:t>37</w:t>
            </w:r>
            <w:r w:rsidR="0015451E" w:rsidRPr="000B4886">
              <w:rPr>
                <w:rFonts w:ascii="Arial" w:hAnsi="Arial" w:cs="Arial"/>
                <w:sz w:val="20"/>
                <w:szCs w:val="20"/>
              </w:rPr>
              <w:t xml:space="preserve">                                         37</w:t>
            </w:r>
          </w:p>
          <w:p w14:paraId="1AA8941F" w14:textId="77777777" w:rsidR="00236D1D" w:rsidRPr="000B4886" w:rsidRDefault="00236D1D" w:rsidP="00600E69">
            <w:pPr>
              <w:rPr>
                <w:rFonts w:ascii="Arial" w:hAnsi="Arial" w:cs="Arial"/>
                <w:sz w:val="20"/>
                <w:szCs w:val="20"/>
              </w:rPr>
            </w:pPr>
            <w:r w:rsidRPr="000B4886">
              <w:rPr>
                <w:rFonts w:ascii="Arial" w:hAnsi="Arial" w:cs="Arial"/>
                <w:sz w:val="20"/>
                <w:szCs w:val="20"/>
              </w:rPr>
              <w:t>54</w:t>
            </w:r>
            <w:r w:rsidR="0015451E" w:rsidRPr="000B4886">
              <w:rPr>
                <w:rFonts w:ascii="Arial" w:hAnsi="Arial" w:cs="Arial"/>
                <w:sz w:val="20"/>
                <w:szCs w:val="20"/>
              </w:rPr>
              <w:t xml:space="preserve">                                         54</w:t>
            </w:r>
          </w:p>
          <w:p w14:paraId="5047298D" w14:textId="77777777" w:rsidR="00236D1D" w:rsidRPr="000B4886" w:rsidRDefault="00236D1D" w:rsidP="00600E69">
            <w:pPr>
              <w:rPr>
                <w:rFonts w:ascii="Arial" w:hAnsi="Arial" w:cs="Arial"/>
                <w:sz w:val="20"/>
                <w:szCs w:val="20"/>
              </w:rPr>
            </w:pPr>
            <w:r w:rsidRPr="000B4886">
              <w:rPr>
                <w:rFonts w:ascii="Arial" w:hAnsi="Arial" w:cs="Arial"/>
                <w:sz w:val="20"/>
                <w:szCs w:val="20"/>
              </w:rPr>
              <w:t>4</w:t>
            </w:r>
            <w:r w:rsidR="0015451E" w:rsidRPr="000B4886">
              <w:rPr>
                <w:rFonts w:ascii="Arial" w:hAnsi="Arial" w:cs="Arial"/>
                <w:sz w:val="20"/>
                <w:szCs w:val="20"/>
              </w:rPr>
              <w:t xml:space="preserve">                                           4</w:t>
            </w:r>
          </w:p>
          <w:p w14:paraId="5511DA37" w14:textId="77777777" w:rsidR="0015451E" w:rsidRPr="000B4886" w:rsidRDefault="0015451E" w:rsidP="00600E69">
            <w:pPr>
              <w:rPr>
                <w:rFonts w:ascii="Arial" w:hAnsi="Arial" w:cs="Arial"/>
                <w:sz w:val="20"/>
                <w:szCs w:val="20"/>
              </w:rPr>
            </w:pPr>
          </w:p>
        </w:tc>
      </w:tr>
      <w:tr w:rsidR="00236D1D" w:rsidRPr="000B4886" w14:paraId="595E08FB" w14:textId="77777777" w:rsidTr="00600D1D">
        <w:trPr>
          <w:trHeight w:val="1954"/>
        </w:trPr>
        <w:tc>
          <w:tcPr>
            <w:tcW w:w="2667" w:type="dxa"/>
          </w:tcPr>
          <w:p w14:paraId="35C505F7" w14:textId="77777777" w:rsidR="00236D1D" w:rsidRPr="000B4886" w:rsidRDefault="00236D1D" w:rsidP="00600E69">
            <w:pPr>
              <w:rPr>
                <w:rFonts w:ascii="Arial" w:hAnsi="Arial" w:cs="Arial"/>
                <w:sz w:val="20"/>
                <w:szCs w:val="20"/>
              </w:rPr>
            </w:pPr>
            <w:r w:rsidRPr="000B4886">
              <w:rPr>
                <w:rFonts w:ascii="Arial" w:hAnsi="Arial" w:cs="Arial"/>
                <w:sz w:val="20"/>
                <w:szCs w:val="20"/>
              </w:rPr>
              <w:lastRenderedPageBreak/>
              <w:t>Occupation</w:t>
            </w:r>
          </w:p>
          <w:p w14:paraId="6282AC18" w14:textId="77777777" w:rsidR="00236D1D" w:rsidRPr="000B4886" w:rsidRDefault="00236D1D" w:rsidP="00600E69">
            <w:pPr>
              <w:rPr>
                <w:rFonts w:ascii="Arial" w:hAnsi="Arial" w:cs="Arial"/>
                <w:sz w:val="20"/>
                <w:szCs w:val="20"/>
              </w:rPr>
            </w:pPr>
          </w:p>
          <w:p w14:paraId="4A110CFA" w14:textId="77777777" w:rsidR="00236D1D" w:rsidRPr="000B4886" w:rsidRDefault="00236D1D" w:rsidP="00600E69">
            <w:pPr>
              <w:rPr>
                <w:rFonts w:ascii="Arial" w:hAnsi="Arial" w:cs="Arial"/>
                <w:sz w:val="20"/>
                <w:szCs w:val="20"/>
              </w:rPr>
            </w:pPr>
            <w:r w:rsidRPr="000B4886">
              <w:rPr>
                <w:rFonts w:ascii="Arial" w:hAnsi="Arial" w:cs="Arial"/>
                <w:sz w:val="20"/>
                <w:szCs w:val="20"/>
              </w:rPr>
              <w:t>Trader</w:t>
            </w:r>
          </w:p>
          <w:p w14:paraId="0B2BC11E" w14:textId="77777777" w:rsidR="00236D1D" w:rsidRPr="000B4886" w:rsidRDefault="00236D1D" w:rsidP="00600E69">
            <w:pPr>
              <w:rPr>
                <w:rFonts w:ascii="Arial" w:hAnsi="Arial" w:cs="Arial"/>
                <w:sz w:val="20"/>
                <w:szCs w:val="20"/>
              </w:rPr>
            </w:pPr>
            <w:r w:rsidRPr="000B4886">
              <w:rPr>
                <w:rFonts w:ascii="Arial" w:hAnsi="Arial" w:cs="Arial"/>
                <w:sz w:val="20"/>
                <w:szCs w:val="20"/>
              </w:rPr>
              <w:t>Student</w:t>
            </w:r>
          </w:p>
          <w:p w14:paraId="289C5DC3" w14:textId="77777777" w:rsidR="00236D1D" w:rsidRPr="000B4886" w:rsidRDefault="00236D1D" w:rsidP="00600E69">
            <w:pPr>
              <w:rPr>
                <w:rFonts w:ascii="Arial" w:hAnsi="Arial" w:cs="Arial"/>
                <w:sz w:val="20"/>
                <w:szCs w:val="20"/>
              </w:rPr>
            </w:pPr>
            <w:r w:rsidRPr="000B4886">
              <w:rPr>
                <w:rFonts w:ascii="Arial" w:hAnsi="Arial" w:cs="Arial"/>
                <w:sz w:val="20"/>
                <w:szCs w:val="20"/>
              </w:rPr>
              <w:t>Artisan</w:t>
            </w:r>
          </w:p>
          <w:p w14:paraId="11C5CEB8" w14:textId="77777777" w:rsidR="00236D1D" w:rsidRPr="000B4886" w:rsidRDefault="00236D1D" w:rsidP="00600E69">
            <w:pPr>
              <w:rPr>
                <w:rFonts w:ascii="Arial" w:hAnsi="Arial" w:cs="Arial"/>
                <w:sz w:val="20"/>
                <w:szCs w:val="20"/>
              </w:rPr>
            </w:pPr>
            <w:r w:rsidRPr="000B4886">
              <w:rPr>
                <w:rFonts w:ascii="Arial" w:hAnsi="Arial" w:cs="Arial"/>
                <w:sz w:val="20"/>
                <w:szCs w:val="20"/>
              </w:rPr>
              <w:t>Civil servant</w:t>
            </w:r>
          </w:p>
        </w:tc>
        <w:tc>
          <w:tcPr>
            <w:tcW w:w="5503" w:type="dxa"/>
          </w:tcPr>
          <w:p w14:paraId="6C982A41" w14:textId="77777777" w:rsidR="00236D1D" w:rsidRPr="000B4886" w:rsidRDefault="00236D1D" w:rsidP="00600E69">
            <w:pPr>
              <w:rPr>
                <w:rFonts w:ascii="Arial" w:hAnsi="Arial" w:cs="Arial"/>
                <w:b/>
                <w:bCs/>
                <w:sz w:val="20"/>
                <w:szCs w:val="20"/>
              </w:rPr>
            </w:pPr>
          </w:p>
          <w:p w14:paraId="2499EF69" w14:textId="77777777" w:rsidR="00236D1D" w:rsidRPr="000B4886" w:rsidRDefault="00236D1D" w:rsidP="00600E69">
            <w:pPr>
              <w:rPr>
                <w:rFonts w:ascii="Arial" w:hAnsi="Arial" w:cs="Arial"/>
                <w:b/>
                <w:bCs/>
                <w:sz w:val="20"/>
                <w:szCs w:val="20"/>
              </w:rPr>
            </w:pPr>
          </w:p>
          <w:p w14:paraId="408242EC" w14:textId="77777777" w:rsidR="00236D1D" w:rsidRPr="000B4886" w:rsidRDefault="00236D1D" w:rsidP="00600E69">
            <w:pPr>
              <w:rPr>
                <w:rFonts w:ascii="Arial" w:hAnsi="Arial" w:cs="Arial"/>
                <w:sz w:val="20"/>
                <w:szCs w:val="20"/>
              </w:rPr>
            </w:pPr>
            <w:r w:rsidRPr="000B4886">
              <w:rPr>
                <w:rFonts w:ascii="Arial" w:hAnsi="Arial" w:cs="Arial"/>
                <w:sz w:val="20"/>
                <w:szCs w:val="20"/>
              </w:rPr>
              <w:t>27</w:t>
            </w:r>
            <w:r w:rsidR="0015451E" w:rsidRPr="000B4886">
              <w:rPr>
                <w:rFonts w:ascii="Arial" w:hAnsi="Arial" w:cs="Arial"/>
                <w:sz w:val="20"/>
                <w:szCs w:val="20"/>
              </w:rPr>
              <w:t xml:space="preserve">                                         27</w:t>
            </w:r>
          </w:p>
          <w:p w14:paraId="604E1EEA" w14:textId="77777777" w:rsidR="00236D1D" w:rsidRPr="000B4886" w:rsidRDefault="00236D1D" w:rsidP="00600E69">
            <w:pPr>
              <w:rPr>
                <w:rFonts w:ascii="Arial" w:hAnsi="Arial" w:cs="Arial"/>
                <w:sz w:val="20"/>
                <w:szCs w:val="20"/>
              </w:rPr>
            </w:pPr>
            <w:r w:rsidRPr="000B4886">
              <w:rPr>
                <w:rFonts w:ascii="Arial" w:hAnsi="Arial" w:cs="Arial"/>
                <w:sz w:val="20"/>
                <w:szCs w:val="20"/>
              </w:rPr>
              <w:t>28</w:t>
            </w:r>
            <w:r w:rsidR="0015451E" w:rsidRPr="000B4886">
              <w:rPr>
                <w:rFonts w:ascii="Arial" w:hAnsi="Arial" w:cs="Arial"/>
                <w:sz w:val="20"/>
                <w:szCs w:val="20"/>
              </w:rPr>
              <w:t xml:space="preserve">                                         28</w:t>
            </w:r>
          </w:p>
          <w:p w14:paraId="3004E647" w14:textId="77777777" w:rsidR="00236D1D" w:rsidRPr="000B4886" w:rsidRDefault="00236D1D" w:rsidP="00600E69">
            <w:pPr>
              <w:rPr>
                <w:rFonts w:ascii="Arial" w:hAnsi="Arial" w:cs="Arial"/>
                <w:sz w:val="20"/>
                <w:szCs w:val="20"/>
              </w:rPr>
            </w:pPr>
            <w:r w:rsidRPr="000B4886">
              <w:rPr>
                <w:rFonts w:ascii="Arial" w:hAnsi="Arial" w:cs="Arial"/>
                <w:sz w:val="20"/>
                <w:szCs w:val="20"/>
              </w:rPr>
              <w:t>19</w:t>
            </w:r>
            <w:r w:rsidR="0015451E" w:rsidRPr="000B4886">
              <w:rPr>
                <w:rFonts w:ascii="Arial" w:hAnsi="Arial" w:cs="Arial"/>
                <w:sz w:val="20"/>
                <w:szCs w:val="20"/>
              </w:rPr>
              <w:t xml:space="preserve">                                         19</w:t>
            </w:r>
          </w:p>
          <w:p w14:paraId="47030184" w14:textId="77777777" w:rsidR="00236D1D" w:rsidRPr="000B4886" w:rsidRDefault="00236D1D" w:rsidP="00600E69">
            <w:pPr>
              <w:rPr>
                <w:rFonts w:ascii="Arial" w:hAnsi="Arial" w:cs="Arial"/>
                <w:sz w:val="20"/>
                <w:szCs w:val="20"/>
              </w:rPr>
            </w:pPr>
            <w:r w:rsidRPr="000B4886">
              <w:rPr>
                <w:rFonts w:ascii="Arial" w:hAnsi="Arial" w:cs="Arial"/>
                <w:sz w:val="20"/>
                <w:szCs w:val="20"/>
              </w:rPr>
              <w:t>26</w:t>
            </w:r>
            <w:r w:rsidR="0015451E" w:rsidRPr="000B4886">
              <w:rPr>
                <w:rFonts w:ascii="Arial" w:hAnsi="Arial" w:cs="Arial"/>
                <w:sz w:val="20"/>
                <w:szCs w:val="20"/>
              </w:rPr>
              <w:t xml:space="preserve">                                         26</w:t>
            </w:r>
          </w:p>
        </w:tc>
      </w:tr>
      <w:tr w:rsidR="00236D1D" w:rsidRPr="000B4886" w14:paraId="4FCB7637" w14:textId="77777777" w:rsidTr="00600D1D">
        <w:trPr>
          <w:trHeight w:val="331"/>
        </w:trPr>
        <w:tc>
          <w:tcPr>
            <w:tcW w:w="2667" w:type="dxa"/>
          </w:tcPr>
          <w:p w14:paraId="078B71D5" w14:textId="77777777" w:rsidR="00236D1D" w:rsidRPr="000B4886" w:rsidRDefault="00236D1D" w:rsidP="00600E69">
            <w:pPr>
              <w:rPr>
                <w:rFonts w:ascii="Arial" w:hAnsi="Arial" w:cs="Arial"/>
                <w:sz w:val="20"/>
                <w:szCs w:val="20"/>
              </w:rPr>
            </w:pPr>
          </w:p>
          <w:p w14:paraId="0B9ABA65" w14:textId="77777777" w:rsidR="00236D1D" w:rsidRPr="000B4886" w:rsidRDefault="00236D1D" w:rsidP="00600E69">
            <w:pPr>
              <w:rPr>
                <w:rFonts w:ascii="Arial" w:hAnsi="Arial" w:cs="Arial"/>
                <w:sz w:val="20"/>
                <w:szCs w:val="20"/>
              </w:rPr>
            </w:pPr>
            <w:r w:rsidRPr="000B4886">
              <w:rPr>
                <w:rFonts w:ascii="Arial" w:hAnsi="Arial" w:cs="Arial"/>
                <w:sz w:val="20"/>
                <w:szCs w:val="20"/>
              </w:rPr>
              <w:t>Total</w:t>
            </w:r>
          </w:p>
        </w:tc>
        <w:tc>
          <w:tcPr>
            <w:tcW w:w="5503" w:type="dxa"/>
          </w:tcPr>
          <w:p w14:paraId="49ED6924" w14:textId="77777777" w:rsidR="00236D1D" w:rsidRPr="000B4886" w:rsidRDefault="00236D1D" w:rsidP="00600E69">
            <w:pPr>
              <w:rPr>
                <w:rFonts w:ascii="Arial" w:hAnsi="Arial" w:cs="Arial"/>
                <w:b/>
                <w:bCs/>
                <w:sz w:val="20"/>
                <w:szCs w:val="20"/>
              </w:rPr>
            </w:pPr>
          </w:p>
          <w:p w14:paraId="33E7699D" w14:textId="77777777" w:rsidR="00236D1D" w:rsidRPr="000B4886" w:rsidRDefault="00236D1D" w:rsidP="00600E69">
            <w:pPr>
              <w:rPr>
                <w:rFonts w:ascii="Arial" w:hAnsi="Arial" w:cs="Arial"/>
                <w:sz w:val="20"/>
                <w:szCs w:val="20"/>
              </w:rPr>
            </w:pPr>
            <w:r w:rsidRPr="000B4886">
              <w:rPr>
                <w:rFonts w:ascii="Arial" w:hAnsi="Arial" w:cs="Arial"/>
                <w:sz w:val="20"/>
                <w:szCs w:val="20"/>
              </w:rPr>
              <w:t>100</w:t>
            </w:r>
            <w:r w:rsidR="0015451E" w:rsidRPr="000B4886">
              <w:rPr>
                <w:rFonts w:ascii="Arial" w:hAnsi="Arial" w:cs="Arial"/>
                <w:sz w:val="20"/>
                <w:szCs w:val="20"/>
              </w:rPr>
              <w:t xml:space="preserve">                                       </w:t>
            </w:r>
            <w:r w:rsidR="00A6280B" w:rsidRPr="000B4886">
              <w:rPr>
                <w:rFonts w:ascii="Arial" w:hAnsi="Arial" w:cs="Arial"/>
                <w:sz w:val="20"/>
                <w:szCs w:val="20"/>
              </w:rPr>
              <w:t>100</w:t>
            </w:r>
          </w:p>
        </w:tc>
      </w:tr>
    </w:tbl>
    <w:p w14:paraId="4B82EF13" w14:textId="77777777" w:rsidR="00600D1D" w:rsidRPr="000B4886" w:rsidRDefault="00600D1D" w:rsidP="00911497">
      <w:pPr>
        <w:spacing w:after="160" w:line="254" w:lineRule="auto"/>
        <w:rPr>
          <w:rFonts w:ascii="Arial" w:hAnsi="Arial" w:cs="Arial"/>
          <w:b/>
          <w:color w:val="000000"/>
        </w:rPr>
      </w:pPr>
    </w:p>
    <w:p w14:paraId="791A9699" w14:textId="77777777" w:rsidR="009D60A4" w:rsidRPr="000B4886" w:rsidRDefault="009D60A4" w:rsidP="00911497">
      <w:pPr>
        <w:spacing w:after="160" w:line="254" w:lineRule="auto"/>
        <w:rPr>
          <w:rFonts w:ascii="Arial" w:hAnsi="Arial" w:cs="Arial"/>
          <w:b/>
          <w:color w:val="000000"/>
        </w:rPr>
      </w:pPr>
    </w:p>
    <w:p w14:paraId="0C105E9A" w14:textId="77777777" w:rsidR="009D60A4" w:rsidRPr="000B4886" w:rsidRDefault="009D60A4" w:rsidP="00911497">
      <w:pPr>
        <w:spacing w:after="160" w:line="254" w:lineRule="auto"/>
        <w:rPr>
          <w:rFonts w:ascii="Arial" w:hAnsi="Arial" w:cs="Arial"/>
          <w:b/>
          <w:color w:val="000000"/>
        </w:rPr>
      </w:pPr>
    </w:p>
    <w:p w14:paraId="6B09E686" w14:textId="77777777" w:rsidR="00911497" w:rsidRPr="000B4886" w:rsidRDefault="00AB6114" w:rsidP="00911497">
      <w:pPr>
        <w:spacing w:after="160" w:line="254" w:lineRule="auto"/>
        <w:rPr>
          <w:rFonts w:ascii="Arial" w:hAnsi="Arial" w:cs="Arial"/>
        </w:rPr>
      </w:pPr>
      <w:r w:rsidRPr="000B4886">
        <w:rPr>
          <w:b/>
        </w:rPr>
        <w:t>3.1.1 Prevalence of malaria infection among the study participants</w:t>
      </w:r>
    </w:p>
    <w:p w14:paraId="75DDA5CD" w14:textId="77777777" w:rsidR="00AF21E2" w:rsidRPr="006F32D6" w:rsidRDefault="0008065B" w:rsidP="00911497">
      <w:pPr>
        <w:spacing w:before="240" w:after="200" w:line="360" w:lineRule="auto"/>
        <w:jc w:val="both"/>
        <w:rPr>
          <w:rFonts w:ascii="Arial" w:hAnsi="Arial" w:cs="Arial"/>
          <w:bCs/>
          <w:iCs/>
        </w:rPr>
      </w:pPr>
      <w:r w:rsidRPr="006F32D6">
        <w:rPr>
          <w:bCs/>
        </w:rPr>
        <w:t>Of the 100 participants surveyed, 20.0% (n = 20) tested positive for malaria infection. Malaria prevalence did not vary significantly across age groups: children accounted for 33.3% (n = 2), adolescents for 20.6% (n = 7), adults for 18.5% (n = 10), and older adults for 16.7% (n = 1). Regarding sex, prevalence was 22.0% (n = 13) among females and 17.1% (n = 7) among males (P = 0.617). There was also no significant association (P &gt; 0.05) between malaria prevalence and participants' educational level or occupation (Table 2).</w:t>
      </w:r>
    </w:p>
    <w:p w14:paraId="532EA4E1" w14:textId="77777777" w:rsidR="00BF016D" w:rsidRPr="000B4886" w:rsidRDefault="00BF016D" w:rsidP="00911497">
      <w:pPr>
        <w:spacing w:before="240" w:after="200" w:line="360" w:lineRule="auto"/>
        <w:jc w:val="both"/>
        <w:rPr>
          <w:rFonts w:ascii="Arial" w:hAnsi="Arial" w:cs="Arial"/>
        </w:rPr>
      </w:pPr>
    </w:p>
    <w:p w14:paraId="3F782BDF" w14:textId="77777777" w:rsidR="00911497" w:rsidRPr="000B4886" w:rsidRDefault="00236D1D" w:rsidP="00911497">
      <w:pPr>
        <w:rPr>
          <w:rFonts w:ascii="Arial" w:hAnsi="Arial" w:cs="Arial"/>
        </w:rPr>
      </w:pPr>
      <w:r w:rsidRPr="000B4886">
        <w:rPr>
          <w:rFonts w:ascii="Arial" w:hAnsi="Arial" w:cs="Arial"/>
          <w:b/>
          <w:bCs/>
        </w:rPr>
        <w:t>Table 2</w:t>
      </w:r>
      <w:r w:rsidR="005D2D6C" w:rsidRPr="000B4886">
        <w:rPr>
          <w:rFonts w:ascii="Arial" w:hAnsi="Arial" w:cs="Arial"/>
          <w:b/>
          <w:bCs/>
        </w:rPr>
        <w:t>: Prevalence of Malaria among the study participants</w:t>
      </w:r>
    </w:p>
    <w:tbl>
      <w:tblPr>
        <w:tblStyle w:val="TableGrid"/>
        <w:tblW w:w="10385" w:type="dxa"/>
        <w:tblInd w:w="-9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67"/>
        <w:gridCol w:w="2572"/>
        <w:gridCol w:w="2573"/>
        <w:gridCol w:w="2573"/>
      </w:tblGrid>
      <w:tr w:rsidR="00911497" w:rsidRPr="000B4886" w14:paraId="6CBB1DC8" w14:textId="77777777" w:rsidTr="00E83173">
        <w:trPr>
          <w:trHeight w:val="983"/>
        </w:trPr>
        <w:tc>
          <w:tcPr>
            <w:tcW w:w="2667" w:type="dxa"/>
            <w:tcBorders>
              <w:top w:val="single" w:sz="4" w:space="0" w:color="auto"/>
              <w:bottom w:val="single" w:sz="4" w:space="0" w:color="auto"/>
            </w:tcBorders>
          </w:tcPr>
          <w:p w14:paraId="0037E594" w14:textId="77777777" w:rsidR="00911497" w:rsidRPr="000B4886" w:rsidRDefault="00911497" w:rsidP="00690CD4">
            <w:pPr>
              <w:rPr>
                <w:rFonts w:ascii="Arial" w:hAnsi="Arial" w:cs="Arial"/>
                <w:sz w:val="20"/>
                <w:szCs w:val="20"/>
              </w:rPr>
            </w:pPr>
          </w:p>
          <w:p w14:paraId="7B6F10E4" w14:textId="77777777" w:rsidR="00911497" w:rsidRPr="000B4886" w:rsidRDefault="005D2D6C" w:rsidP="00690CD4">
            <w:pPr>
              <w:rPr>
                <w:rFonts w:ascii="Arial" w:hAnsi="Arial" w:cs="Arial"/>
                <w:sz w:val="20"/>
                <w:szCs w:val="20"/>
              </w:rPr>
            </w:pPr>
            <w:r w:rsidRPr="000B4886">
              <w:rPr>
                <w:rFonts w:ascii="Arial" w:hAnsi="Arial" w:cs="Arial"/>
                <w:sz w:val="20"/>
                <w:szCs w:val="20"/>
              </w:rPr>
              <w:t>Variables</w:t>
            </w:r>
          </w:p>
        </w:tc>
        <w:tc>
          <w:tcPr>
            <w:tcW w:w="2572" w:type="dxa"/>
            <w:tcBorders>
              <w:top w:val="single" w:sz="4" w:space="0" w:color="auto"/>
              <w:bottom w:val="single" w:sz="4" w:space="0" w:color="auto"/>
            </w:tcBorders>
          </w:tcPr>
          <w:p w14:paraId="6EE7E886" w14:textId="77777777" w:rsidR="005D2D6C" w:rsidRPr="000B4886" w:rsidRDefault="005D2D6C" w:rsidP="00690CD4">
            <w:pPr>
              <w:rPr>
                <w:rFonts w:ascii="Arial" w:hAnsi="Arial" w:cs="Arial"/>
                <w:sz w:val="20"/>
                <w:szCs w:val="20"/>
              </w:rPr>
            </w:pPr>
          </w:p>
          <w:p w14:paraId="51D041E8" w14:textId="77777777" w:rsidR="00F1644D" w:rsidRPr="000B4886" w:rsidRDefault="00911497" w:rsidP="00690CD4">
            <w:pPr>
              <w:rPr>
                <w:rFonts w:ascii="Arial" w:hAnsi="Arial" w:cs="Arial"/>
                <w:sz w:val="20"/>
                <w:szCs w:val="20"/>
              </w:rPr>
            </w:pPr>
            <w:r w:rsidRPr="000B4886">
              <w:rPr>
                <w:rFonts w:ascii="Arial" w:hAnsi="Arial" w:cs="Arial"/>
                <w:sz w:val="20"/>
                <w:szCs w:val="20"/>
              </w:rPr>
              <w:t xml:space="preserve">Number </w:t>
            </w:r>
          </w:p>
          <w:p w14:paraId="3D7D4A68" w14:textId="77777777" w:rsidR="005D2D6C" w:rsidRPr="000B4886" w:rsidRDefault="00911497" w:rsidP="00690CD4">
            <w:pPr>
              <w:rPr>
                <w:rFonts w:ascii="Arial" w:hAnsi="Arial" w:cs="Arial"/>
                <w:sz w:val="20"/>
                <w:szCs w:val="20"/>
              </w:rPr>
            </w:pPr>
            <w:r w:rsidRPr="000B4886">
              <w:rPr>
                <w:rFonts w:ascii="Arial" w:hAnsi="Arial" w:cs="Arial"/>
                <w:sz w:val="20"/>
                <w:szCs w:val="20"/>
              </w:rPr>
              <w:t>Sampled</w:t>
            </w:r>
          </w:p>
          <w:p w14:paraId="0A9C4B8E" w14:textId="77777777" w:rsidR="00E83173" w:rsidRPr="000B4886" w:rsidRDefault="00E83173" w:rsidP="00690CD4">
            <w:pPr>
              <w:rPr>
                <w:rFonts w:ascii="Arial" w:hAnsi="Arial" w:cs="Arial"/>
                <w:sz w:val="20"/>
                <w:szCs w:val="20"/>
              </w:rPr>
            </w:pPr>
            <w:r w:rsidRPr="000B4886">
              <w:rPr>
                <w:rFonts w:ascii="Arial" w:hAnsi="Arial" w:cs="Arial"/>
                <w:sz w:val="20"/>
                <w:szCs w:val="20"/>
              </w:rPr>
              <w:t>(N)</w:t>
            </w:r>
          </w:p>
        </w:tc>
        <w:tc>
          <w:tcPr>
            <w:tcW w:w="2573" w:type="dxa"/>
            <w:tcBorders>
              <w:top w:val="single" w:sz="4" w:space="0" w:color="auto"/>
              <w:bottom w:val="single" w:sz="4" w:space="0" w:color="auto"/>
            </w:tcBorders>
          </w:tcPr>
          <w:p w14:paraId="290B3CE9" w14:textId="77777777" w:rsidR="00F1644D" w:rsidRPr="000B4886" w:rsidRDefault="00911497" w:rsidP="00690CD4">
            <w:pPr>
              <w:rPr>
                <w:rFonts w:ascii="Arial" w:hAnsi="Arial" w:cs="Arial"/>
                <w:sz w:val="20"/>
                <w:szCs w:val="20"/>
              </w:rPr>
            </w:pPr>
            <w:r w:rsidRPr="000B4886">
              <w:rPr>
                <w:rFonts w:ascii="Arial" w:hAnsi="Arial" w:cs="Arial"/>
                <w:sz w:val="20"/>
                <w:szCs w:val="20"/>
              </w:rPr>
              <w:t xml:space="preserve">Number </w:t>
            </w:r>
            <w:r w:rsidR="00F1644D" w:rsidRPr="000B4886">
              <w:rPr>
                <w:rFonts w:ascii="Arial" w:hAnsi="Arial" w:cs="Arial"/>
                <w:sz w:val="20"/>
                <w:szCs w:val="20"/>
              </w:rPr>
              <w:t xml:space="preserve"> of       Positive           </w:t>
            </w:r>
          </w:p>
          <w:p w14:paraId="2F2C8492" w14:textId="77777777" w:rsidR="00911497" w:rsidRPr="000B4886" w:rsidRDefault="00600D1D" w:rsidP="00690CD4">
            <w:pPr>
              <w:rPr>
                <w:rFonts w:ascii="Arial" w:hAnsi="Arial" w:cs="Arial"/>
                <w:sz w:val="20"/>
                <w:szCs w:val="20"/>
              </w:rPr>
            </w:pPr>
            <w:r w:rsidRPr="000B4886">
              <w:rPr>
                <w:rFonts w:ascii="Arial" w:hAnsi="Arial" w:cs="Arial"/>
                <w:sz w:val="20"/>
                <w:szCs w:val="20"/>
              </w:rPr>
              <w:t>Cases</w:t>
            </w:r>
            <w:r w:rsidR="00F1644D" w:rsidRPr="000B4886">
              <w:rPr>
                <w:rFonts w:ascii="Arial" w:hAnsi="Arial" w:cs="Arial"/>
                <w:sz w:val="20"/>
                <w:szCs w:val="20"/>
              </w:rPr>
              <w:t xml:space="preserve"> </w:t>
            </w:r>
            <w:r w:rsidR="00E83173" w:rsidRPr="000B4886">
              <w:rPr>
                <w:rFonts w:ascii="Arial" w:hAnsi="Arial" w:cs="Arial"/>
                <w:sz w:val="20"/>
                <w:szCs w:val="20"/>
              </w:rPr>
              <w:t>n</w:t>
            </w:r>
            <w:r w:rsidR="00911497" w:rsidRPr="000B4886">
              <w:rPr>
                <w:rFonts w:ascii="Arial" w:hAnsi="Arial" w:cs="Arial"/>
                <w:sz w:val="20"/>
                <w:szCs w:val="20"/>
              </w:rPr>
              <w:t>(%)</w:t>
            </w:r>
          </w:p>
        </w:tc>
        <w:tc>
          <w:tcPr>
            <w:tcW w:w="2573" w:type="dxa"/>
            <w:tcBorders>
              <w:top w:val="single" w:sz="4" w:space="0" w:color="auto"/>
              <w:bottom w:val="single" w:sz="4" w:space="0" w:color="auto"/>
            </w:tcBorders>
          </w:tcPr>
          <w:p w14:paraId="59E6AB48" w14:textId="77777777" w:rsidR="00911497" w:rsidRPr="000B4886" w:rsidRDefault="00911497" w:rsidP="00690CD4">
            <w:pPr>
              <w:rPr>
                <w:rFonts w:ascii="Arial" w:hAnsi="Arial" w:cs="Arial"/>
                <w:sz w:val="20"/>
                <w:szCs w:val="20"/>
              </w:rPr>
            </w:pPr>
          </w:p>
          <w:p w14:paraId="0145C59F" w14:textId="77777777" w:rsidR="00911497" w:rsidRPr="000B4886" w:rsidRDefault="005D2D6C" w:rsidP="00690CD4">
            <w:pPr>
              <w:rPr>
                <w:rFonts w:ascii="Arial" w:hAnsi="Arial" w:cs="Arial"/>
                <w:sz w:val="20"/>
                <w:szCs w:val="20"/>
              </w:rPr>
            </w:pPr>
            <w:r w:rsidRPr="000B4886">
              <w:rPr>
                <w:rFonts w:ascii="Arial" w:hAnsi="Arial" w:cs="Arial"/>
                <w:sz w:val="20"/>
                <w:szCs w:val="20"/>
              </w:rPr>
              <w:t xml:space="preserve">             </w:t>
            </w:r>
            <w:r w:rsidR="00911497" w:rsidRPr="000B4886">
              <w:rPr>
                <w:rFonts w:ascii="Arial" w:hAnsi="Arial" w:cs="Arial"/>
                <w:sz w:val="20"/>
                <w:szCs w:val="20"/>
              </w:rPr>
              <w:t>P value</w:t>
            </w:r>
          </w:p>
        </w:tc>
      </w:tr>
      <w:tr w:rsidR="00911497" w:rsidRPr="000B4886" w14:paraId="5FCE8B7E" w14:textId="77777777" w:rsidTr="00E83173">
        <w:trPr>
          <w:trHeight w:val="145"/>
        </w:trPr>
        <w:tc>
          <w:tcPr>
            <w:tcW w:w="2667" w:type="dxa"/>
            <w:tcBorders>
              <w:top w:val="single" w:sz="4" w:space="0" w:color="auto"/>
              <w:bottom w:val="nil"/>
            </w:tcBorders>
          </w:tcPr>
          <w:p w14:paraId="61726443" w14:textId="77777777" w:rsidR="00911497" w:rsidRPr="000B4886" w:rsidRDefault="00911497" w:rsidP="00690CD4">
            <w:pPr>
              <w:rPr>
                <w:rFonts w:ascii="Arial" w:hAnsi="Arial" w:cs="Arial"/>
                <w:sz w:val="20"/>
                <w:szCs w:val="20"/>
              </w:rPr>
            </w:pPr>
            <w:r w:rsidRPr="000B4886">
              <w:rPr>
                <w:rFonts w:ascii="Arial" w:hAnsi="Arial" w:cs="Arial"/>
                <w:sz w:val="20"/>
                <w:szCs w:val="20"/>
              </w:rPr>
              <w:t>Age group (years)</w:t>
            </w:r>
          </w:p>
          <w:p w14:paraId="7C7D4537" w14:textId="77777777" w:rsidR="00911497" w:rsidRPr="000B4886" w:rsidRDefault="00911497" w:rsidP="00690CD4">
            <w:pPr>
              <w:rPr>
                <w:rFonts w:ascii="Arial" w:hAnsi="Arial" w:cs="Arial"/>
                <w:sz w:val="20"/>
                <w:szCs w:val="20"/>
              </w:rPr>
            </w:pPr>
          </w:p>
          <w:p w14:paraId="6CD537E1" w14:textId="77777777" w:rsidR="00911497" w:rsidRPr="000B4886" w:rsidRDefault="00911497" w:rsidP="00690CD4">
            <w:pPr>
              <w:rPr>
                <w:rFonts w:ascii="Arial" w:hAnsi="Arial" w:cs="Arial"/>
                <w:sz w:val="20"/>
                <w:szCs w:val="20"/>
              </w:rPr>
            </w:pPr>
            <w:r w:rsidRPr="000B4886">
              <w:rPr>
                <w:rFonts w:ascii="Arial" w:hAnsi="Arial" w:cs="Arial"/>
                <w:sz w:val="20"/>
                <w:szCs w:val="20"/>
              </w:rPr>
              <w:t>Children</w:t>
            </w:r>
          </w:p>
          <w:p w14:paraId="4ACD97F7" w14:textId="77777777" w:rsidR="00911497" w:rsidRPr="000B4886" w:rsidRDefault="00911497" w:rsidP="00690CD4">
            <w:pPr>
              <w:rPr>
                <w:rFonts w:ascii="Arial" w:hAnsi="Arial" w:cs="Arial"/>
                <w:sz w:val="20"/>
                <w:szCs w:val="20"/>
              </w:rPr>
            </w:pPr>
            <w:r w:rsidRPr="000B4886">
              <w:rPr>
                <w:rFonts w:ascii="Arial" w:hAnsi="Arial" w:cs="Arial"/>
                <w:sz w:val="20"/>
                <w:szCs w:val="20"/>
              </w:rPr>
              <w:t>Adolescent</w:t>
            </w:r>
          </w:p>
          <w:p w14:paraId="4C4BC7DB" w14:textId="77777777" w:rsidR="00911497" w:rsidRPr="000B4886" w:rsidRDefault="00911497" w:rsidP="00690CD4">
            <w:pPr>
              <w:rPr>
                <w:rFonts w:ascii="Arial" w:hAnsi="Arial" w:cs="Arial"/>
                <w:sz w:val="20"/>
                <w:szCs w:val="20"/>
              </w:rPr>
            </w:pPr>
            <w:r w:rsidRPr="000B4886">
              <w:rPr>
                <w:rFonts w:ascii="Arial" w:hAnsi="Arial" w:cs="Arial"/>
                <w:sz w:val="20"/>
                <w:szCs w:val="20"/>
              </w:rPr>
              <w:t>Adults</w:t>
            </w:r>
          </w:p>
          <w:p w14:paraId="123EF055" w14:textId="77777777" w:rsidR="00911497" w:rsidRPr="000B4886" w:rsidRDefault="00911497" w:rsidP="00690CD4">
            <w:pPr>
              <w:rPr>
                <w:rFonts w:ascii="Arial" w:hAnsi="Arial" w:cs="Arial"/>
                <w:sz w:val="20"/>
                <w:szCs w:val="20"/>
              </w:rPr>
            </w:pPr>
            <w:r w:rsidRPr="000B4886">
              <w:rPr>
                <w:rFonts w:ascii="Arial" w:hAnsi="Arial" w:cs="Arial"/>
                <w:sz w:val="20"/>
                <w:szCs w:val="20"/>
              </w:rPr>
              <w:t>Older adults</w:t>
            </w:r>
          </w:p>
        </w:tc>
        <w:tc>
          <w:tcPr>
            <w:tcW w:w="2572" w:type="dxa"/>
            <w:tcBorders>
              <w:top w:val="single" w:sz="4" w:space="0" w:color="auto"/>
              <w:bottom w:val="nil"/>
            </w:tcBorders>
          </w:tcPr>
          <w:p w14:paraId="1396A334" w14:textId="77777777" w:rsidR="00911497" w:rsidRPr="000B4886" w:rsidRDefault="00911497" w:rsidP="00690CD4">
            <w:pPr>
              <w:rPr>
                <w:rFonts w:ascii="Arial" w:hAnsi="Arial" w:cs="Arial"/>
                <w:b/>
                <w:bCs/>
                <w:sz w:val="20"/>
                <w:szCs w:val="20"/>
              </w:rPr>
            </w:pPr>
          </w:p>
          <w:p w14:paraId="14FFCFD2" w14:textId="77777777" w:rsidR="00911497" w:rsidRPr="000B4886" w:rsidRDefault="00911497" w:rsidP="00690CD4">
            <w:pPr>
              <w:rPr>
                <w:rFonts w:ascii="Arial" w:hAnsi="Arial" w:cs="Arial"/>
                <w:b/>
                <w:bCs/>
                <w:sz w:val="20"/>
                <w:szCs w:val="20"/>
              </w:rPr>
            </w:pPr>
          </w:p>
          <w:p w14:paraId="34D45B2B" w14:textId="77777777" w:rsidR="00911497" w:rsidRPr="000B4886" w:rsidRDefault="00911497" w:rsidP="00690CD4">
            <w:pPr>
              <w:rPr>
                <w:rFonts w:ascii="Arial" w:hAnsi="Arial" w:cs="Arial"/>
                <w:sz w:val="20"/>
                <w:szCs w:val="20"/>
              </w:rPr>
            </w:pPr>
            <w:r w:rsidRPr="000B4886">
              <w:rPr>
                <w:rFonts w:ascii="Arial" w:hAnsi="Arial" w:cs="Arial"/>
                <w:sz w:val="20"/>
                <w:szCs w:val="20"/>
              </w:rPr>
              <w:t>6</w:t>
            </w:r>
          </w:p>
          <w:p w14:paraId="51BA5D15" w14:textId="77777777" w:rsidR="00911497" w:rsidRPr="000B4886" w:rsidRDefault="00911497" w:rsidP="00690CD4">
            <w:pPr>
              <w:rPr>
                <w:rFonts w:ascii="Arial" w:hAnsi="Arial" w:cs="Arial"/>
                <w:sz w:val="20"/>
                <w:szCs w:val="20"/>
              </w:rPr>
            </w:pPr>
            <w:r w:rsidRPr="000B4886">
              <w:rPr>
                <w:rFonts w:ascii="Arial" w:hAnsi="Arial" w:cs="Arial"/>
                <w:sz w:val="20"/>
                <w:szCs w:val="20"/>
              </w:rPr>
              <w:t>34</w:t>
            </w:r>
          </w:p>
          <w:p w14:paraId="7591CE02" w14:textId="77777777" w:rsidR="00911497" w:rsidRPr="000B4886" w:rsidRDefault="00911497" w:rsidP="00690CD4">
            <w:pPr>
              <w:rPr>
                <w:rFonts w:ascii="Arial" w:hAnsi="Arial" w:cs="Arial"/>
                <w:sz w:val="20"/>
                <w:szCs w:val="20"/>
              </w:rPr>
            </w:pPr>
            <w:r w:rsidRPr="000B4886">
              <w:rPr>
                <w:rFonts w:ascii="Arial" w:hAnsi="Arial" w:cs="Arial"/>
                <w:sz w:val="20"/>
                <w:szCs w:val="20"/>
              </w:rPr>
              <w:t>54</w:t>
            </w:r>
          </w:p>
          <w:p w14:paraId="75992BB1" w14:textId="77777777" w:rsidR="00911497" w:rsidRPr="000B4886" w:rsidRDefault="00911497" w:rsidP="00690CD4">
            <w:pPr>
              <w:rPr>
                <w:rFonts w:ascii="Arial" w:hAnsi="Arial" w:cs="Arial"/>
                <w:sz w:val="20"/>
                <w:szCs w:val="20"/>
              </w:rPr>
            </w:pPr>
            <w:r w:rsidRPr="000B4886">
              <w:rPr>
                <w:rFonts w:ascii="Arial" w:hAnsi="Arial" w:cs="Arial"/>
                <w:sz w:val="20"/>
                <w:szCs w:val="20"/>
              </w:rPr>
              <w:t>6</w:t>
            </w:r>
          </w:p>
        </w:tc>
        <w:tc>
          <w:tcPr>
            <w:tcW w:w="2573" w:type="dxa"/>
            <w:tcBorders>
              <w:top w:val="single" w:sz="4" w:space="0" w:color="auto"/>
              <w:bottom w:val="nil"/>
            </w:tcBorders>
          </w:tcPr>
          <w:p w14:paraId="102E2701" w14:textId="77777777" w:rsidR="00911497" w:rsidRPr="000B4886" w:rsidRDefault="00911497" w:rsidP="00690CD4">
            <w:pPr>
              <w:rPr>
                <w:rFonts w:ascii="Arial" w:hAnsi="Arial" w:cs="Arial"/>
                <w:b/>
                <w:bCs/>
                <w:sz w:val="20"/>
                <w:szCs w:val="20"/>
              </w:rPr>
            </w:pPr>
          </w:p>
          <w:p w14:paraId="559B1506" w14:textId="77777777" w:rsidR="00911497" w:rsidRPr="000B4886" w:rsidRDefault="00911497" w:rsidP="00690CD4">
            <w:pPr>
              <w:rPr>
                <w:rFonts w:ascii="Arial" w:hAnsi="Arial" w:cs="Arial"/>
                <w:sz w:val="20"/>
                <w:szCs w:val="20"/>
              </w:rPr>
            </w:pPr>
          </w:p>
          <w:p w14:paraId="398261D8" w14:textId="77777777" w:rsidR="00911497" w:rsidRPr="000B4886" w:rsidRDefault="00911497" w:rsidP="00690CD4">
            <w:pPr>
              <w:rPr>
                <w:rFonts w:ascii="Arial" w:hAnsi="Arial" w:cs="Arial"/>
                <w:sz w:val="20"/>
                <w:szCs w:val="20"/>
              </w:rPr>
            </w:pPr>
            <w:r w:rsidRPr="000B4886">
              <w:rPr>
                <w:rFonts w:ascii="Arial" w:hAnsi="Arial" w:cs="Arial"/>
                <w:sz w:val="20"/>
                <w:szCs w:val="20"/>
              </w:rPr>
              <w:t>2</w:t>
            </w:r>
            <w:r w:rsidR="005D2D6C" w:rsidRPr="000B4886">
              <w:rPr>
                <w:rFonts w:ascii="Arial" w:hAnsi="Arial" w:cs="Arial"/>
                <w:sz w:val="20"/>
                <w:szCs w:val="20"/>
              </w:rPr>
              <w:t xml:space="preserve"> </w:t>
            </w:r>
            <w:r w:rsidRPr="000B4886">
              <w:rPr>
                <w:rFonts w:ascii="Arial" w:hAnsi="Arial" w:cs="Arial"/>
                <w:sz w:val="20"/>
                <w:szCs w:val="20"/>
              </w:rPr>
              <w:t>(33.3)</w:t>
            </w:r>
          </w:p>
          <w:p w14:paraId="59F06D10" w14:textId="77777777" w:rsidR="00911497" w:rsidRPr="000B4886" w:rsidRDefault="00911497" w:rsidP="00690CD4">
            <w:pPr>
              <w:rPr>
                <w:rFonts w:ascii="Arial" w:hAnsi="Arial" w:cs="Arial"/>
                <w:sz w:val="20"/>
                <w:szCs w:val="20"/>
              </w:rPr>
            </w:pPr>
            <w:r w:rsidRPr="000B4886">
              <w:rPr>
                <w:rFonts w:ascii="Arial" w:hAnsi="Arial" w:cs="Arial"/>
                <w:sz w:val="20"/>
                <w:szCs w:val="20"/>
              </w:rPr>
              <w:t>7</w:t>
            </w:r>
            <w:r w:rsidR="005D2D6C" w:rsidRPr="000B4886">
              <w:rPr>
                <w:rFonts w:ascii="Arial" w:hAnsi="Arial" w:cs="Arial"/>
                <w:sz w:val="20"/>
                <w:szCs w:val="20"/>
              </w:rPr>
              <w:t xml:space="preserve"> </w:t>
            </w:r>
            <w:r w:rsidRPr="000B4886">
              <w:rPr>
                <w:rFonts w:ascii="Arial" w:hAnsi="Arial" w:cs="Arial"/>
                <w:sz w:val="20"/>
                <w:szCs w:val="20"/>
              </w:rPr>
              <w:t>(20.6)</w:t>
            </w:r>
          </w:p>
          <w:p w14:paraId="7794F798" w14:textId="77777777" w:rsidR="00911497" w:rsidRPr="000B4886" w:rsidRDefault="00911497" w:rsidP="00690CD4">
            <w:pPr>
              <w:rPr>
                <w:rFonts w:ascii="Arial" w:hAnsi="Arial" w:cs="Arial"/>
                <w:sz w:val="20"/>
                <w:szCs w:val="20"/>
              </w:rPr>
            </w:pPr>
            <w:r w:rsidRPr="000B4886">
              <w:rPr>
                <w:rFonts w:ascii="Arial" w:hAnsi="Arial" w:cs="Arial"/>
                <w:sz w:val="20"/>
                <w:szCs w:val="20"/>
              </w:rPr>
              <w:t>10</w:t>
            </w:r>
            <w:r w:rsidR="005D2D6C" w:rsidRPr="000B4886">
              <w:rPr>
                <w:rFonts w:ascii="Arial" w:hAnsi="Arial" w:cs="Arial"/>
                <w:sz w:val="20"/>
                <w:szCs w:val="20"/>
              </w:rPr>
              <w:t xml:space="preserve"> </w:t>
            </w:r>
            <w:r w:rsidRPr="000B4886">
              <w:rPr>
                <w:rFonts w:ascii="Arial" w:hAnsi="Arial" w:cs="Arial"/>
                <w:sz w:val="20"/>
                <w:szCs w:val="20"/>
              </w:rPr>
              <w:t>(18.5)</w:t>
            </w:r>
          </w:p>
          <w:p w14:paraId="28EB7AEE" w14:textId="77777777" w:rsidR="00911497" w:rsidRPr="000B4886" w:rsidRDefault="00911497" w:rsidP="00690CD4">
            <w:pPr>
              <w:rPr>
                <w:rFonts w:ascii="Arial" w:hAnsi="Arial" w:cs="Arial"/>
                <w:sz w:val="20"/>
                <w:szCs w:val="20"/>
              </w:rPr>
            </w:pPr>
            <w:r w:rsidRPr="000B4886">
              <w:rPr>
                <w:rFonts w:ascii="Arial" w:hAnsi="Arial" w:cs="Arial"/>
                <w:sz w:val="20"/>
                <w:szCs w:val="20"/>
              </w:rPr>
              <w:t>1</w:t>
            </w:r>
            <w:r w:rsidR="005D2D6C" w:rsidRPr="000B4886">
              <w:rPr>
                <w:rFonts w:ascii="Arial" w:hAnsi="Arial" w:cs="Arial"/>
                <w:sz w:val="20"/>
                <w:szCs w:val="20"/>
              </w:rPr>
              <w:t xml:space="preserve"> </w:t>
            </w:r>
            <w:r w:rsidRPr="000B4886">
              <w:rPr>
                <w:rFonts w:ascii="Arial" w:hAnsi="Arial" w:cs="Arial"/>
                <w:sz w:val="20"/>
                <w:szCs w:val="20"/>
              </w:rPr>
              <w:t>(16.7)</w:t>
            </w:r>
          </w:p>
        </w:tc>
        <w:tc>
          <w:tcPr>
            <w:tcW w:w="2573" w:type="dxa"/>
            <w:tcBorders>
              <w:top w:val="single" w:sz="4" w:space="0" w:color="auto"/>
              <w:bottom w:val="nil"/>
            </w:tcBorders>
          </w:tcPr>
          <w:p w14:paraId="6CD7C7E9" w14:textId="77777777" w:rsidR="00911497" w:rsidRPr="000B4886" w:rsidRDefault="00911497" w:rsidP="00690CD4">
            <w:pPr>
              <w:rPr>
                <w:rFonts w:ascii="Arial" w:hAnsi="Arial" w:cs="Arial"/>
                <w:b/>
                <w:bCs/>
                <w:sz w:val="20"/>
                <w:szCs w:val="20"/>
              </w:rPr>
            </w:pPr>
          </w:p>
          <w:p w14:paraId="2D1D327A" w14:textId="77777777" w:rsidR="00911497" w:rsidRPr="000B4886" w:rsidRDefault="00911497" w:rsidP="00690CD4">
            <w:pPr>
              <w:rPr>
                <w:rFonts w:ascii="Arial" w:hAnsi="Arial" w:cs="Arial"/>
                <w:b/>
                <w:bCs/>
                <w:sz w:val="20"/>
                <w:szCs w:val="20"/>
              </w:rPr>
            </w:pPr>
          </w:p>
          <w:p w14:paraId="54263D79" w14:textId="77777777" w:rsidR="00911497" w:rsidRPr="000B4886" w:rsidRDefault="00911497" w:rsidP="00690CD4">
            <w:pPr>
              <w:rPr>
                <w:rFonts w:ascii="Arial" w:hAnsi="Arial" w:cs="Arial"/>
                <w:b/>
                <w:bCs/>
                <w:sz w:val="20"/>
                <w:szCs w:val="20"/>
              </w:rPr>
            </w:pPr>
          </w:p>
          <w:p w14:paraId="5A112BEA" w14:textId="77777777" w:rsidR="00911497" w:rsidRPr="000B4886" w:rsidRDefault="005D2D6C" w:rsidP="00690CD4">
            <w:pPr>
              <w:rPr>
                <w:rFonts w:ascii="Arial" w:hAnsi="Arial" w:cs="Arial"/>
                <w:sz w:val="20"/>
                <w:szCs w:val="20"/>
              </w:rPr>
            </w:pPr>
            <w:r w:rsidRPr="000B4886">
              <w:rPr>
                <w:rFonts w:ascii="Arial" w:hAnsi="Arial" w:cs="Arial"/>
                <w:sz w:val="20"/>
                <w:szCs w:val="20"/>
              </w:rPr>
              <w:t xml:space="preserve">                  </w:t>
            </w:r>
            <w:r w:rsidR="00911497" w:rsidRPr="000B4886">
              <w:rPr>
                <w:rFonts w:ascii="Arial" w:hAnsi="Arial" w:cs="Arial"/>
                <w:sz w:val="20"/>
                <w:szCs w:val="20"/>
              </w:rPr>
              <w:t>0.852</w:t>
            </w:r>
          </w:p>
        </w:tc>
      </w:tr>
      <w:tr w:rsidR="00911497" w:rsidRPr="000B4886" w14:paraId="408ED9E4" w14:textId="77777777" w:rsidTr="00E83173">
        <w:trPr>
          <w:trHeight w:val="145"/>
        </w:trPr>
        <w:tc>
          <w:tcPr>
            <w:tcW w:w="2667" w:type="dxa"/>
            <w:tcBorders>
              <w:top w:val="nil"/>
            </w:tcBorders>
          </w:tcPr>
          <w:p w14:paraId="11CA58A9" w14:textId="77777777" w:rsidR="005D2D6C" w:rsidRPr="000B4886" w:rsidRDefault="005D2D6C" w:rsidP="00690CD4">
            <w:pPr>
              <w:rPr>
                <w:rFonts w:ascii="Arial" w:hAnsi="Arial" w:cs="Arial"/>
                <w:sz w:val="20"/>
                <w:szCs w:val="20"/>
              </w:rPr>
            </w:pPr>
          </w:p>
          <w:p w14:paraId="1AB816DA" w14:textId="77777777" w:rsidR="00911497" w:rsidRPr="000B4886" w:rsidRDefault="00911497" w:rsidP="00690CD4">
            <w:pPr>
              <w:rPr>
                <w:rFonts w:ascii="Arial" w:hAnsi="Arial" w:cs="Arial"/>
                <w:sz w:val="20"/>
                <w:szCs w:val="20"/>
              </w:rPr>
            </w:pPr>
            <w:r w:rsidRPr="000B4886">
              <w:rPr>
                <w:rFonts w:ascii="Arial" w:hAnsi="Arial" w:cs="Arial"/>
                <w:sz w:val="20"/>
                <w:szCs w:val="20"/>
              </w:rPr>
              <w:t>Sex</w:t>
            </w:r>
          </w:p>
          <w:p w14:paraId="2351594D" w14:textId="77777777" w:rsidR="00911497" w:rsidRPr="000B4886" w:rsidRDefault="00911497" w:rsidP="00690CD4">
            <w:pPr>
              <w:rPr>
                <w:rFonts w:ascii="Arial" w:hAnsi="Arial" w:cs="Arial"/>
                <w:sz w:val="20"/>
                <w:szCs w:val="20"/>
              </w:rPr>
            </w:pPr>
          </w:p>
          <w:p w14:paraId="02DBA9FB" w14:textId="77777777" w:rsidR="00911497" w:rsidRPr="000B4886" w:rsidRDefault="00911497" w:rsidP="00690CD4">
            <w:pPr>
              <w:rPr>
                <w:rFonts w:ascii="Arial" w:hAnsi="Arial" w:cs="Arial"/>
                <w:sz w:val="20"/>
                <w:szCs w:val="20"/>
              </w:rPr>
            </w:pPr>
            <w:r w:rsidRPr="000B4886">
              <w:rPr>
                <w:rFonts w:ascii="Arial" w:hAnsi="Arial" w:cs="Arial"/>
                <w:sz w:val="20"/>
                <w:szCs w:val="20"/>
              </w:rPr>
              <w:t>Female</w:t>
            </w:r>
          </w:p>
          <w:p w14:paraId="4014AED7" w14:textId="77777777" w:rsidR="00911497" w:rsidRPr="000B4886" w:rsidRDefault="00911497" w:rsidP="00690CD4">
            <w:pPr>
              <w:rPr>
                <w:rFonts w:ascii="Arial" w:hAnsi="Arial" w:cs="Arial"/>
                <w:sz w:val="20"/>
                <w:szCs w:val="20"/>
              </w:rPr>
            </w:pPr>
            <w:r w:rsidRPr="000B4886">
              <w:rPr>
                <w:rFonts w:ascii="Arial" w:hAnsi="Arial" w:cs="Arial"/>
                <w:sz w:val="20"/>
                <w:szCs w:val="20"/>
              </w:rPr>
              <w:t>Male</w:t>
            </w:r>
          </w:p>
          <w:p w14:paraId="748451D6" w14:textId="77777777" w:rsidR="005D2D6C" w:rsidRPr="000B4886" w:rsidRDefault="005D2D6C" w:rsidP="00690CD4">
            <w:pPr>
              <w:rPr>
                <w:rFonts w:ascii="Arial" w:hAnsi="Arial" w:cs="Arial"/>
                <w:sz w:val="20"/>
                <w:szCs w:val="20"/>
              </w:rPr>
            </w:pPr>
          </w:p>
          <w:p w14:paraId="13446685" w14:textId="77777777" w:rsidR="005D2D6C" w:rsidRPr="000B4886" w:rsidRDefault="005D2D6C" w:rsidP="00690CD4">
            <w:pPr>
              <w:rPr>
                <w:rFonts w:ascii="Arial" w:hAnsi="Arial" w:cs="Arial"/>
                <w:sz w:val="20"/>
                <w:szCs w:val="20"/>
              </w:rPr>
            </w:pPr>
          </w:p>
        </w:tc>
        <w:tc>
          <w:tcPr>
            <w:tcW w:w="2572" w:type="dxa"/>
            <w:tcBorders>
              <w:top w:val="nil"/>
            </w:tcBorders>
          </w:tcPr>
          <w:p w14:paraId="421DC5D2" w14:textId="77777777" w:rsidR="00911497" w:rsidRPr="000B4886" w:rsidRDefault="00911497" w:rsidP="00690CD4">
            <w:pPr>
              <w:rPr>
                <w:rFonts w:ascii="Arial" w:hAnsi="Arial" w:cs="Arial"/>
                <w:b/>
                <w:bCs/>
                <w:sz w:val="20"/>
                <w:szCs w:val="20"/>
              </w:rPr>
            </w:pPr>
          </w:p>
          <w:p w14:paraId="0B3AEA66" w14:textId="77777777" w:rsidR="00911497" w:rsidRPr="000B4886" w:rsidRDefault="00911497" w:rsidP="00690CD4">
            <w:pPr>
              <w:rPr>
                <w:rFonts w:ascii="Arial" w:hAnsi="Arial" w:cs="Arial"/>
                <w:b/>
                <w:bCs/>
                <w:sz w:val="20"/>
                <w:szCs w:val="20"/>
              </w:rPr>
            </w:pPr>
          </w:p>
          <w:p w14:paraId="6E3F0E1D" w14:textId="77777777" w:rsidR="00911497" w:rsidRPr="000B4886" w:rsidRDefault="00911497" w:rsidP="00690CD4">
            <w:pPr>
              <w:rPr>
                <w:rFonts w:ascii="Arial" w:hAnsi="Arial" w:cs="Arial"/>
                <w:sz w:val="20"/>
                <w:szCs w:val="20"/>
              </w:rPr>
            </w:pPr>
            <w:r w:rsidRPr="000B4886">
              <w:rPr>
                <w:rFonts w:ascii="Arial" w:hAnsi="Arial" w:cs="Arial"/>
                <w:sz w:val="20"/>
                <w:szCs w:val="20"/>
              </w:rPr>
              <w:t>59</w:t>
            </w:r>
          </w:p>
          <w:p w14:paraId="040D5E2F" w14:textId="77777777" w:rsidR="00911497" w:rsidRPr="000B4886" w:rsidRDefault="00911497" w:rsidP="00690CD4">
            <w:pPr>
              <w:rPr>
                <w:rFonts w:ascii="Arial" w:hAnsi="Arial" w:cs="Arial"/>
                <w:sz w:val="20"/>
                <w:szCs w:val="20"/>
              </w:rPr>
            </w:pPr>
            <w:r w:rsidRPr="000B4886">
              <w:rPr>
                <w:rFonts w:ascii="Arial" w:hAnsi="Arial" w:cs="Arial"/>
                <w:sz w:val="20"/>
                <w:szCs w:val="20"/>
              </w:rPr>
              <w:t>41</w:t>
            </w:r>
          </w:p>
        </w:tc>
        <w:tc>
          <w:tcPr>
            <w:tcW w:w="2573" w:type="dxa"/>
            <w:tcBorders>
              <w:top w:val="nil"/>
            </w:tcBorders>
          </w:tcPr>
          <w:p w14:paraId="0FE2D711" w14:textId="77777777" w:rsidR="00911497" w:rsidRPr="000B4886" w:rsidRDefault="00911497" w:rsidP="00690CD4">
            <w:pPr>
              <w:rPr>
                <w:rFonts w:ascii="Arial" w:hAnsi="Arial" w:cs="Arial"/>
                <w:b/>
                <w:bCs/>
                <w:sz w:val="20"/>
                <w:szCs w:val="20"/>
              </w:rPr>
            </w:pPr>
          </w:p>
          <w:p w14:paraId="0C615E2D" w14:textId="77777777" w:rsidR="00911497" w:rsidRPr="000B4886" w:rsidRDefault="00911497" w:rsidP="00690CD4">
            <w:pPr>
              <w:rPr>
                <w:rFonts w:ascii="Arial" w:hAnsi="Arial" w:cs="Arial"/>
                <w:b/>
                <w:bCs/>
                <w:sz w:val="20"/>
                <w:szCs w:val="20"/>
              </w:rPr>
            </w:pPr>
          </w:p>
          <w:p w14:paraId="0E66A444" w14:textId="77777777" w:rsidR="00911497" w:rsidRPr="000B4886" w:rsidRDefault="00911497" w:rsidP="00690CD4">
            <w:pPr>
              <w:rPr>
                <w:rFonts w:ascii="Arial" w:hAnsi="Arial" w:cs="Arial"/>
                <w:sz w:val="20"/>
                <w:szCs w:val="20"/>
              </w:rPr>
            </w:pPr>
            <w:r w:rsidRPr="000B4886">
              <w:rPr>
                <w:rFonts w:ascii="Arial" w:hAnsi="Arial" w:cs="Arial"/>
                <w:sz w:val="20"/>
                <w:szCs w:val="20"/>
              </w:rPr>
              <w:t>13</w:t>
            </w:r>
            <w:r w:rsidR="005D2D6C" w:rsidRPr="000B4886">
              <w:rPr>
                <w:rFonts w:ascii="Arial" w:hAnsi="Arial" w:cs="Arial"/>
                <w:sz w:val="20"/>
                <w:szCs w:val="20"/>
              </w:rPr>
              <w:t xml:space="preserve"> </w:t>
            </w:r>
            <w:r w:rsidRPr="000B4886">
              <w:rPr>
                <w:rFonts w:ascii="Arial" w:hAnsi="Arial" w:cs="Arial"/>
                <w:sz w:val="20"/>
                <w:szCs w:val="20"/>
              </w:rPr>
              <w:t>(22.0)</w:t>
            </w:r>
          </w:p>
          <w:p w14:paraId="12B875DC" w14:textId="77777777" w:rsidR="00911497" w:rsidRPr="000B4886" w:rsidRDefault="00911497" w:rsidP="00690CD4">
            <w:pPr>
              <w:rPr>
                <w:rFonts w:ascii="Arial" w:hAnsi="Arial" w:cs="Arial"/>
                <w:sz w:val="20"/>
                <w:szCs w:val="20"/>
              </w:rPr>
            </w:pPr>
            <w:r w:rsidRPr="000B4886">
              <w:rPr>
                <w:rFonts w:ascii="Arial" w:hAnsi="Arial" w:cs="Arial"/>
                <w:sz w:val="20"/>
                <w:szCs w:val="20"/>
              </w:rPr>
              <w:t>7</w:t>
            </w:r>
            <w:r w:rsidR="005D2D6C" w:rsidRPr="000B4886">
              <w:rPr>
                <w:rFonts w:ascii="Arial" w:hAnsi="Arial" w:cs="Arial"/>
                <w:sz w:val="20"/>
                <w:szCs w:val="20"/>
              </w:rPr>
              <w:t xml:space="preserve"> </w:t>
            </w:r>
            <w:r w:rsidRPr="000B4886">
              <w:rPr>
                <w:rFonts w:ascii="Arial" w:hAnsi="Arial" w:cs="Arial"/>
                <w:sz w:val="20"/>
                <w:szCs w:val="20"/>
              </w:rPr>
              <w:t>(17.1)</w:t>
            </w:r>
          </w:p>
        </w:tc>
        <w:tc>
          <w:tcPr>
            <w:tcW w:w="2573" w:type="dxa"/>
            <w:tcBorders>
              <w:top w:val="nil"/>
            </w:tcBorders>
          </w:tcPr>
          <w:p w14:paraId="498E3264" w14:textId="77777777" w:rsidR="00911497" w:rsidRPr="000B4886" w:rsidRDefault="00911497" w:rsidP="00690CD4">
            <w:pPr>
              <w:rPr>
                <w:rFonts w:ascii="Arial" w:hAnsi="Arial" w:cs="Arial"/>
                <w:b/>
                <w:bCs/>
                <w:sz w:val="20"/>
                <w:szCs w:val="20"/>
              </w:rPr>
            </w:pPr>
          </w:p>
          <w:p w14:paraId="6F300C61" w14:textId="77777777" w:rsidR="00911497" w:rsidRPr="000B4886" w:rsidRDefault="00911497" w:rsidP="00690CD4">
            <w:pPr>
              <w:rPr>
                <w:rFonts w:ascii="Arial" w:hAnsi="Arial" w:cs="Arial"/>
                <w:b/>
                <w:bCs/>
                <w:sz w:val="20"/>
                <w:szCs w:val="20"/>
              </w:rPr>
            </w:pPr>
          </w:p>
          <w:p w14:paraId="2157CE37" w14:textId="77777777" w:rsidR="00911497" w:rsidRPr="000B4886" w:rsidRDefault="005D2D6C" w:rsidP="00690CD4">
            <w:pPr>
              <w:rPr>
                <w:rFonts w:ascii="Arial" w:hAnsi="Arial" w:cs="Arial"/>
                <w:sz w:val="20"/>
                <w:szCs w:val="20"/>
              </w:rPr>
            </w:pPr>
            <w:r w:rsidRPr="000B4886">
              <w:rPr>
                <w:rFonts w:ascii="Arial" w:hAnsi="Arial" w:cs="Arial"/>
                <w:sz w:val="20"/>
                <w:szCs w:val="20"/>
              </w:rPr>
              <w:t xml:space="preserve">                   </w:t>
            </w:r>
            <w:r w:rsidR="00911497" w:rsidRPr="000B4886">
              <w:rPr>
                <w:rFonts w:ascii="Arial" w:hAnsi="Arial" w:cs="Arial"/>
                <w:sz w:val="20"/>
                <w:szCs w:val="20"/>
              </w:rPr>
              <w:t>0.617</w:t>
            </w:r>
          </w:p>
        </w:tc>
      </w:tr>
      <w:tr w:rsidR="00911497" w:rsidRPr="000B4886" w14:paraId="4A1D11E1" w14:textId="77777777" w:rsidTr="00E83173">
        <w:trPr>
          <w:trHeight w:val="145"/>
        </w:trPr>
        <w:tc>
          <w:tcPr>
            <w:tcW w:w="2667" w:type="dxa"/>
          </w:tcPr>
          <w:p w14:paraId="4349C55D" w14:textId="77777777" w:rsidR="00911497" w:rsidRPr="000B4886" w:rsidRDefault="00911497" w:rsidP="00690CD4">
            <w:pPr>
              <w:rPr>
                <w:rFonts w:ascii="Arial" w:hAnsi="Arial" w:cs="Arial"/>
                <w:sz w:val="20"/>
                <w:szCs w:val="20"/>
              </w:rPr>
            </w:pPr>
            <w:r w:rsidRPr="000B4886">
              <w:rPr>
                <w:rFonts w:ascii="Arial" w:hAnsi="Arial" w:cs="Arial"/>
                <w:sz w:val="20"/>
                <w:szCs w:val="20"/>
              </w:rPr>
              <w:t>Education</w:t>
            </w:r>
          </w:p>
          <w:p w14:paraId="002549D8" w14:textId="77777777" w:rsidR="00911497" w:rsidRPr="000B4886" w:rsidRDefault="00911497" w:rsidP="00690CD4">
            <w:pPr>
              <w:rPr>
                <w:rFonts w:ascii="Arial" w:hAnsi="Arial" w:cs="Arial"/>
                <w:sz w:val="20"/>
                <w:szCs w:val="20"/>
              </w:rPr>
            </w:pPr>
          </w:p>
          <w:p w14:paraId="318E9AC4" w14:textId="77777777" w:rsidR="00911497" w:rsidRPr="000B4886" w:rsidRDefault="00911497" w:rsidP="00690CD4">
            <w:pPr>
              <w:rPr>
                <w:rFonts w:ascii="Arial" w:hAnsi="Arial" w:cs="Arial"/>
                <w:sz w:val="20"/>
                <w:szCs w:val="20"/>
              </w:rPr>
            </w:pPr>
            <w:r w:rsidRPr="000B4886">
              <w:rPr>
                <w:rFonts w:ascii="Arial" w:hAnsi="Arial" w:cs="Arial"/>
                <w:sz w:val="20"/>
                <w:szCs w:val="20"/>
              </w:rPr>
              <w:t>Primary</w:t>
            </w:r>
          </w:p>
          <w:p w14:paraId="46D42CFE" w14:textId="77777777" w:rsidR="00911497" w:rsidRPr="000B4886" w:rsidRDefault="00911497" w:rsidP="00690CD4">
            <w:pPr>
              <w:rPr>
                <w:rFonts w:ascii="Arial" w:hAnsi="Arial" w:cs="Arial"/>
                <w:sz w:val="20"/>
                <w:szCs w:val="20"/>
              </w:rPr>
            </w:pPr>
            <w:r w:rsidRPr="000B4886">
              <w:rPr>
                <w:rFonts w:ascii="Arial" w:hAnsi="Arial" w:cs="Arial"/>
                <w:sz w:val="20"/>
                <w:szCs w:val="20"/>
              </w:rPr>
              <w:t>Secondary</w:t>
            </w:r>
          </w:p>
          <w:p w14:paraId="54CEE1B1" w14:textId="77777777" w:rsidR="00911497" w:rsidRPr="000B4886" w:rsidRDefault="00911497" w:rsidP="00690CD4">
            <w:pPr>
              <w:rPr>
                <w:rFonts w:ascii="Arial" w:hAnsi="Arial" w:cs="Arial"/>
                <w:sz w:val="20"/>
                <w:szCs w:val="20"/>
              </w:rPr>
            </w:pPr>
            <w:r w:rsidRPr="000B4886">
              <w:rPr>
                <w:rFonts w:ascii="Arial" w:hAnsi="Arial" w:cs="Arial"/>
                <w:sz w:val="20"/>
                <w:szCs w:val="20"/>
              </w:rPr>
              <w:t>Tertiary</w:t>
            </w:r>
          </w:p>
          <w:p w14:paraId="1FB51FD7" w14:textId="77777777" w:rsidR="00911497" w:rsidRPr="000B4886" w:rsidRDefault="00911497" w:rsidP="00690CD4">
            <w:pPr>
              <w:rPr>
                <w:rFonts w:ascii="Arial" w:hAnsi="Arial" w:cs="Arial"/>
                <w:sz w:val="20"/>
                <w:szCs w:val="20"/>
              </w:rPr>
            </w:pPr>
            <w:r w:rsidRPr="000B4886">
              <w:rPr>
                <w:rFonts w:ascii="Arial" w:hAnsi="Arial" w:cs="Arial"/>
                <w:sz w:val="20"/>
                <w:szCs w:val="20"/>
              </w:rPr>
              <w:t>No formal education</w:t>
            </w:r>
          </w:p>
        </w:tc>
        <w:tc>
          <w:tcPr>
            <w:tcW w:w="2572" w:type="dxa"/>
          </w:tcPr>
          <w:p w14:paraId="02933B19" w14:textId="77777777" w:rsidR="00911497" w:rsidRPr="000B4886" w:rsidRDefault="00911497" w:rsidP="00690CD4">
            <w:pPr>
              <w:rPr>
                <w:rFonts w:ascii="Arial" w:hAnsi="Arial" w:cs="Arial"/>
                <w:b/>
                <w:bCs/>
                <w:sz w:val="20"/>
                <w:szCs w:val="20"/>
              </w:rPr>
            </w:pPr>
          </w:p>
          <w:p w14:paraId="654EE634" w14:textId="77777777" w:rsidR="00911497" w:rsidRPr="000B4886" w:rsidRDefault="00911497" w:rsidP="00690CD4">
            <w:pPr>
              <w:rPr>
                <w:rFonts w:ascii="Arial" w:hAnsi="Arial" w:cs="Arial"/>
                <w:b/>
                <w:bCs/>
                <w:sz w:val="20"/>
                <w:szCs w:val="20"/>
              </w:rPr>
            </w:pPr>
          </w:p>
          <w:p w14:paraId="1EE2349C" w14:textId="77777777" w:rsidR="00911497" w:rsidRPr="000B4886" w:rsidRDefault="00911497" w:rsidP="00690CD4">
            <w:pPr>
              <w:rPr>
                <w:rFonts w:ascii="Arial" w:hAnsi="Arial" w:cs="Arial"/>
                <w:sz w:val="20"/>
                <w:szCs w:val="20"/>
              </w:rPr>
            </w:pPr>
            <w:r w:rsidRPr="000B4886">
              <w:rPr>
                <w:rFonts w:ascii="Arial" w:hAnsi="Arial" w:cs="Arial"/>
                <w:sz w:val="20"/>
                <w:szCs w:val="20"/>
              </w:rPr>
              <w:t>5</w:t>
            </w:r>
          </w:p>
          <w:p w14:paraId="6708F560" w14:textId="77777777" w:rsidR="00911497" w:rsidRPr="000B4886" w:rsidRDefault="00911497" w:rsidP="00690CD4">
            <w:pPr>
              <w:rPr>
                <w:rFonts w:ascii="Arial" w:hAnsi="Arial" w:cs="Arial"/>
                <w:sz w:val="20"/>
                <w:szCs w:val="20"/>
              </w:rPr>
            </w:pPr>
            <w:r w:rsidRPr="000B4886">
              <w:rPr>
                <w:rFonts w:ascii="Arial" w:hAnsi="Arial" w:cs="Arial"/>
                <w:sz w:val="20"/>
                <w:szCs w:val="20"/>
              </w:rPr>
              <w:t>37</w:t>
            </w:r>
          </w:p>
          <w:p w14:paraId="5DBA4043" w14:textId="77777777" w:rsidR="00911497" w:rsidRPr="000B4886" w:rsidRDefault="00911497" w:rsidP="00690CD4">
            <w:pPr>
              <w:rPr>
                <w:rFonts w:ascii="Arial" w:hAnsi="Arial" w:cs="Arial"/>
                <w:sz w:val="20"/>
                <w:szCs w:val="20"/>
              </w:rPr>
            </w:pPr>
            <w:r w:rsidRPr="000B4886">
              <w:rPr>
                <w:rFonts w:ascii="Arial" w:hAnsi="Arial" w:cs="Arial"/>
                <w:sz w:val="20"/>
                <w:szCs w:val="20"/>
              </w:rPr>
              <w:t>54</w:t>
            </w:r>
          </w:p>
          <w:p w14:paraId="4D4022C1" w14:textId="77777777" w:rsidR="00911497" w:rsidRPr="000B4886" w:rsidRDefault="00911497" w:rsidP="00690CD4">
            <w:pPr>
              <w:rPr>
                <w:rFonts w:ascii="Arial" w:hAnsi="Arial" w:cs="Arial"/>
                <w:sz w:val="20"/>
                <w:szCs w:val="20"/>
              </w:rPr>
            </w:pPr>
            <w:r w:rsidRPr="000B4886">
              <w:rPr>
                <w:rFonts w:ascii="Arial" w:hAnsi="Arial" w:cs="Arial"/>
                <w:sz w:val="20"/>
                <w:szCs w:val="20"/>
              </w:rPr>
              <w:t>4</w:t>
            </w:r>
          </w:p>
        </w:tc>
        <w:tc>
          <w:tcPr>
            <w:tcW w:w="2573" w:type="dxa"/>
          </w:tcPr>
          <w:p w14:paraId="30822CD7" w14:textId="77777777" w:rsidR="00911497" w:rsidRPr="000B4886" w:rsidRDefault="00911497" w:rsidP="00690CD4">
            <w:pPr>
              <w:rPr>
                <w:rFonts w:ascii="Arial" w:hAnsi="Arial" w:cs="Arial"/>
                <w:b/>
                <w:bCs/>
                <w:sz w:val="20"/>
                <w:szCs w:val="20"/>
              </w:rPr>
            </w:pPr>
          </w:p>
          <w:p w14:paraId="0CFF0F12" w14:textId="77777777" w:rsidR="00911497" w:rsidRPr="000B4886" w:rsidRDefault="00911497" w:rsidP="00690CD4">
            <w:pPr>
              <w:rPr>
                <w:rFonts w:ascii="Arial" w:hAnsi="Arial" w:cs="Arial"/>
                <w:b/>
                <w:bCs/>
                <w:sz w:val="20"/>
                <w:szCs w:val="20"/>
              </w:rPr>
            </w:pPr>
          </w:p>
          <w:p w14:paraId="2FF1ECA6" w14:textId="77777777" w:rsidR="00911497" w:rsidRPr="000B4886" w:rsidRDefault="00911497" w:rsidP="00690CD4">
            <w:pPr>
              <w:rPr>
                <w:rFonts w:ascii="Arial" w:hAnsi="Arial" w:cs="Arial"/>
                <w:sz w:val="20"/>
                <w:szCs w:val="20"/>
              </w:rPr>
            </w:pPr>
            <w:r w:rsidRPr="000B4886">
              <w:rPr>
                <w:rFonts w:ascii="Arial" w:hAnsi="Arial" w:cs="Arial"/>
                <w:sz w:val="20"/>
                <w:szCs w:val="20"/>
              </w:rPr>
              <w:t>0</w:t>
            </w:r>
            <w:r w:rsidR="005D2D6C" w:rsidRPr="000B4886">
              <w:rPr>
                <w:rFonts w:ascii="Arial" w:hAnsi="Arial" w:cs="Arial"/>
                <w:sz w:val="20"/>
                <w:szCs w:val="20"/>
              </w:rPr>
              <w:t xml:space="preserve"> </w:t>
            </w:r>
            <w:r w:rsidRPr="000B4886">
              <w:rPr>
                <w:rFonts w:ascii="Arial" w:hAnsi="Arial" w:cs="Arial"/>
                <w:sz w:val="20"/>
                <w:szCs w:val="20"/>
              </w:rPr>
              <w:t>(0.0)</w:t>
            </w:r>
          </w:p>
          <w:p w14:paraId="6F105E3D" w14:textId="77777777" w:rsidR="00911497" w:rsidRPr="000B4886" w:rsidRDefault="00911497" w:rsidP="00690CD4">
            <w:pPr>
              <w:rPr>
                <w:rFonts w:ascii="Arial" w:hAnsi="Arial" w:cs="Arial"/>
                <w:sz w:val="20"/>
                <w:szCs w:val="20"/>
              </w:rPr>
            </w:pPr>
            <w:r w:rsidRPr="000B4886">
              <w:rPr>
                <w:rFonts w:ascii="Arial" w:hAnsi="Arial" w:cs="Arial"/>
                <w:sz w:val="20"/>
                <w:szCs w:val="20"/>
              </w:rPr>
              <w:t>11</w:t>
            </w:r>
            <w:r w:rsidR="005D2D6C" w:rsidRPr="000B4886">
              <w:rPr>
                <w:rFonts w:ascii="Arial" w:hAnsi="Arial" w:cs="Arial"/>
                <w:sz w:val="20"/>
                <w:szCs w:val="20"/>
              </w:rPr>
              <w:t xml:space="preserve"> </w:t>
            </w:r>
            <w:r w:rsidRPr="000B4886">
              <w:rPr>
                <w:rFonts w:ascii="Arial" w:hAnsi="Arial" w:cs="Arial"/>
                <w:sz w:val="20"/>
                <w:szCs w:val="20"/>
              </w:rPr>
              <w:t>(29.7)</w:t>
            </w:r>
          </w:p>
          <w:p w14:paraId="61FC445E" w14:textId="77777777" w:rsidR="00911497" w:rsidRPr="000B4886" w:rsidRDefault="00911497" w:rsidP="00690CD4">
            <w:pPr>
              <w:rPr>
                <w:rFonts w:ascii="Arial" w:hAnsi="Arial" w:cs="Arial"/>
                <w:sz w:val="20"/>
                <w:szCs w:val="20"/>
              </w:rPr>
            </w:pPr>
            <w:r w:rsidRPr="000B4886">
              <w:rPr>
                <w:rFonts w:ascii="Arial" w:hAnsi="Arial" w:cs="Arial"/>
                <w:sz w:val="20"/>
                <w:szCs w:val="20"/>
              </w:rPr>
              <w:t>9</w:t>
            </w:r>
            <w:r w:rsidR="005D2D6C" w:rsidRPr="000B4886">
              <w:rPr>
                <w:rFonts w:ascii="Arial" w:hAnsi="Arial" w:cs="Arial"/>
                <w:sz w:val="20"/>
                <w:szCs w:val="20"/>
              </w:rPr>
              <w:t xml:space="preserve"> </w:t>
            </w:r>
            <w:r w:rsidRPr="000B4886">
              <w:rPr>
                <w:rFonts w:ascii="Arial" w:hAnsi="Arial" w:cs="Arial"/>
                <w:sz w:val="20"/>
                <w:szCs w:val="20"/>
              </w:rPr>
              <w:t>(16.7)</w:t>
            </w:r>
          </w:p>
          <w:p w14:paraId="25D7ADE1" w14:textId="77777777" w:rsidR="00911497" w:rsidRPr="000B4886" w:rsidRDefault="00911497" w:rsidP="00690CD4">
            <w:pPr>
              <w:rPr>
                <w:rFonts w:ascii="Arial" w:hAnsi="Arial" w:cs="Arial"/>
                <w:sz w:val="20"/>
                <w:szCs w:val="20"/>
              </w:rPr>
            </w:pPr>
            <w:r w:rsidRPr="000B4886">
              <w:rPr>
                <w:rFonts w:ascii="Arial" w:hAnsi="Arial" w:cs="Arial"/>
                <w:sz w:val="20"/>
                <w:szCs w:val="20"/>
              </w:rPr>
              <w:t>0</w:t>
            </w:r>
            <w:r w:rsidR="005D2D6C" w:rsidRPr="000B4886">
              <w:rPr>
                <w:rFonts w:ascii="Arial" w:hAnsi="Arial" w:cs="Arial"/>
                <w:sz w:val="20"/>
                <w:szCs w:val="20"/>
              </w:rPr>
              <w:t xml:space="preserve"> </w:t>
            </w:r>
            <w:r w:rsidRPr="000B4886">
              <w:rPr>
                <w:rFonts w:ascii="Arial" w:hAnsi="Arial" w:cs="Arial"/>
                <w:sz w:val="20"/>
                <w:szCs w:val="20"/>
              </w:rPr>
              <w:t>(</w:t>
            </w:r>
            <w:r w:rsidR="005D2D6C" w:rsidRPr="000B4886">
              <w:rPr>
                <w:rFonts w:ascii="Arial" w:hAnsi="Arial" w:cs="Arial"/>
                <w:sz w:val="20"/>
                <w:szCs w:val="20"/>
              </w:rPr>
              <w:t xml:space="preserve"> </w:t>
            </w:r>
            <w:r w:rsidRPr="000B4886">
              <w:rPr>
                <w:rFonts w:ascii="Arial" w:hAnsi="Arial" w:cs="Arial"/>
                <w:sz w:val="20"/>
                <w:szCs w:val="20"/>
              </w:rPr>
              <w:t>0.0)</w:t>
            </w:r>
          </w:p>
        </w:tc>
        <w:tc>
          <w:tcPr>
            <w:tcW w:w="2573" w:type="dxa"/>
          </w:tcPr>
          <w:p w14:paraId="5E366182" w14:textId="77777777" w:rsidR="00911497" w:rsidRPr="000B4886" w:rsidRDefault="00911497" w:rsidP="00690CD4">
            <w:pPr>
              <w:rPr>
                <w:rFonts w:ascii="Arial" w:hAnsi="Arial" w:cs="Arial"/>
                <w:sz w:val="20"/>
                <w:szCs w:val="20"/>
              </w:rPr>
            </w:pPr>
          </w:p>
          <w:p w14:paraId="6747B115" w14:textId="77777777" w:rsidR="00911497" w:rsidRPr="000B4886" w:rsidRDefault="00911497" w:rsidP="00690CD4">
            <w:pPr>
              <w:rPr>
                <w:rFonts w:ascii="Arial" w:hAnsi="Arial" w:cs="Arial"/>
                <w:sz w:val="20"/>
                <w:szCs w:val="20"/>
              </w:rPr>
            </w:pPr>
          </w:p>
          <w:p w14:paraId="4461724F" w14:textId="77777777" w:rsidR="00911497" w:rsidRPr="000B4886" w:rsidRDefault="00911497" w:rsidP="00690CD4">
            <w:pPr>
              <w:rPr>
                <w:rFonts w:ascii="Arial" w:hAnsi="Arial" w:cs="Arial"/>
                <w:sz w:val="20"/>
                <w:szCs w:val="20"/>
              </w:rPr>
            </w:pPr>
          </w:p>
          <w:p w14:paraId="696B07F4" w14:textId="77777777" w:rsidR="00911497" w:rsidRPr="000B4886" w:rsidRDefault="005D2D6C" w:rsidP="00690CD4">
            <w:pPr>
              <w:rPr>
                <w:rFonts w:ascii="Arial" w:hAnsi="Arial" w:cs="Arial"/>
                <w:sz w:val="20"/>
                <w:szCs w:val="20"/>
              </w:rPr>
            </w:pPr>
            <w:r w:rsidRPr="000B4886">
              <w:rPr>
                <w:rFonts w:ascii="Arial" w:hAnsi="Arial" w:cs="Arial"/>
                <w:sz w:val="20"/>
                <w:szCs w:val="20"/>
              </w:rPr>
              <w:t xml:space="preserve">                   </w:t>
            </w:r>
            <w:r w:rsidR="00911497" w:rsidRPr="000B4886">
              <w:rPr>
                <w:rFonts w:ascii="Arial" w:hAnsi="Arial" w:cs="Arial"/>
                <w:sz w:val="20"/>
                <w:szCs w:val="20"/>
              </w:rPr>
              <w:t>0.186</w:t>
            </w:r>
          </w:p>
        </w:tc>
      </w:tr>
      <w:tr w:rsidR="00911497" w:rsidRPr="000B4886" w14:paraId="186180E3" w14:textId="77777777" w:rsidTr="00E83173">
        <w:trPr>
          <w:trHeight w:val="1954"/>
        </w:trPr>
        <w:tc>
          <w:tcPr>
            <w:tcW w:w="2667" w:type="dxa"/>
          </w:tcPr>
          <w:p w14:paraId="5843B057" w14:textId="77777777" w:rsidR="005D2D6C" w:rsidRPr="000B4886" w:rsidRDefault="005D2D6C" w:rsidP="00690CD4">
            <w:pPr>
              <w:rPr>
                <w:rFonts w:ascii="Arial" w:hAnsi="Arial" w:cs="Arial"/>
                <w:sz w:val="20"/>
                <w:szCs w:val="20"/>
              </w:rPr>
            </w:pPr>
          </w:p>
          <w:p w14:paraId="37D0DE03" w14:textId="77777777" w:rsidR="00911497" w:rsidRPr="000B4886" w:rsidRDefault="00911497" w:rsidP="00690CD4">
            <w:pPr>
              <w:rPr>
                <w:rFonts w:ascii="Arial" w:hAnsi="Arial" w:cs="Arial"/>
                <w:sz w:val="20"/>
                <w:szCs w:val="20"/>
              </w:rPr>
            </w:pPr>
            <w:r w:rsidRPr="000B4886">
              <w:rPr>
                <w:rFonts w:ascii="Arial" w:hAnsi="Arial" w:cs="Arial"/>
                <w:sz w:val="20"/>
                <w:szCs w:val="20"/>
              </w:rPr>
              <w:t>Occupation</w:t>
            </w:r>
          </w:p>
          <w:p w14:paraId="62E1DBD9" w14:textId="77777777" w:rsidR="00911497" w:rsidRPr="000B4886" w:rsidRDefault="00911497" w:rsidP="00690CD4">
            <w:pPr>
              <w:rPr>
                <w:rFonts w:ascii="Arial" w:hAnsi="Arial" w:cs="Arial"/>
                <w:sz w:val="20"/>
                <w:szCs w:val="20"/>
              </w:rPr>
            </w:pPr>
          </w:p>
          <w:p w14:paraId="0DBC0DF8" w14:textId="77777777" w:rsidR="00911497" w:rsidRPr="000B4886" w:rsidRDefault="00911497" w:rsidP="00690CD4">
            <w:pPr>
              <w:rPr>
                <w:rFonts w:ascii="Arial" w:hAnsi="Arial" w:cs="Arial"/>
                <w:sz w:val="20"/>
                <w:szCs w:val="20"/>
              </w:rPr>
            </w:pPr>
            <w:r w:rsidRPr="000B4886">
              <w:rPr>
                <w:rFonts w:ascii="Arial" w:hAnsi="Arial" w:cs="Arial"/>
                <w:sz w:val="20"/>
                <w:szCs w:val="20"/>
              </w:rPr>
              <w:t>Trader</w:t>
            </w:r>
          </w:p>
          <w:p w14:paraId="0270996C" w14:textId="77777777" w:rsidR="00911497" w:rsidRPr="000B4886" w:rsidRDefault="00911497" w:rsidP="00690CD4">
            <w:pPr>
              <w:rPr>
                <w:rFonts w:ascii="Arial" w:hAnsi="Arial" w:cs="Arial"/>
                <w:sz w:val="20"/>
                <w:szCs w:val="20"/>
              </w:rPr>
            </w:pPr>
            <w:r w:rsidRPr="000B4886">
              <w:rPr>
                <w:rFonts w:ascii="Arial" w:hAnsi="Arial" w:cs="Arial"/>
                <w:sz w:val="20"/>
                <w:szCs w:val="20"/>
              </w:rPr>
              <w:t>Student</w:t>
            </w:r>
          </w:p>
          <w:p w14:paraId="34BA6BCC" w14:textId="77777777" w:rsidR="00911497" w:rsidRPr="000B4886" w:rsidRDefault="00911497" w:rsidP="00690CD4">
            <w:pPr>
              <w:rPr>
                <w:rFonts w:ascii="Arial" w:hAnsi="Arial" w:cs="Arial"/>
                <w:sz w:val="20"/>
                <w:szCs w:val="20"/>
              </w:rPr>
            </w:pPr>
            <w:r w:rsidRPr="000B4886">
              <w:rPr>
                <w:rFonts w:ascii="Arial" w:hAnsi="Arial" w:cs="Arial"/>
                <w:sz w:val="20"/>
                <w:szCs w:val="20"/>
              </w:rPr>
              <w:t>Artisan</w:t>
            </w:r>
          </w:p>
          <w:p w14:paraId="6EC6475A" w14:textId="77777777" w:rsidR="00911497" w:rsidRPr="000B4886" w:rsidRDefault="00911497" w:rsidP="00690CD4">
            <w:pPr>
              <w:rPr>
                <w:rFonts w:ascii="Arial" w:hAnsi="Arial" w:cs="Arial"/>
                <w:sz w:val="20"/>
                <w:szCs w:val="20"/>
              </w:rPr>
            </w:pPr>
            <w:r w:rsidRPr="000B4886">
              <w:rPr>
                <w:rFonts w:ascii="Arial" w:hAnsi="Arial" w:cs="Arial"/>
                <w:sz w:val="20"/>
                <w:szCs w:val="20"/>
              </w:rPr>
              <w:t>Civil servant</w:t>
            </w:r>
          </w:p>
        </w:tc>
        <w:tc>
          <w:tcPr>
            <w:tcW w:w="2572" w:type="dxa"/>
          </w:tcPr>
          <w:p w14:paraId="47AC3B29" w14:textId="77777777" w:rsidR="00911497" w:rsidRPr="000B4886" w:rsidRDefault="00911497" w:rsidP="00690CD4">
            <w:pPr>
              <w:rPr>
                <w:rFonts w:ascii="Arial" w:hAnsi="Arial" w:cs="Arial"/>
                <w:b/>
                <w:bCs/>
                <w:sz w:val="20"/>
                <w:szCs w:val="20"/>
              </w:rPr>
            </w:pPr>
          </w:p>
          <w:p w14:paraId="35666A4A" w14:textId="77777777" w:rsidR="00911497" w:rsidRPr="000B4886" w:rsidRDefault="00911497" w:rsidP="00690CD4">
            <w:pPr>
              <w:rPr>
                <w:rFonts w:ascii="Arial" w:hAnsi="Arial" w:cs="Arial"/>
                <w:b/>
                <w:bCs/>
                <w:sz w:val="20"/>
                <w:szCs w:val="20"/>
              </w:rPr>
            </w:pPr>
          </w:p>
          <w:p w14:paraId="35085CEB" w14:textId="77777777" w:rsidR="00911497" w:rsidRPr="000B4886" w:rsidRDefault="00911497" w:rsidP="00690CD4">
            <w:pPr>
              <w:rPr>
                <w:rFonts w:ascii="Arial" w:hAnsi="Arial" w:cs="Arial"/>
                <w:sz w:val="20"/>
                <w:szCs w:val="20"/>
              </w:rPr>
            </w:pPr>
            <w:r w:rsidRPr="000B4886">
              <w:rPr>
                <w:rFonts w:ascii="Arial" w:hAnsi="Arial" w:cs="Arial"/>
                <w:sz w:val="20"/>
                <w:szCs w:val="20"/>
              </w:rPr>
              <w:t>27</w:t>
            </w:r>
          </w:p>
          <w:p w14:paraId="1CE17A84" w14:textId="77777777" w:rsidR="00911497" w:rsidRPr="000B4886" w:rsidRDefault="00911497" w:rsidP="00690CD4">
            <w:pPr>
              <w:rPr>
                <w:rFonts w:ascii="Arial" w:hAnsi="Arial" w:cs="Arial"/>
                <w:sz w:val="20"/>
                <w:szCs w:val="20"/>
              </w:rPr>
            </w:pPr>
            <w:r w:rsidRPr="000B4886">
              <w:rPr>
                <w:rFonts w:ascii="Arial" w:hAnsi="Arial" w:cs="Arial"/>
                <w:sz w:val="20"/>
                <w:szCs w:val="20"/>
              </w:rPr>
              <w:t>28</w:t>
            </w:r>
          </w:p>
          <w:p w14:paraId="1125D6F3" w14:textId="77777777" w:rsidR="00911497" w:rsidRPr="000B4886" w:rsidRDefault="00911497" w:rsidP="00690CD4">
            <w:pPr>
              <w:rPr>
                <w:rFonts w:ascii="Arial" w:hAnsi="Arial" w:cs="Arial"/>
                <w:sz w:val="20"/>
                <w:szCs w:val="20"/>
              </w:rPr>
            </w:pPr>
            <w:r w:rsidRPr="000B4886">
              <w:rPr>
                <w:rFonts w:ascii="Arial" w:hAnsi="Arial" w:cs="Arial"/>
                <w:sz w:val="20"/>
                <w:szCs w:val="20"/>
              </w:rPr>
              <w:t>19</w:t>
            </w:r>
          </w:p>
          <w:p w14:paraId="73B3D635" w14:textId="77777777" w:rsidR="00911497" w:rsidRPr="000B4886" w:rsidRDefault="00911497" w:rsidP="00690CD4">
            <w:pPr>
              <w:rPr>
                <w:rFonts w:ascii="Arial" w:hAnsi="Arial" w:cs="Arial"/>
                <w:sz w:val="20"/>
                <w:szCs w:val="20"/>
              </w:rPr>
            </w:pPr>
            <w:r w:rsidRPr="000B4886">
              <w:rPr>
                <w:rFonts w:ascii="Arial" w:hAnsi="Arial" w:cs="Arial"/>
                <w:sz w:val="20"/>
                <w:szCs w:val="20"/>
              </w:rPr>
              <w:t>26</w:t>
            </w:r>
          </w:p>
        </w:tc>
        <w:tc>
          <w:tcPr>
            <w:tcW w:w="2573" w:type="dxa"/>
          </w:tcPr>
          <w:p w14:paraId="552D965B" w14:textId="77777777" w:rsidR="00911497" w:rsidRPr="000B4886" w:rsidRDefault="00911497" w:rsidP="00690CD4">
            <w:pPr>
              <w:rPr>
                <w:rFonts w:ascii="Arial" w:hAnsi="Arial" w:cs="Arial"/>
                <w:sz w:val="20"/>
                <w:szCs w:val="20"/>
              </w:rPr>
            </w:pPr>
          </w:p>
          <w:p w14:paraId="50EDF880" w14:textId="77777777" w:rsidR="00911497" w:rsidRPr="000B4886" w:rsidRDefault="00911497" w:rsidP="00690CD4">
            <w:pPr>
              <w:rPr>
                <w:rFonts w:ascii="Arial" w:hAnsi="Arial" w:cs="Arial"/>
                <w:sz w:val="20"/>
                <w:szCs w:val="20"/>
              </w:rPr>
            </w:pPr>
          </w:p>
          <w:p w14:paraId="54631F5D" w14:textId="77777777" w:rsidR="00911497" w:rsidRPr="000B4886" w:rsidRDefault="00911497" w:rsidP="00690CD4">
            <w:pPr>
              <w:rPr>
                <w:rFonts w:ascii="Arial" w:hAnsi="Arial" w:cs="Arial"/>
                <w:sz w:val="20"/>
                <w:szCs w:val="20"/>
              </w:rPr>
            </w:pPr>
            <w:r w:rsidRPr="000B4886">
              <w:rPr>
                <w:rFonts w:ascii="Arial" w:hAnsi="Arial" w:cs="Arial"/>
                <w:sz w:val="20"/>
                <w:szCs w:val="20"/>
              </w:rPr>
              <w:t>6</w:t>
            </w:r>
            <w:r w:rsidR="005D2D6C" w:rsidRPr="000B4886">
              <w:rPr>
                <w:rFonts w:ascii="Arial" w:hAnsi="Arial" w:cs="Arial"/>
                <w:sz w:val="20"/>
                <w:szCs w:val="20"/>
              </w:rPr>
              <w:t xml:space="preserve"> </w:t>
            </w:r>
            <w:r w:rsidRPr="000B4886">
              <w:rPr>
                <w:rFonts w:ascii="Arial" w:hAnsi="Arial" w:cs="Arial"/>
                <w:sz w:val="20"/>
                <w:szCs w:val="20"/>
              </w:rPr>
              <w:t>(22.2)</w:t>
            </w:r>
          </w:p>
          <w:p w14:paraId="79B71CF5" w14:textId="77777777" w:rsidR="00911497" w:rsidRPr="000B4886" w:rsidRDefault="00911497" w:rsidP="00690CD4">
            <w:pPr>
              <w:rPr>
                <w:rFonts w:ascii="Arial" w:hAnsi="Arial" w:cs="Arial"/>
                <w:sz w:val="20"/>
                <w:szCs w:val="20"/>
              </w:rPr>
            </w:pPr>
            <w:r w:rsidRPr="000B4886">
              <w:rPr>
                <w:rFonts w:ascii="Arial" w:hAnsi="Arial" w:cs="Arial"/>
                <w:sz w:val="20"/>
                <w:szCs w:val="20"/>
              </w:rPr>
              <w:t>7</w:t>
            </w:r>
            <w:r w:rsidR="005D2D6C" w:rsidRPr="000B4886">
              <w:rPr>
                <w:rFonts w:ascii="Arial" w:hAnsi="Arial" w:cs="Arial"/>
                <w:sz w:val="20"/>
                <w:szCs w:val="20"/>
              </w:rPr>
              <w:t xml:space="preserve"> </w:t>
            </w:r>
            <w:r w:rsidRPr="000B4886">
              <w:rPr>
                <w:rFonts w:ascii="Arial" w:hAnsi="Arial" w:cs="Arial"/>
                <w:sz w:val="20"/>
                <w:szCs w:val="20"/>
              </w:rPr>
              <w:t>(25.0)</w:t>
            </w:r>
          </w:p>
          <w:p w14:paraId="00DECB9C" w14:textId="77777777" w:rsidR="00911497" w:rsidRPr="000B4886" w:rsidRDefault="00911497" w:rsidP="00690CD4">
            <w:pPr>
              <w:rPr>
                <w:rFonts w:ascii="Arial" w:hAnsi="Arial" w:cs="Arial"/>
                <w:sz w:val="20"/>
                <w:szCs w:val="20"/>
              </w:rPr>
            </w:pPr>
            <w:r w:rsidRPr="000B4886">
              <w:rPr>
                <w:rFonts w:ascii="Arial" w:hAnsi="Arial" w:cs="Arial"/>
                <w:sz w:val="20"/>
                <w:szCs w:val="20"/>
              </w:rPr>
              <w:t>2</w:t>
            </w:r>
            <w:r w:rsidR="005D2D6C" w:rsidRPr="000B4886">
              <w:rPr>
                <w:rFonts w:ascii="Arial" w:hAnsi="Arial" w:cs="Arial"/>
                <w:sz w:val="20"/>
                <w:szCs w:val="20"/>
              </w:rPr>
              <w:t xml:space="preserve"> </w:t>
            </w:r>
            <w:r w:rsidRPr="000B4886">
              <w:rPr>
                <w:rFonts w:ascii="Arial" w:hAnsi="Arial" w:cs="Arial"/>
                <w:sz w:val="20"/>
                <w:szCs w:val="20"/>
              </w:rPr>
              <w:t>(10.5)</w:t>
            </w:r>
          </w:p>
          <w:p w14:paraId="7E35C2A9" w14:textId="77777777" w:rsidR="00911497" w:rsidRPr="000B4886" w:rsidRDefault="00911497" w:rsidP="00690CD4">
            <w:pPr>
              <w:rPr>
                <w:rFonts w:ascii="Arial" w:hAnsi="Arial" w:cs="Arial"/>
                <w:sz w:val="20"/>
                <w:szCs w:val="20"/>
              </w:rPr>
            </w:pPr>
            <w:r w:rsidRPr="000B4886">
              <w:rPr>
                <w:rFonts w:ascii="Arial" w:hAnsi="Arial" w:cs="Arial"/>
                <w:sz w:val="20"/>
                <w:szCs w:val="20"/>
              </w:rPr>
              <w:t>5</w:t>
            </w:r>
            <w:r w:rsidR="005D2D6C" w:rsidRPr="000B4886">
              <w:rPr>
                <w:rFonts w:ascii="Arial" w:hAnsi="Arial" w:cs="Arial"/>
                <w:sz w:val="20"/>
                <w:szCs w:val="20"/>
              </w:rPr>
              <w:t xml:space="preserve"> </w:t>
            </w:r>
            <w:r w:rsidRPr="000B4886">
              <w:rPr>
                <w:rFonts w:ascii="Arial" w:hAnsi="Arial" w:cs="Arial"/>
                <w:sz w:val="20"/>
                <w:szCs w:val="20"/>
              </w:rPr>
              <w:t>(19.2)</w:t>
            </w:r>
          </w:p>
        </w:tc>
        <w:tc>
          <w:tcPr>
            <w:tcW w:w="2573" w:type="dxa"/>
          </w:tcPr>
          <w:p w14:paraId="6F79C6ED" w14:textId="77777777" w:rsidR="00911497" w:rsidRPr="000B4886" w:rsidRDefault="00911497" w:rsidP="00690CD4">
            <w:pPr>
              <w:rPr>
                <w:rFonts w:ascii="Arial" w:hAnsi="Arial" w:cs="Arial"/>
                <w:b/>
                <w:bCs/>
                <w:sz w:val="20"/>
                <w:szCs w:val="20"/>
              </w:rPr>
            </w:pPr>
          </w:p>
          <w:p w14:paraId="2DD16F4E" w14:textId="77777777" w:rsidR="00911497" w:rsidRPr="000B4886" w:rsidRDefault="00911497" w:rsidP="00690CD4">
            <w:pPr>
              <w:rPr>
                <w:rFonts w:ascii="Arial" w:hAnsi="Arial" w:cs="Arial"/>
                <w:b/>
                <w:bCs/>
                <w:sz w:val="20"/>
                <w:szCs w:val="20"/>
              </w:rPr>
            </w:pPr>
          </w:p>
          <w:p w14:paraId="56A7CAE4" w14:textId="77777777" w:rsidR="00911497" w:rsidRPr="000B4886" w:rsidRDefault="00911497" w:rsidP="00690CD4">
            <w:pPr>
              <w:rPr>
                <w:rFonts w:ascii="Arial" w:hAnsi="Arial" w:cs="Arial"/>
                <w:b/>
                <w:bCs/>
                <w:sz w:val="20"/>
                <w:szCs w:val="20"/>
              </w:rPr>
            </w:pPr>
          </w:p>
          <w:p w14:paraId="7E1F7892" w14:textId="77777777" w:rsidR="00911497" w:rsidRPr="000B4886" w:rsidRDefault="005D2D6C" w:rsidP="00690CD4">
            <w:pPr>
              <w:rPr>
                <w:rFonts w:ascii="Arial" w:hAnsi="Arial" w:cs="Arial"/>
                <w:sz w:val="20"/>
                <w:szCs w:val="20"/>
              </w:rPr>
            </w:pPr>
            <w:r w:rsidRPr="000B4886">
              <w:rPr>
                <w:rFonts w:ascii="Arial" w:hAnsi="Arial" w:cs="Arial"/>
                <w:sz w:val="20"/>
                <w:szCs w:val="20"/>
              </w:rPr>
              <w:t xml:space="preserve">                    </w:t>
            </w:r>
            <w:r w:rsidR="00911497" w:rsidRPr="000B4886">
              <w:rPr>
                <w:rFonts w:ascii="Arial" w:hAnsi="Arial" w:cs="Arial"/>
                <w:sz w:val="20"/>
                <w:szCs w:val="20"/>
              </w:rPr>
              <w:t>0.660</w:t>
            </w:r>
          </w:p>
        </w:tc>
      </w:tr>
      <w:tr w:rsidR="00911497" w:rsidRPr="000B4886" w14:paraId="4D1A0671" w14:textId="77777777" w:rsidTr="00E83173">
        <w:trPr>
          <w:trHeight w:val="331"/>
        </w:trPr>
        <w:tc>
          <w:tcPr>
            <w:tcW w:w="2667" w:type="dxa"/>
          </w:tcPr>
          <w:p w14:paraId="6F9A4414" w14:textId="77777777" w:rsidR="00911497" w:rsidRPr="000B4886" w:rsidRDefault="00911497" w:rsidP="00690CD4">
            <w:pPr>
              <w:rPr>
                <w:rFonts w:ascii="Arial" w:hAnsi="Arial" w:cs="Arial"/>
                <w:sz w:val="20"/>
                <w:szCs w:val="20"/>
              </w:rPr>
            </w:pPr>
          </w:p>
          <w:p w14:paraId="0C329546" w14:textId="77777777" w:rsidR="00911497" w:rsidRPr="000B4886" w:rsidRDefault="00911497" w:rsidP="00690CD4">
            <w:pPr>
              <w:rPr>
                <w:rFonts w:ascii="Arial" w:hAnsi="Arial" w:cs="Arial"/>
                <w:sz w:val="20"/>
                <w:szCs w:val="20"/>
              </w:rPr>
            </w:pPr>
            <w:r w:rsidRPr="000B4886">
              <w:rPr>
                <w:rFonts w:ascii="Arial" w:hAnsi="Arial" w:cs="Arial"/>
                <w:sz w:val="20"/>
                <w:szCs w:val="20"/>
              </w:rPr>
              <w:t>Total</w:t>
            </w:r>
          </w:p>
        </w:tc>
        <w:tc>
          <w:tcPr>
            <w:tcW w:w="2572" w:type="dxa"/>
          </w:tcPr>
          <w:p w14:paraId="0B956863" w14:textId="77777777" w:rsidR="00911497" w:rsidRPr="000B4886" w:rsidRDefault="00911497" w:rsidP="00690CD4">
            <w:pPr>
              <w:rPr>
                <w:rFonts w:ascii="Arial" w:hAnsi="Arial" w:cs="Arial"/>
                <w:b/>
                <w:bCs/>
                <w:sz w:val="20"/>
                <w:szCs w:val="20"/>
              </w:rPr>
            </w:pPr>
          </w:p>
          <w:p w14:paraId="7DD25C27" w14:textId="77777777" w:rsidR="00911497" w:rsidRPr="000B4886" w:rsidRDefault="00911497" w:rsidP="00690CD4">
            <w:pPr>
              <w:rPr>
                <w:rFonts w:ascii="Arial" w:hAnsi="Arial" w:cs="Arial"/>
                <w:sz w:val="20"/>
                <w:szCs w:val="20"/>
              </w:rPr>
            </w:pPr>
            <w:r w:rsidRPr="000B4886">
              <w:rPr>
                <w:rFonts w:ascii="Arial" w:hAnsi="Arial" w:cs="Arial"/>
                <w:sz w:val="20"/>
                <w:szCs w:val="20"/>
              </w:rPr>
              <w:t>100</w:t>
            </w:r>
          </w:p>
        </w:tc>
        <w:tc>
          <w:tcPr>
            <w:tcW w:w="2573" w:type="dxa"/>
          </w:tcPr>
          <w:p w14:paraId="0A263B3C" w14:textId="77777777" w:rsidR="00911497" w:rsidRPr="000B4886" w:rsidRDefault="00911497" w:rsidP="00690CD4">
            <w:pPr>
              <w:rPr>
                <w:rFonts w:ascii="Arial" w:hAnsi="Arial" w:cs="Arial"/>
                <w:b/>
                <w:bCs/>
                <w:sz w:val="20"/>
                <w:szCs w:val="20"/>
              </w:rPr>
            </w:pPr>
          </w:p>
          <w:p w14:paraId="77BB1208" w14:textId="77777777" w:rsidR="00911497" w:rsidRPr="000B4886" w:rsidRDefault="00911497" w:rsidP="00690CD4">
            <w:pPr>
              <w:rPr>
                <w:rFonts w:ascii="Arial" w:hAnsi="Arial" w:cs="Arial"/>
                <w:sz w:val="20"/>
                <w:szCs w:val="20"/>
              </w:rPr>
            </w:pPr>
            <w:r w:rsidRPr="000B4886">
              <w:rPr>
                <w:rFonts w:ascii="Arial" w:hAnsi="Arial" w:cs="Arial"/>
                <w:sz w:val="20"/>
                <w:szCs w:val="20"/>
              </w:rPr>
              <w:t>20</w:t>
            </w:r>
            <w:r w:rsidR="00F1644D" w:rsidRPr="000B4886">
              <w:rPr>
                <w:rFonts w:ascii="Arial" w:hAnsi="Arial" w:cs="Arial"/>
                <w:sz w:val="20"/>
                <w:szCs w:val="20"/>
              </w:rPr>
              <w:t xml:space="preserve"> </w:t>
            </w:r>
            <w:r w:rsidRPr="000B4886">
              <w:rPr>
                <w:rFonts w:ascii="Arial" w:hAnsi="Arial" w:cs="Arial"/>
                <w:sz w:val="20"/>
                <w:szCs w:val="20"/>
              </w:rPr>
              <w:t>(20.0)</w:t>
            </w:r>
          </w:p>
        </w:tc>
        <w:tc>
          <w:tcPr>
            <w:tcW w:w="2573" w:type="dxa"/>
          </w:tcPr>
          <w:p w14:paraId="5EAFC7AC" w14:textId="77777777" w:rsidR="00911497" w:rsidRPr="000B4886" w:rsidRDefault="00911497" w:rsidP="00690CD4">
            <w:pPr>
              <w:rPr>
                <w:rFonts w:ascii="Arial" w:hAnsi="Arial" w:cs="Arial"/>
                <w:b/>
                <w:bCs/>
                <w:sz w:val="20"/>
                <w:szCs w:val="20"/>
              </w:rPr>
            </w:pPr>
          </w:p>
          <w:p w14:paraId="188BFA9D" w14:textId="77777777" w:rsidR="00911497" w:rsidRPr="000B4886" w:rsidRDefault="00911497" w:rsidP="00690CD4">
            <w:pPr>
              <w:rPr>
                <w:rFonts w:ascii="Arial" w:hAnsi="Arial" w:cs="Arial"/>
                <w:b/>
                <w:bCs/>
                <w:sz w:val="20"/>
                <w:szCs w:val="20"/>
              </w:rPr>
            </w:pPr>
          </w:p>
        </w:tc>
      </w:tr>
    </w:tbl>
    <w:p w14:paraId="7A75F9BC" w14:textId="77777777" w:rsidR="00911497" w:rsidRPr="000B4886" w:rsidRDefault="00911497" w:rsidP="005C7E25">
      <w:pPr>
        <w:rPr>
          <w:rFonts w:ascii="Arial" w:hAnsi="Arial" w:cs="Arial"/>
          <w:b/>
          <w:bCs/>
        </w:rPr>
      </w:pPr>
    </w:p>
    <w:p w14:paraId="1AFA9597" w14:textId="77777777" w:rsidR="00DF0407" w:rsidRPr="000B4886" w:rsidRDefault="00DF0407" w:rsidP="005C7E25">
      <w:pPr>
        <w:rPr>
          <w:rFonts w:ascii="Arial" w:hAnsi="Arial" w:cs="Arial"/>
          <w:b/>
          <w:bCs/>
        </w:rPr>
      </w:pPr>
    </w:p>
    <w:p w14:paraId="1A4971BD" w14:textId="77777777" w:rsidR="00B31152" w:rsidRPr="000B4886" w:rsidRDefault="00AB6114" w:rsidP="00B31152">
      <w:pPr>
        <w:rPr>
          <w:rFonts w:ascii="Arial" w:hAnsi="Arial" w:cs="Arial"/>
          <w:b/>
          <w:i/>
        </w:rPr>
      </w:pPr>
      <w:r w:rsidRPr="000B4886">
        <w:rPr>
          <w:rFonts w:ascii="Arial" w:hAnsi="Arial" w:cs="Arial"/>
          <w:b/>
          <w:i/>
        </w:rPr>
        <w:t xml:space="preserve">3.1.1.1 </w:t>
      </w:r>
      <w:r w:rsidR="00F1644D" w:rsidRPr="000B4886">
        <w:rPr>
          <w:rFonts w:ascii="Arial" w:hAnsi="Arial" w:cs="Arial"/>
          <w:b/>
          <w:i/>
        </w:rPr>
        <w:t xml:space="preserve">Treatment methods </w:t>
      </w:r>
      <w:r w:rsidR="00FB383F" w:rsidRPr="000B4886">
        <w:rPr>
          <w:rFonts w:ascii="Arial" w:hAnsi="Arial" w:cs="Arial"/>
          <w:b/>
          <w:i/>
        </w:rPr>
        <w:t xml:space="preserve">used by the </w:t>
      </w:r>
      <w:r w:rsidR="00093752" w:rsidRPr="000B4886">
        <w:rPr>
          <w:rFonts w:ascii="Arial" w:hAnsi="Arial" w:cs="Arial"/>
          <w:b/>
          <w:i/>
        </w:rPr>
        <w:t>indigenous people of Afikpo LGA</w:t>
      </w:r>
    </w:p>
    <w:p w14:paraId="0E9D15C3" w14:textId="77777777" w:rsidR="00AB6114" w:rsidRPr="000B4886" w:rsidRDefault="00AB6114" w:rsidP="00B31152">
      <w:pPr>
        <w:rPr>
          <w:rFonts w:ascii="Arial" w:hAnsi="Arial" w:cs="Arial"/>
          <w:b/>
          <w:i/>
        </w:rPr>
      </w:pPr>
    </w:p>
    <w:p w14:paraId="3B5892DC" w14:textId="77777777" w:rsidR="00B31152" w:rsidRPr="00B224F1" w:rsidRDefault="00B31152" w:rsidP="00B31152">
      <w:pPr>
        <w:jc w:val="both"/>
        <w:rPr>
          <w:rFonts w:ascii="Arial" w:hAnsi="Arial" w:cs="Arial"/>
          <w:bCs/>
        </w:rPr>
      </w:pPr>
      <w:r w:rsidRPr="00B224F1">
        <w:rPr>
          <w:bCs/>
        </w:rPr>
        <w:t>The most common treatment method was the use of antimalarials alone, reported by 58 participants. Among these participants, 14 tested positive for malaria, giving a positivity rate of 24.1%. By comparison, 34 participants reported using only traditional herbal medicine, of whom six tested positive for malaria, giving a positivity rate of 17.6%. Combined use of antimalarial medication and herbal remedies was the least common approach, reported by eight participants; none of these participants tested positive for malaria (0.0%). However, differences in infection rates among these treatment choices were not statistically significant (P = 0.254), as shown in Table 3.</w:t>
      </w:r>
    </w:p>
    <w:p w14:paraId="5006E487" w14:textId="77777777" w:rsidR="00BF016D" w:rsidRPr="00B224F1" w:rsidRDefault="00BF016D" w:rsidP="00B31152">
      <w:pPr>
        <w:jc w:val="both"/>
        <w:rPr>
          <w:rFonts w:ascii="Arial" w:hAnsi="Arial" w:cs="Arial"/>
          <w:bCs/>
        </w:rPr>
      </w:pPr>
    </w:p>
    <w:p w14:paraId="3379EA62" w14:textId="77777777" w:rsidR="00BF016D" w:rsidRPr="000B4886" w:rsidRDefault="00BF016D" w:rsidP="00B31152">
      <w:pPr>
        <w:jc w:val="both"/>
        <w:rPr>
          <w:rFonts w:ascii="Arial" w:hAnsi="Arial" w:cs="Arial"/>
        </w:rPr>
      </w:pPr>
    </w:p>
    <w:p w14:paraId="6721752F" w14:textId="77777777" w:rsidR="00B31152" w:rsidRPr="000B4886" w:rsidRDefault="00B31152" w:rsidP="00B31152">
      <w:pPr>
        <w:rPr>
          <w:rFonts w:ascii="Arial" w:hAnsi="Arial" w:cs="Arial"/>
        </w:rPr>
      </w:pPr>
    </w:p>
    <w:p w14:paraId="09998623" w14:textId="77777777" w:rsidR="00911497" w:rsidRPr="000B4886" w:rsidRDefault="003B75D4" w:rsidP="0050536D">
      <w:pPr>
        <w:rPr>
          <w:rFonts w:ascii="Arial" w:hAnsi="Arial" w:cs="Arial"/>
          <w:b/>
        </w:rPr>
      </w:pPr>
      <w:r w:rsidRPr="000B4886">
        <w:rPr>
          <w:rFonts w:ascii="Arial" w:hAnsi="Arial" w:cs="Arial"/>
          <w:b/>
        </w:rPr>
        <w:t>Table 3:</w:t>
      </w:r>
      <w:r w:rsidR="00093752" w:rsidRPr="000B4886">
        <w:rPr>
          <w:rFonts w:ascii="Arial" w:hAnsi="Arial" w:cs="Arial"/>
          <w:b/>
        </w:rPr>
        <w:t xml:space="preserve"> Relationship between malaria treatment methods and the prevalence of m</w:t>
      </w:r>
      <w:r w:rsidR="0050536D" w:rsidRPr="000B4886">
        <w:rPr>
          <w:rFonts w:ascii="Arial" w:hAnsi="Arial" w:cs="Arial"/>
          <w:b/>
        </w:rPr>
        <w:t xml:space="preserve">alaria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11497" w:rsidRPr="000B4886" w14:paraId="0CE5E581" w14:textId="77777777" w:rsidTr="00B31152">
        <w:tc>
          <w:tcPr>
            <w:tcW w:w="2337" w:type="dxa"/>
            <w:tcBorders>
              <w:top w:val="single" w:sz="4" w:space="0" w:color="auto"/>
              <w:bottom w:val="single" w:sz="4" w:space="0" w:color="auto"/>
            </w:tcBorders>
            <w:hideMark/>
          </w:tcPr>
          <w:p w14:paraId="61BB9C11" w14:textId="77777777" w:rsidR="00911497" w:rsidRPr="000B4886" w:rsidRDefault="00911497" w:rsidP="00690CD4">
            <w:pPr>
              <w:rPr>
                <w:rFonts w:ascii="Arial" w:hAnsi="Arial" w:cs="Arial"/>
                <w:sz w:val="20"/>
                <w:szCs w:val="20"/>
              </w:rPr>
            </w:pPr>
            <w:r w:rsidRPr="000B4886">
              <w:rPr>
                <w:rFonts w:ascii="Arial" w:hAnsi="Arial" w:cs="Arial"/>
                <w:sz w:val="20"/>
                <w:szCs w:val="20"/>
              </w:rPr>
              <w:t xml:space="preserve">Malarial Treatment </w:t>
            </w:r>
          </w:p>
          <w:p w14:paraId="755F3095" w14:textId="77777777" w:rsidR="00911497" w:rsidRPr="000B4886" w:rsidRDefault="00911497" w:rsidP="00690CD4">
            <w:pPr>
              <w:rPr>
                <w:rFonts w:ascii="Arial" w:hAnsi="Arial" w:cs="Arial"/>
                <w:sz w:val="20"/>
                <w:szCs w:val="20"/>
              </w:rPr>
            </w:pPr>
            <w:r w:rsidRPr="000B4886">
              <w:rPr>
                <w:rFonts w:ascii="Arial" w:hAnsi="Arial" w:cs="Arial"/>
                <w:sz w:val="20"/>
                <w:szCs w:val="20"/>
              </w:rPr>
              <w:t xml:space="preserve">Practices </w:t>
            </w:r>
          </w:p>
        </w:tc>
        <w:tc>
          <w:tcPr>
            <w:tcW w:w="2337" w:type="dxa"/>
            <w:tcBorders>
              <w:top w:val="single" w:sz="4" w:space="0" w:color="auto"/>
              <w:bottom w:val="single" w:sz="4" w:space="0" w:color="auto"/>
            </w:tcBorders>
            <w:hideMark/>
          </w:tcPr>
          <w:p w14:paraId="5FD7C05C" w14:textId="77777777" w:rsidR="00911497" w:rsidRPr="000B4886" w:rsidRDefault="00911497" w:rsidP="00690CD4">
            <w:pPr>
              <w:rPr>
                <w:rFonts w:ascii="Arial" w:hAnsi="Arial" w:cs="Arial"/>
                <w:sz w:val="20"/>
                <w:szCs w:val="20"/>
              </w:rPr>
            </w:pPr>
            <w:r w:rsidRPr="000B4886">
              <w:rPr>
                <w:rFonts w:ascii="Arial" w:hAnsi="Arial" w:cs="Arial"/>
                <w:sz w:val="20"/>
                <w:szCs w:val="20"/>
              </w:rPr>
              <w:t>Number</w:t>
            </w:r>
          </w:p>
          <w:p w14:paraId="72FB698D" w14:textId="77777777" w:rsidR="002631C7" w:rsidRPr="000B4886" w:rsidRDefault="003B75D4" w:rsidP="00690CD4">
            <w:pPr>
              <w:rPr>
                <w:rFonts w:ascii="Arial" w:hAnsi="Arial" w:cs="Arial"/>
                <w:sz w:val="20"/>
                <w:szCs w:val="20"/>
              </w:rPr>
            </w:pPr>
            <w:r w:rsidRPr="000B4886">
              <w:rPr>
                <w:rFonts w:ascii="Arial" w:hAnsi="Arial" w:cs="Arial"/>
                <w:sz w:val="20"/>
                <w:szCs w:val="20"/>
              </w:rPr>
              <w:t>of Response</w:t>
            </w:r>
          </w:p>
          <w:p w14:paraId="320D4826" w14:textId="77777777" w:rsidR="00911497" w:rsidRPr="000B4886" w:rsidRDefault="002631C7" w:rsidP="00690CD4">
            <w:pPr>
              <w:rPr>
                <w:rFonts w:ascii="Arial" w:hAnsi="Arial" w:cs="Arial"/>
                <w:sz w:val="20"/>
                <w:szCs w:val="20"/>
              </w:rPr>
            </w:pPr>
            <w:r w:rsidRPr="000B4886">
              <w:rPr>
                <w:rFonts w:ascii="Arial" w:hAnsi="Arial" w:cs="Arial"/>
                <w:sz w:val="20"/>
                <w:szCs w:val="20"/>
              </w:rPr>
              <w:t>(% response)</w:t>
            </w:r>
          </w:p>
        </w:tc>
        <w:tc>
          <w:tcPr>
            <w:tcW w:w="2338" w:type="dxa"/>
            <w:tcBorders>
              <w:top w:val="single" w:sz="4" w:space="0" w:color="auto"/>
              <w:bottom w:val="single" w:sz="4" w:space="0" w:color="auto"/>
            </w:tcBorders>
            <w:hideMark/>
          </w:tcPr>
          <w:p w14:paraId="4295B272" w14:textId="77777777" w:rsidR="00911497" w:rsidRPr="000B4886" w:rsidRDefault="00911497" w:rsidP="00690CD4">
            <w:pPr>
              <w:rPr>
                <w:rFonts w:ascii="Arial" w:hAnsi="Arial" w:cs="Arial"/>
                <w:sz w:val="20"/>
                <w:szCs w:val="20"/>
              </w:rPr>
            </w:pPr>
            <w:r w:rsidRPr="000B4886">
              <w:rPr>
                <w:rFonts w:ascii="Arial" w:hAnsi="Arial" w:cs="Arial"/>
                <w:sz w:val="20"/>
                <w:szCs w:val="20"/>
              </w:rPr>
              <w:t>Number</w:t>
            </w:r>
          </w:p>
          <w:p w14:paraId="03EB94B0" w14:textId="77777777" w:rsidR="00911497" w:rsidRPr="000B4886" w:rsidRDefault="00911497" w:rsidP="00690CD4">
            <w:pPr>
              <w:rPr>
                <w:rFonts w:ascii="Arial" w:hAnsi="Arial" w:cs="Arial"/>
                <w:sz w:val="20"/>
                <w:szCs w:val="20"/>
              </w:rPr>
            </w:pPr>
            <w:r w:rsidRPr="000B4886">
              <w:rPr>
                <w:rFonts w:ascii="Arial" w:hAnsi="Arial" w:cs="Arial"/>
                <w:sz w:val="20"/>
                <w:szCs w:val="20"/>
              </w:rPr>
              <w:t xml:space="preserve">Positive </w:t>
            </w:r>
            <w:r w:rsidR="003B75D4" w:rsidRPr="000B4886">
              <w:rPr>
                <w:rFonts w:ascii="Arial" w:hAnsi="Arial" w:cs="Arial"/>
                <w:sz w:val="20"/>
                <w:szCs w:val="20"/>
              </w:rPr>
              <w:t>cases</w:t>
            </w:r>
          </w:p>
          <w:p w14:paraId="7FB3CC2C" w14:textId="77777777" w:rsidR="00911497" w:rsidRPr="000B4886" w:rsidRDefault="00911497" w:rsidP="00690CD4">
            <w:pPr>
              <w:rPr>
                <w:rFonts w:ascii="Arial" w:hAnsi="Arial" w:cs="Arial"/>
                <w:sz w:val="20"/>
                <w:szCs w:val="20"/>
              </w:rPr>
            </w:pPr>
            <w:r w:rsidRPr="000B4886">
              <w:rPr>
                <w:rFonts w:ascii="Arial" w:hAnsi="Arial" w:cs="Arial"/>
                <w:sz w:val="20"/>
                <w:szCs w:val="20"/>
              </w:rPr>
              <w:t>n(%)</w:t>
            </w:r>
          </w:p>
        </w:tc>
        <w:tc>
          <w:tcPr>
            <w:tcW w:w="2338" w:type="dxa"/>
            <w:tcBorders>
              <w:top w:val="single" w:sz="4" w:space="0" w:color="auto"/>
              <w:bottom w:val="single" w:sz="4" w:space="0" w:color="auto"/>
            </w:tcBorders>
            <w:hideMark/>
          </w:tcPr>
          <w:p w14:paraId="2FACA294" w14:textId="77777777" w:rsidR="00911497" w:rsidRPr="000B4886" w:rsidRDefault="00911497" w:rsidP="00690CD4">
            <w:pPr>
              <w:rPr>
                <w:rFonts w:ascii="Arial" w:hAnsi="Arial" w:cs="Arial"/>
                <w:sz w:val="20"/>
                <w:szCs w:val="20"/>
              </w:rPr>
            </w:pPr>
            <w:r w:rsidRPr="000B4886">
              <w:rPr>
                <w:rFonts w:ascii="Arial" w:hAnsi="Arial" w:cs="Arial"/>
                <w:sz w:val="20"/>
                <w:szCs w:val="20"/>
              </w:rPr>
              <w:t>P-Value</w:t>
            </w:r>
          </w:p>
        </w:tc>
      </w:tr>
      <w:tr w:rsidR="00911497" w:rsidRPr="000B4886" w14:paraId="06FB3CA4" w14:textId="77777777" w:rsidTr="00B31152">
        <w:tc>
          <w:tcPr>
            <w:tcW w:w="2337" w:type="dxa"/>
            <w:tcBorders>
              <w:top w:val="single" w:sz="4" w:space="0" w:color="auto"/>
              <w:bottom w:val="nil"/>
            </w:tcBorders>
            <w:hideMark/>
          </w:tcPr>
          <w:p w14:paraId="6AA24241" w14:textId="77777777" w:rsidR="00911497" w:rsidRPr="000B4886" w:rsidRDefault="00911497" w:rsidP="00690CD4">
            <w:pPr>
              <w:rPr>
                <w:rFonts w:ascii="Arial" w:hAnsi="Arial" w:cs="Arial"/>
                <w:sz w:val="20"/>
                <w:szCs w:val="20"/>
              </w:rPr>
            </w:pPr>
            <w:r w:rsidRPr="000B4886">
              <w:rPr>
                <w:rFonts w:ascii="Arial" w:hAnsi="Arial" w:cs="Arial"/>
                <w:sz w:val="20"/>
                <w:szCs w:val="20"/>
              </w:rPr>
              <w:t>Antimalarial only</w:t>
            </w:r>
          </w:p>
        </w:tc>
        <w:tc>
          <w:tcPr>
            <w:tcW w:w="2337" w:type="dxa"/>
            <w:tcBorders>
              <w:top w:val="single" w:sz="4" w:space="0" w:color="auto"/>
              <w:bottom w:val="nil"/>
            </w:tcBorders>
            <w:hideMark/>
          </w:tcPr>
          <w:p w14:paraId="6DD4A0E3" w14:textId="77777777" w:rsidR="00911497" w:rsidRPr="000B4886" w:rsidRDefault="00911497" w:rsidP="00690CD4">
            <w:pPr>
              <w:rPr>
                <w:rFonts w:ascii="Arial" w:hAnsi="Arial" w:cs="Arial"/>
                <w:sz w:val="20"/>
                <w:szCs w:val="20"/>
              </w:rPr>
            </w:pPr>
            <w:r w:rsidRPr="000B4886">
              <w:rPr>
                <w:rFonts w:ascii="Arial" w:hAnsi="Arial" w:cs="Arial"/>
                <w:sz w:val="20"/>
                <w:szCs w:val="20"/>
              </w:rPr>
              <w:t>58</w:t>
            </w:r>
            <w:r w:rsidR="002631C7" w:rsidRPr="000B4886">
              <w:rPr>
                <w:rFonts w:ascii="Arial" w:hAnsi="Arial" w:cs="Arial"/>
                <w:sz w:val="20"/>
                <w:szCs w:val="20"/>
              </w:rPr>
              <w:t xml:space="preserve"> (58)</w:t>
            </w:r>
          </w:p>
        </w:tc>
        <w:tc>
          <w:tcPr>
            <w:tcW w:w="2338" w:type="dxa"/>
            <w:tcBorders>
              <w:top w:val="single" w:sz="4" w:space="0" w:color="auto"/>
              <w:bottom w:val="nil"/>
            </w:tcBorders>
            <w:hideMark/>
          </w:tcPr>
          <w:p w14:paraId="112D062D" w14:textId="77777777" w:rsidR="00911497" w:rsidRPr="000B4886" w:rsidRDefault="00911497" w:rsidP="00690CD4">
            <w:pPr>
              <w:rPr>
                <w:rFonts w:ascii="Arial" w:hAnsi="Arial" w:cs="Arial"/>
                <w:sz w:val="20"/>
                <w:szCs w:val="20"/>
              </w:rPr>
            </w:pPr>
            <w:r w:rsidRPr="000B4886">
              <w:rPr>
                <w:rFonts w:ascii="Arial" w:hAnsi="Arial" w:cs="Arial"/>
                <w:sz w:val="20"/>
                <w:szCs w:val="20"/>
              </w:rPr>
              <w:t>14(24.1)</w:t>
            </w:r>
          </w:p>
        </w:tc>
        <w:tc>
          <w:tcPr>
            <w:tcW w:w="2338" w:type="dxa"/>
            <w:tcBorders>
              <w:top w:val="single" w:sz="4" w:space="0" w:color="auto"/>
              <w:bottom w:val="nil"/>
            </w:tcBorders>
          </w:tcPr>
          <w:p w14:paraId="07529A6F" w14:textId="77777777" w:rsidR="00911497" w:rsidRPr="000B4886" w:rsidRDefault="00911497" w:rsidP="00690CD4">
            <w:pPr>
              <w:rPr>
                <w:rFonts w:ascii="Arial" w:hAnsi="Arial" w:cs="Arial"/>
                <w:sz w:val="20"/>
                <w:szCs w:val="20"/>
              </w:rPr>
            </w:pPr>
          </w:p>
        </w:tc>
      </w:tr>
      <w:tr w:rsidR="00911497" w:rsidRPr="000B4886" w14:paraId="138908BC" w14:textId="77777777" w:rsidTr="00B31152">
        <w:tc>
          <w:tcPr>
            <w:tcW w:w="2337" w:type="dxa"/>
            <w:tcBorders>
              <w:top w:val="nil"/>
            </w:tcBorders>
            <w:hideMark/>
          </w:tcPr>
          <w:p w14:paraId="6F520869" w14:textId="77777777" w:rsidR="00911497" w:rsidRPr="000B4886" w:rsidRDefault="00911497" w:rsidP="00690CD4">
            <w:pPr>
              <w:rPr>
                <w:rFonts w:ascii="Arial" w:hAnsi="Arial" w:cs="Arial"/>
                <w:sz w:val="20"/>
                <w:szCs w:val="20"/>
              </w:rPr>
            </w:pPr>
            <w:r w:rsidRPr="000B4886">
              <w:rPr>
                <w:rFonts w:ascii="Arial" w:hAnsi="Arial" w:cs="Arial"/>
                <w:sz w:val="20"/>
                <w:szCs w:val="20"/>
              </w:rPr>
              <w:t>Herbal only</w:t>
            </w:r>
          </w:p>
        </w:tc>
        <w:tc>
          <w:tcPr>
            <w:tcW w:w="2337" w:type="dxa"/>
            <w:tcBorders>
              <w:top w:val="nil"/>
            </w:tcBorders>
            <w:hideMark/>
          </w:tcPr>
          <w:p w14:paraId="3919A41F" w14:textId="77777777" w:rsidR="00911497" w:rsidRPr="000B4886" w:rsidRDefault="00911497" w:rsidP="00690CD4">
            <w:pPr>
              <w:rPr>
                <w:rFonts w:ascii="Arial" w:hAnsi="Arial" w:cs="Arial"/>
                <w:sz w:val="20"/>
                <w:szCs w:val="20"/>
              </w:rPr>
            </w:pPr>
            <w:r w:rsidRPr="000B4886">
              <w:rPr>
                <w:rFonts w:ascii="Arial" w:hAnsi="Arial" w:cs="Arial"/>
                <w:sz w:val="20"/>
                <w:szCs w:val="20"/>
              </w:rPr>
              <w:t>34</w:t>
            </w:r>
            <w:r w:rsidR="002631C7" w:rsidRPr="000B4886">
              <w:rPr>
                <w:rFonts w:ascii="Arial" w:hAnsi="Arial" w:cs="Arial"/>
                <w:sz w:val="20"/>
                <w:szCs w:val="20"/>
              </w:rPr>
              <w:t xml:space="preserve"> (34)</w:t>
            </w:r>
          </w:p>
        </w:tc>
        <w:tc>
          <w:tcPr>
            <w:tcW w:w="2338" w:type="dxa"/>
            <w:tcBorders>
              <w:top w:val="nil"/>
            </w:tcBorders>
            <w:hideMark/>
          </w:tcPr>
          <w:p w14:paraId="27BA1C65" w14:textId="77777777" w:rsidR="00911497" w:rsidRPr="000B4886" w:rsidRDefault="00911497" w:rsidP="00690CD4">
            <w:pPr>
              <w:rPr>
                <w:rFonts w:ascii="Arial" w:hAnsi="Arial" w:cs="Arial"/>
                <w:sz w:val="20"/>
                <w:szCs w:val="20"/>
              </w:rPr>
            </w:pPr>
            <w:r w:rsidRPr="000B4886">
              <w:rPr>
                <w:rFonts w:ascii="Arial" w:hAnsi="Arial" w:cs="Arial"/>
                <w:sz w:val="20"/>
                <w:szCs w:val="20"/>
              </w:rPr>
              <w:t>6(17.6)</w:t>
            </w:r>
          </w:p>
        </w:tc>
        <w:tc>
          <w:tcPr>
            <w:tcW w:w="2338" w:type="dxa"/>
            <w:tcBorders>
              <w:top w:val="nil"/>
            </w:tcBorders>
            <w:hideMark/>
          </w:tcPr>
          <w:p w14:paraId="29E00E15" w14:textId="77777777" w:rsidR="00911497" w:rsidRPr="000B4886" w:rsidRDefault="00911497" w:rsidP="00690CD4">
            <w:pPr>
              <w:rPr>
                <w:rFonts w:ascii="Arial" w:hAnsi="Arial" w:cs="Arial"/>
                <w:sz w:val="20"/>
                <w:szCs w:val="20"/>
                <w:vertAlign w:val="superscript"/>
              </w:rPr>
            </w:pPr>
            <w:r w:rsidRPr="000B4886">
              <w:rPr>
                <w:rFonts w:ascii="Arial" w:hAnsi="Arial" w:cs="Arial"/>
                <w:sz w:val="20"/>
                <w:szCs w:val="20"/>
              </w:rPr>
              <w:t>0.254</w:t>
            </w:r>
            <w:r w:rsidRPr="000B4886">
              <w:rPr>
                <w:rFonts w:ascii="Arial" w:hAnsi="Arial" w:cs="Arial"/>
                <w:sz w:val="20"/>
                <w:szCs w:val="20"/>
                <w:vertAlign w:val="superscript"/>
              </w:rPr>
              <w:t>ns</w:t>
            </w:r>
          </w:p>
        </w:tc>
      </w:tr>
      <w:tr w:rsidR="00911497" w:rsidRPr="000B4886" w14:paraId="1AB09E02" w14:textId="77777777" w:rsidTr="00B31152">
        <w:tc>
          <w:tcPr>
            <w:tcW w:w="2337" w:type="dxa"/>
            <w:hideMark/>
          </w:tcPr>
          <w:p w14:paraId="0B20C441" w14:textId="77777777" w:rsidR="00911497" w:rsidRPr="000B4886" w:rsidRDefault="00911497" w:rsidP="00690CD4">
            <w:pPr>
              <w:rPr>
                <w:rFonts w:ascii="Arial" w:hAnsi="Arial" w:cs="Arial"/>
                <w:sz w:val="20"/>
                <w:szCs w:val="20"/>
              </w:rPr>
            </w:pPr>
            <w:r w:rsidRPr="000B4886">
              <w:rPr>
                <w:rFonts w:ascii="Arial" w:hAnsi="Arial" w:cs="Arial"/>
                <w:sz w:val="20"/>
                <w:szCs w:val="20"/>
              </w:rPr>
              <w:t>Antimalarial +herbal</w:t>
            </w:r>
          </w:p>
        </w:tc>
        <w:tc>
          <w:tcPr>
            <w:tcW w:w="2337" w:type="dxa"/>
            <w:hideMark/>
          </w:tcPr>
          <w:p w14:paraId="0315AEAF" w14:textId="77777777" w:rsidR="00911497" w:rsidRPr="000B4886" w:rsidRDefault="00911497" w:rsidP="00690CD4">
            <w:pPr>
              <w:rPr>
                <w:rFonts w:ascii="Arial" w:hAnsi="Arial" w:cs="Arial"/>
                <w:sz w:val="20"/>
                <w:szCs w:val="20"/>
              </w:rPr>
            </w:pPr>
            <w:r w:rsidRPr="000B4886">
              <w:rPr>
                <w:rFonts w:ascii="Arial" w:hAnsi="Arial" w:cs="Arial"/>
                <w:sz w:val="20"/>
                <w:szCs w:val="20"/>
              </w:rPr>
              <w:t>8</w:t>
            </w:r>
            <w:r w:rsidR="002631C7" w:rsidRPr="000B4886">
              <w:rPr>
                <w:rFonts w:ascii="Arial" w:hAnsi="Arial" w:cs="Arial"/>
                <w:sz w:val="20"/>
                <w:szCs w:val="20"/>
              </w:rPr>
              <w:t xml:space="preserve"> (8)</w:t>
            </w:r>
          </w:p>
        </w:tc>
        <w:tc>
          <w:tcPr>
            <w:tcW w:w="2338" w:type="dxa"/>
            <w:hideMark/>
          </w:tcPr>
          <w:p w14:paraId="71DB2479" w14:textId="77777777" w:rsidR="00911497" w:rsidRPr="000B4886" w:rsidRDefault="00911497" w:rsidP="00690CD4">
            <w:pPr>
              <w:rPr>
                <w:rFonts w:ascii="Arial" w:hAnsi="Arial" w:cs="Arial"/>
                <w:sz w:val="20"/>
                <w:szCs w:val="20"/>
              </w:rPr>
            </w:pPr>
            <w:r w:rsidRPr="000B4886">
              <w:rPr>
                <w:rFonts w:ascii="Arial" w:hAnsi="Arial" w:cs="Arial"/>
                <w:sz w:val="20"/>
                <w:szCs w:val="20"/>
              </w:rPr>
              <w:t>0(0.0)</w:t>
            </w:r>
          </w:p>
        </w:tc>
        <w:tc>
          <w:tcPr>
            <w:tcW w:w="2338" w:type="dxa"/>
          </w:tcPr>
          <w:p w14:paraId="7F1318F0" w14:textId="77777777" w:rsidR="00911497" w:rsidRPr="000B4886" w:rsidRDefault="00911497" w:rsidP="00690CD4">
            <w:pPr>
              <w:rPr>
                <w:rFonts w:ascii="Arial" w:hAnsi="Arial" w:cs="Arial"/>
                <w:sz w:val="20"/>
                <w:szCs w:val="20"/>
              </w:rPr>
            </w:pPr>
          </w:p>
        </w:tc>
      </w:tr>
      <w:tr w:rsidR="00911497" w:rsidRPr="000B4886" w14:paraId="57A7F9A8" w14:textId="77777777" w:rsidTr="00B31152">
        <w:tc>
          <w:tcPr>
            <w:tcW w:w="2337" w:type="dxa"/>
            <w:hideMark/>
          </w:tcPr>
          <w:p w14:paraId="04AA7F15" w14:textId="77777777" w:rsidR="00911497" w:rsidRPr="000B4886" w:rsidRDefault="00911497" w:rsidP="00690CD4">
            <w:pPr>
              <w:rPr>
                <w:rFonts w:ascii="Arial" w:hAnsi="Arial" w:cs="Arial"/>
                <w:sz w:val="20"/>
                <w:szCs w:val="20"/>
              </w:rPr>
            </w:pPr>
            <w:r w:rsidRPr="000B4886">
              <w:rPr>
                <w:rFonts w:ascii="Arial" w:hAnsi="Arial" w:cs="Arial"/>
                <w:sz w:val="20"/>
                <w:szCs w:val="20"/>
              </w:rPr>
              <w:t>Total</w:t>
            </w:r>
          </w:p>
        </w:tc>
        <w:tc>
          <w:tcPr>
            <w:tcW w:w="2337" w:type="dxa"/>
            <w:hideMark/>
          </w:tcPr>
          <w:p w14:paraId="1BD9FFA1" w14:textId="77777777" w:rsidR="00911497" w:rsidRPr="000B4886" w:rsidRDefault="00911497" w:rsidP="00690CD4">
            <w:pPr>
              <w:rPr>
                <w:rFonts w:ascii="Arial" w:hAnsi="Arial" w:cs="Arial"/>
                <w:sz w:val="20"/>
                <w:szCs w:val="20"/>
              </w:rPr>
            </w:pPr>
            <w:r w:rsidRPr="000B4886">
              <w:rPr>
                <w:rFonts w:ascii="Arial" w:hAnsi="Arial" w:cs="Arial"/>
                <w:sz w:val="20"/>
                <w:szCs w:val="20"/>
              </w:rPr>
              <w:t>100</w:t>
            </w:r>
            <w:r w:rsidR="00855AC0" w:rsidRPr="000B4886">
              <w:rPr>
                <w:rFonts w:ascii="Arial" w:hAnsi="Arial" w:cs="Arial"/>
                <w:sz w:val="20"/>
                <w:szCs w:val="20"/>
              </w:rPr>
              <w:t xml:space="preserve"> (100)</w:t>
            </w:r>
          </w:p>
        </w:tc>
        <w:tc>
          <w:tcPr>
            <w:tcW w:w="2338" w:type="dxa"/>
            <w:hideMark/>
          </w:tcPr>
          <w:p w14:paraId="15308368" w14:textId="77777777" w:rsidR="00911497" w:rsidRPr="000B4886" w:rsidRDefault="00911497" w:rsidP="00690CD4">
            <w:pPr>
              <w:rPr>
                <w:rFonts w:ascii="Arial" w:hAnsi="Arial" w:cs="Arial"/>
                <w:sz w:val="20"/>
                <w:szCs w:val="20"/>
              </w:rPr>
            </w:pPr>
            <w:r w:rsidRPr="000B4886">
              <w:rPr>
                <w:rFonts w:ascii="Arial" w:hAnsi="Arial" w:cs="Arial"/>
                <w:sz w:val="20"/>
                <w:szCs w:val="20"/>
              </w:rPr>
              <w:t>20</w:t>
            </w:r>
          </w:p>
        </w:tc>
        <w:tc>
          <w:tcPr>
            <w:tcW w:w="2338" w:type="dxa"/>
          </w:tcPr>
          <w:p w14:paraId="012DDDF0" w14:textId="77777777" w:rsidR="00911497" w:rsidRPr="000B4886" w:rsidRDefault="00911497" w:rsidP="00690CD4">
            <w:pPr>
              <w:rPr>
                <w:rFonts w:ascii="Arial" w:hAnsi="Arial" w:cs="Arial"/>
                <w:sz w:val="20"/>
                <w:szCs w:val="20"/>
              </w:rPr>
            </w:pPr>
          </w:p>
        </w:tc>
      </w:tr>
    </w:tbl>
    <w:p w14:paraId="62218815" w14:textId="77777777" w:rsidR="00911497" w:rsidRPr="000B4886" w:rsidRDefault="00B31152" w:rsidP="005C7E25">
      <w:pPr>
        <w:rPr>
          <w:rFonts w:ascii="Arial" w:hAnsi="Arial" w:cs="Arial"/>
        </w:rPr>
      </w:pPr>
      <w:r w:rsidRPr="000B4886">
        <w:rPr>
          <w:rFonts w:ascii="Arial" w:hAnsi="Arial" w:cs="Arial"/>
        </w:rPr>
        <w:t>ns –no statistical significance at P&lt;</w:t>
      </w:r>
      <w:r w:rsidR="00911497" w:rsidRPr="000B4886">
        <w:rPr>
          <w:rFonts w:ascii="Arial" w:hAnsi="Arial" w:cs="Arial"/>
        </w:rPr>
        <w:t>0.05</w:t>
      </w:r>
    </w:p>
    <w:p w14:paraId="3B6E8211" w14:textId="77777777" w:rsidR="00CF2265" w:rsidRPr="000B4886" w:rsidRDefault="00CF2265" w:rsidP="005C7E25">
      <w:pPr>
        <w:rPr>
          <w:rFonts w:ascii="Arial" w:hAnsi="Arial" w:cs="Arial"/>
        </w:rPr>
      </w:pPr>
    </w:p>
    <w:p w14:paraId="1980AA5C" w14:textId="77777777" w:rsidR="00CF2265" w:rsidRPr="000B4886" w:rsidRDefault="00CF2265" w:rsidP="005C7E25">
      <w:pPr>
        <w:rPr>
          <w:rFonts w:ascii="Arial" w:hAnsi="Arial" w:cs="Arial"/>
        </w:rPr>
      </w:pPr>
    </w:p>
    <w:p w14:paraId="78143946" w14:textId="77777777" w:rsidR="00CE481A" w:rsidRPr="000B4886" w:rsidRDefault="00AB6114" w:rsidP="00CE481A">
      <w:pPr>
        <w:jc w:val="both"/>
        <w:rPr>
          <w:rFonts w:ascii="Arial" w:hAnsi="Arial" w:cs="Arial"/>
          <w:b/>
          <w:i/>
        </w:rPr>
      </w:pPr>
      <w:r w:rsidRPr="000B4886">
        <w:rPr>
          <w:rFonts w:ascii="Arial" w:hAnsi="Arial" w:cs="Arial"/>
          <w:b/>
          <w:i/>
        </w:rPr>
        <w:t xml:space="preserve">3.1.1.1.1 </w:t>
      </w:r>
      <w:r w:rsidR="00502454" w:rsidRPr="000B4886">
        <w:rPr>
          <w:rFonts w:ascii="Arial" w:hAnsi="Arial" w:cs="Arial"/>
          <w:b/>
          <w:i/>
        </w:rPr>
        <w:t>Documented t</w:t>
      </w:r>
      <w:r w:rsidR="00CE481A" w:rsidRPr="000B4886">
        <w:rPr>
          <w:rFonts w:ascii="Arial" w:hAnsi="Arial" w:cs="Arial"/>
          <w:b/>
          <w:i/>
        </w:rPr>
        <w:t xml:space="preserve">raditional </w:t>
      </w:r>
      <w:r w:rsidR="00502454" w:rsidRPr="000B4886">
        <w:rPr>
          <w:rFonts w:ascii="Arial" w:hAnsi="Arial" w:cs="Arial"/>
          <w:b/>
          <w:i/>
        </w:rPr>
        <w:t>treatment practices of the indigenous people of Afikpo LGA</w:t>
      </w:r>
    </w:p>
    <w:p w14:paraId="3AE638ED" w14:textId="77777777" w:rsidR="00AB6114" w:rsidRPr="000B4886" w:rsidRDefault="00AB6114" w:rsidP="00CE481A">
      <w:pPr>
        <w:jc w:val="both"/>
        <w:rPr>
          <w:rFonts w:ascii="Arial" w:hAnsi="Arial" w:cs="Arial"/>
          <w:b/>
          <w:i/>
        </w:rPr>
      </w:pPr>
    </w:p>
    <w:p w14:paraId="2D22B7BD" w14:textId="77777777" w:rsidR="00CE481A" w:rsidRPr="00BD3366" w:rsidRDefault="00CC5498" w:rsidP="00CE481A">
      <w:pPr>
        <w:jc w:val="both"/>
        <w:rPr>
          <w:rFonts w:ascii="Arial" w:hAnsi="Arial" w:cs="Arial"/>
          <w:bCs/>
        </w:rPr>
      </w:pPr>
      <w:r w:rsidRPr="00BD3366">
        <w:rPr>
          <w:bCs/>
        </w:rPr>
        <w:t xml:space="preserve">From the responses of the study participants, the most common traditional remedy was drinking generic </w:t>
      </w:r>
      <w:r w:rsidRPr="00BD3366">
        <w:rPr>
          <w:bCs/>
          <w:i/>
        </w:rPr>
        <w:t>Agbo</w:t>
      </w:r>
      <w:r w:rsidRPr="00BD3366">
        <w:rPr>
          <w:bCs/>
        </w:rPr>
        <w:t xml:space="preserve"> (a herbal drink), which accounted for 38.81% (n = 26) of all responses on traditional malaria treatment practices. Inhalation and bathing with local herbs were reported by 13.43% (n = 9) of participants. Boiling and drinking Neem leaves accounted for 10.45% (n = 7) of responses, while pounding and drinking Neem leaves accounted for 1.49%. In addition, 7.46% (n = 5) of participants reported soaking local herbs in gin and consuming them. The indigenous people of Afikpo LGA also reported using plants that are documented in ethnopharmacology for their antimalarial properties. Neem (</w:t>
      </w:r>
      <w:r w:rsidRPr="00BD3366">
        <w:rPr>
          <w:bCs/>
          <w:i/>
        </w:rPr>
        <w:t>Azadirachta indica</w:t>
      </w:r>
      <w:r w:rsidRPr="00BD3366">
        <w:rPr>
          <w:bCs/>
        </w:rPr>
        <w:t>) was used in various preparations, including being boiled alone, pounded or combined with guava, lemongrass or unripe pawpaw. Moringa (</w:t>
      </w:r>
      <w:r w:rsidRPr="00BD3366">
        <w:rPr>
          <w:bCs/>
          <w:i/>
        </w:rPr>
        <w:t>Moringa oleifera</w:t>
      </w:r>
      <w:r w:rsidRPr="00BD3366">
        <w:rPr>
          <w:bCs/>
        </w:rPr>
        <w:t>) was also used in several forms, including boiled leaves (4.48%), boiled seeds (1.49%), bark mixed with lemongrass (1.49%) and bark chewed with herbal tea (1.49%). A small percentage of participants relied on branded traditional formulations, including Gbogbonise (4.48%), Action Bitters (1.49%) and Agnes Nwamma herbal drink (1.49%), as shown in Table 4.</w:t>
      </w:r>
    </w:p>
    <w:p w14:paraId="27EF86C2" w14:textId="77777777" w:rsidR="00CF2265" w:rsidRPr="000B4886" w:rsidRDefault="00CF2265" w:rsidP="00911497">
      <w:pPr>
        <w:jc w:val="both"/>
        <w:rPr>
          <w:rFonts w:ascii="Arial" w:hAnsi="Arial" w:cs="Arial"/>
        </w:rPr>
      </w:pPr>
    </w:p>
    <w:p w14:paraId="2B1183B0" w14:textId="77777777" w:rsidR="00911497" w:rsidRPr="000B4886" w:rsidRDefault="009757FE" w:rsidP="00CE481A">
      <w:pPr>
        <w:rPr>
          <w:rFonts w:ascii="Arial" w:hAnsi="Arial" w:cs="Arial"/>
          <w:b/>
          <w:color w:val="EE0000"/>
        </w:rPr>
      </w:pPr>
      <w:r w:rsidRPr="000B4886">
        <w:rPr>
          <w:rFonts w:ascii="Arial" w:hAnsi="Arial" w:cs="Arial"/>
          <w:b/>
        </w:rPr>
        <w:t>Table 4</w:t>
      </w:r>
      <w:r w:rsidR="00911497" w:rsidRPr="000B4886">
        <w:rPr>
          <w:rFonts w:ascii="Arial" w:hAnsi="Arial" w:cs="Arial"/>
          <w:b/>
        </w:rPr>
        <w:t xml:space="preserve">: </w:t>
      </w:r>
      <w:r w:rsidR="00AA5D39" w:rsidRPr="000B4886">
        <w:rPr>
          <w:rFonts w:ascii="Arial" w:hAnsi="Arial" w:cs="Arial"/>
          <w:b/>
        </w:rPr>
        <w:t xml:space="preserve">Documented traditional treatment practices of indigenous people of Afikpo LGA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784"/>
        <w:gridCol w:w="2976"/>
      </w:tblGrid>
      <w:tr w:rsidR="00911497" w:rsidRPr="000B4886" w14:paraId="17ABD065" w14:textId="77777777" w:rsidTr="009757FE">
        <w:tc>
          <w:tcPr>
            <w:tcW w:w="590" w:type="dxa"/>
            <w:tcBorders>
              <w:top w:val="single" w:sz="4" w:space="0" w:color="auto"/>
              <w:bottom w:val="single" w:sz="4" w:space="0" w:color="auto"/>
            </w:tcBorders>
            <w:hideMark/>
          </w:tcPr>
          <w:p w14:paraId="59F5CE27" w14:textId="77777777" w:rsidR="00911497" w:rsidRPr="000B4886" w:rsidRDefault="00911497" w:rsidP="00690CD4">
            <w:pPr>
              <w:rPr>
                <w:rFonts w:ascii="Arial" w:hAnsi="Arial" w:cs="Arial"/>
                <w:sz w:val="20"/>
                <w:szCs w:val="20"/>
              </w:rPr>
            </w:pPr>
            <w:r w:rsidRPr="000B4886">
              <w:rPr>
                <w:rFonts w:ascii="Arial" w:hAnsi="Arial" w:cs="Arial"/>
                <w:sz w:val="20"/>
                <w:szCs w:val="20"/>
              </w:rPr>
              <w:t>S/N</w:t>
            </w:r>
          </w:p>
        </w:tc>
        <w:tc>
          <w:tcPr>
            <w:tcW w:w="5784" w:type="dxa"/>
            <w:tcBorders>
              <w:top w:val="single" w:sz="4" w:space="0" w:color="auto"/>
              <w:bottom w:val="single" w:sz="4" w:space="0" w:color="auto"/>
            </w:tcBorders>
            <w:hideMark/>
          </w:tcPr>
          <w:p w14:paraId="45F2987E" w14:textId="77777777" w:rsidR="00911497" w:rsidRPr="000B4886" w:rsidRDefault="00911497" w:rsidP="00690CD4">
            <w:pPr>
              <w:rPr>
                <w:rFonts w:ascii="Arial" w:hAnsi="Arial" w:cs="Arial"/>
                <w:sz w:val="20"/>
                <w:szCs w:val="20"/>
              </w:rPr>
            </w:pPr>
            <w:r w:rsidRPr="000B4886">
              <w:rPr>
                <w:rFonts w:ascii="Arial" w:hAnsi="Arial" w:cs="Arial"/>
                <w:sz w:val="20"/>
                <w:szCs w:val="20"/>
              </w:rPr>
              <w:t>Treatment Remedy</w:t>
            </w:r>
          </w:p>
        </w:tc>
        <w:tc>
          <w:tcPr>
            <w:tcW w:w="2976" w:type="dxa"/>
            <w:tcBorders>
              <w:top w:val="single" w:sz="4" w:space="0" w:color="auto"/>
              <w:bottom w:val="single" w:sz="4" w:space="0" w:color="auto"/>
            </w:tcBorders>
            <w:hideMark/>
          </w:tcPr>
          <w:p w14:paraId="06D0E9F3" w14:textId="77777777" w:rsidR="00911497" w:rsidRPr="000B4886" w:rsidRDefault="009757FE" w:rsidP="00CC5498">
            <w:pPr>
              <w:rPr>
                <w:rFonts w:ascii="Arial" w:hAnsi="Arial" w:cs="Arial"/>
                <w:sz w:val="20"/>
                <w:szCs w:val="20"/>
              </w:rPr>
            </w:pPr>
            <w:r w:rsidRPr="000B4886">
              <w:rPr>
                <w:rFonts w:ascii="Arial" w:hAnsi="Arial" w:cs="Arial"/>
                <w:sz w:val="20"/>
                <w:szCs w:val="20"/>
              </w:rPr>
              <w:t xml:space="preserve">Response (n)    </w:t>
            </w:r>
            <w:r w:rsidR="00CC5498" w:rsidRPr="000B4886">
              <w:rPr>
                <w:rFonts w:ascii="Arial" w:hAnsi="Arial" w:cs="Arial"/>
                <w:sz w:val="20"/>
                <w:szCs w:val="20"/>
              </w:rPr>
              <w:t xml:space="preserve">Response (%)              </w:t>
            </w:r>
          </w:p>
        </w:tc>
      </w:tr>
      <w:tr w:rsidR="00911497" w:rsidRPr="000B4886" w14:paraId="15E3126D" w14:textId="77777777" w:rsidTr="009757FE">
        <w:tc>
          <w:tcPr>
            <w:tcW w:w="590" w:type="dxa"/>
            <w:tcBorders>
              <w:top w:val="single" w:sz="4" w:space="0" w:color="auto"/>
              <w:bottom w:val="nil"/>
            </w:tcBorders>
            <w:hideMark/>
          </w:tcPr>
          <w:p w14:paraId="35666040" w14:textId="77777777" w:rsidR="00911497" w:rsidRPr="000B4886" w:rsidRDefault="00911497" w:rsidP="00690CD4">
            <w:pPr>
              <w:rPr>
                <w:rFonts w:ascii="Arial" w:hAnsi="Arial" w:cs="Arial"/>
                <w:sz w:val="20"/>
                <w:szCs w:val="20"/>
              </w:rPr>
            </w:pPr>
            <w:r w:rsidRPr="000B4886">
              <w:rPr>
                <w:rFonts w:ascii="Arial" w:hAnsi="Arial" w:cs="Arial"/>
                <w:sz w:val="20"/>
                <w:szCs w:val="20"/>
              </w:rPr>
              <w:t>1</w:t>
            </w:r>
          </w:p>
        </w:tc>
        <w:tc>
          <w:tcPr>
            <w:tcW w:w="5784" w:type="dxa"/>
            <w:tcBorders>
              <w:top w:val="single" w:sz="4" w:space="0" w:color="auto"/>
              <w:bottom w:val="nil"/>
            </w:tcBorders>
            <w:hideMark/>
          </w:tcPr>
          <w:p w14:paraId="33873B83" w14:textId="77777777" w:rsidR="00911497" w:rsidRPr="000B4886" w:rsidRDefault="00911497" w:rsidP="00690CD4">
            <w:pPr>
              <w:rPr>
                <w:rFonts w:ascii="Arial" w:hAnsi="Arial" w:cs="Arial"/>
                <w:sz w:val="20"/>
                <w:szCs w:val="20"/>
              </w:rPr>
            </w:pPr>
            <w:r w:rsidRPr="000B4886">
              <w:rPr>
                <w:rFonts w:ascii="Arial" w:hAnsi="Arial" w:cs="Arial"/>
                <w:sz w:val="20"/>
                <w:szCs w:val="20"/>
              </w:rPr>
              <w:t xml:space="preserve">Boil </w:t>
            </w:r>
            <w:r w:rsidR="00346A5E" w:rsidRPr="000B4886">
              <w:rPr>
                <w:rFonts w:ascii="Arial" w:hAnsi="Arial" w:cs="Arial"/>
                <w:sz w:val="20"/>
                <w:szCs w:val="20"/>
              </w:rPr>
              <w:t>and drink Lemon grass +N</w:t>
            </w:r>
            <w:r w:rsidR="00D336C0" w:rsidRPr="000B4886">
              <w:rPr>
                <w:rFonts w:ascii="Arial" w:hAnsi="Arial" w:cs="Arial"/>
                <w:sz w:val="20"/>
                <w:szCs w:val="20"/>
              </w:rPr>
              <w:t>ettle+ G</w:t>
            </w:r>
            <w:r w:rsidRPr="000B4886">
              <w:rPr>
                <w:rFonts w:ascii="Arial" w:hAnsi="Arial" w:cs="Arial"/>
                <w:sz w:val="20"/>
                <w:szCs w:val="20"/>
              </w:rPr>
              <w:t>uava leaves</w:t>
            </w:r>
          </w:p>
        </w:tc>
        <w:tc>
          <w:tcPr>
            <w:tcW w:w="2976" w:type="dxa"/>
            <w:tcBorders>
              <w:top w:val="single" w:sz="4" w:space="0" w:color="auto"/>
              <w:bottom w:val="nil"/>
            </w:tcBorders>
            <w:hideMark/>
          </w:tcPr>
          <w:p w14:paraId="6602D645"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23877703" w14:textId="77777777" w:rsidTr="009757FE">
        <w:tc>
          <w:tcPr>
            <w:tcW w:w="590" w:type="dxa"/>
            <w:tcBorders>
              <w:top w:val="nil"/>
            </w:tcBorders>
            <w:hideMark/>
          </w:tcPr>
          <w:p w14:paraId="43468EA7" w14:textId="77777777" w:rsidR="00911497" w:rsidRPr="000B4886" w:rsidRDefault="00911497" w:rsidP="00690CD4">
            <w:pPr>
              <w:rPr>
                <w:rFonts w:ascii="Arial" w:hAnsi="Arial" w:cs="Arial"/>
                <w:sz w:val="20"/>
                <w:szCs w:val="20"/>
              </w:rPr>
            </w:pPr>
            <w:r w:rsidRPr="000B4886">
              <w:rPr>
                <w:rFonts w:ascii="Arial" w:hAnsi="Arial" w:cs="Arial"/>
                <w:sz w:val="20"/>
                <w:szCs w:val="20"/>
              </w:rPr>
              <w:t>2</w:t>
            </w:r>
          </w:p>
        </w:tc>
        <w:tc>
          <w:tcPr>
            <w:tcW w:w="5784" w:type="dxa"/>
            <w:tcBorders>
              <w:top w:val="nil"/>
            </w:tcBorders>
            <w:hideMark/>
          </w:tcPr>
          <w:p w14:paraId="04DB7935" w14:textId="77777777" w:rsidR="00911497" w:rsidRPr="000B4886" w:rsidRDefault="00D336C0" w:rsidP="00690CD4">
            <w:pPr>
              <w:rPr>
                <w:rFonts w:ascii="Arial" w:hAnsi="Arial" w:cs="Arial"/>
                <w:sz w:val="20"/>
                <w:szCs w:val="20"/>
              </w:rPr>
            </w:pPr>
            <w:r w:rsidRPr="000B4886">
              <w:rPr>
                <w:rFonts w:ascii="Arial" w:hAnsi="Arial" w:cs="Arial"/>
                <w:sz w:val="20"/>
                <w:szCs w:val="20"/>
              </w:rPr>
              <w:t>Boil and drink M</w:t>
            </w:r>
            <w:r w:rsidR="00911497" w:rsidRPr="000B4886">
              <w:rPr>
                <w:rFonts w:ascii="Arial" w:hAnsi="Arial" w:cs="Arial"/>
                <w:sz w:val="20"/>
                <w:szCs w:val="20"/>
              </w:rPr>
              <w:t>oringa seeds</w:t>
            </w:r>
          </w:p>
        </w:tc>
        <w:tc>
          <w:tcPr>
            <w:tcW w:w="2976" w:type="dxa"/>
            <w:tcBorders>
              <w:top w:val="nil"/>
            </w:tcBorders>
            <w:hideMark/>
          </w:tcPr>
          <w:p w14:paraId="72C5A63D"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714C90B4" w14:textId="77777777" w:rsidTr="009757FE">
        <w:tc>
          <w:tcPr>
            <w:tcW w:w="590" w:type="dxa"/>
            <w:hideMark/>
          </w:tcPr>
          <w:p w14:paraId="1EED6384" w14:textId="77777777" w:rsidR="00911497" w:rsidRPr="000B4886" w:rsidRDefault="00911497" w:rsidP="00690CD4">
            <w:pPr>
              <w:rPr>
                <w:rFonts w:ascii="Arial" w:hAnsi="Arial" w:cs="Arial"/>
                <w:sz w:val="20"/>
                <w:szCs w:val="20"/>
              </w:rPr>
            </w:pPr>
            <w:r w:rsidRPr="000B4886">
              <w:rPr>
                <w:rFonts w:ascii="Arial" w:hAnsi="Arial" w:cs="Arial"/>
                <w:sz w:val="20"/>
                <w:szCs w:val="20"/>
              </w:rPr>
              <w:t>3</w:t>
            </w:r>
          </w:p>
        </w:tc>
        <w:tc>
          <w:tcPr>
            <w:tcW w:w="5784" w:type="dxa"/>
            <w:hideMark/>
          </w:tcPr>
          <w:p w14:paraId="140F85FD" w14:textId="77777777" w:rsidR="00911497" w:rsidRPr="000B4886" w:rsidRDefault="00D336C0" w:rsidP="00690CD4">
            <w:pPr>
              <w:rPr>
                <w:rFonts w:ascii="Arial" w:hAnsi="Arial" w:cs="Arial"/>
                <w:sz w:val="20"/>
                <w:szCs w:val="20"/>
              </w:rPr>
            </w:pPr>
            <w:r w:rsidRPr="000B4886">
              <w:rPr>
                <w:rFonts w:ascii="Arial" w:hAnsi="Arial" w:cs="Arial"/>
                <w:sz w:val="20"/>
                <w:szCs w:val="20"/>
              </w:rPr>
              <w:t>Boil and drink M</w:t>
            </w:r>
            <w:r w:rsidR="00911497" w:rsidRPr="000B4886">
              <w:rPr>
                <w:rFonts w:ascii="Arial" w:hAnsi="Arial" w:cs="Arial"/>
                <w:sz w:val="20"/>
                <w:szCs w:val="20"/>
              </w:rPr>
              <w:t>oringa tree bark+ lemon grass</w:t>
            </w:r>
          </w:p>
        </w:tc>
        <w:tc>
          <w:tcPr>
            <w:tcW w:w="2976" w:type="dxa"/>
            <w:hideMark/>
          </w:tcPr>
          <w:p w14:paraId="3293F5E1"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33E2E731" w14:textId="77777777" w:rsidTr="009757FE">
        <w:tc>
          <w:tcPr>
            <w:tcW w:w="590" w:type="dxa"/>
            <w:hideMark/>
          </w:tcPr>
          <w:p w14:paraId="21582CAC" w14:textId="77777777" w:rsidR="00911497" w:rsidRPr="000B4886" w:rsidRDefault="00911497" w:rsidP="00690CD4">
            <w:pPr>
              <w:rPr>
                <w:rFonts w:ascii="Arial" w:hAnsi="Arial" w:cs="Arial"/>
                <w:sz w:val="20"/>
                <w:szCs w:val="20"/>
              </w:rPr>
            </w:pPr>
            <w:r w:rsidRPr="000B4886">
              <w:rPr>
                <w:rFonts w:ascii="Arial" w:hAnsi="Arial" w:cs="Arial"/>
                <w:sz w:val="20"/>
                <w:szCs w:val="20"/>
              </w:rPr>
              <w:t>4</w:t>
            </w:r>
          </w:p>
        </w:tc>
        <w:tc>
          <w:tcPr>
            <w:tcW w:w="5784" w:type="dxa"/>
            <w:hideMark/>
          </w:tcPr>
          <w:p w14:paraId="4EB68FE2" w14:textId="77777777" w:rsidR="00911497" w:rsidRPr="000B4886" w:rsidRDefault="00D336C0" w:rsidP="00690CD4">
            <w:pPr>
              <w:rPr>
                <w:rFonts w:ascii="Arial" w:hAnsi="Arial" w:cs="Arial"/>
                <w:sz w:val="20"/>
                <w:szCs w:val="20"/>
              </w:rPr>
            </w:pPr>
            <w:r w:rsidRPr="000B4886">
              <w:rPr>
                <w:rFonts w:ascii="Arial" w:hAnsi="Arial" w:cs="Arial"/>
                <w:sz w:val="20"/>
                <w:szCs w:val="20"/>
              </w:rPr>
              <w:t>Boil and drink N</w:t>
            </w:r>
            <w:r w:rsidR="00911497" w:rsidRPr="000B4886">
              <w:rPr>
                <w:rFonts w:ascii="Arial" w:hAnsi="Arial" w:cs="Arial"/>
                <w:sz w:val="20"/>
                <w:szCs w:val="20"/>
              </w:rPr>
              <w:t>eem leaves</w:t>
            </w:r>
          </w:p>
        </w:tc>
        <w:tc>
          <w:tcPr>
            <w:tcW w:w="2976" w:type="dxa"/>
            <w:hideMark/>
          </w:tcPr>
          <w:p w14:paraId="4CBAC34B" w14:textId="77777777" w:rsidR="00911497" w:rsidRPr="000B4886" w:rsidRDefault="00911497" w:rsidP="00690CD4">
            <w:pPr>
              <w:rPr>
                <w:rFonts w:ascii="Arial" w:hAnsi="Arial" w:cs="Arial"/>
                <w:sz w:val="20"/>
                <w:szCs w:val="20"/>
              </w:rPr>
            </w:pPr>
            <w:r w:rsidRPr="000B4886">
              <w:rPr>
                <w:rFonts w:ascii="Arial" w:hAnsi="Arial" w:cs="Arial"/>
                <w:sz w:val="20"/>
                <w:szCs w:val="20"/>
              </w:rPr>
              <w:t>7                       10.4</w:t>
            </w:r>
            <w:r w:rsidR="00892F35" w:rsidRPr="000B4886">
              <w:rPr>
                <w:rFonts w:ascii="Arial" w:hAnsi="Arial" w:cs="Arial"/>
                <w:sz w:val="20"/>
                <w:szCs w:val="20"/>
              </w:rPr>
              <w:t>5</w:t>
            </w:r>
          </w:p>
        </w:tc>
      </w:tr>
      <w:tr w:rsidR="00911497" w:rsidRPr="000B4886" w14:paraId="465622B6" w14:textId="77777777" w:rsidTr="009757FE">
        <w:tc>
          <w:tcPr>
            <w:tcW w:w="590" w:type="dxa"/>
            <w:hideMark/>
          </w:tcPr>
          <w:p w14:paraId="22CC1F90" w14:textId="77777777" w:rsidR="00911497" w:rsidRPr="000B4886" w:rsidRDefault="00911497" w:rsidP="00690CD4">
            <w:pPr>
              <w:rPr>
                <w:rFonts w:ascii="Arial" w:hAnsi="Arial" w:cs="Arial"/>
                <w:sz w:val="20"/>
                <w:szCs w:val="20"/>
              </w:rPr>
            </w:pPr>
            <w:r w:rsidRPr="000B4886">
              <w:rPr>
                <w:rFonts w:ascii="Arial" w:hAnsi="Arial" w:cs="Arial"/>
                <w:sz w:val="20"/>
                <w:szCs w:val="20"/>
              </w:rPr>
              <w:t>5</w:t>
            </w:r>
          </w:p>
        </w:tc>
        <w:tc>
          <w:tcPr>
            <w:tcW w:w="5784" w:type="dxa"/>
            <w:hideMark/>
          </w:tcPr>
          <w:p w14:paraId="0BE3AC36" w14:textId="77777777" w:rsidR="00911497" w:rsidRPr="000B4886" w:rsidRDefault="00D336C0" w:rsidP="00690CD4">
            <w:pPr>
              <w:rPr>
                <w:rFonts w:ascii="Arial" w:hAnsi="Arial" w:cs="Arial"/>
                <w:sz w:val="20"/>
                <w:szCs w:val="20"/>
              </w:rPr>
            </w:pPr>
            <w:r w:rsidRPr="000B4886">
              <w:rPr>
                <w:rFonts w:ascii="Arial" w:hAnsi="Arial" w:cs="Arial"/>
                <w:sz w:val="20"/>
                <w:szCs w:val="20"/>
              </w:rPr>
              <w:t>Boil and drink Neem + G</w:t>
            </w:r>
            <w:r w:rsidR="00911497" w:rsidRPr="000B4886">
              <w:rPr>
                <w:rFonts w:ascii="Arial" w:hAnsi="Arial" w:cs="Arial"/>
                <w:sz w:val="20"/>
                <w:szCs w:val="20"/>
              </w:rPr>
              <w:t>uava leaves</w:t>
            </w:r>
          </w:p>
        </w:tc>
        <w:tc>
          <w:tcPr>
            <w:tcW w:w="2976" w:type="dxa"/>
            <w:hideMark/>
          </w:tcPr>
          <w:p w14:paraId="38523F60"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36EB5ABB" w14:textId="77777777" w:rsidTr="009757FE">
        <w:tc>
          <w:tcPr>
            <w:tcW w:w="590" w:type="dxa"/>
            <w:hideMark/>
          </w:tcPr>
          <w:p w14:paraId="717E7BFA" w14:textId="77777777" w:rsidR="00911497" w:rsidRPr="000B4886" w:rsidRDefault="00911497" w:rsidP="00690CD4">
            <w:pPr>
              <w:rPr>
                <w:rFonts w:ascii="Arial" w:hAnsi="Arial" w:cs="Arial"/>
                <w:sz w:val="20"/>
                <w:szCs w:val="20"/>
              </w:rPr>
            </w:pPr>
            <w:r w:rsidRPr="000B4886">
              <w:rPr>
                <w:rFonts w:ascii="Arial" w:hAnsi="Arial" w:cs="Arial"/>
                <w:sz w:val="20"/>
                <w:szCs w:val="20"/>
              </w:rPr>
              <w:t>6</w:t>
            </w:r>
          </w:p>
        </w:tc>
        <w:tc>
          <w:tcPr>
            <w:tcW w:w="5784" w:type="dxa"/>
            <w:hideMark/>
          </w:tcPr>
          <w:p w14:paraId="1C671A30" w14:textId="77777777" w:rsidR="00911497" w:rsidRPr="000B4886" w:rsidRDefault="00D336C0" w:rsidP="00690CD4">
            <w:pPr>
              <w:rPr>
                <w:rFonts w:ascii="Arial" w:hAnsi="Arial" w:cs="Arial"/>
                <w:sz w:val="20"/>
                <w:szCs w:val="20"/>
              </w:rPr>
            </w:pPr>
            <w:r w:rsidRPr="000B4886">
              <w:rPr>
                <w:rFonts w:ascii="Arial" w:hAnsi="Arial" w:cs="Arial"/>
                <w:sz w:val="20"/>
                <w:szCs w:val="20"/>
              </w:rPr>
              <w:t>Boil and drink Neem + L</w:t>
            </w:r>
            <w:r w:rsidR="00911497" w:rsidRPr="000B4886">
              <w:rPr>
                <w:rFonts w:ascii="Arial" w:hAnsi="Arial" w:cs="Arial"/>
                <w:sz w:val="20"/>
                <w:szCs w:val="20"/>
              </w:rPr>
              <w:t>emon grass</w:t>
            </w:r>
          </w:p>
        </w:tc>
        <w:tc>
          <w:tcPr>
            <w:tcW w:w="2976" w:type="dxa"/>
            <w:hideMark/>
          </w:tcPr>
          <w:p w14:paraId="3A645A5C"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1B860914" w14:textId="77777777" w:rsidTr="009757FE">
        <w:tc>
          <w:tcPr>
            <w:tcW w:w="590" w:type="dxa"/>
            <w:hideMark/>
          </w:tcPr>
          <w:p w14:paraId="7E049391" w14:textId="77777777" w:rsidR="00911497" w:rsidRPr="000B4886" w:rsidRDefault="00911497" w:rsidP="00690CD4">
            <w:pPr>
              <w:rPr>
                <w:rFonts w:ascii="Arial" w:hAnsi="Arial" w:cs="Arial"/>
                <w:sz w:val="20"/>
                <w:szCs w:val="20"/>
              </w:rPr>
            </w:pPr>
            <w:r w:rsidRPr="000B4886">
              <w:rPr>
                <w:rFonts w:ascii="Arial" w:hAnsi="Arial" w:cs="Arial"/>
                <w:sz w:val="20"/>
                <w:szCs w:val="20"/>
              </w:rPr>
              <w:t>7</w:t>
            </w:r>
          </w:p>
        </w:tc>
        <w:tc>
          <w:tcPr>
            <w:tcW w:w="5784" w:type="dxa"/>
            <w:hideMark/>
          </w:tcPr>
          <w:p w14:paraId="109E2780" w14:textId="77777777" w:rsidR="00911497" w:rsidRPr="000B4886" w:rsidRDefault="00D336C0" w:rsidP="00690CD4">
            <w:pPr>
              <w:rPr>
                <w:rFonts w:ascii="Arial" w:hAnsi="Arial" w:cs="Arial"/>
                <w:sz w:val="20"/>
                <w:szCs w:val="20"/>
              </w:rPr>
            </w:pPr>
            <w:r w:rsidRPr="000B4886">
              <w:rPr>
                <w:rFonts w:ascii="Arial" w:hAnsi="Arial" w:cs="Arial"/>
                <w:sz w:val="20"/>
                <w:szCs w:val="20"/>
              </w:rPr>
              <w:t>Boil unripe Pawpaw fruit+ Guava leaves + L</w:t>
            </w:r>
            <w:r w:rsidR="00911497" w:rsidRPr="000B4886">
              <w:rPr>
                <w:rFonts w:ascii="Arial" w:hAnsi="Arial" w:cs="Arial"/>
                <w:sz w:val="20"/>
                <w:szCs w:val="20"/>
              </w:rPr>
              <w:t>emon grass</w:t>
            </w:r>
          </w:p>
        </w:tc>
        <w:tc>
          <w:tcPr>
            <w:tcW w:w="2976" w:type="dxa"/>
            <w:hideMark/>
          </w:tcPr>
          <w:p w14:paraId="1E5E1CDD"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4C910645" w14:textId="77777777" w:rsidTr="009757FE">
        <w:tc>
          <w:tcPr>
            <w:tcW w:w="590" w:type="dxa"/>
            <w:hideMark/>
          </w:tcPr>
          <w:p w14:paraId="0016FFFD" w14:textId="77777777" w:rsidR="00911497" w:rsidRPr="000B4886" w:rsidRDefault="00911497" w:rsidP="00690CD4">
            <w:pPr>
              <w:rPr>
                <w:rFonts w:ascii="Arial" w:hAnsi="Arial" w:cs="Arial"/>
                <w:sz w:val="20"/>
                <w:szCs w:val="20"/>
              </w:rPr>
            </w:pPr>
            <w:r w:rsidRPr="000B4886">
              <w:rPr>
                <w:rFonts w:ascii="Arial" w:hAnsi="Arial" w:cs="Arial"/>
                <w:sz w:val="20"/>
                <w:szCs w:val="20"/>
              </w:rPr>
              <w:t>8</w:t>
            </w:r>
          </w:p>
        </w:tc>
        <w:tc>
          <w:tcPr>
            <w:tcW w:w="5784" w:type="dxa"/>
            <w:hideMark/>
          </w:tcPr>
          <w:p w14:paraId="0D673779" w14:textId="77777777" w:rsidR="00911497" w:rsidRPr="000B4886" w:rsidRDefault="00D336C0" w:rsidP="00690CD4">
            <w:pPr>
              <w:rPr>
                <w:rFonts w:ascii="Arial" w:hAnsi="Arial" w:cs="Arial"/>
                <w:sz w:val="20"/>
                <w:szCs w:val="20"/>
              </w:rPr>
            </w:pPr>
            <w:r w:rsidRPr="000B4886">
              <w:rPr>
                <w:rFonts w:ascii="Arial" w:hAnsi="Arial" w:cs="Arial"/>
                <w:sz w:val="20"/>
                <w:szCs w:val="20"/>
              </w:rPr>
              <w:t>Boil unripe Pawpaw + Neem leaves +L</w:t>
            </w:r>
            <w:r w:rsidR="00911497" w:rsidRPr="000B4886">
              <w:rPr>
                <w:rFonts w:ascii="Arial" w:hAnsi="Arial" w:cs="Arial"/>
                <w:sz w:val="20"/>
                <w:szCs w:val="20"/>
              </w:rPr>
              <w:t xml:space="preserve">emon grass </w:t>
            </w:r>
          </w:p>
        </w:tc>
        <w:tc>
          <w:tcPr>
            <w:tcW w:w="2976" w:type="dxa"/>
            <w:hideMark/>
          </w:tcPr>
          <w:p w14:paraId="4BC7D707" w14:textId="77777777" w:rsidR="00911497" w:rsidRPr="000B4886" w:rsidRDefault="00911497" w:rsidP="00690CD4">
            <w:pPr>
              <w:rPr>
                <w:rFonts w:ascii="Arial" w:hAnsi="Arial" w:cs="Arial"/>
                <w:sz w:val="20"/>
                <w:szCs w:val="20"/>
              </w:rPr>
            </w:pPr>
            <w:r w:rsidRPr="000B4886">
              <w:rPr>
                <w:rFonts w:ascii="Arial" w:hAnsi="Arial" w:cs="Arial"/>
                <w:sz w:val="20"/>
                <w:szCs w:val="20"/>
              </w:rPr>
              <w:t>2                          2.99</w:t>
            </w:r>
          </w:p>
        </w:tc>
      </w:tr>
      <w:tr w:rsidR="00911497" w:rsidRPr="000B4886" w14:paraId="57338E5A" w14:textId="77777777" w:rsidTr="009757FE">
        <w:tc>
          <w:tcPr>
            <w:tcW w:w="590" w:type="dxa"/>
            <w:hideMark/>
          </w:tcPr>
          <w:p w14:paraId="72AA6DD0" w14:textId="77777777" w:rsidR="00911497" w:rsidRPr="000B4886" w:rsidRDefault="00911497" w:rsidP="00690CD4">
            <w:pPr>
              <w:rPr>
                <w:rFonts w:ascii="Arial" w:hAnsi="Arial" w:cs="Arial"/>
                <w:sz w:val="20"/>
                <w:szCs w:val="20"/>
              </w:rPr>
            </w:pPr>
            <w:r w:rsidRPr="000B4886">
              <w:rPr>
                <w:rFonts w:ascii="Arial" w:hAnsi="Arial" w:cs="Arial"/>
                <w:sz w:val="20"/>
                <w:szCs w:val="20"/>
              </w:rPr>
              <w:t>9</w:t>
            </w:r>
          </w:p>
        </w:tc>
        <w:tc>
          <w:tcPr>
            <w:tcW w:w="5784" w:type="dxa"/>
            <w:hideMark/>
          </w:tcPr>
          <w:p w14:paraId="0F43C238" w14:textId="77777777" w:rsidR="00911497" w:rsidRPr="000B4886" w:rsidRDefault="00D336C0" w:rsidP="00690CD4">
            <w:pPr>
              <w:rPr>
                <w:rFonts w:ascii="Arial" w:hAnsi="Arial" w:cs="Arial"/>
                <w:sz w:val="20"/>
                <w:szCs w:val="20"/>
              </w:rPr>
            </w:pPr>
            <w:r w:rsidRPr="000B4886">
              <w:rPr>
                <w:rFonts w:ascii="Arial" w:hAnsi="Arial" w:cs="Arial"/>
                <w:sz w:val="20"/>
                <w:szCs w:val="20"/>
              </w:rPr>
              <w:t>Chew M</w:t>
            </w:r>
            <w:r w:rsidR="00911497" w:rsidRPr="000B4886">
              <w:rPr>
                <w:rFonts w:ascii="Arial" w:hAnsi="Arial" w:cs="Arial"/>
                <w:sz w:val="20"/>
                <w:szCs w:val="20"/>
              </w:rPr>
              <w:t>oringa bark + herbal tea</w:t>
            </w:r>
          </w:p>
        </w:tc>
        <w:tc>
          <w:tcPr>
            <w:tcW w:w="2976" w:type="dxa"/>
            <w:hideMark/>
          </w:tcPr>
          <w:p w14:paraId="357EA959"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12CEFCC9" w14:textId="77777777" w:rsidTr="009757FE">
        <w:tc>
          <w:tcPr>
            <w:tcW w:w="590" w:type="dxa"/>
            <w:hideMark/>
          </w:tcPr>
          <w:p w14:paraId="6FE8F66C" w14:textId="77777777" w:rsidR="00911497" w:rsidRPr="000B4886" w:rsidRDefault="00911497" w:rsidP="00690CD4">
            <w:pPr>
              <w:rPr>
                <w:rFonts w:ascii="Arial" w:hAnsi="Arial" w:cs="Arial"/>
                <w:sz w:val="20"/>
                <w:szCs w:val="20"/>
              </w:rPr>
            </w:pPr>
            <w:r w:rsidRPr="000B4886">
              <w:rPr>
                <w:rFonts w:ascii="Arial" w:hAnsi="Arial" w:cs="Arial"/>
                <w:sz w:val="20"/>
                <w:szCs w:val="20"/>
              </w:rPr>
              <w:lastRenderedPageBreak/>
              <w:t>10</w:t>
            </w:r>
          </w:p>
        </w:tc>
        <w:tc>
          <w:tcPr>
            <w:tcW w:w="5784" w:type="dxa"/>
            <w:hideMark/>
          </w:tcPr>
          <w:p w14:paraId="5742845F" w14:textId="77777777" w:rsidR="00911497" w:rsidRPr="000B4886" w:rsidRDefault="00911497" w:rsidP="00690CD4">
            <w:pPr>
              <w:rPr>
                <w:rFonts w:ascii="Arial" w:hAnsi="Arial" w:cs="Arial"/>
                <w:sz w:val="20"/>
                <w:szCs w:val="20"/>
              </w:rPr>
            </w:pPr>
            <w:r w:rsidRPr="000B4886">
              <w:rPr>
                <w:rFonts w:ascii="Arial" w:hAnsi="Arial" w:cs="Arial"/>
                <w:sz w:val="20"/>
                <w:szCs w:val="20"/>
              </w:rPr>
              <w:t>Drink action bitters</w:t>
            </w:r>
          </w:p>
        </w:tc>
        <w:tc>
          <w:tcPr>
            <w:tcW w:w="2976" w:type="dxa"/>
            <w:hideMark/>
          </w:tcPr>
          <w:p w14:paraId="2DDD0329"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636B8B61" w14:textId="77777777" w:rsidTr="009757FE">
        <w:tc>
          <w:tcPr>
            <w:tcW w:w="590" w:type="dxa"/>
            <w:hideMark/>
          </w:tcPr>
          <w:p w14:paraId="29C46A09" w14:textId="77777777" w:rsidR="00911497" w:rsidRPr="000B4886" w:rsidRDefault="00911497" w:rsidP="00690CD4">
            <w:pPr>
              <w:rPr>
                <w:rFonts w:ascii="Arial" w:hAnsi="Arial" w:cs="Arial"/>
                <w:sz w:val="20"/>
                <w:szCs w:val="20"/>
              </w:rPr>
            </w:pPr>
            <w:r w:rsidRPr="000B4886">
              <w:rPr>
                <w:rFonts w:ascii="Arial" w:hAnsi="Arial" w:cs="Arial"/>
                <w:sz w:val="20"/>
                <w:szCs w:val="20"/>
              </w:rPr>
              <w:t>11</w:t>
            </w:r>
          </w:p>
        </w:tc>
        <w:tc>
          <w:tcPr>
            <w:tcW w:w="5784" w:type="dxa"/>
            <w:hideMark/>
          </w:tcPr>
          <w:p w14:paraId="6F24ABE4" w14:textId="77777777" w:rsidR="00911497" w:rsidRPr="000B4886" w:rsidRDefault="00911497" w:rsidP="00690CD4">
            <w:pPr>
              <w:rPr>
                <w:rFonts w:ascii="Arial" w:hAnsi="Arial" w:cs="Arial"/>
                <w:sz w:val="20"/>
                <w:szCs w:val="20"/>
                <w:lang w:val="de-DE"/>
              </w:rPr>
            </w:pPr>
            <w:r w:rsidRPr="000B4886">
              <w:rPr>
                <w:rFonts w:ascii="Arial" w:hAnsi="Arial" w:cs="Arial"/>
                <w:sz w:val="20"/>
                <w:szCs w:val="20"/>
                <w:lang w:val="de-DE"/>
              </w:rPr>
              <w:t>Drink Agnes Nwamma herbal drink</w:t>
            </w:r>
          </w:p>
        </w:tc>
        <w:tc>
          <w:tcPr>
            <w:tcW w:w="2976" w:type="dxa"/>
            <w:hideMark/>
          </w:tcPr>
          <w:p w14:paraId="6CE334C0"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28104C8E" w14:textId="77777777" w:rsidTr="009757FE">
        <w:tc>
          <w:tcPr>
            <w:tcW w:w="590" w:type="dxa"/>
            <w:hideMark/>
          </w:tcPr>
          <w:p w14:paraId="2FCEFC27" w14:textId="77777777" w:rsidR="00911497" w:rsidRPr="000B4886" w:rsidRDefault="00911497" w:rsidP="00690CD4">
            <w:pPr>
              <w:rPr>
                <w:rFonts w:ascii="Arial" w:hAnsi="Arial" w:cs="Arial"/>
                <w:sz w:val="20"/>
                <w:szCs w:val="20"/>
              </w:rPr>
            </w:pPr>
            <w:r w:rsidRPr="000B4886">
              <w:rPr>
                <w:rFonts w:ascii="Arial" w:hAnsi="Arial" w:cs="Arial"/>
                <w:sz w:val="20"/>
                <w:szCs w:val="20"/>
              </w:rPr>
              <w:t>12</w:t>
            </w:r>
          </w:p>
        </w:tc>
        <w:tc>
          <w:tcPr>
            <w:tcW w:w="5784" w:type="dxa"/>
            <w:hideMark/>
          </w:tcPr>
          <w:p w14:paraId="32AC3DEF" w14:textId="77777777" w:rsidR="00911497" w:rsidRPr="000B4886" w:rsidRDefault="00911497" w:rsidP="00690CD4">
            <w:pPr>
              <w:rPr>
                <w:rFonts w:ascii="Arial" w:hAnsi="Arial" w:cs="Arial"/>
                <w:sz w:val="20"/>
                <w:szCs w:val="20"/>
              </w:rPr>
            </w:pPr>
            <w:r w:rsidRPr="000B4886">
              <w:rPr>
                <w:rFonts w:ascii="Arial" w:hAnsi="Arial" w:cs="Arial"/>
                <w:sz w:val="20"/>
                <w:szCs w:val="20"/>
              </w:rPr>
              <w:t>Drink gbogbonise</w:t>
            </w:r>
          </w:p>
        </w:tc>
        <w:tc>
          <w:tcPr>
            <w:tcW w:w="2976" w:type="dxa"/>
            <w:hideMark/>
          </w:tcPr>
          <w:p w14:paraId="14D0C488" w14:textId="77777777" w:rsidR="00911497" w:rsidRPr="000B4886" w:rsidRDefault="00911497" w:rsidP="00690CD4">
            <w:pPr>
              <w:rPr>
                <w:rFonts w:ascii="Arial" w:hAnsi="Arial" w:cs="Arial"/>
                <w:sz w:val="20"/>
                <w:szCs w:val="20"/>
              </w:rPr>
            </w:pPr>
            <w:r w:rsidRPr="000B4886">
              <w:rPr>
                <w:rFonts w:ascii="Arial" w:hAnsi="Arial" w:cs="Arial"/>
                <w:sz w:val="20"/>
                <w:szCs w:val="20"/>
              </w:rPr>
              <w:t>3                          4.48</w:t>
            </w:r>
          </w:p>
        </w:tc>
      </w:tr>
      <w:tr w:rsidR="00911497" w:rsidRPr="000B4886" w14:paraId="64FBF649" w14:textId="77777777" w:rsidTr="009757FE">
        <w:tc>
          <w:tcPr>
            <w:tcW w:w="590" w:type="dxa"/>
            <w:hideMark/>
          </w:tcPr>
          <w:p w14:paraId="1455B170" w14:textId="77777777" w:rsidR="00911497" w:rsidRPr="000B4886" w:rsidRDefault="00911497" w:rsidP="00690CD4">
            <w:pPr>
              <w:rPr>
                <w:rFonts w:ascii="Arial" w:hAnsi="Arial" w:cs="Arial"/>
                <w:sz w:val="20"/>
                <w:szCs w:val="20"/>
              </w:rPr>
            </w:pPr>
            <w:r w:rsidRPr="000B4886">
              <w:rPr>
                <w:rFonts w:ascii="Arial" w:hAnsi="Arial" w:cs="Arial"/>
                <w:sz w:val="20"/>
                <w:szCs w:val="20"/>
              </w:rPr>
              <w:t>13</w:t>
            </w:r>
          </w:p>
        </w:tc>
        <w:tc>
          <w:tcPr>
            <w:tcW w:w="5784" w:type="dxa"/>
            <w:hideMark/>
          </w:tcPr>
          <w:p w14:paraId="3684E4F6" w14:textId="77777777" w:rsidR="00911497" w:rsidRPr="000B4886" w:rsidRDefault="00911497" w:rsidP="00690CD4">
            <w:pPr>
              <w:rPr>
                <w:rFonts w:ascii="Arial" w:hAnsi="Arial" w:cs="Arial"/>
                <w:sz w:val="20"/>
                <w:szCs w:val="20"/>
              </w:rPr>
            </w:pPr>
            <w:r w:rsidRPr="000B4886">
              <w:rPr>
                <w:rFonts w:ascii="Arial" w:hAnsi="Arial" w:cs="Arial"/>
                <w:sz w:val="20"/>
                <w:szCs w:val="20"/>
              </w:rPr>
              <w:t>Drink Agbo (herbal drink)</w:t>
            </w:r>
          </w:p>
        </w:tc>
        <w:tc>
          <w:tcPr>
            <w:tcW w:w="2976" w:type="dxa"/>
            <w:hideMark/>
          </w:tcPr>
          <w:p w14:paraId="235091F4" w14:textId="77777777" w:rsidR="00911497" w:rsidRPr="000B4886" w:rsidRDefault="00911497" w:rsidP="00690CD4">
            <w:pPr>
              <w:rPr>
                <w:rFonts w:ascii="Arial" w:hAnsi="Arial" w:cs="Arial"/>
                <w:sz w:val="20"/>
                <w:szCs w:val="20"/>
              </w:rPr>
            </w:pPr>
            <w:r w:rsidRPr="000B4886">
              <w:rPr>
                <w:rFonts w:ascii="Arial" w:hAnsi="Arial" w:cs="Arial"/>
                <w:sz w:val="20"/>
                <w:szCs w:val="20"/>
              </w:rPr>
              <w:t>26                      38.81</w:t>
            </w:r>
          </w:p>
        </w:tc>
      </w:tr>
      <w:tr w:rsidR="00911497" w:rsidRPr="000B4886" w14:paraId="3C2146A7" w14:textId="77777777" w:rsidTr="009757FE">
        <w:trPr>
          <w:trHeight w:val="75"/>
        </w:trPr>
        <w:tc>
          <w:tcPr>
            <w:tcW w:w="590" w:type="dxa"/>
            <w:hideMark/>
          </w:tcPr>
          <w:p w14:paraId="312434A6" w14:textId="77777777" w:rsidR="00911497" w:rsidRPr="000B4886" w:rsidRDefault="00911497" w:rsidP="00690CD4">
            <w:pPr>
              <w:rPr>
                <w:rFonts w:ascii="Arial" w:hAnsi="Arial" w:cs="Arial"/>
                <w:sz w:val="20"/>
                <w:szCs w:val="20"/>
              </w:rPr>
            </w:pPr>
            <w:r w:rsidRPr="000B4886">
              <w:rPr>
                <w:rFonts w:ascii="Arial" w:hAnsi="Arial" w:cs="Arial"/>
                <w:sz w:val="20"/>
                <w:szCs w:val="20"/>
              </w:rPr>
              <w:t>14</w:t>
            </w:r>
          </w:p>
        </w:tc>
        <w:tc>
          <w:tcPr>
            <w:tcW w:w="5784" w:type="dxa"/>
            <w:hideMark/>
          </w:tcPr>
          <w:p w14:paraId="55048DE2" w14:textId="77777777" w:rsidR="00911497" w:rsidRPr="000B4886" w:rsidRDefault="00911497" w:rsidP="00690CD4">
            <w:pPr>
              <w:rPr>
                <w:rFonts w:ascii="Arial" w:hAnsi="Arial" w:cs="Arial"/>
                <w:sz w:val="20"/>
                <w:szCs w:val="20"/>
              </w:rPr>
            </w:pPr>
            <w:r w:rsidRPr="000B4886">
              <w:rPr>
                <w:rFonts w:ascii="Arial" w:hAnsi="Arial" w:cs="Arial"/>
                <w:sz w:val="20"/>
                <w:szCs w:val="20"/>
              </w:rPr>
              <w:t>Drink herbal tea</w:t>
            </w:r>
          </w:p>
        </w:tc>
        <w:tc>
          <w:tcPr>
            <w:tcW w:w="2976" w:type="dxa"/>
            <w:hideMark/>
          </w:tcPr>
          <w:p w14:paraId="2AC3FF2E"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0A66A858" w14:textId="77777777" w:rsidTr="009757FE">
        <w:tc>
          <w:tcPr>
            <w:tcW w:w="590" w:type="dxa"/>
            <w:hideMark/>
          </w:tcPr>
          <w:p w14:paraId="63A03E52" w14:textId="77777777" w:rsidR="00911497" w:rsidRPr="000B4886" w:rsidRDefault="00911497" w:rsidP="00690CD4">
            <w:pPr>
              <w:rPr>
                <w:rFonts w:ascii="Arial" w:hAnsi="Arial" w:cs="Arial"/>
                <w:sz w:val="20"/>
                <w:szCs w:val="20"/>
              </w:rPr>
            </w:pPr>
            <w:r w:rsidRPr="000B4886">
              <w:rPr>
                <w:rFonts w:ascii="Arial" w:hAnsi="Arial" w:cs="Arial"/>
                <w:sz w:val="20"/>
                <w:szCs w:val="20"/>
              </w:rPr>
              <w:t>15</w:t>
            </w:r>
          </w:p>
        </w:tc>
        <w:tc>
          <w:tcPr>
            <w:tcW w:w="5784" w:type="dxa"/>
            <w:hideMark/>
          </w:tcPr>
          <w:p w14:paraId="1583BED6" w14:textId="77777777" w:rsidR="00911497" w:rsidRPr="000B4886" w:rsidRDefault="00911497" w:rsidP="00690CD4">
            <w:pPr>
              <w:rPr>
                <w:rFonts w:ascii="Arial" w:hAnsi="Arial" w:cs="Arial"/>
                <w:sz w:val="20"/>
                <w:szCs w:val="20"/>
              </w:rPr>
            </w:pPr>
            <w:r w:rsidRPr="000B4886">
              <w:rPr>
                <w:rFonts w:ascii="Arial" w:hAnsi="Arial" w:cs="Arial"/>
                <w:sz w:val="20"/>
                <w:szCs w:val="20"/>
              </w:rPr>
              <w:t>Inhale and ba</w:t>
            </w:r>
            <w:r w:rsidR="00D336C0" w:rsidRPr="000B4886">
              <w:rPr>
                <w:rFonts w:ascii="Arial" w:hAnsi="Arial" w:cs="Arial"/>
                <w:sz w:val="20"/>
                <w:szCs w:val="20"/>
              </w:rPr>
              <w:t>the</w:t>
            </w:r>
            <w:r w:rsidRPr="000B4886">
              <w:rPr>
                <w:rFonts w:ascii="Arial" w:hAnsi="Arial" w:cs="Arial"/>
                <w:sz w:val="20"/>
                <w:szCs w:val="20"/>
              </w:rPr>
              <w:t xml:space="preserve"> local herbs</w:t>
            </w:r>
          </w:p>
        </w:tc>
        <w:tc>
          <w:tcPr>
            <w:tcW w:w="2976" w:type="dxa"/>
            <w:hideMark/>
          </w:tcPr>
          <w:p w14:paraId="7A3CD28F" w14:textId="77777777" w:rsidR="00911497" w:rsidRPr="000B4886" w:rsidRDefault="00911497" w:rsidP="00690CD4">
            <w:pPr>
              <w:rPr>
                <w:rFonts w:ascii="Arial" w:hAnsi="Arial" w:cs="Arial"/>
                <w:sz w:val="20"/>
                <w:szCs w:val="20"/>
              </w:rPr>
            </w:pPr>
            <w:r w:rsidRPr="000B4886">
              <w:rPr>
                <w:rFonts w:ascii="Arial" w:hAnsi="Arial" w:cs="Arial"/>
                <w:sz w:val="20"/>
                <w:szCs w:val="20"/>
              </w:rPr>
              <w:t>9                        13.43</w:t>
            </w:r>
          </w:p>
        </w:tc>
      </w:tr>
      <w:tr w:rsidR="00911497" w:rsidRPr="000B4886" w14:paraId="3C16D4AE" w14:textId="77777777" w:rsidTr="009757FE">
        <w:tc>
          <w:tcPr>
            <w:tcW w:w="590" w:type="dxa"/>
            <w:hideMark/>
          </w:tcPr>
          <w:p w14:paraId="1F54FD21" w14:textId="77777777" w:rsidR="00911497" w:rsidRPr="000B4886" w:rsidRDefault="00911497" w:rsidP="00690CD4">
            <w:pPr>
              <w:rPr>
                <w:rFonts w:ascii="Arial" w:hAnsi="Arial" w:cs="Arial"/>
                <w:sz w:val="20"/>
                <w:szCs w:val="20"/>
              </w:rPr>
            </w:pPr>
            <w:r w:rsidRPr="000B4886">
              <w:rPr>
                <w:rFonts w:ascii="Arial" w:hAnsi="Arial" w:cs="Arial"/>
                <w:sz w:val="20"/>
                <w:szCs w:val="20"/>
              </w:rPr>
              <w:t>16</w:t>
            </w:r>
          </w:p>
        </w:tc>
        <w:tc>
          <w:tcPr>
            <w:tcW w:w="5784" w:type="dxa"/>
            <w:hideMark/>
          </w:tcPr>
          <w:p w14:paraId="1A7FA791" w14:textId="77777777" w:rsidR="00911497" w:rsidRPr="000B4886" w:rsidRDefault="00D336C0" w:rsidP="00690CD4">
            <w:pPr>
              <w:rPr>
                <w:rFonts w:ascii="Arial" w:hAnsi="Arial" w:cs="Arial"/>
                <w:sz w:val="20"/>
                <w:szCs w:val="20"/>
              </w:rPr>
            </w:pPr>
            <w:r w:rsidRPr="000B4886">
              <w:rPr>
                <w:rFonts w:ascii="Arial" w:hAnsi="Arial" w:cs="Arial"/>
                <w:sz w:val="20"/>
                <w:szCs w:val="20"/>
              </w:rPr>
              <w:t>Boil and drink Moringa +Bitter leaf</w:t>
            </w:r>
          </w:p>
        </w:tc>
        <w:tc>
          <w:tcPr>
            <w:tcW w:w="2976" w:type="dxa"/>
            <w:hideMark/>
          </w:tcPr>
          <w:p w14:paraId="2E4C3194"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4E0315AF" w14:textId="77777777" w:rsidTr="009757FE">
        <w:tc>
          <w:tcPr>
            <w:tcW w:w="590" w:type="dxa"/>
            <w:hideMark/>
          </w:tcPr>
          <w:p w14:paraId="52E9EFDA" w14:textId="77777777" w:rsidR="00911497" w:rsidRPr="000B4886" w:rsidRDefault="00911497" w:rsidP="00690CD4">
            <w:pPr>
              <w:rPr>
                <w:rFonts w:ascii="Arial" w:hAnsi="Arial" w:cs="Arial"/>
                <w:sz w:val="20"/>
                <w:szCs w:val="20"/>
              </w:rPr>
            </w:pPr>
            <w:r w:rsidRPr="000B4886">
              <w:rPr>
                <w:rFonts w:ascii="Arial" w:hAnsi="Arial" w:cs="Arial"/>
                <w:sz w:val="20"/>
                <w:szCs w:val="20"/>
              </w:rPr>
              <w:t>17</w:t>
            </w:r>
          </w:p>
        </w:tc>
        <w:tc>
          <w:tcPr>
            <w:tcW w:w="5784" w:type="dxa"/>
            <w:hideMark/>
          </w:tcPr>
          <w:p w14:paraId="73A35376" w14:textId="77777777" w:rsidR="00911497" w:rsidRPr="000B4886" w:rsidRDefault="00D336C0" w:rsidP="00690CD4">
            <w:pPr>
              <w:rPr>
                <w:rFonts w:ascii="Arial" w:hAnsi="Arial" w:cs="Arial"/>
                <w:sz w:val="20"/>
                <w:szCs w:val="20"/>
              </w:rPr>
            </w:pPr>
            <w:r w:rsidRPr="000B4886">
              <w:rPr>
                <w:rFonts w:ascii="Arial" w:hAnsi="Arial" w:cs="Arial"/>
                <w:sz w:val="20"/>
                <w:szCs w:val="20"/>
              </w:rPr>
              <w:t>Boil and drink M</w:t>
            </w:r>
            <w:r w:rsidR="00911497" w:rsidRPr="000B4886">
              <w:rPr>
                <w:rFonts w:ascii="Arial" w:hAnsi="Arial" w:cs="Arial"/>
                <w:sz w:val="20"/>
                <w:szCs w:val="20"/>
              </w:rPr>
              <w:t>oringa leaves</w:t>
            </w:r>
          </w:p>
        </w:tc>
        <w:tc>
          <w:tcPr>
            <w:tcW w:w="2976" w:type="dxa"/>
            <w:hideMark/>
          </w:tcPr>
          <w:p w14:paraId="5BC5CAD4" w14:textId="77777777" w:rsidR="00911497" w:rsidRPr="000B4886" w:rsidRDefault="00911497" w:rsidP="00690CD4">
            <w:pPr>
              <w:rPr>
                <w:rFonts w:ascii="Arial" w:hAnsi="Arial" w:cs="Arial"/>
                <w:sz w:val="20"/>
                <w:szCs w:val="20"/>
              </w:rPr>
            </w:pPr>
            <w:r w:rsidRPr="000B4886">
              <w:rPr>
                <w:rFonts w:ascii="Arial" w:hAnsi="Arial" w:cs="Arial"/>
                <w:sz w:val="20"/>
                <w:szCs w:val="20"/>
              </w:rPr>
              <w:t>3                          4.48</w:t>
            </w:r>
          </w:p>
        </w:tc>
      </w:tr>
      <w:tr w:rsidR="00911497" w:rsidRPr="000B4886" w14:paraId="49A9FF39" w14:textId="77777777" w:rsidTr="000C6268">
        <w:tc>
          <w:tcPr>
            <w:tcW w:w="590" w:type="dxa"/>
            <w:tcBorders>
              <w:bottom w:val="nil"/>
            </w:tcBorders>
            <w:hideMark/>
          </w:tcPr>
          <w:p w14:paraId="6763BF47" w14:textId="77777777" w:rsidR="00911497" w:rsidRPr="000B4886" w:rsidRDefault="00911497" w:rsidP="00690CD4">
            <w:pPr>
              <w:rPr>
                <w:rFonts w:ascii="Arial" w:hAnsi="Arial" w:cs="Arial"/>
                <w:sz w:val="20"/>
                <w:szCs w:val="20"/>
              </w:rPr>
            </w:pPr>
            <w:r w:rsidRPr="000B4886">
              <w:rPr>
                <w:rFonts w:ascii="Arial" w:hAnsi="Arial" w:cs="Arial"/>
                <w:sz w:val="20"/>
                <w:szCs w:val="20"/>
              </w:rPr>
              <w:t>18</w:t>
            </w:r>
          </w:p>
        </w:tc>
        <w:tc>
          <w:tcPr>
            <w:tcW w:w="5784" w:type="dxa"/>
            <w:tcBorders>
              <w:bottom w:val="nil"/>
            </w:tcBorders>
            <w:hideMark/>
          </w:tcPr>
          <w:p w14:paraId="78ADE56D" w14:textId="77777777" w:rsidR="00911497" w:rsidRPr="000B4886" w:rsidRDefault="00D336C0" w:rsidP="00690CD4">
            <w:pPr>
              <w:rPr>
                <w:rFonts w:ascii="Arial" w:hAnsi="Arial" w:cs="Arial"/>
                <w:sz w:val="20"/>
                <w:szCs w:val="20"/>
              </w:rPr>
            </w:pPr>
            <w:r w:rsidRPr="000B4886">
              <w:rPr>
                <w:rFonts w:ascii="Arial" w:hAnsi="Arial" w:cs="Arial"/>
                <w:sz w:val="20"/>
                <w:szCs w:val="20"/>
              </w:rPr>
              <w:t>Pound and drink N</w:t>
            </w:r>
            <w:r w:rsidR="00911497" w:rsidRPr="000B4886">
              <w:rPr>
                <w:rFonts w:ascii="Arial" w:hAnsi="Arial" w:cs="Arial"/>
                <w:sz w:val="20"/>
                <w:szCs w:val="20"/>
              </w:rPr>
              <w:t>eem leaves</w:t>
            </w:r>
          </w:p>
        </w:tc>
        <w:tc>
          <w:tcPr>
            <w:tcW w:w="2976" w:type="dxa"/>
            <w:tcBorders>
              <w:bottom w:val="nil"/>
            </w:tcBorders>
            <w:hideMark/>
          </w:tcPr>
          <w:p w14:paraId="4247703F" w14:textId="77777777" w:rsidR="00911497" w:rsidRPr="000B4886" w:rsidRDefault="00911497" w:rsidP="00690CD4">
            <w:pPr>
              <w:rPr>
                <w:rFonts w:ascii="Arial" w:hAnsi="Arial" w:cs="Arial"/>
                <w:sz w:val="20"/>
                <w:szCs w:val="20"/>
              </w:rPr>
            </w:pPr>
            <w:r w:rsidRPr="000B4886">
              <w:rPr>
                <w:rFonts w:ascii="Arial" w:hAnsi="Arial" w:cs="Arial"/>
                <w:sz w:val="20"/>
                <w:szCs w:val="20"/>
              </w:rPr>
              <w:t>1                          1.49</w:t>
            </w:r>
          </w:p>
        </w:tc>
      </w:tr>
      <w:tr w:rsidR="00911497" w:rsidRPr="000B4886" w14:paraId="59ED50B0" w14:textId="77777777" w:rsidTr="000C6268">
        <w:tc>
          <w:tcPr>
            <w:tcW w:w="590" w:type="dxa"/>
            <w:tcBorders>
              <w:top w:val="nil"/>
              <w:bottom w:val="single" w:sz="4" w:space="0" w:color="auto"/>
            </w:tcBorders>
            <w:hideMark/>
          </w:tcPr>
          <w:p w14:paraId="19B0FB7C" w14:textId="77777777" w:rsidR="00911497" w:rsidRPr="000B4886" w:rsidRDefault="00911497" w:rsidP="00690CD4">
            <w:pPr>
              <w:rPr>
                <w:rFonts w:ascii="Arial" w:hAnsi="Arial" w:cs="Arial"/>
                <w:sz w:val="20"/>
                <w:szCs w:val="20"/>
              </w:rPr>
            </w:pPr>
            <w:r w:rsidRPr="000B4886">
              <w:rPr>
                <w:rFonts w:ascii="Arial" w:hAnsi="Arial" w:cs="Arial"/>
                <w:sz w:val="20"/>
                <w:szCs w:val="20"/>
              </w:rPr>
              <w:t>19</w:t>
            </w:r>
          </w:p>
        </w:tc>
        <w:tc>
          <w:tcPr>
            <w:tcW w:w="5784" w:type="dxa"/>
            <w:tcBorders>
              <w:top w:val="nil"/>
              <w:bottom w:val="single" w:sz="4" w:space="0" w:color="auto"/>
            </w:tcBorders>
            <w:hideMark/>
          </w:tcPr>
          <w:p w14:paraId="35AC8C5B" w14:textId="77777777" w:rsidR="00911497" w:rsidRPr="000B4886" w:rsidRDefault="00911497" w:rsidP="00690CD4">
            <w:pPr>
              <w:rPr>
                <w:rFonts w:ascii="Arial" w:hAnsi="Arial" w:cs="Arial"/>
                <w:sz w:val="20"/>
                <w:szCs w:val="20"/>
              </w:rPr>
            </w:pPr>
            <w:r w:rsidRPr="000B4886">
              <w:rPr>
                <w:rFonts w:ascii="Arial" w:hAnsi="Arial" w:cs="Arial"/>
                <w:sz w:val="20"/>
                <w:szCs w:val="20"/>
              </w:rPr>
              <w:t>Soak local herbs in gin and drink</w:t>
            </w:r>
          </w:p>
        </w:tc>
        <w:tc>
          <w:tcPr>
            <w:tcW w:w="2976" w:type="dxa"/>
            <w:tcBorders>
              <w:top w:val="nil"/>
              <w:bottom w:val="single" w:sz="4" w:space="0" w:color="auto"/>
            </w:tcBorders>
            <w:hideMark/>
          </w:tcPr>
          <w:p w14:paraId="37913D66" w14:textId="77777777" w:rsidR="00911497" w:rsidRPr="000B4886" w:rsidRDefault="00911497" w:rsidP="00690CD4">
            <w:pPr>
              <w:rPr>
                <w:rFonts w:ascii="Arial" w:hAnsi="Arial" w:cs="Arial"/>
                <w:sz w:val="20"/>
                <w:szCs w:val="20"/>
              </w:rPr>
            </w:pPr>
            <w:r w:rsidRPr="000B4886">
              <w:rPr>
                <w:rFonts w:ascii="Arial" w:hAnsi="Arial" w:cs="Arial"/>
                <w:sz w:val="20"/>
                <w:szCs w:val="20"/>
              </w:rPr>
              <w:t>5                          7.46</w:t>
            </w:r>
          </w:p>
        </w:tc>
      </w:tr>
      <w:tr w:rsidR="009757FE" w:rsidRPr="000B4886" w14:paraId="13EE4DA9" w14:textId="77777777" w:rsidTr="000C6268">
        <w:tc>
          <w:tcPr>
            <w:tcW w:w="590" w:type="dxa"/>
            <w:tcBorders>
              <w:top w:val="single" w:sz="4" w:space="0" w:color="auto"/>
              <w:bottom w:val="single" w:sz="4" w:space="0" w:color="auto"/>
            </w:tcBorders>
          </w:tcPr>
          <w:p w14:paraId="003D5997" w14:textId="77777777" w:rsidR="009757FE" w:rsidRPr="000B4886" w:rsidRDefault="009757FE" w:rsidP="00690CD4">
            <w:pPr>
              <w:rPr>
                <w:rFonts w:ascii="Arial" w:hAnsi="Arial" w:cs="Arial"/>
                <w:sz w:val="20"/>
                <w:szCs w:val="20"/>
              </w:rPr>
            </w:pPr>
          </w:p>
        </w:tc>
        <w:tc>
          <w:tcPr>
            <w:tcW w:w="5784" w:type="dxa"/>
            <w:tcBorders>
              <w:top w:val="single" w:sz="4" w:space="0" w:color="auto"/>
              <w:bottom w:val="single" w:sz="4" w:space="0" w:color="auto"/>
            </w:tcBorders>
          </w:tcPr>
          <w:p w14:paraId="4CA2ADAD" w14:textId="77777777" w:rsidR="009757FE" w:rsidRPr="000B4886" w:rsidRDefault="009757FE" w:rsidP="00690CD4">
            <w:pPr>
              <w:rPr>
                <w:rFonts w:ascii="Arial" w:hAnsi="Arial" w:cs="Arial"/>
                <w:sz w:val="20"/>
                <w:szCs w:val="20"/>
              </w:rPr>
            </w:pPr>
            <w:r w:rsidRPr="000B4886">
              <w:rPr>
                <w:rFonts w:ascii="Arial" w:hAnsi="Arial" w:cs="Arial"/>
                <w:sz w:val="20"/>
                <w:szCs w:val="20"/>
              </w:rPr>
              <w:t>Total</w:t>
            </w:r>
          </w:p>
        </w:tc>
        <w:tc>
          <w:tcPr>
            <w:tcW w:w="2976" w:type="dxa"/>
            <w:tcBorders>
              <w:top w:val="single" w:sz="4" w:space="0" w:color="auto"/>
              <w:bottom w:val="single" w:sz="4" w:space="0" w:color="auto"/>
            </w:tcBorders>
          </w:tcPr>
          <w:p w14:paraId="17EDAC0E" w14:textId="77777777" w:rsidR="009757FE" w:rsidRPr="000B4886" w:rsidRDefault="009757FE" w:rsidP="009757FE">
            <w:pPr>
              <w:tabs>
                <w:tab w:val="center" w:pos="1380"/>
              </w:tabs>
              <w:rPr>
                <w:rFonts w:ascii="Arial" w:hAnsi="Arial" w:cs="Arial"/>
                <w:sz w:val="20"/>
                <w:szCs w:val="20"/>
              </w:rPr>
            </w:pPr>
            <w:r w:rsidRPr="000B4886">
              <w:rPr>
                <w:rFonts w:ascii="Arial" w:hAnsi="Arial" w:cs="Arial"/>
                <w:sz w:val="20"/>
                <w:szCs w:val="20"/>
              </w:rPr>
              <w:t>67</w:t>
            </w:r>
            <w:r w:rsidRPr="000B4886">
              <w:rPr>
                <w:rFonts w:ascii="Arial" w:hAnsi="Arial" w:cs="Arial"/>
                <w:sz w:val="20"/>
                <w:szCs w:val="20"/>
              </w:rPr>
              <w:tab/>
              <w:t xml:space="preserve">            100</w:t>
            </w:r>
          </w:p>
        </w:tc>
      </w:tr>
    </w:tbl>
    <w:p w14:paraId="38260531" w14:textId="77777777" w:rsidR="008E146C" w:rsidRPr="000B4886" w:rsidRDefault="008E146C" w:rsidP="00911497">
      <w:pPr>
        <w:spacing w:after="200"/>
        <w:jc w:val="both"/>
        <w:rPr>
          <w:rFonts w:ascii="Arial" w:hAnsi="Arial" w:cs="Arial"/>
          <w:b/>
          <w:bCs/>
        </w:rPr>
      </w:pPr>
    </w:p>
    <w:p w14:paraId="25A1F681" w14:textId="77777777" w:rsidR="008E146C" w:rsidRPr="000B4886" w:rsidRDefault="00AB6114" w:rsidP="00911497">
      <w:pPr>
        <w:spacing w:after="200"/>
        <w:jc w:val="both"/>
        <w:rPr>
          <w:rFonts w:ascii="Arial" w:hAnsi="Arial" w:cs="Arial"/>
          <w:b/>
          <w:i/>
        </w:rPr>
      </w:pPr>
      <w:r w:rsidRPr="000B4886">
        <w:rPr>
          <w:rFonts w:ascii="Arial" w:hAnsi="Arial" w:cs="Arial"/>
          <w:b/>
          <w:i/>
        </w:rPr>
        <w:t xml:space="preserve">3.1.1.1.1.1 </w:t>
      </w:r>
      <w:r w:rsidR="00911497" w:rsidRPr="000B4886">
        <w:rPr>
          <w:rFonts w:ascii="Arial" w:hAnsi="Arial" w:cs="Arial"/>
          <w:b/>
          <w:i/>
        </w:rPr>
        <w:t>Reasons Study Participants Seek Traditional Remedies</w:t>
      </w:r>
    </w:p>
    <w:p w14:paraId="517A7433" w14:textId="23F4DDAD" w:rsidR="00CF2265" w:rsidRPr="0022610B" w:rsidRDefault="00A40BB4" w:rsidP="00A40BB4">
      <w:pPr>
        <w:pStyle w:val="NormalWeb"/>
        <w:jc w:val="both"/>
        <w:rPr>
          <w:rFonts w:ascii="Arial" w:hAnsi="Arial" w:cs="Arial"/>
          <w:bCs/>
          <w:sz w:val="20"/>
          <w:szCs w:val="20"/>
        </w:rPr>
      </w:pPr>
      <w:r w:rsidRPr="0022610B">
        <w:rPr>
          <w:bCs/>
        </w:rPr>
        <w:t xml:space="preserve">The most frequently reported reason for choosing traditional remedies was that they were easy to obtain and acted quickly, accounting for 32.26% (n = 20) of responses. Closely related to accessibility, 25.81% (n = 16) of participants specifically noted that herbal treatments worked faster. Together, these two reasons accounted for 58.07% (n = 36) of responses. In addition, 17.74% (n = 11) chose traditional remedies because they had been recommended as effective. Meanwhile, 11.29% (n = 7) turned to herbs when symptoms persisted. A smaller proportion of participants viewed these practices through a holistic or preventive lens, with 6.45% (n = 4) using them because they believed they acted as cleansers and 4.84% (n = 3) using them for infection prevention. Only 1.61% (n = 1) cited lack of money to buy antimalarial drugs as the reason, as shown in Table </w:t>
      </w:r>
      <w:r w:rsidR="00051D4F">
        <w:rPr>
          <w:bCs/>
        </w:rPr>
        <w:t>5</w:t>
      </w:r>
      <w:r w:rsidRPr="0022610B">
        <w:rPr>
          <w:bCs/>
        </w:rPr>
        <w:t>.</w:t>
      </w:r>
    </w:p>
    <w:p w14:paraId="61C8B15A" w14:textId="0868377D" w:rsidR="00911497" w:rsidRPr="000B4886" w:rsidRDefault="00911497" w:rsidP="00911497">
      <w:pPr>
        <w:spacing w:after="200"/>
        <w:jc w:val="both"/>
        <w:rPr>
          <w:rFonts w:ascii="Arial" w:hAnsi="Arial" w:cs="Arial"/>
          <w:b/>
        </w:rPr>
      </w:pPr>
      <w:r w:rsidRPr="000B4886">
        <w:rPr>
          <w:rFonts w:ascii="Arial" w:hAnsi="Arial" w:cs="Arial"/>
          <w:b/>
        </w:rPr>
        <w:t xml:space="preserve">Table </w:t>
      </w:r>
      <w:r w:rsidR="004835EA">
        <w:rPr>
          <w:rFonts w:ascii="Arial" w:hAnsi="Arial" w:cs="Arial"/>
          <w:b/>
        </w:rPr>
        <w:t>5</w:t>
      </w:r>
      <w:r w:rsidRPr="000B4886">
        <w:rPr>
          <w:rFonts w:ascii="Arial" w:hAnsi="Arial" w:cs="Arial"/>
          <w:b/>
        </w:rPr>
        <w:t>: Reasons Study Participants Seek Traditional Remedies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7290"/>
        <w:gridCol w:w="1525"/>
      </w:tblGrid>
      <w:tr w:rsidR="00911497" w:rsidRPr="000B4886" w14:paraId="7365FD34" w14:textId="77777777" w:rsidTr="00A40BB4">
        <w:tc>
          <w:tcPr>
            <w:tcW w:w="535" w:type="dxa"/>
            <w:tcBorders>
              <w:top w:val="single" w:sz="4" w:space="0" w:color="auto"/>
              <w:bottom w:val="single" w:sz="4" w:space="0" w:color="auto"/>
            </w:tcBorders>
            <w:hideMark/>
          </w:tcPr>
          <w:p w14:paraId="6B48A7F4" w14:textId="77777777" w:rsidR="00911497" w:rsidRPr="000B4886" w:rsidRDefault="00911497" w:rsidP="00690CD4">
            <w:pPr>
              <w:rPr>
                <w:rFonts w:ascii="Arial" w:hAnsi="Arial" w:cs="Arial"/>
                <w:sz w:val="20"/>
                <w:szCs w:val="20"/>
              </w:rPr>
            </w:pPr>
            <w:r w:rsidRPr="000B4886">
              <w:rPr>
                <w:rFonts w:ascii="Arial" w:hAnsi="Arial" w:cs="Arial"/>
                <w:sz w:val="20"/>
                <w:szCs w:val="20"/>
              </w:rPr>
              <w:t>S/N</w:t>
            </w:r>
          </w:p>
        </w:tc>
        <w:tc>
          <w:tcPr>
            <w:tcW w:w="7290" w:type="dxa"/>
            <w:tcBorders>
              <w:top w:val="single" w:sz="4" w:space="0" w:color="auto"/>
              <w:bottom w:val="single" w:sz="4" w:space="0" w:color="auto"/>
            </w:tcBorders>
            <w:hideMark/>
          </w:tcPr>
          <w:p w14:paraId="5D6028CF" w14:textId="77777777" w:rsidR="00911497" w:rsidRPr="000B4886" w:rsidRDefault="00911497" w:rsidP="00690CD4">
            <w:pPr>
              <w:rPr>
                <w:rFonts w:ascii="Arial" w:hAnsi="Arial" w:cs="Arial"/>
                <w:sz w:val="20"/>
                <w:szCs w:val="20"/>
              </w:rPr>
            </w:pPr>
            <w:r w:rsidRPr="000B4886">
              <w:rPr>
                <w:rFonts w:ascii="Arial" w:hAnsi="Arial" w:cs="Arial"/>
                <w:sz w:val="20"/>
                <w:szCs w:val="20"/>
              </w:rPr>
              <w:t>Reasons for Herbal Use</w:t>
            </w:r>
          </w:p>
        </w:tc>
        <w:tc>
          <w:tcPr>
            <w:tcW w:w="1525" w:type="dxa"/>
            <w:tcBorders>
              <w:top w:val="single" w:sz="4" w:space="0" w:color="auto"/>
              <w:bottom w:val="single" w:sz="4" w:space="0" w:color="auto"/>
            </w:tcBorders>
            <w:hideMark/>
          </w:tcPr>
          <w:p w14:paraId="4D0A8010" w14:textId="77777777" w:rsidR="00BF6D88" w:rsidRPr="000B4886" w:rsidRDefault="00911497" w:rsidP="00690CD4">
            <w:pPr>
              <w:rPr>
                <w:rFonts w:ascii="Arial" w:hAnsi="Arial" w:cs="Arial"/>
                <w:sz w:val="20"/>
                <w:szCs w:val="20"/>
              </w:rPr>
            </w:pPr>
            <w:r w:rsidRPr="000B4886">
              <w:rPr>
                <w:rFonts w:ascii="Arial" w:hAnsi="Arial" w:cs="Arial"/>
                <w:sz w:val="20"/>
                <w:szCs w:val="20"/>
              </w:rPr>
              <w:t>Number</w:t>
            </w:r>
            <w:r w:rsidR="00A40BB4" w:rsidRPr="000B4886">
              <w:rPr>
                <w:rFonts w:ascii="Arial" w:hAnsi="Arial" w:cs="Arial"/>
                <w:sz w:val="20"/>
                <w:szCs w:val="20"/>
              </w:rPr>
              <w:t xml:space="preserve"> </w:t>
            </w:r>
            <w:r w:rsidR="00584515" w:rsidRPr="000B4886">
              <w:rPr>
                <w:rFonts w:ascii="Arial" w:hAnsi="Arial" w:cs="Arial"/>
                <w:sz w:val="20"/>
                <w:szCs w:val="20"/>
              </w:rPr>
              <w:t xml:space="preserve">of responses </w:t>
            </w:r>
          </w:p>
          <w:p w14:paraId="26DFD11D" w14:textId="77777777" w:rsidR="00911497" w:rsidRPr="000B4886" w:rsidRDefault="00584515" w:rsidP="00690CD4">
            <w:pPr>
              <w:rPr>
                <w:rFonts w:ascii="Arial" w:hAnsi="Arial" w:cs="Arial"/>
                <w:sz w:val="20"/>
                <w:szCs w:val="20"/>
              </w:rPr>
            </w:pPr>
            <w:r w:rsidRPr="000B4886">
              <w:rPr>
                <w:rFonts w:ascii="Arial" w:hAnsi="Arial" w:cs="Arial"/>
                <w:sz w:val="20"/>
                <w:szCs w:val="20"/>
              </w:rPr>
              <w:t>n</w:t>
            </w:r>
            <w:r w:rsidR="00911497" w:rsidRPr="000B4886">
              <w:rPr>
                <w:rFonts w:ascii="Arial" w:hAnsi="Arial" w:cs="Arial"/>
                <w:sz w:val="20"/>
                <w:szCs w:val="20"/>
              </w:rPr>
              <w:t xml:space="preserve"> (%)</w:t>
            </w:r>
          </w:p>
        </w:tc>
      </w:tr>
      <w:tr w:rsidR="00911497" w:rsidRPr="000B4886" w14:paraId="1760BF98" w14:textId="77777777" w:rsidTr="00A40BB4">
        <w:trPr>
          <w:trHeight w:val="170"/>
        </w:trPr>
        <w:tc>
          <w:tcPr>
            <w:tcW w:w="535" w:type="dxa"/>
            <w:tcBorders>
              <w:top w:val="single" w:sz="4" w:space="0" w:color="auto"/>
              <w:bottom w:val="nil"/>
            </w:tcBorders>
            <w:hideMark/>
          </w:tcPr>
          <w:p w14:paraId="2AAFB285" w14:textId="77777777" w:rsidR="00911497" w:rsidRPr="000B4886" w:rsidRDefault="00911497" w:rsidP="00690CD4">
            <w:pPr>
              <w:rPr>
                <w:rFonts w:ascii="Arial" w:hAnsi="Arial" w:cs="Arial"/>
                <w:sz w:val="20"/>
                <w:szCs w:val="20"/>
              </w:rPr>
            </w:pPr>
            <w:r w:rsidRPr="000B4886">
              <w:rPr>
                <w:rFonts w:ascii="Arial" w:hAnsi="Arial" w:cs="Arial"/>
                <w:sz w:val="20"/>
                <w:szCs w:val="20"/>
              </w:rPr>
              <w:t>1</w:t>
            </w:r>
          </w:p>
        </w:tc>
        <w:tc>
          <w:tcPr>
            <w:tcW w:w="7290" w:type="dxa"/>
            <w:tcBorders>
              <w:top w:val="single" w:sz="4" w:space="0" w:color="auto"/>
              <w:bottom w:val="nil"/>
            </w:tcBorders>
            <w:hideMark/>
          </w:tcPr>
          <w:p w14:paraId="31607142" w14:textId="77777777" w:rsidR="00911497" w:rsidRPr="000B4886" w:rsidRDefault="00911497" w:rsidP="00690CD4">
            <w:pPr>
              <w:rPr>
                <w:rFonts w:ascii="Arial" w:hAnsi="Arial" w:cs="Arial"/>
                <w:sz w:val="20"/>
                <w:szCs w:val="20"/>
              </w:rPr>
            </w:pPr>
            <w:r w:rsidRPr="000B4886">
              <w:rPr>
                <w:rFonts w:ascii="Arial" w:hAnsi="Arial" w:cs="Arial"/>
                <w:sz w:val="20"/>
                <w:szCs w:val="20"/>
              </w:rPr>
              <w:t>It is a cleanser</w:t>
            </w:r>
          </w:p>
        </w:tc>
        <w:tc>
          <w:tcPr>
            <w:tcW w:w="1525" w:type="dxa"/>
            <w:tcBorders>
              <w:top w:val="single" w:sz="4" w:space="0" w:color="auto"/>
              <w:bottom w:val="nil"/>
            </w:tcBorders>
            <w:hideMark/>
          </w:tcPr>
          <w:p w14:paraId="5BE5BBC1" w14:textId="77777777" w:rsidR="00911497" w:rsidRPr="000B4886" w:rsidRDefault="00911497" w:rsidP="00690CD4">
            <w:pPr>
              <w:rPr>
                <w:rFonts w:ascii="Arial" w:hAnsi="Arial" w:cs="Arial"/>
                <w:sz w:val="20"/>
                <w:szCs w:val="20"/>
              </w:rPr>
            </w:pPr>
            <w:r w:rsidRPr="000B4886">
              <w:rPr>
                <w:rFonts w:ascii="Arial" w:hAnsi="Arial" w:cs="Arial"/>
                <w:sz w:val="20"/>
                <w:szCs w:val="20"/>
              </w:rPr>
              <w:t>4</w:t>
            </w:r>
            <w:r w:rsidR="00584515" w:rsidRPr="000B4886">
              <w:rPr>
                <w:rFonts w:ascii="Arial" w:hAnsi="Arial" w:cs="Arial"/>
                <w:sz w:val="20"/>
                <w:szCs w:val="20"/>
              </w:rPr>
              <w:t xml:space="preserve"> </w:t>
            </w:r>
            <w:r w:rsidR="00854910" w:rsidRPr="000B4886">
              <w:rPr>
                <w:rFonts w:ascii="Arial" w:hAnsi="Arial" w:cs="Arial"/>
                <w:sz w:val="20"/>
                <w:szCs w:val="20"/>
              </w:rPr>
              <w:t>(6.45</w:t>
            </w:r>
            <w:r w:rsidRPr="000B4886">
              <w:rPr>
                <w:rFonts w:ascii="Arial" w:hAnsi="Arial" w:cs="Arial"/>
                <w:sz w:val="20"/>
                <w:szCs w:val="20"/>
              </w:rPr>
              <w:t>)</w:t>
            </w:r>
          </w:p>
        </w:tc>
      </w:tr>
      <w:tr w:rsidR="00911497" w:rsidRPr="000B4886" w14:paraId="44D08C2B" w14:textId="77777777" w:rsidTr="00A40BB4">
        <w:tc>
          <w:tcPr>
            <w:tcW w:w="535" w:type="dxa"/>
            <w:tcBorders>
              <w:top w:val="nil"/>
            </w:tcBorders>
            <w:hideMark/>
          </w:tcPr>
          <w:p w14:paraId="75A2F3F2" w14:textId="77777777" w:rsidR="00911497" w:rsidRPr="000B4886" w:rsidRDefault="00911497" w:rsidP="00690CD4">
            <w:pPr>
              <w:rPr>
                <w:rFonts w:ascii="Arial" w:hAnsi="Arial" w:cs="Arial"/>
                <w:sz w:val="20"/>
                <w:szCs w:val="20"/>
              </w:rPr>
            </w:pPr>
            <w:r w:rsidRPr="000B4886">
              <w:rPr>
                <w:rFonts w:ascii="Arial" w:hAnsi="Arial" w:cs="Arial"/>
                <w:sz w:val="20"/>
                <w:szCs w:val="20"/>
              </w:rPr>
              <w:t>2</w:t>
            </w:r>
          </w:p>
        </w:tc>
        <w:tc>
          <w:tcPr>
            <w:tcW w:w="7290" w:type="dxa"/>
            <w:tcBorders>
              <w:top w:val="nil"/>
            </w:tcBorders>
            <w:hideMark/>
          </w:tcPr>
          <w:p w14:paraId="077580EE" w14:textId="77777777" w:rsidR="00911497" w:rsidRPr="000B4886" w:rsidRDefault="00911497" w:rsidP="00690CD4">
            <w:pPr>
              <w:rPr>
                <w:rFonts w:ascii="Arial" w:hAnsi="Arial" w:cs="Arial"/>
                <w:sz w:val="20"/>
                <w:szCs w:val="20"/>
              </w:rPr>
            </w:pPr>
            <w:r w:rsidRPr="000B4886">
              <w:rPr>
                <w:rFonts w:ascii="Arial" w:hAnsi="Arial" w:cs="Arial"/>
                <w:sz w:val="20"/>
                <w:szCs w:val="20"/>
              </w:rPr>
              <w:t>Easy to get and fast in action</w:t>
            </w:r>
          </w:p>
        </w:tc>
        <w:tc>
          <w:tcPr>
            <w:tcW w:w="1525" w:type="dxa"/>
            <w:tcBorders>
              <w:top w:val="nil"/>
            </w:tcBorders>
            <w:hideMark/>
          </w:tcPr>
          <w:p w14:paraId="41DFE13C" w14:textId="77777777" w:rsidR="00911497" w:rsidRPr="000B4886" w:rsidRDefault="00854910" w:rsidP="00690CD4">
            <w:pPr>
              <w:rPr>
                <w:rFonts w:ascii="Arial" w:hAnsi="Arial" w:cs="Arial"/>
                <w:sz w:val="20"/>
                <w:szCs w:val="20"/>
              </w:rPr>
            </w:pPr>
            <w:r w:rsidRPr="000B4886">
              <w:rPr>
                <w:rFonts w:ascii="Arial" w:hAnsi="Arial" w:cs="Arial"/>
                <w:sz w:val="20"/>
                <w:szCs w:val="20"/>
              </w:rPr>
              <w:t>20(32.26</w:t>
            </w:r>
            <w:r w:rsidR="00911497" w:rsidRPr="000B4886">
              <w:rPr>
                <w:rFonts w:ascii="Arial" w:hAnsi="Arial" w:cs="Arial"/>
                <w:sz w:val="20"/>
                <w:szCs w:val="20"/>
              </w:rPr>
              <w:t>)</w:t>
            </w:r>
          </w:p>
        </w:tc>
      </w:tr>
      <w:tr w:rsidR="00911497" w:rsidRPr="000B4886" w14:paraId="7B4C2C12" w14:textId="77777777" w:rsidTr="00A40BB4">
        <w:tc>
          <w:tcPr>
            <w:tcW w:w="535" w:type="dxa"/>
            <w:hideMark/>
          </w:tcPr>
          <w:p w14:paraId="0F9E3181" w14:textId="77777777" w:rsidR="00911497" w:rsidRPr="000B4886" w:rsidRDefault="00911497" w:rsidP="00690CD4">
            <w:pPr>
              <w:rPr>
                <w:rFonts w:ascii="Arial" w:hAnsi="Arial" w:cs="Arial"/>
                <w:sz w:val="20"/>
                <w:szCs w:val="20"/>
              </w:rPr>
            </w:pPr>
            <w:r w:rsidRPr="000B4886">
              <w:rPr>
                <w:rFonts w:ascii="Arial" w:hAnsi="Arial" w:cs="Arial"/>
                <w:sz w:val="20"/>
                <w:szCs w:val="20"/>
              </w:rPr>
              <w:t>3</w:t>
            </w:r>
          </w:p>
        </w:tc>
        <w:tc>
          <w:tcPr>
            <w:tcW w:w="7290" w:type="dxa"/>
            <w:hideMark/>
          </w:tcPr>
          <w:p w14:paraId="42DDDA36" w14:textId="77777777" w:rsidR="00911497" w:rsidRPr="000B4886" w:rsidRDefault="00911497" w:rsidP="00690CD4">
            <w:pPr>
              <w:rPr>
                <w:rFonts w:ascii="Arial" w:hAnsi="Arial" w:cs="Arial"/>
                <w:sz w:val="20"/>
                <w:szCs w:val="20"/>
              </w:rPr>
            </w:pPr>
            <w:r w:rsidRPr="000B4886">
              <w:rPr>
                <w:rFonts w:ascii="Arial" w:hAnsi="Arial" w:cs="Arial"/>
                <w:sz w:val="20"/>
                <w:szCs w:val="20"/>
              </w:rPr>
              <w:t xml:space="preserve">For </w:t>
            </w:r>
            <w:r w:rsidR="00584515" w:rsidRPr="000B4886">
              <w:rPr>
                <w:rFonts w:ascii="Arial" w:hAnsi="Arial" w:cs="Arial"/>
                <w:sz w:val="20"/>
                <w:szCs w:val="20"/>
              </w:rPr>
              <w:t xml:space="preserve">the </w:t>
            </w:r>
            <w:r w:rsidRPr="000B4886">
              <w:rPr>
                <w:rFonts w:ascii="Arial" w:hAnsi="Arial" w:cs="Arial"/>
                <w:sz w:val="20"/>
                <w:szCs w:val="20"/>
              </w:rPr>
              <w:t>prevention of the infection</w:t>
            </w:r>
          </w:p>
        </w:tc>
        <w:tc>
          <w:tcPr>
            <w:tcW w:w="1525" w:type="dxa"/>
            <w:hideMark/>
          </w:tcPr>
          <w:p w14:paraId="540913DF" w14:textId="77777777" w:rsidR="00911497" w:rsidRPr="000B4886" w:rsidRDefault="00854910" w:rsidP="00690CD4">
            <w:pPr>
              <w:rPr>
                <w:rFonts w:ascii="Arial" w:hAnsi="Arial" w:cs="Arial"/>
                <w:sz w:val="20"/>
                <w:szCs w:val="20"/>
              </w:rPr>
            </w:pPr>
            <w:r w:rsidRPr="000B4886">
              <w:rPr>
                <w:rFonts w:ascii="Arial" w:hAnsi="Arial" w:cs="Arial"/>
                <w:sz w:val="20"/>
                <w:szCs w:val="20"/>
              </w:rPr>
              <w:t>3(4.84</w:t>
            </w:r>
            <w:r w:rsidR="00911497" w:rsidRPr="000B4886">
              <w:rPr>
                <w:rFonts w:ascii="Arial" w:hAnsi="Arial" w:cs="Arial"/>
                <w:sz w:val="20"/>
                <w:szCs w:val="20"/>
              </w:rPr>
              <w:t>)</w:t>
            </w:r>
          </w:p>
        </w:tc>
      </w:tr>
      <w:tr w:rsidR="00911497" w:rsidRPr="000B4886" w14:paraId="4991C1AC" w14:textId="77777777" w:rsidTr="00A40BB4">
        <w:tc>
          <w:tcPr>
            <w:tcW w:w="535" w:type="dxa"/>
            <w:hideMark/>
          </w:tcPr>
          <w:p w14:paraId="3443BB7B" w14:textId="77777777" w:rsidR="00911497" w:rsidRPr="000B4886" w:rsidRDefault="00911497" w:rsidP="00690CD4">
            <w:pPr>
              <w:rPr>
                <w:rFonts w:ascii="Arial" w:hAnsi="Arial" w:cs="Arial"/>
                <w:sz w:val="20"/>
                <w:szCs w:val="20"/>
              </w:rPr>
            </w:pPr>
            <w:r w:rsidRPr="000B4886">
              <w:rPr>
                <w:rFonts w:ascii="Arial" w:hAnsi="Arial" w:cs="Arial"/>
                <w:sz w:val="20"/>
                <w:szCs w:val="20"/>
              </w:rPr>
              <w:t>4</w:t>
            </w:r>
          </w:p>
        </w:tc>
        <w:tc>
          <w:tcPr>
            <w:tcW w:w="7290" w:type="dxa"/>
            <w:hideMark/>
          </w:tcPr>
          <w:p w14:paraId="257C2AC9" w14:textId="77777777" w:rsidR="00911497" w:rsidRPr="000B4886" w:rsidRDefault="00911497" w:rsidP="00690CD4">
            <w:pPr>
              <w:rPr>
                <w:rFonts w:ascii="Arial" w:hAnsi="Arial" w:cs="Arial"/>
                <w:sz w:val="20"/>
                <w:szCs w:val="20"/>
              </w:rPr>
            </w:pPr>
            <w:r w:rsidRPr="000B4886">
              <w:rPr>
                <w:rFonts w:ascii="Arial" w:hAnsi="Arial" w:cs="Arial"/>
                <w:sz w:val="20"/>
                <w:szCs w:val="20"/>
              </w:rPr>
              <w:t>No money to buy antimalarial drugs</w:t>
            </w:r>
          </w:p>
        </w:tc>
        <w:tc>
          <w:tcPr>
            <w:tcW w:w="1525" w:type="dxa"/>
            <w:hideMark/>
          </w:tcPr>
          <w:p w14:paraId="27823757" w14:textId="77777777" w:rsidR="00911497" w:rsidRPr="000B4886" w:rsidRDefault="00911497" w:rsidP="00690CD4">
            <w:pPr>
              <w:rPr>
                <w:rFonts w:ascii="Arial" w:hAnsi="Arial" w:cs="Arial"/>
                <w:sz w:val="20"/>
                <w:szCs w:val="20"/>
              </w:rPr>
            </w:pPr>
            <w:r w:rsidRPr="000B4886">
              <w:rPr>
                <w:rFonts w:ascii="Arial" w:hAnsi="Arial" w:cs="Arial"/>
                <w:sz w:val="20"/>
                <w:szCs w:val="20"/>
              </w:rPr>
              <w:t>1(</w:t>
            </w:r>
            <w:r w:rsidR="00854910" w:rsidRPr="000B4886">
              <w:rPr>
                <w:rFonts w:ascii="Arial" w:hAnsi="Arial" w:cs="Arial"/>
                <w:sz w:val="20"/>
                <w:szCs w:val="20"/>
              </w:rPr>
              <w:t>1.61)</w:t>
            </w:r>
          </w:p>
        </w:tc>
      </w:tr>
      <w:tr w:rsidR="00911497" w:rsidRPr="000B4886" w14:paraId="26EA99F2" w14:textId="77777777" w:rsidTr="00A40BB4">
        <w:tc>
          <w:tcPr>
            <w:tcW w:w="535" w:type="dxa"/>
            <w:hideMark/>
          </w:tcPr>
          <w:p w14:paraId="77BFBEBE" w14:textId="77777777" w:rsidR="00911497" w:rsidRPr="000B4886" w:rsidRDefault="00911497" w:rsidP="00690CD4">
            <w:pPr>
              <w:rPr>
                <w:rFonts w:ascii="Arial" w:hAnsi="Arial" w:cs="Arial"/>
                <w:sz w:val="20"/>
                <w:szCs w:val="20"/>
              </w:rPr>
            </w:pPr>
            <w:r w:rsidRPr="000B4886">
              <w:rPr>
                <w:rFonts w:ascii="Arial" w:hAnsi="Arial" w:cs="Arial"/>
                <w:sz w:val="20"/>
                <w:szCs w:val="20"/>
              </w:rPr>
              <w:t>5</w:t>
            </w:r>
          </w:p>
        </w:tc>
        <w:tc>
          <w:tcPr>
            <w:tcW w:w="7290" w:type="dxa"/>
            <w:hideMark/>
          </w:tcPr>
          <w:p w14:paraId="1205885F" w14:textId="77777777" w:rsidR="00911497" w:rsidRPr="000B4886" w:rsidRDefault="00911497" w:rsidP="00690CD4">
            <w:pPr>
              <w:rPr>
                <w:rFonts w:ascii="Arial" w:hAnsi="Arial" w:cs="Arial"/>
                <w:sz w:val="20"/>
                <w:szCs w:val="20"/>
              </w:rPr>
            </w:pPr>
            <w:r w:rsidRPr="000B4886">
              <w:rPr>
                <w:rFonts w:ascii="Arial" w:hAnsi="Arial" w:cs="Arial"/>
                <w:sz w:val="20"/>
                <w:szCs w:val="20"/>
              </w:rPr>
              <w:t>Recommended to be effective</w:t>
            </w:r>
          </w:p>
        </w:tc>
        <w:tc>
          <w:tcPr>
            <w:tcW w:w="1525" w:type="dxa"/>
            <w:hideMark/>
          </w:tcPr>
          <w:p w14:paraId="794D5609" w14:textId="77777777" w:rsidR="00911497" w:rsidRPr="000B4886" w:rsidRDefault="00854910" w:rsidP="00690CD4">
            <w:pPr>
              <w:rPr>
                <w:rFonts w:ascii="Arial" w:hAnsi="Arial" w:cs="Arial"/>
                <w:sz w:val="20"/>
                <w:szCs w:val="20"/>
              </w:rPr>
            </w:pPr>
            <w:r w:rsidRPr="000B4886">
              <w:rPr>
                <w:rFonts w:ascii="Arial" w:hAnsi="Arial" w:cs="Arial"/>
                <w:sz w:val="20"/>
                <w:szCs w:val="20"/>
              </w:rPr>
              <w:t>11(17.74</w:t>
            </w:r>
            <w:r w:rsidR="00911497" w:rsidRPr="000B4886">
              <w:rPr>
                <w:rFonts w:ascii="Arial" w:hAnsi="Arial" w:cs="Arial"/>
                <w:sz w:val="20"/>
                <w:szCs w:val="20"/>
              </w:rPr>
              <w:t>)</w:t>
            </w:r>
          </w:p>
        </w:tc>
      </w:tr>
      <w:tr w:rsidR="00911497" w:rsidRPr="000B4886" w14:paraId="27276AA9" w14:textId="77777777" w:rsidTr="00A40BB4">
        <w:tc>
          <w:tcPr>
            <w:tcW w:w="535" w:type="dxa"/>
            <w:tcBorders>
              <w:bottom w:val="nil"/>
            </w:tcBorders>
            <w:hideMark/>
          </w:tcPr>
          <w:p w14:paraId="1120AA5D" w14:textId="77777777" w:rsidR="00911497" w:rsidRPr="000B4886" w:rsidRDefault="00911497" w:rsidP="00690CD4">
            <w:pPr>
              <w:rPr>
                <w:rFonts w:ascii="Arial" w:hAnsi="Arial" w:cs="Arial"/>
                <w:sz w:val="20"/>
                <w:szCs w:val="20"/>
              </w:rPr>
            </w:pPr>
            <w:r w:rsidRPr="000B4886">
              <w:rPr>
                <w:rFonts w:ascii="Arial" w:hAnsi="Arial" w:cs="Arial"/>
                <w:sz w:val="20"/>
                <w:szCs w:val="20"/>
              </w:rPr>
              <w:t>6</w:t>
            </w:r>
          </w:p>
        </w:tc>
        <w:tc>
          <w:tcPr>
            <w:tcW w:w="7290" w:type="dxa"/>
            <w:tcBorders>
              <w:bottom w:val="nil"/>
            </w:tcBorders>
            <w:hideMark/>
          </w:tcPr>
          <w:p w14:paraId="2D347645" w14:textId="77777777" w:rsidR="00911497" w:rsidRPr="000B4886" w:rsidRDefault="00911497" w:rsidP="00690CD4">
            <w:pPr>
              <w:rPr>
                <w:rFonts w:ascii="Arial" w:hAnsi="Arial" w:cs="Arial"/>
                <w:sz w:val="20"/>
                <w:szCs w:val="20"/>
              </w:rPr>
            </w:pPr>
            <w:r w:rsidRPr="000B4886">
              <w:rPr>
                <w:rFonts w:ascii="Arial" w:hAnsi="Arial" w:cs="Arial"/>
                <w:sz w:val="20"/>
                <w:szCs w:val="20"/>
              </w:rPr>
              <w:t>When symptoms persist</w:t>
            </w:r>
          </w:p>
        </w:tc>
        <w:tc>
          <w:tcPr>
            <w:tcW w:w="1525" w:type="dxa"/>
            <w:tcBorders>
              <w:bottom w:val="nil"/>
            </w:tcBorders>
            <w:hideMark/>
          </w:tcPr>
          <w:p w14:paraId="50AA0FA7" w14:textId="77777777" w:rsidR="00911497" w:rsidRPr="000B4886" w:rsidRDefault="00854910" w:rsidP="00690CD4">
            <w:pPr>
              <w:rPr>
                <w:rFonts w:ascii="Arial" w:hAnsi="Arial" w:cs="Arial"/>
                <w:sz w:val="20"/>
                <w:szCs w:val="20"/>
              </w:rPr>
            </w:pPr>
            <w:r w:rsidRPr="000B4886">
              <w:rPr>
                <w:rFonts w:ascii="Arial" w:hAnsi="Arial" w:cs="Arial"/>
                <w:sz w:val="20"/>
                <w:szCs w:val="20"/>
              </w:rPr>
              <w:t>7(11.29</w:t>
            </w:r>
            <w:r w:rsidR="00911497" w:rsidRPr="000B4886">
              <w:rPr>
                <w:rFonts w:ascii="Arial" w:hAnsi="Arial" w:cs="Arial"/>
                <w:sz w:val="20"/>
                <w:szCs w:val="20"/>
              </w:rPr>
              <w:t>)</w:t>
            </w:r>
          </w:p>
        </w:tc>
      </w:tr>
      <w:tr w:rsidR="00911497" w:rsidRPr="000B4886" w14:paraId="4B6CBEDA" w14:textId="77777777" w:rsidTr="00A40BB4">
        <w:tc>
          <w:tcPr>
            <w:tcW w:w="535" w:type="dxa"/>
            <w:tcBorders>
              <w:top w:val="nil"/>
              <w:bottom w:val="single" w:sz="4" w:space="0" w:color="auto"/>
            </w:tcBorders>
            <w:hideMark/>
          </w:tcPr>
          <w:p w14:paraId="2E33ABF0" w14:textId="77777777" w:rsidR="00911497" w:rsidRPr="000B4886" w:rsidRDefault="00911497" w:rsidP="00690CD4">
            <w:pPr>
              <w:rPr>
                <w:rFonts w:ascii="Arial" w:hAnsi="Arial" w:cs="Arial"/>
                <w:sz w:val="20"/>
                <w:szCs w:val="20"/>
              </w:rPr>
            </w:pPr>
            <w:r w:rsidRPr="000B4886">
              <w:rPr>
                <w:rFonts w:ascii="Arial" w:hAnsi="Arial" w:cs="Arial"/>
                <w:sz w:val="20"/>
                <w:szCs w:val="20"/>
              </w:rPr>
              <w:t>7</w:t>
            </w:r>
          </w:p>
        </w:tc>
        <w:tc>
          <w:tcPr>
            <w:tcW w:w="7290" w:type="dxa"/>
            <w:tcBorders>
              <w:top w:val="nil"/>
              <w:bottom w:val="single" w:sz="4" w:space="0" w:color="auto"/>
            </w:tcBorders>
            <w:hideMark/>
          </w:tcPr>
          <w:p w14:paraId="0F57E82A" w14:textId="77777777" w:rsidR="00911497" w:rsidRPr="000B4886" w:rsidRDefault="00911497" w:rsidP="00690CD4">
            <w:pPr>
              <w:rPr>
                <w:rFonts w:ascii="Arial" w:hAnsi="Arial" w:cs="Arial"/>
                <w:sz w:val="20"/>
                <w:szCs w:val="20"/>
              </w:rPr>
            </w:pPr>
            <w:r w:rsidRPr="000B4886">
              <w:rPr>
                <w:rFonts w:ascii="Arial" w:hAnsi="Arial" w:cs="Arial"/>
                <w:sz w:val="20"/>
                <w:szCs w:val="20"/>
              </w:rPr>
              <w:t>Works faster</w:t>
            </w:r>
          </w:p>
        </w:tc>
        <w:tc>
          <w:tcPr>
            <w:tcW w:w="1525" w:type="dxa"/>
            <w:tcBorders>
              <w:top w:val="nil"/>
              <w:bottom w:val="single" w:sz="4" w:space="0" w:color="auto"/>
            </w:tcBorders>
            <w:hideMark/>
          </w:tcPr>
          <w:p w14:paraId="3A723BCB" w14:textId="77777777" w:rsidR="00911497" w:rsidRPr="000B4886" w:rsidRDefault="00854910" w:rsidP="00690CD4">
            <w:pPr>
              <w:rPr>
                <w:rFonts w:ascii="Arial" w:hAnsi="Arial" w:cs="Arial"/>
                <w:sz w:val="20"/>
                <w:szCs w:val="20"/>
              </w:rPr>
            </w:pPr>
            <w:r w:rsidRPr="000B4886">
              <w:rPr>
                <w:rFonts w:ascii="Arial" w:hAnsi="Arial" w:cs="Arial"/>
                <w:sz w:val="20"/>
                <w:szCs w:val="20"/>
              </w:rPr>
              <w:t>16(25.81</w:t>
            </w:r>
            <w:r w:rsidR="00911497" w:rsidRPr="000B4886">
              <w:rPr>
                <w:rFonts w:ascii="Arial" w:hAnsi="Arial" w:cs="Arial"/>
                <w:sz w:val="20"/>
                <w:szCs w:val="20"/>
              </w:rPr>
              <w:t>)</w:t>
            </w:r>
          </w:p>
        </w:tc>
      </w:tr>
      <w:tr w:rsidR="00584515" w:rsidRPr="000B4886" w14:paraId="6A8F58C9" w14:textId="77777777" w:rsidTr="00A40BB4">
        <w:tc>
          <w:tcPr>
            <w:tcW w:w="535" w:type="dxa"/>
            <w:tcBorders>
              <w:top w:val="single" w:sz="4" w:space="0" w:color="auto"/>
              <w:bottom w:val="single" w:sz="4" w:space="0" w:color="auto"/>
            </w:tcBorders>
          </w:tcPr>
          <w:p w14:paraId="25E27E73" w14:textId="77777777" w:rsidR="00584515" w:rsidRPr="000B4886" w:rsidRDefault="00584515" w:rsidP="00690CD4">
            <w:pPr>
              <w:rPr>
                <w:rFonts w:ascii="Arial" w:hAnsi="Arial" w:cs="Arial"/>
                <w:sz w:val="20"/>
                <w:szCs w:val="20"/>
              </w:rPr>
            </w:pPr>
          </w:p>
        </w:tc>
        <w:tc>
          <w:tcPr>
            <w:tcW w:w="7290" w:type="dxa"/>
            <w:tcBorders>
              <w:top w:val="single" w:sz="4" w:space="0" w:color="auto"/>
              <w:bottom w:val="single" w:sz="4" w:space="0" w:color="auto"/>
            </w:tcBorders>
          </w:tcPr>
          <w:p w14:paraId="7D19BFAA" w14:textId="77777777" w:rsidR="00584515" w:rsidRPr="000B4886" w:rsidRDefault="00584515" w:rsidP="00690CD4">
            <w:pPr>
              <w:rPr>
                <w:rFonts w:ascii="Arial" w:hAnsi="Arial" w:cs="Arial"/>
                <w:sz w:val="20"/>
                <w:szCs w:val="20"/>
              </w:rPr>
            </w:pPr>
            <w:r w:rsidRPr="000B4886">
              <w:rPr>
                <w:rFonts w:ascii="Arial" w:hAnsi="Arial" w:cs="Arial"/>
                <w:sz w:val="20"/>
                <w:szCs w:val="20"/>
              </w:rPr>
              <w:t>Total</w:t>
            </w:r>
          </w:p>
        </w:tc>
        <w:tc>
          <w:tcPr>
            <w:tcW w:w="1525" w:type="dxa"/>
            <w:tcBorders>
              <w:top w:val="single" w:sz="4" w:space="0" w:color="auto"/>
              <w:bottom w:val="single" w:sz="4" w:space="0" w:color="auto"/>
            </w:tcBorders>
          </w:tcPr>
          <w:p w14:paraId="5FDADE4F" w14:textId="77777777" w:rsidR="00584515" w:rsidRPr="000B4886" w:rsidRDefault="00854910" w:rsidP="00690CD4">
            <w:pPr>
              <w:rPr>
                <w:rFonts w:ascii="Arial" w:hAnsi="Arial" w:cs="Arial"/>
                <w:sz w:val="20"/>
                <w:szCs w:val="20"/>
              </w:rPr>
            </w:pPr>
            <w:r w:rsidRPr="000B4886">
              <w:rPr>
                <w:rFonts w:ascii="Arial" w:hAnsi="Arial" w:cs="Arial"/>
                <w:sz w:val="20"/>
                <w:szCs w:val="20"/>
              </w:rPr>
              <w:t>62</w:t>
            </w:r>
            <w:r w:rsidR="00584515" w:rsidRPr="000B4886">
              <w:rPr>
                <w:rFonts w:ascii="Arial" w:hAnsi="Arial" w:cs="Arial"/>
                <w:sz w:val="20"/>
                <w:szCs w:val="20"/>
              </w:rPr>
              <w:t xml:space="preserve"> (100)</w:t>
            </w:r>
          </w:p>
        </w:tc>
      </w:tr>
    </w:tbl>
    <w:p w14:paraId="184DF9ED" w14:textId="77777777" w:rsidR="005C7E25" w:rsidRPr="000B4886" w:rsidRDefault="005C7E25" w:rsidP="00911497">
      <w:pPr>
        <w:rPr>
          <w:rFonts w:ascii="Arial" w:hAnsi="Arial" w:cs="Arial"/>
          <w:b/>
          <w:bCs/>
        </w:rPr>
      </w:pPr>
    </w:p>
    <w:p w14:paraId="0279C9F3" w14:textId="77777777" w:rsidR="005C7E25" w:rsidRPr="000B4886" w:rsidRDefault="005C7E25" w:rsidP="00911497">
      <w:pPr>
        <w:rPr>
          <w:rFonts w:ascii="Arial" w:hAnsi="Arial" w:cs="Arial"/>
          <w:b/>
          <w:bCs/>
        </w:rPr>
      </w:pPr>
    </w:p>
    <w:p w14:paraId="15452262" w14:textId="77777777" w:rsidR="00911497" w:rsidRPr="000B4886" w:rsidRDefault="00911497" w:rsidP="00911497">
      <w:pPr>
        <w:rPr>
          <w:rFonts w:ascii="Arial" w:hAnsi="Arial" w:cs="Arial"/>
          <w:b/>
          <w:bCs/>
        </w:rPr>
      </w:pPr>
    </w:p>
    <w:p w14:paraId="1844B870" w14:textId="77777777" w:rsidR="00911497" w:rsidRPr="000B4886" w:rsidRDefault="00911497" w:rsidP="00911497">
      <w:pPr>
        <w:spacing w:after="200"/>
        <w:jc w:val="both"/>
        <w:rPr>
          <w:rFonts w:ascii="Arial" w:hAnsi="Arial" w:cs="Arial"/>
          <w:b/>
        </w:rPr>
      </w:pPr>
      <w:r w:rsidRPr="000B4886">
        <w:rPr>
          <w:rFonts w:ascii="Arial" w:hAnsi="Arial" w:cs="Arial"/>
          <w:b/>
        </w:rPr>
        <w:t xml:space="preserve">4. </w:t>
      </w:r>
      <w:r w:rsidR="003B3784" w:rsidRPr="000B4886">
        <w:rPr>
          <w:rFonts w:ascii="Arial" w:hAnsi="Arial" w:cs="Arial"/>
          <w:b/>
        </w:rPr>
        <w:t>DISCUSSION</w:t>
      </w:r>
    </w:p>
    <w:p w14:paraId="1F6458F6" w14:textId="3021576B" w:rsidR="003B017B" w:rsidRPr="00E52A82" w:rsidRDefault="00E640D5" w:rsidP="00EB7CE4">
      <w:pPr>
        <w:jc w:val="both"/>
        <w:rPr>
          <w:rStyle w:val="Strong"/>
          <w:rFonts w:ascii="Arial" w:hAnsi="Arial" w:cs="Arial"/>
          <w:b w:val="0"/>
        </w:rPr>
      </w:pPr>
      <w:r w:rsidRPr="00E52A82">
        <w:rPr>
          <w:bCs/>
        </w:rPr>
        <w:t xml:space="preserve">The malaria prevalence rate of 20.0% recorded in this study indicates that 20 of every 100 indigenous individuals tested positive for malaria parasites. This prevalence is lower than the 54.2% reported in a study on malaria-typhoid co-infection in the same LGA, which involved a sample size of 350 people (Odikamnoro </w:t>
      </w:r>
      <w:r w:rsidRPr="00E52A82">
        <w:rPr>
          <w:bCs/>
          <w:i/>
        </w:rPr>
        <w:t>et al.</w:t>
      </w:r>
      <w:r w:rsidRPr="00E52A82">
        <w:rPr>
          <w:bCs/>
        </w:rPr>
        <w:t>, 201</w:t>
      </w:r>
      <w:r w:rsidR="00612227">
        <w:rPr>
          <w:bCs/>
        </w:rPr>
        <w:t>8</w:t>
      </w:r>
      <w:r w:rsidRPr="00E52A82">
        <w:rPr>
          <w:bCs/>
        </w:rPr>
        <w:t xml:space="preserve">). These findings suggest that malaria remains a public health challenge in Afikpo LGA. In addition, the prevalence reported in this study is slightly higher than that reported in Onicha LGA (19.5%) and Izzi LGA (18.6%), both located in Ebonyi State (Nwele </w:t>
      </w:r>
      <w:r w:rsidRPr="00E52A82">
        <w:rPr>
          <w:bCs/>
          <w:i/>
        </w:rPr>
        <w:t>et al.</w:t>
      </w:r>
      <w:r w:rsidRPr="00E52A82">
        <w:rPr>
          <w:bCs/>
        </w:rPr>
        <w:t>, 2022).</w:t>
      </w:r>
    </w:p>
    <w:p w14:paraId="67B598A7" w14:textId="77777777" w:rsidR="00694799" w:rsidRPr="00E52A82" w:rsidRDefault="00694799" w:rsidP="00EB7CE4">
      <w:pPr>
        <w:jc w:val="both"/>
        <w:rPr>
          <w:rStyle w:val="Strong"/>
          <w:rFonts w:ascii="Arial" w:hAnsi="Arial" w:cs="Arial"/>
          <w:b w:val="0"/>
        </w:rPr>
      </w:pPr>
    </w:p>
    <w:p w14:paraId="3CAE1CDA" w14:textId="77777777" w:rsidR="00694799" w:rsidRPr="00E52A82" w:rsidRDefault="00E640D5" w:rsidP="00EB7CE4">
      <w:pPr>
        <w:jc w:val="both"/>
        <w:rPr>
          <w:rFonts w:ascii="Arial" w:hAnsi="Arial" w:cs="Arial"/>
          <w:bCs/>
          <w:shd w:val="clear" w:color="auto" w:fill="FFFFFF"/>
        </w:rPr>
      </w:pPr>
      <w:r w:rsidRPr="00E52A82">
        <w:rPr>
          <w:bCs/>
        </w:rPr>
        <w:t xml:space="preserve">The absence of a significant association between socio-demographic characteristics and malaria prevalence suggests that infection risk was not confined to a single demographic subgroup in this sample. This finding aligns with a study on the burden and socio-demographic differentials of malaria infection among asymptomatic schoolchildren in Gombe State, Nigeria, which also reported no significant association between malaria burden and the socio-demographic profile of participants (Danjin </w:t>
      </w:r>
      <w:r w:rsidRPr="00E52A82">
        <w:rPr>
          <w:bCs/>
          <w:i/>
        </w:rPr>
        <w:t>et al.</w:t>
      </w:r>
      <w:r w:rsidRPr="00E52A82">
        <w:rPr>
          <w:bCs/>
        </w:rPr>
        <w:t xml:space="preserve">, 2020). However, a study among adolescent patients in south-western Nigeria reported a significant association between malaria infection and socio-demographic factors (Ibrahim </w:t>
      </w:r>
      <w:r w:rsidRPr="00E52A82">
        <w:rPr>
          <w:bCs/>
          <w:i/>
        </w:rPr>
        <w:t>et al.</w:t>
      </w:r>
      <w:r w:rsidRPr="00E52A82">
        <w:rPr>
          <w:bCs/>
        </w:rPr>
        <w:t>, 2023).</w:t>
      </w:r>
    </w:p>
    <w:p w14:paraId="7E95BD65" w14:textId="77777777" w:rsidR="00E2417B" w:rsidRPr="00E52A82" w:rsidRDefault="00E2417B" w:rsidP="00EB7CE4">
      <w:pPr>
        <w:jc w:val="both"/>
        <w:rPr>
          <w:rFonts w:ascii="Arial" w:hAnsi="Arial" w:cs="Arial"/>
          <w:bCs/>
          <w:shd w:val="clear" w:color="auto" w:fill="FFFFFF"/>
        </w:rPr>
      </w:pPr>
    </w:p>
    <w:p w14:paraId="518FC29A" w14:textId="77777777" w:rsidR="00E2417B" w:rsidRPr="00E52A82" w:rsidRDefault="00E640D5" w:rsidP="00EB7CE4">
      <w:pPr>
        <w:jc w:val="both"/>
        <w:rPr>
          <w:rFonts w:ascii="Arial" w:hAnsi="Arial" w:cs="Arial"/>
          <w:bCs/>
        </w:rPr>
      </w:pPr>
      <w:r w:rsidRPr="00E52A82">
        <w:rPr>
          <w:bCs/>
        </w:rPr>
        <w:t xml:space="preserve">In this study, the exclusive use of conventional antimalarials emerged as the most prevalent treatment strategy. This preference for conventional pharmaceutical agents reflects patterns observed in several endemic regions, where modern antimalarials, particularly artemisinin-based combination therapies (ACTs), are recognised and widely adopted as the </w:t>
      </w:r>
      <w:r w:rsidRPr="00E52A82">
        <w:rPr>
          <w:bCs/>
        </w:rPr>
        <w:lastRenderedPageBreak/>
        <w:t xml:space="preserve">primary choice for treating uncomplicated malaria. The high reliance on these medications underscores the role of formal pharmaceuticals in community health management (Ayinbuomwan </w:t>
      </w:r>
      <w:r w:rsidRPr="00E52A82">
        <w:rPr>
          <w:bCs/>
          <w:i/>
        </w:rPr>
        <w:t>et al.</w:t>
      </w:r>
      <w:r w:rsidRPr="00E52A82">
        <w:rPr>
          <w:bCs/>
        </w:rPr>
        <w:t xml:space="preserve">, 2022). Despite this preference, a notable proportion of study participants exclusively used traditional herbal medicine. Traditional and plant-based therapies remain prominent in endemic communities because of structural barriers in local healthcare delivery. Research indicates that factors such as the high cost of conventional treatments, long waiting times at formal health facilities, poor drug availability and established socio-cultural beliefs may drive individuals towards herbal alternatives (Ocan </w:t>
      </w:r>
      <w:r w:rsidRPr="00E52A82">
        <w:rPr>
          <w:bCs/>
          <w:i/>
        </w:rPr>
        <w:t>et al.</w:t>
      </w:r>
      <w:r w:rsidRPr="00E52A82">
        <w:rPr>
          <w:bCs/>
        </w:rPr>
        <w:t xml:space="preserve">, 2023). A small proportion of participants also reported using conventional antimalarials together with herbal remedies. This concurrent use is important clinically because antimalarial herbal products may interact with conventional antimalarial drugs, and such interactions require careful patient history-taking and monitoring (Engwa, 2015; Erhirhie </w:t>
      </w:r>
      <w:r w:rsidRPr="00E52A82">
        <w:rPr>
          <w:bCs/>
          <w:i/>
        </w:rPr>
        <w:t>et al.</w:t>
      </w:r>
      <w:r w:rsidRPr="00E52A82">
        <w:rPr>
          <w:bCs/>
        </w:rPr>
        <w:t>, 2021).</w:t>
      </w:r>
    </w:p>
    <w:p w14:paraId="132971FA" w14:textId="77777777" w:rsidR="00D0525E" w:rsidRPr="00E52A82" w:rsidRDefault="00D0525E" w:rsidP="00EB7CE4">
      <w:pPr>
        <w:jc w:val="both"/>
        <w:rPr>
          <w:rFonts w:ascii="Arial" w:hAnsi="Arial" w:cs="Arial"/>
          <w:bCs/>
        </w:rPr>
      </w:pPr>
    </w:p>
    <w:p w14:paraId="38064A1B" w14:textId="77777777" w:rsidR="008737FD" w:rsidRPr="00E52A82" w:rsidRDefault="008737FD" w:rsidP="00EB7CE4">
      <w:pPr>
        <w:jc w:val="both"/>
        <w:rPr>
          <w:rFonts w:ascii="Arial" w:hAnsi="Arial" w:cs="Arial"/>
          <w:bCs/>
        </w:rPr>
      </w:pPr>
      <w:r w:rsidRPr="00E52A82">
        <w:rPr>
          <w:bCs/>
        </w:rPr>
        <w:t xml:space="preserve">In this study, the consumption of generic </w:t>
      </w:r>
      <w:r w:rsidRPr="00E52A82">
        <w:rPr>
          <w:bCs/>
          <w:i/>
        </w:rPr>
        <w:t>Agbo</w:t>
      </w:r>
      <w:r w:rsidRPr="00E52A82">
        <w:rPr>
          <w:bCs/>
        </w:rPr>
        <w:t xml:space="preserve"> emerged as the most common traditional therapeutic practice. This high prevalence highlights the role of </w:t>
      </w:r>
      <w:r w:rsidRPr="00E52A82">
        <w:rPr>
          <w:bCs/>
          <w:i/>
        </w:rPr>
        <w:t>Agbo</w:t>
      </w:r>
      <w:r w:rsidRPr="00E52A82">
        <w:rPr>
          <w:bCs/>
        </w:rPr>
        <w:t xml:space="preserve"> as a common home remedy in parts of Nigeria. </w:t>
      </w:r>
      <w:r w:rsidRPr="00E52A82">
        <w:rPr>
          <w:bCs/>
          <w:i/>
        </w:rPr>
        <w:t>Agbo</w:t>
      </w:r>
      <w:r w:rsidRPr="00E52A82">
        <w:rPr>
          <w:bCs/>
        </w:rPr>
        <w:t xml:space="preserve"> decoctions typically consist of complex blends of local barks, roots and leaves steeped in water or alcohol (Eiya &amp; Igharo, 2020). These broad-spectrum herbal mixtures are culturally valued for their perceived ability to cleanse the body, treat febrile illness and restore physical vitality (Bamikole </w:t>
      </w:r>
      <w:r w:rsidRPr="00E52A82">
        <w:rPr>
          <w:bCs/>
          <w:i/>
        </w:rPr>
        <w:t>et al.</w:t>
      </w:r>
      <w:r w:rsidRPr="00E52A82">
        <w:rPr>
          <w:bCs/>
        </w:rPr>
        <w:t xml:space="preserve">, 2023). The use of </w:t>
      </w:r>
      <w:r w:rsidRPr="00E52A82">
        <w:rPr>
          <w:bCs/>
          <w:i/>
        </w:rPr>
        <w:t>Agbo</w:t>
      </w:r>
      <w:r w:rsidRPr="00E52A82">
        <w:rPr>
          <w:bCs/>
        </w:rPr>
        <w:t xml:space="preserve"> for treating malaria has been documented among indigenous people in Benin and Ibadan, Nigeria (Bamikole </w:t>
      </w:r>
      <w:r w:rsidRPr="00E52A82">
        <w:rPr>
          <w:bCs/>
          <w:i/>
        </w:rPr>
        <w:t>et al.</w:t>
      </w:r>
      <w:r w:rsidRPr="00E52A82">
        <w:rPr>
          <w:bCs/>
        </w:rPr>
        <w:t xml:space="preserve">, 2023; Erhunse </w:t>
      </w:r>
      <w:r w:rsidRPr="00E52A82">
        <w:rPr>
          <w:bCs/>
          <w:i/>
        </w:rPr>
        <w:t>et al.</w:t>
      </w:r>
      <w:r w:rsidRPr="00E52A82">
        <w:rPr>
          <w:bCs/>
        </w:rPr>
        <w:t>, 2023).</w:t>
      </w:r>
    </w:p>
    <w:p w14:paraId="6455AFD2" w14:textId="77777777" w:rsidR="008737FD" w:rsidRPr="00E52A82" w:rsidRDefault="008737FD" w:rsidP="00EB7CE4">
      <w:pPr>
        <w:jc w:val="both"/>
        <w:rPr>
          <w:rFonts w:ascii="Arial" w:hAnsi="Arial" w:cs="Arial"/>
          <w:bCs/>
        </w:rPr>
      </w:pPr>
    </w:p>
    <w:p w14:paraId="4646E61A" w14:textId="77777777" w:rsidR="00D0525E" w:rsidRPr="00E52A82" w:rsidRDefault="008737FD" w:rsidP="00EB7CE4">
      <w:pPr>
        <w:jc w:val="both"/>
        <w:rPr>
          <w:rFonts w:ascii="Arial" w:hAnsi="Arial" w:cs="Arial"/>
          <w:bCs/>
        </w:rPr>
      </w:pPr>
      <w:r w:rsidRPr="00E52A82">
        <w:rPr>
          <w:bCs/>
        </w:rPr>
        <w:t xml:space="preserve">In addition to ingestion, a notable proportion of the Afikpo population used physical therapies, such as inhaling steam from local herbs or bathing with them. In West African folklore medicine, dermal exposure and vapour inhalation are commonly used to manage acute fevers. This practice is based on the belief that volatile phytocompounds can induce sweating, reduce body temperature and expel morbid humours (Nwokeke &amp; Igwillo, 2020). Some respondents also reported soaking local herbs in gin before consumption. The use of alcohol as a solvent extraction medium is a recognised ethnopharmacological practice because many bioactive non-polar secondary metabolites, such as some alkaloids and terpenoids, dissolve more efficiently in ethanol than in water. However, this practice may also introduce the physiological effects associated with alcohol consumption (Kozhantayeva </w:t>
      </w:r>
      <w:r w:rsidRPr="00E52A82">
        <w:rPr>
          <w:bCs/>
          <w:i/>
        </w:rPr>
        <w:t>et al.</w:t>
      </w:r>
      <w:r w:rsidRPr="00E52A82">
        <w:rPr>
          <w:bCs/>
        </w:rPr>
        <w:t>, 2024).</w:t>
      </w:r>
    </w:p>
    <w:p w14:paraId="28F652FB" w14:textId="77777777" w:rsidR="008737FD" w:rsidRPr="00E52A82" w:rsidRDefault="008737FD" w:rsidP="00EB7CE4">
      <w:pPr>
        <w:jc w:val="both"/>
        <w:rPr>
          <w:rFonts w:ascii="Arial" w:hAnsi="Arial" w:cs="Arial"/>
          <w:bCs/>
        </w:rPr>
      </w:pPr>
    </w:p>
    <w:p w14:paraId="0CDA315E" w14:textId="77777777" w:rsidR="00D0525E" w:rsidRPr="00E52A82" w:rsidRDefault="00D0525E" w:rsidP="00EB7CE4">
      <w:pPr>
        <w:jc w:val="both"/>
        <w:rPr>
          <w:rFonts w:ascii="Arial" w:hAnsi="Arial" w:cs="Arial"/>
          <w:bCs/>
        </w:rPr>
      </w:pPr>
    </w:p>
    <w:p w14:paraId="29A48FE2" w14:textId="77777777" w:rsidR="005807ED" w:rsidRPr="00E52A82" w:rsidRDefault="008737FD" w:rsidP="00EB7CE4">
      <w:pPr>
        <w:jc w:val="both"/>
        <w:rPr>
          <w:rFonts w:ascii="Arial" w:hAnsi="Arial" w:cs="Arial"/>
          <w:bCs/>
        </w:rPr>
      </w:pPr>
      <w:r w:rsidRPr="00E52A82">
        <w:rPr>
          <w:bCs/>
        </w:rPr>
        <w:t>The prominent use of Neem (</w:t>
      </w:r>
      <w:r w:rsidRPr="00E52A82">
        <w:rPr>
          <w:bCs/>
          <w:i/>
        </w:rPr>
        <w:t>Azadirachta indica</w:t>
      </w:r>
      <w:r w:rsidRPr="00E52A82">
        <w:rPr>
          <w:bCs/>
        </w:rPr>
        <w:t xml:space="preserve">), both alone and in combination with other botanicals, highlights its perceived importance as an antimalarial plant in endemic communities in Nigeria (Iyamah &amp; Idu, 2015; Rafiu </w:t>
      </w:r>
      <w:r w:rsidRPr="00E52A82">
        <w:rPr>
          <w:bCs/>
          <w:i/>
        </w:rPr>
        <w:t>et al.</w:t>
      </w:r>
      <w:r w:rsidRPr="00E52A82">
        <w:rPr>
          <w:bCs/>
        </w:rPr>
        <w:t xml:space="preserve">, 2025). Pharmacological studies of </w:t>
      </w:r>
      <w:r w:rsidRPr="00E52A82">
        <w:rPr>
          <w:bCs/>
          <w:i/>
        </w:rPr>
        <w:t>A. indica</w:t>
      </w:r>
      <w:r w:rsidRPr="00E52A82">
        <w:rPr>
          <w:bCs/>
        </w:rPr>
        <w:t xml:space="preserve"> leaves have shown that they contain limonoids and limonoid derivatives, such as azadirachtin, gedunin and nimbolide, which exhibit in vitro and in vivo schizonticidal activity against </w:t>
      </w:r>
      <w:r w:rsidRPr="00E52A82">
        <w:rPr>
          <w:bCs/>
          <w:i/>
        </w:rPr>
        <w:t>Plasmodium falciparum</w:t>
      </w:r>
      <w:r w:rsidRPr="00E52A82">
        <w:rPr>
          <w:bCs/>
        </w:rPr>
        <w:t xml:space="preserve"> strains (Zakariya </w:t>
      </w:r>
      <w:r w:rsidRPr="00E52A82">
        <w:rPr>
          <w:bCs/>
          <w:i/>
        </w:rPr>
        <w:t>et al.</w:t>
      </w:r>
      <w:r w:rsidRPr="00E52A82">
        <w:rPr>
          <w:bCs/>
        </w:rPr>
        <w:t>, 2021). Similarly, the varied applications of Moringa (</w:t>
      </w:r>
      <w:r w:rsidRPr="00E52A82">
        <w:rPr>
          <w:bCs/>
          <w:i/>
        </w:rPr>
        <w:t>Moringa oleifera</w:t>
      </w:r>
      <w:r w:rsidRPr="00E52A82">
        <w:rPr>
          <w:bCs/>
        </w:rPr>
        <w:t xml:space="preserve">) leaves, seeds and bark support its recognition as a versatile medicinal plant. </w:t>
      </w:r>
      <w:r w:rsidRPr="00E52A82">
        <w:rPr>
          <w:bCs/>
          <w:i/>
        </w:rPr>
        <w:t>M. oleifera</w:t>
      </w:r>
      <w:r w:rsidRPr="00E52A82">
        <w:rPr>
          <w:bCs/>
        </w:rPr>
        <w:t xml:space="preserve"> is rich in vitamins, essential minerals and several phytochemicals, including flavonoids, saponins and glucosinolates, which may provide antipyretic, anti-inflammatory and immunomodulatory benefits that help alleviate clinical symptoms associated with malaria infection (Divya </w:t>
      </w:r>
      <w:r w:rsidRPr="00E52A82">
        <w:rPr>
          <w:bCs/>
          <w:i/>
        </w:rPr>
        <w:t>et al.</w:t>
      </w:r>
      <w:r w:rsidRPr="00E52A82">
        <w:rPr>
          <w:bCs/>
        </w:rPr>
        <w:t>, 2024).</w:t>
      </w:r>
    </w:p>
    <w:p w14:paraId="29309570" w14:textId="77777777" w:rsidR="008737FD" w:rsidRPr="00E52A82" w:rsidRDefault="008737FD" w:rsidP="00EB7CE4">
      <w:pPr>
        <w:jc w:val="both"/>
        <w:rPr>
          <w:rFonts w:ascii="Arial" w:hAnsi="Arial" w:cs="Arial"/>
          <w:bCs/>
        </w:rPr>
      </w:pPr>
    </w:p>
    <w:p w14:paraId="47E1B657" w14:textId="77777777" w:rsidR="005807ED" w:rsidRPr="00E52A82" w:rsidRDefault="00222915" w:rsidP="00EB7CE4">
      <w:pPr>
        <w:jc w:val="both"/>
        <w:rPr>
          <w:rFonts w:ascii="Arial" w:hAnsi="Arial" w:cs="Arial"/>
          <w:bCs/>
        </w:rPr>
      </w:pPr>
      <w:r w:rsidRPr="00E52A82">
        <w:rPr>
          <w:bCs/>
        </w:rPr>
        <w:t>The indigenous people of Afikpo also practised polyherbal formulation by combining primary plants, such as Neem or Moringa, with secondary plants such as lemongrass (</w:t>
      </w:r>
      <w:r w:rsidRPr="00E52A82">
        <w:rPr>
          <w:bCs/>
          <w:i/>
        </w:rPr>
        <w:t>Cymbopogon citratus</w:t>
      </w:r>
      <w:r w:rsidRPr="00E52A82">
        <w:rPr>
          <w:bCs/>
        </w:rPr>
        <w:t>), guava leaves (</w:t>
      </w:r>
      <w:r w:rsidRPr="00E52A82">
        <w:rPr>
          <w:bCs/>
          <w:i/>
        </w:rPr>
        <w:t>Psidium guajava</w:t>
      </w:r>
      <w:r w:rsidRPr="00E52A82">
        <w:rPr>
          <w:bCs/>
        </w:rPr>
        <w:t>) and unripe pawpaw fruit (</w:t>
      </w:r>
      <w:r w:rsidRPr="00E52A82">
        <w:rPr>
          <w:bCs/>
          <w:i/>
        </w:rPr>
        <w:t>Carica papaya</w:t>
      </w:r>
      <w:r w:rsidRPr="00E52A82">
        <w:rPr>
          <w:bCs/>
        </w:rPr>
        <w:t xml:space="preserve">). In traditional medicine, these secondary plants may be selected to improve the taste of bitter extracts, provide additional symptomatic relief, such as analgesic or antiemetic effects, or create a broader biochemical barrier against parasites (Iyamah &amp; Idu, 2015; Rafiu </w:t>
      </w:r>
      <w:r w:rsidRPr="00E52A82">
        <w:rPr>
          <w:bCs/>
          <w:i/>
        </w:rPr>
        <w:t>et al.</w:t>
      </w:r>
      <w:r w:rsidRPr="00E52A82">
        <w:rPr>
          <w:bCs/>
        </w:rPr>
        <w:t xml:space="preserve">, 2025). Participants in this study also showed a small but noticeable reliance on commercially packaged traditional formulations, including Gbogbonise, Action Bitters and Agnes Nwamma herbal drink. The use of these proprietary herbal products indicates the ongoing commercialisation of traditional medicine in Nigeria. These products are readily accessible over the counter and may serve as an intermediate option between crude home-prepared decoctions and formal pharmaceuticals (Adigwe </w:t>
      </w:r>
      <w:r w:rsidRPr="00E52A82">
        <w:rPr>
          <w:bCs/>
          <w:i/>
        </w:rPr>
        <w:t>et al.</w:t>
      </w:r>
      <w:r w:rsidRPr="00E52A82">
        <w:rPr>
          <w:bCs/>
        </w:rPr>
        <w:t>, 2025).</w:t>
      </w:r>
    </w:p>
    <w:p w14:paraId="391CFA7A" w14:textId="77777777" w:rsidR="007C02A9" w:rsidRPr="00E52A82" w:rsidRDefault="007C02A9" w:rsidP="00EB7CE4">
      <w:pPr>
        <w:jc w:val="both"/>
        <w:rPr>
          <w:rFonts w:ascii="Arial" w:hAnsi="Arial" w:cs="Arial"/>
          <w:bCs/>
        </w:rPr>
      </w:pPr>
    </w:p>
    <w:p w14:paraId="27C1F01D" w14:textId="77777777" w:rsidR="007C02A9" w:rsidRPr="00E52A82" w:rsidRDefault="009C03EC" w:rsidP="00EB7CE4">
      <w:pPr>
        <w:jc w:val="both"/>
        <w:rPr>
          <w:rFonts w:ascii="Arial" w:hAnsi="Arial" w:cs="Arial"/>
          <w:bCs/>
        </w:rPr>
      </w:pPr>
      <w:r w:rsidRPr="00E52A82">
        <w:rPr>
          <w:bCs/>
        </w:rPr>
        <w:t xml:space="preserve">A substantial proportion of participants preferred herbal medicine because of its convenience and perceived speed of action. This preference may be linked to the accessibility of traditional medicine within their communities, including availability from local herbalists or home gardens. Such access allows patients to initiate care when they first experience febrile symptoms (Wang </w:t>
      </w:r>
      <w:r w:rsidRPr="00E52A82">
        <w:rPr>
          <w:bCs/>
          <w:i/>
        </w:rPr>
        <w:t>et al.</w:t>
      </w:r>
      <w:r w:rsidRPr="00E52A82">
        <w:rPr>
          <w:bCs/>
        </w:rPr>
        <w:t xml:space="preserve">, 2026). Some participants chose traditional remedies because they had been recommended as effective. In closely knit indigenous communities such as Afikpo, health decisions may be influenced by oral tradition and word-of-mouth recommendations from family elders or peers (Olawale, 2025). When trusted community members endorse a particular herbal preparation, this may strengthen collective cultural confidence in its use (Gyasi </w:t>
      </w:r>
      <w:r w:rsidRPr="00E52A82">
        <w:rPr>
          <w:bCs/>
          <w:i/>
        </w:rPr>
        <w:t>et al.</w:t>
      </w:r>
      <w:r w:rsidRPr="00E52A82">
        <w:rPr>
          <w:bCs/>
        </w:rPr>
        <w:t>, 2016). Some participants also reported turning to traditional herbs when symptoms persisted. This reliance illustrates a common pattern of treatment-seeking behaviour in Africa, where individuals may turn to traditional medicine as a secondary option after conventional first-line therapies or initial self-medication do not resolve illness (Sato, 2012).</w:t>
      </w:r>
    </w:p>
    <w:p w14:paraId="5625618D" w14:textId="77777777" w:rsidR="009C03EC" w:rsidRPr="00E52A82" w:rsidRDefault="009C03EC" w:rsidP="00EB7CE4">
      <w:pPr>
        <w:jc w:val="both"/>
        <w:rPr>
          <w:rFonts w:ascii="Arial" w:hAnsi="Arial" w:cs="Arial"/>
          <w:bCs/>
        </w:rPr>
      </w:pPr>
    </w:p>
    <w:p w14:paraId="731C2FF7" w14:textId="77777777" w:rsidR="009C03EC" w:rsidRPr="00E52A82" w:rsidRDefault="009C03EC" w:rsidP="00EB7CE4">
      <w:pPr>
        <w:jc w:val="both"/>
        <w:rPr>
          <w:rFonts w:ascii="Arial" w:hAnsi="Arial" w:cs="Arial"/>
          <w:bCs/>
        </w:rPr>
      </w:pPr>
    </w:p>
    <w:p w14:paraId="1B691D74" w14:textId="77777777" w:rsidR="009C03EC" w:rsidRPr="00E52A82" w:rsidRDefault="009C03EC" w:rsidP="00EB7CE4">
      <w:pPr>
        <w:jc w:val="both"/>
        <w:rPr>
          <w:rFonts w:ascii="Arial" w:hAnsi="Arial" w:cs="Arial"/>
          <w:bCs/>
        </w:rPr>
      </w:pPr>
      <w:r w:rsidRPr="00E52A82">
        <w:rPr>
          <w:bCs/>
        </w:rPr>
        <w:t xml:space="preserve">The study also captured a smaller but distinct segment of the population that viewed traditional remedies as cleansing and preventive measures. In West African ethnomedical philosophy, health is often perceived as a state of bodily balance, and </w:t>
      </w:r>
      <w:r w:rsidRPr="00E52A82">
        <w:rPr>
          <w:bCs/>
        </w:rPr>
        <w:lastRenderedPageBreak/>
        <w:t xml:space="preserve">illnesses such as malaria may sometimes be attributed to internal impurities or heat (Agyepong, 1992). Herbal decoctions, such as </w:t>
      </w:r>
      <w:r w:rsidRPr="00E52A82">
        <w:rPr>
          <w:bCs/>
          <w:i/>
        </w:rPr>
        <w:t>Agbo</w:t>
      </w:r>
      <w:r w:rsidRPr="00E52A82">
        <w:rPr>
          <w:bCs/>
        </w:rPr>
        <w:t xml:space="preserve"> or bitter-leaf extracts, are therefore sometimes consumed as purging agents or systemic cleansers intended to restore internal balance and strengthen resistance to infection (Adigwe </w:t>
      </w:r>
      <w:r w:rsidRPr="00E52A82">
        <w:rPr>
          <w:bCs/>
          <w:i/>
        </w:rPr>
        <w:t>et al.</w:t>
      </w:r>
      <w:r w:rsidRPr="00E52A82">
        <w:rPr>
          <w:bCs/>
        </w:rPr>
        <w:t>, 2022).</w:t>
      </w:r>
    </w:p>
    <w:p w14:paraId="2A9BB565" w14:textId="77777777" w:rsidR="009C03EC" w:rsidRPr="00E52A82" w:rsidRDefault="009C03EC" w:rsidP="00EB7CE4">
      <w:pPr>
        <w:jc w:val="both"/>
        <w:rPr>
          <w:rFonts w:ascii="Arial" w:hAnsi="Arial" w:cs="Arial"/>
          <w:bCs/>
        </w:rPr>
      </w:pPr>
    </w:p>
    <w:p w14:paraId="328ABDC2" w14:textId="77777777" w:rsidR="008716D6" w:rsidRPr="00E52A82" w:rsidRDefault="009C03EC" w:rsidP="00EB7CE4">
      <w:pPr>
        <w:jc w:val="both"/>
        <w:rPr>
          <w:rFonts w:ascii="Arial" w:hAnsi="Arial" w:cs="Arial"/>
          <w:bCs/>
        </w:rPr>
      </w:pPr>
      <w:r w:rsidRPr="00E52A82">
        <w:rPr>
          <w:bCs/>
        </w:rPr>
        <w:t xml:space="preserve">Only a small percentage of participants cited lack of money to buy antimalarial drugs as their primary reason for seeking herbal alternatives. This differs from conventional public health literature, which often identifies poverty and the high cost of conventional pharmaceuticals as major barriers driving rural African populations towards traditional medicine (Logiel </w:t>
      </w:r>
      <w:r w:rsidRPr="00E52A82">
        <w:rPr>
          <w:bCs/>
          <w:i/>
        </w:rPr>
        <w:t>et al.</w:t>
      </w:r>
      <w:r w:rsidRPr="00E52A82">
        <w:rPr>
          <w:bCs/>
        </w:rPr>
        <w:t>, 2021). The low emphasis on financial reasons in this cohort suggests that reliance on traditional medicine among the indigenous people of Afikpo may be more closely associated with cultural alignment, perceived effectiveness and ease of access than with financial necessity alone. This finding highlights the need for public health policymakers to look beyond affordability; interventions should also address service-delivery speed, accessibility of diagnostics and cultural perceptions of health to support safer integration of formal and informal healthcare pathways.</w:t>
      </w:r>
    </w:p>
    <w:p w14:paraId="0F9E7BB2" w14:textId="77777777" w:rsidR="00053625" w:rsidRPr="000B4886" w:rsidRDefault="00053625" w:rsidP="00EB7CE4">
      <w:pPr>
        <w:jc w:val="both"/>
        <w:rPr>
          <w:rFonts w:ascii="Arial" w:hAnsi="Arial" w:cs="Arial"/>
        </w:rPr>
      </w:pPr>
    </w:p>
    <w:p w14:paraId="4DFC0254" w14:textId="77777777" w:rsidR="00842BEB" w:rsidRDefault="00AB6114" w:rsidP="00EB7CE4">
      <w:pPr>
        <w:tabs>
          <w:tab w:val="left" w:pos="2008"/>
        </w:tabs>
        <w:jc w:val="both"/>
        <w:rPr>
          <w:rFonts w:ascii="Arial" w:hAnsi="Arial" w:cs="Arial"/>
          <w:b/>
        </w:rPr>
      </w:pPr>
      <w:r w:rsidRPr="000B4886">
        <w:rPr>
          <w:rFonts w:ascii="Arial" w:hAnsi="Arial" w:cs="Arial"/>
          <w:b/>
        </w:rPr>
        <w:t xml:space="preserve">5. </w:t>
      </w:r>
      <w:r w:rsidR="003B3784" w:rsidRPr="000B4886">
        <w:rPr>
          <w:rFonts w:ascii="Arial" w:hAnsi="Arial" w:cs="Arial"/>
          <w:b/>
        </w:rPr>
        <w:t>CONCLUSION</w:t>
      </w:r>
      <w:r w:rsidR="00911497" w:rsidRPr="000B4886">
        <w:rPr>
          <w:rFonts w:ascii="Arial" w:hAnsi="Arial" w:cs="Arial"/>
          <w:b/>
        </w:rPr>
        <w:tab/>
      </w:r>
    </w:p>
    <w:p w14:paraId="79A95825" w14:textId="77777777" w:rsidR="00FE7D64" w:rsidRPr="000B4886" w:rsidRDefault="00FE7D64" w:rsidP="00EB7CE4">
      <w:pPr>
        <w:tabs>
          <w:tab w:val="left" w:pos="2008"/>
        </w:tabs>
        <w:jc w:val="both"/>
        <w:rPr>
          <w:rFonts w:ascii="Arial" w:hAnsi="Arial" w:cs="Arial"/>
          <w:b/>
        </w:rPr>
      </w:pPr>
    </w:p>
    <w:p w14:paraId="212D1EF3" w14:textId="77777777" w:rsidR="003C71C1" w:rsidRDefault="003C71C1" w:rsidP="003C71C1">
      <w:pPr>
        <w:jc w:val="both"/>
        <w:rPr>
          <w:rFonts w:ascii="Arial" w:hAnsi="Arial" w:cs="Arial"/>
        </w:rPr>
      </w:pPr>
      <w:r w:rsidRPr="004A13F7">
        <w:rPr>
          <w:rFonts w:ascii="Arial" w:hAnsi="Arial" w:cs="Arial"/>
        </w:rPr>
        <w:t xml:space="preserve">This study highlights that malaria continues to pose a significant public health challenge for the indigenous people of </w:t>
      </w:r>
      <w:r w:rsidRPr="00C1701A">
        <w:rPr>
          <w:rFonts w:ascii="Arial" w:hAnsi="Arial" w:cs="Arial"/>
        </w:rPr>
        <w:t xml:space="preserve">Afikpo LGA. The findings reveal a deeply integrated, pluralistic healthcare approach within the community, where traditional medicine coexists with conventional pharmaceutical practices. While conventional antimalarials are the primary choice for most people, a considerable portion of the population actively relies on ethnobotanical treatments—such as generic </w:t>
      </w:r>
      <w:r w:rsidRPr="00C1701A">
        <w:rPr>
          <w:rFonts w:ascii="Arial" w:hAnsi="Arial" w:cs="Arial"/>
          <w:i/>
        </w:rPr>
        <w:t>Agbo</w:t>
      </w:r>
      <w:r w:rsidRPr="00C1701A">
        <w:rPr>
          <w:rFonts w:ascii="Arial" w:hAnsi="Arial" w:cs="Arial"/>
        </w:rPr>
        <w:t>, Neem (</w:t>
      </w:r>
      <w:r w:rsidRPr="00C1701A">
        <w:rPr>
          <w:rFonts w:ascii="Arial" w:hAnsi="Arial" w:cs="Arial"/>
          <w:i/>
        </w:rPr>
        <w:t>Azadirachta</w:t>
      </w:r>
      <w:r w:rsidRPr="00C1701A">
        <w:rPr>
          <w:rFonts w:ascii="Arial" w:hAnsi="Arial" w:cs="Arial"/>
        </w:rPr>
        <w:t xml:space="preserve"> </w:t>
      </w:r>
      <w:r w:rsidRPr="00C1701A">
        <w:rPr>
          <w:rFonts w:ascii="Arial" w:hAnsi="Arial" w:cs="Arial"/>
          <w:i/>
        </w:rPr>
        <w:t>indica</w:t>
      </w:r>
      <w:r w:rsidRPr="00C1701A">
        <w:rPr>
          <w:rFonts w:ascii="Arial" w:hAnsi="Arial" w:cs="Arial"/>
        </w:rPr>
        <w:t>), and Moringa (</w:t>
      </w:r>
      <w:r w:rsidRPr="00C1701A">
        <w:rPr>
          <w:rFonts w:ascii="Arial" w:hAnsi="Arial" w:cs="Arial"/>
          <w:i/>
        </w:rPr>
        <w:t>Moringa</w:t>
      </w:r>
      <w:r w:rsidRPr="00C1701A">
        <w:rPr>
          <w:rFonts w:ascii="Arial" w:hAnsi="Arial" w:cs="Arial"/>
        </w:rPr>
        <w:t xml:space="preserve"> </w:t>
      </w:r>
      <w:r w:rsidRPr="00C1701A">
        <w:rPr>
          <w:rFonts w:ascii="Arial" w:hAnsi="Arial" w:cs="Arial"/>
          <w:i/>
        </w:rPr>
        <w:t>oleifera</w:t>
      </w:r>
      <w:r w:rsidRPr="00C1701A">
        <w:rPr>
          <w:rFonts w:ascii="Arial" w:hAnsi="Arial" w:cs="Arial"/>
        </w:rPr>
        <w:t xml:space="preserve">). This reliance is driven more by the ease of access within the community and the perceived rapid effectiveness of these treatments rather than by economic hardship. Ultimately, the community's high dependence on unstandardized decoctions underscores the urgent need for public health policymakers to bridge the gap between formal and informal healthcare channels. Given that a notable portion of the population that relies on traditional herbs and those who practice concurrent polypharmacy (combining herbal remedies with conventional antimalarials), healthcare professionals should routinely include detailed herbal history-taking during patient triaging and clinical assessments. This clinical habit is vital to preemptively identify, monitor, and mitigate potential herb-drug interactions or toxicities arising from unstandardized decoctions like </w:t>
      </w:r>
      <w:r w:rsidRPr="00C1701A">
        <w:rPr>
          <w:rFonts w:ascii="Arial" w:hAnsi="Arial" w:cs="Arial"/>
          <w:i/>
          <w:iCs/>
        </w:rPr>
        <w:t>Agbo</w:t>
      </w:r>
      <w:r w:rsidRPr="00C1701A">
        <w:rPr>
          <w:rFonts w:ascii="Arial" w:hAnsi="Arial" w:cs="Arial"/>
        </w:rPr>
        <w:t>, thereby improving patient safety and treatment compliance.</w:t>
      </w:r>
      <w:r>
        <w:rPr>
          <w:rFonts w:ascii="Arial" w:hAnsi="Arial" w:cs="Arial"/>
        </w:rPr>
        <w:t xml:space="preserve"> </w:t>
      </w:r>
      <w:r w:rsidRPr="00C1701A">
        <w:rPr>
          <w:rFonts w:ascii="Arial" w:hAnsi="Arial" w:cs="Arial"/>
        </w:rPr>
        <w:t xml:space="preserve">This study emphasizes that malaria remains a significant public health challenge for the indigenous people of Afikpo Local Government Area (LGA). The findings reveal a deeply integrated, pluralistic healthcare approach within the community, where traditional medicine coexists with conventional pharmaceutical practices. While most people primarily choose conventional antimalarials, a substantial portion of the population also relies on ethnobotanical treatments—such as generic </w:t>
      </w:r>
      <w:r w:rsidRPr="00C1701A">
        <w:rPr>
          <w:rFonts w:ascii="Arial" w:hAnsi="Arial" w:cs="Arial"/>
          <w:i/>
        </w:rPr>
        <w:t>Agbo</w:t>
      </w:r>
      <w:r w:rsidRPr="00C1701A">
        <w:rPr>
          <w:rFonts w:ascii="Arial" w:hAnsi="Arial" w:cs="Arial"/>
        </w:rPr>
        <w:t>, Neem (</w:t>
      </w:r>
      <w:r w:rsidRPr="00C1701A">
        <w:rPr>
          <w:rFonts w:ascii="Arial" w:hAnsi="Arial" w:cs="Arial"/>
          <w:i/>
        </w:rPr>
        <w:t>Azadirachta</w:t>
      </w:r>
      <w:r w:rsidRPr="00C1701A">
        <w:rPr>
          <w:rFonts w:ascii="Arial" w:hAnsi="Arial" w:cs="Arial"/>
        </w:rPr>
        <w:t xml:space="preserve"> </w:t>
      </w:r>
      <w:r w:rsidRPr="00C1701A">
        <w:rPr>
          <w:rFonts w:ascii="Arial" w:hAnsi="Arial" w:cs="Arial"/>
          <w:i/>
        </w:rPr>
        <w:t>indica</w:t>
      </w:r>
      <w:r w:rsidRPr="00C1701A">
        <w:rPr>
          <w:rFonts w:ascii="Arial" w:hAnsi="Arial" w:cs="Arial"/>
        </w:rPr>
        <w:t>), and Moringa (</w:t>
      </w:r>
      <w:r w:rsidRPr="00C1701A">
        <w:rPr>
          <w:rFonts w:ascii="Arial" w:hAnsi="Arial" w:cs="Arial"/>
          <w:i/>
        </w:rPr>
        <w:t>Moringa</w:t>
      </w:r>
      <w:r w:rsidRPr="00C1701A">
        <w:rPr>
          <w:rFonts w:ascii="Arial" w:hAnsi="Arial" w:cs="Arial"/>
        </w:rPr>
        <w:t xml:space="preserve"> </w:t>
      </w:r>
      <w:r w:rsidRPr="00C1701A">
        <w:rPr>
          <w:rFonts w:ascii="Arial" w:hAnsi="Arial" w:cs="Arial"/>
          <w:i/>
        </w:rPr>
        <w:t>oleifera</w:t>
      </w:r>
      <w:r w:rsidRPr="00C1701A">
        <w:rPr>
          <w:rFonts w:ascii="Arial" w:hAnsi="Arial" w:cs="Arial"/>
        </w:rPr>
        <w:t>). This reliance stems more from the ease of access to these remedies and their perceived rapid effectiveness rather than from economic hardship.</w:t>
      </w:r>
      <w:r>
        <w:rPr>
          <w:rFonts w:ascii="Arial" w:hAnsi="Arial" w:cs="Arial"/>
        </w:rPr>
        <w:t xml:space="preserve"> </w:t>
      </w:r>
      <w:r w:rsidRPr="00C1701A">
        <w:rPr>
          <w:rFonts w:ascii="Arial" w:hAnsi="Arial" w:cs="Arial"/>
        </w:rPr>
        <w:t xml:space="preserve">The community's high dependence on unstandardized decoctions highlights the urgent need for public health policymakers to bridge the gap between formal and informal healthcare channels. Given that a significant number of people use traditional herbs and that many practice concurrent polypharmacy (combining herbal remedies with conventional antimalarials), healthcare professionals should incorporate detailed herbal history-taking during patient triaging and clinical assessments. This practice is essential for proactively identifying, monitoring, and mitigating potential herb-drug interactions or toxicities that may arise from unstandardized decoctions like </w:t>
      </w:r>
      <w:r w:rsidRPr="00C1701A">
        <w:rPr>
          <w:rFonts w:ascii="Arial" w:hAnsi="Arial" w:cs="Arial"/>
          <w:i/>
        </w:rPr>
        <w:t>Agbo</w:t>
      </w:r>
      <w:r w:rsidRPr="00C1701A">
        <w:rPr>
          <w:rFonts w:ascii="Arial" w:hAnsi="Arial" w:cs="Arial"/>
        </w:rPr>
        <w:t>, thereby enhancing patient safety and treatment compliance.</w:t>
      </w:r>
    </w:p>
    <w:p w14:paraId="67A29B2F" w14:textId="77777777" w:rsidR="00FE7D64" w:rsidRPr="000B4886" w:rsidRDefault="00FE7D64" w:rsidP="00C1701A">
      <w:pPr>
        <w:jc w:val="both"/>
        <w:rPr>
          <w:rFonts w:ascii="Arial" w:hAnsi="Arial" w:cs="Arial"/>
        </w:rPr>
      </w:pPr>
    </w:p>
    <w:p w14:paraId="3EA014A1" w14:textId="77777777" w:rsidR="0096374A" w:rsidRPr="000B4886" w:rsidRDefault="0088736E" w:rsidP="00C1701A">
      <w:pPr>
        <w:jc w:val="both"/>
        <w:rPr>
          <w:rFonts w:ascii="Arial" w:hAnsi="Arial" w:cs="Arial"/>
        </w:rPr>
      </w:pPr>
      <w:r w:rsidRPr="000B4886">
        <w:rPr>
          <w:rFonts w:ascii="Arial" w:hAnsi="Arial" w:cs="Arial"/>
          <w:b/>
          <w:bCs/>
        </w:rPr>
        <w:t xml:space="preserve">6. </w:t>
      </w:r>
      <w:r w:rsidR="0096374A" w:rsidRPr="000B4886">
        <w:rPr>
          <w:rFonts w:ascii="Arial" w:hAnsi="Arial" w:cs="Arial"/>
          <w:b/>
          <w:bCs/>
        </w:rPr>
        <w:t>Recommendation</w:t>
      </w:r>
      <w:r w:rsidR="0096374A" w:rsidRPr="000B4886">
        <w:rPr>
          <w:rFonts w:ascii="Arial" w:hAnsi="Arial" w:cs="Arial"/>
        </w:rPr>
        <w:t xml:space="preserve"> </w:t>
      </w:r>
    </w:p>
    <w:p w14:paraId="1E444B11" w14:textId="77777777" w:rsidR="0096374A" w:rsidRPr="002A0E63" w:rsidRDefault="0096374A" w:rsidP="00C1701A">
      <w:pPr>
        <w:jc w:val="both"/>
        <w:rPr>
          <w:rFonts w:ascii="Arial" w:hAnsi="Arial" w:cs="Arial"/>
          <w:bCs/>
        </w:rPr>
      </w:pPr>
      <w:r w:rsidRPr="002A0E63">
        <w:rPr>
          <w:bCs/>
        </w:rPr>
        <w:t xml:space="preserve">It is recommended that the Ebonyi State Ministry of Health, in partnership with ethnobotanists and pharmacologists, initiate a structured programme to scientifically validate, standardise and regulate the most commonly reported local remedies in this area, such as </w:t>
      </w:r>
      <w:r w:rsidRPr="002A0E63">
        <w:rPr>
          <w:bCs/>
          <w:i/>
        </w:rPr>
        <w:t>Agbo</w:t>
      </w:r>
      <w:r w:rsidRPr="002A0E63">
        <w:rPr>
          <w:bCs/>
        </w:rPr>
        <w:t>, Neem (</w:t>
      </w:r>
      <w:r w:rsidRPr="002A0E63">
        <w:rPr>
          <w:bCs/>
          <w:i/>
        </w:rPr>
        <w:t>Azadirachta indica</w:t>
      </w:r>
      <w:r w:rsidRPr="002A0E63">
        <w:rPr>
          <w:bCs/>
        </w:rPr>
        <w:t>) and Moringa (</w:t>
      </w:r>
      <w:r w:rsidRPr="002A0E63">
        <w:rPr>
          <w:bCs/>
          <w:i/>
        </w:rPr>
        <w:t>Moringa oleifera</w:t>
      </w:r>
      <w:r w:rsidRPr="002A0E63">
        <w:rPr>
          <w:bCs/>
        </w:rPr>
        <w:t>). Public health authorities in Afikpo LGA should actively engage local traditional herbal practitioners to establish safe dosing protocols, discourage the use of unstandardised alcohol-based extraction solvents such as gin, and educate practitioners on recognising clinical danger signs that require immediate referral to formal healthcare facilities, particularly when treating vulnerable groups such as children.</w:t>
      </w:r>
    </w:p>
    <w:p w14:paraId="3D009834" w14:textId="77777777" w:rsidR="00BC123E" w:rsidRPr="002A0E63" w:rsidRDefault="00BC123E" w:rsidP="00EB7CE4">
      <w:pPr>
        <w:jc w:val="both"/>
        <w:rPr>
          <w:rFonts w:ascii="Arial" w:hAnsi="Arial" w:cs="Arial"/>
          <w:bCs/>
        </w:rPr>
      </w:pPr>
    </w:p>
    <w:p w14:paraId="5ADBD23D" w14:textId="77777777" w:rsidR="00911497" w:rsidRPr="000B4886" w:rsidRDefault="00911497" w:rsidP="00EB7CE4">
      <w:pPr>
        <w:jc w:val="both"/>
        <w:rPr>
          <w:rFonts w:ascii="Arial" w:hAnsi="Arial" w:cs="Arial"/>
          <w:b/>
        </w:rPr>
      </w:pPr>
      <w:r w:rsidRPr="000B4886">
        <w:rPr>
          <w:rFonts w:ascii="Arial" w:hAnsi="Arial" w:cs="Arial"/>
          <w:b/>
        </w:rPr>
        <w:t xml:space="preserve">6. </w:t>
      </w:r>
      <w:r w:rsidR="003B3784" w:rsidRPr="000B4886">
        <w:rPr>
          <w:rFonts w:ascii="Arial" w:hAnsi="Arial" w:cs="Arial"/>
          <w:b/>
        </w:rPr>
        <w:t>LIMITATION OF STUDY</w:t>
      </w:r>
    </w:p>
    <w:p w14:paraId="3E1D55B6" w14:textId="77777777" w:rsidR="00911497" w:rsidRPr="00E81249" w:rsidRDefault="00EB7CE4" w:rsidP="00EB7CE4">
      <w:pPr>
        <w:jc w:val="both"/>
        <w:rPr>
          <w:rFonts w:ascii="Arial" w:hAnsi="Arial" w:cs="Arial"/>
          <w:bCs/>
        </w:rPr>
      </w:pPr>
      <w:r w:rsidRPr="00E81249">
        <w:rPr>
          <w:bCs/>
        </w:rPr>
        <w:t>The main limitation of this study was initial community reluctance to participate, mainly because of concerns about blood-sample collection and personal beliefs. Although these concerns were addressed through explanation and engagement, they may have influenced willingness to participate. The findings should therefore be interpreted within the context of the sample size and the community-based cross-sectional design.</w:t>
      </w:r>
    </w:p>
    <w:p w14:paraId="066E0202" w14:textId="77777777" w:rsidR="00790ADA" w:rsidRPr="000B4886" w:rsidRDefault="00911497" w:rsidP="00EB7CE4">
      <w:pPr>
        <w:jc w:val="both"/>
        <w:rPr>
          <w:rFonts w:ascii="Arial" w:hAnsi="Arial" w:cs="Arial"/>
        </w:rPr>
      </w:pPr>
      <w:r w:rsidRPr="000B4886">
        <w:rPr>
          <w:rFonts w:ascii="Arial" w:hAnsi="Arial" w:cs="Arial"/>
        </w:rPr>
        <w:t xml:space="preserve">  </w:t>
      </w:r>
    </w:p>
    <w:p w14:paraId="454FC6DD" w14:textId="77777777" w:rsidR="002B685A" w:rsidRPr="000B4886" w:rsidRDefault="002B685A" w:rsidP="00EB7CE4">
      <w:pPr>
        <w:pStyle w:val="ReferHead"/>
        <w:spacing w:after="0"/>
        <w:jc w:val="both"/>
        <w:rPr>
          <w:rFonts w:ascii="Arial" w:hAnsi="Arial" w:cs="Arial"/>
          <w:b w:val="0"/>
          <w:caps w:val="0"/>
          <w:sz w:val="20"/>
        </w:rPr>
      </w:pPr>
    </w:p>
    <w:p w14:paraId="208CF8B5" w14:textId="77777777" w:rsidR="002B685A" w:rsidRPr="000B4886" w:rsidRDefault="002B685A" w:rsidP="00EB7CE4">
      <w:pPr>
        <w:pStyle w:val="ReferHead"/>
        <w:spacing w:after="0"/>
        <w:jc w:val="both"/>
        <w:rPr>
          <w:rFonts w:ascii="Arial" w:hAnsi="Arial" w:cs="Arial"/>
          <w:bCs/>
          <w:sz w:val="20"/>
        </w:rPr>
      </w:pPr>
      <w:r w:rsidRPr="000B4886">
        <w:rPr>
          <w:rFonts w:ascii="Arial" w:hAnsi="Arial" w:cs="Arial"/>
          <w:bCs/>
          <w:sz w:val="20"/>
        </w:rPr>
        <w:t>Consent</w:t>
      </w:r>
      <w:r w:rsidR="000557A3" w:rsidRPr="000B4886">
        <w:rPr>
          <w:rFonts w:ascii="Arial" w:hAnsi="Arial" w:cs="Arial"/>
          <w:bCs/>
          <w:sz w:val="20"/>
        </w:rPr>
        <w:t xml:space="preserve"> </w:t>
      </w:r>
    </w:p>
    <w:p w14:paraId="5B2E0B39" w14:textId="6F2A27D2" w:rsidR="001A29D8" w:rsidRPr="000B4886" w:rsidRDefault="001A29D8" w:rsidP="00EB7CE4">
      <w:pPr>
        <w:pStyle w:val="ReferHead"/>
        <w:spacing w:after="0"/>
        <w:jc w:val="both"/>
        <w:rPr>
          <w:rFonts w:ascii="Arial" w:hAnsi="Arial" w:cs="Arial"/>
          <w:b w:val="0"/>
          <w:caps w:val="0"/>
          <w:sz w:val="20"/>
        </w:rPr>
      </w:pPr>
      <w:r w:rsidRPr="000B4886">
        <w:rPr>
          <w:rFonts w:ascii="Arial" w:hAnsi="Arial" w:cs="Arial"/>
          <w:b w:val="0"/>
          <w:caps w:val="0"/>
          <w:sz w:val="20"/>
        </w:rPr>
        <w:t>All authors declare t</w:t>
      </w:r>
      <w:r w:rsidR="0088736E" w:rsidRPr="000B4886">
        <w:rPr>
          <w:rFonts w:ascii="Arial" w:hAnsi="Arial" w:cs="Arial"/>
          <w:b w:val="0"/>
          <w:caps w:val="0"/>
          <w:sz w:val="20"/>
        </w:rPr>
        <w:t xml:space="preserve">hat </w:t>
      </w:r>
      <w:r w:rsidRPr="000B4886">
        <w:rPr>
          <w:rFonts w:ascii="Arial" w:hAnsi="Arial" w:cs="Arial"/>
          <w:b w:val="0"/>
          <w:caps w:val="0"/>
          <w:sz w:val="20"/>
        </w:rPr>
        <w:t>written informed consent was obtained from the pati</w:t>
      </w:r>
      <w:r w:rsidR="00F94B4D" w:rsidRPr="000B4886">
        <w:rPr>
          <w:rFonts w:ascii="Arial" w:hAnsi="Arial" w:cs="Arial"/>
          <w:b w:val="0"/>
          <w:caps w:val="0"/>
          <w:sz w:val="20"/>
        </w:rPr>
        <w:t xml:space="preserve">ent </w:t>
      </w:r>
      <w:r w:rsidRPr="000B4886">
        <w:rPr>
          <w:rFonts w:ascii="Arial" w:hAnsi="Arial" w:cs="Arial"/>
          <w:b w:val="0"/>
          <w:caps w:val="0"/>
          <w:sz w:val="20"/>
        </w:rPr>
        <w:t xml:space="preserve">for publication </w:t>
      </w:r>
      <w:r w:rsidR="00F94B4D" w:rsidRPr="000B4886">
        <w:rPr>
          <w:rFonts w:ascii="Arial" w:hAnsi="Arial" w:cs="Arial"/>
          <w:b w:val="0"/>
          <w:caps w:val="0"/>
          <w:sz w:val="20"/>
        </w:rPr>
        <w:t>of this study.</w:t>
      </w:r>
      <w:r w:rsidRPr="000B4886">
        <w:rPr>
          <w:rFonts w:ascii="Arial" w:hAnsi="Arial" w:cs="Arial"/>
          <w:b w:val="0"/>
          <w:caps w:val="0"/>
          <w:sz w:val="20"/>
        </w:rPr>
        <w:t xml:space="preserve"> </w:t>
      </w:r>
    </w:p>
    <w:p w14:paraId="107170E3" w14:textId="77777777" w:rsidR="005C784C" w:rsidRPr="000B4886" w:rsidRDefault="005C784C" w:rsidP="00EB7CE4">
      <w:pPr>
        <w:pStyle w:val="ReferHead"/>
        <w:spacing w:after="0"/>
        <w:jc w:val="both"/>
        <w:rPr>
          <w:rFonts w:ascii="Arial" w:hAnsi="Arial" w:cs="Arial"/>
          <w:b w:val="0"/>
          <w:caps w:val="0"/>
          <w:sz w:val="20"/>
        </w:rPr>
      </w:pPr>
    </w:p>
    <w:p w14:paraId="6B046C82" w14:textId="77777777" w:rsidR="005C784C" w:rsidRPr="000B4886" w:rsidRDefault="005931DB" w:rsidP="00EB7CE4">
      <w:pPr>
        <w:pStyle w:val="ReferHead"/>
        <w:spacing w:after="0"/>
        <w:jc w:val="both"/>
        <w:rPr>
          <w:rFonts w:ascii="Arial" w:hAnsi="Arial" w:cs="Arial"/>
          <w:bCs/>
          <w:sz w:val="20"/>
        </w:rPr>
      </w:pPr>
      <w:r w:rsidRPr="000B4886">
        <w:rPr>
          <w:rFonts w:ascii="Arial" w:hAnsi="Arial" w:cs="Arial"/>
          <w:bCs/>
          <w:sz w:val="20"/>
        </w:rPr>
        <w:t>Ethical approval</w:t>
      </w:r>
    </w:p>
    <w:p w14:paraId="23C3B256" w14:textId="77777777" w:rsidR="000557A3" w:rsidRPr="000B4886" w:rsidRDefault="00EB7CE4" w:rsidP="00EB7CE4">
      <w:pPr>
        <w:spacing w:line="276" w:lineRule="auto"/>
        <w:jc w:val="both"/>
        <w:rPr>
          <w:rFonts w:ascii="Arial" w:hAnsi="Arial" w:cs="Arial"/>
          <w:b/>
        </w:rPr>
      </w:pPr>
      <w:r w:rsidRPr="000B4886">
        <w:rPr>
          <w:rFonts w:ascii="Arial" w:hAnsi="Arial" w:cs="Arial"/>
        </w:rPr>
        <w:t>Ethical approval for this study was granted by the ethics committee of two community health centers. This approval helped alleviate the concerns of the community, leading some individuals to provide their consent. Additionally, we received approval from Alex Ekwueme Federal University Teaching Hospital in Abakaliki (AEFUTHA), with the reference number NNREC/16/05/22/301.</w:t>
      </w:r>
    </w:p>
    <w:p w14:paraId="259D5181" w14:textId="77777777" w:rsidR="00304270" w:rsidRPr="000B4886" w:rsidRDefault="00304270" w:rsidP="00EB7CE4">
      <w:pPr>
        <w:pStyle w:val="ReferHead"/>
        <w:spacing w:after="0"/>
        <w:jc w:val="both"/>
        <w:rPr>
          <w:rFonts w:ascii="Arial" w:hAnsi="Arial" w:cs="Arial"/>
          <w:b w:val="0"/>
          <w:sz w:val="20"/>
        </w:rPr>
      </w:pPr>
    </w:p>
    <w:p w14:paraId="1F4C878D" w14:textId="77777777" w:rsidR="00304270" w:rsidRPr="000B4886" w:rsidRDefault="00304270" w:rsidP="00EB7CE4">
      <w:pPr>
        <w:jc w:val="both"/>
        <w:rPr>
          <w:rFonts w:ascii="Arial" w:eastAsia="Calibri" w:hAnsi="Arial" w:cs="Arial"/>
          <w:kern w:val="2"/>
        </w:rPr>
      </w:pPr>
      <w:bookmarkStart w:id="0" w:name="_Hlk218868534"/>
      <w:bookmarkStart w:id="1" w:name="_Hlk229240739"/>
    </w:p>
    <w:p w14:paraId="55F8DCDA" w14:textId="77777777" w:rsidR="000F4F64" w:rsidRPr="000B4886" w:rsidRDefault="000F4F64" w:rsidP="000F4F64">
      <w:pPr>
        <w:spacing w:after="160" w:line="259" w:lineRule="auto"/>
        <w:rPr>
          <w:rFonts w:ascii="Arial" w:eastAsia="Calibri" w:hAnsi="Arial" w:cs="Arial"/>
          <w:b/>
          <w:bCs/>
          <w:kern w:val="2"/>
          <w:lang w:val="en-IN"/>
        </w:rPr>
      </w:pPr>
      <w:bookmarkStart w:id="2" w:name="_Hlk220510767"/>
      <w:bookmarkEnd w:id="0"/>
      <w:bookmarkEnd w:id="1"/>
      <w:r w:rsidRPr="000B4886">
        <w:rPr>
          <w:rFonts w:ascii="Arial" w:eastAsia="Calibri" w:hAnsi="Arial" w:cs="Arial"/>
          <w:b/>
          <w:bCs/>
          <w:kern w:val="2"/>
          <w:lang w:val="en-IN"/>
        </w:rPr>
        <w:t>Declaration of AI Use</w:t>
      </w:r>
    </w:p>
    <w:p w14:paraId="473D6C9D" w14:textId="77777777" w:rsidR="000F4F64" w:rsidRPr="000B4886" w:rsidRDefault="000F4F64" w:rsidP="000F4F64">
      <w:pPr>
        <w:spacing w:after="160" w:line="259" w:lineRule="auto"/>
        <w:rPr>
          <w:rFonts w:ascii="Arial" w:eastAsia="Calibri" w:hAnsi="Arial" w:cs="Arial"/>
          <w:kern w:val="2"/>
          <w:lang w:val="en-IN"/>
        </w:rPr>
      </w:pPr>
      <w:r w:rsidRPr="000B4886">
        <w:rPr>
          <w:rFonts w:ascii="Arial" w:eastAsia="Calibri" w:hAnsi="Arial" w:cs="Arial"/>
          <w:kern w:val="2"/>
          <w:lang w:val="en-I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2"/>
    <w:p w14:paraId="1A7C9F93" w14:textId="77777777" w:rsidR="00304270" w:rsidRPr="000B4886" w:rsidRDefault="00304270" w:rsidP="00EB7CE4">
      <w:pPr>
        <w:pStyle w:val="ReferHead"/>
        <w:spacing w:after="0"/>
        <w:jc w:val="both"/>
        <w:rPr>
          <w:rFonts w:ascii="Arial" w:hAnsi="Arial" w:cs="Arial"/>
          <w:b w:val="0"/>
          <w:caps w:val="0"/>
          <w:sz w:val="20"/>
          <w:lang w:val="en-IN"/>
        </w:rPr>
      </w:pPr>
    </w:p>
    <w:p w14:paraId="3A028A64" w14:textId="77777777" w:rsidR="005C784C" w:rsidRPr="000B4886" w:rsidRDefault="005C784C" w:rsidP="00EB7CE4">
      <w:pPr>
        <w:pStyle w:val="ReferHead"/>
        <w:spacing w:after="0"/>
        <w:jc w:val="both"/>
        <w:rPr>
          <w:rFonts w:ascii="Arial" w:hAnsi="Arial" w:cs="Arial"/>
          <w:b w:val="0"/>
          <w:bCs/>
          <w:sz w:val="20"/>
        </w:rPr>
      </w:pPr>
    </w:p>
    <w:p w14:paraId="0E83FCD1" w14:textId="77777777" w:rsidR="00CD6856" w:rsidRPr="000B4886" w:rsidRDefault="00CD6856" w:rsidP="00EB7CE4">
      <w:pPr>
        <w:pStyle w:val="ReferHead"/>
        <w:spacing w:after="0"/>
        <w:jc w:val="both"/>
        <w:rPr>
          <w:rFonts w:ascii="Arial" w:hAnsi="Arial" w:cs="Arial"/>
          <w:b w:val="0"/>
          <w:caps w:val="0"/>
          <w:sz w:val="20"/>
        </w:rPr>
      </w:pPr>
    </w:p>
    <w:p w14:paraId="78869346" w14:textId="77777777" w:rsidR="00B01FCD" w:rsidRPr="000B4886" w:rsidRDefault="00B01FCD" w:rsidP="00441B6F">
      <w:pPr>
        <w:pStyle w:val="ReferHead"/>
        <w:spacing w:after="0"/>
        <w:jc w:val="both"/>
        <w:rPr>
          <w:rFonts w:ascii="Arial" w:hAnsi="Arial" w:cs="Arial"/>
          <w:sz w:val="20"/>
          <w:lang w:val="es-US"/>
        </w:rPr>
      </w:pPr>
      <w:r w:rsidRPr="000B4886">
        <w:rPr>
          <w:rFonts w:ascii="Arial" w:hAnsi="Arial" w:cs="Arial"/>
          <w:sz w:val="20"/>
          <w:lang w:val="es-US"/>
        </w:rPr>
        <w:t>References</w:t>
      </w:r>
    </w:p>
    <w:p w14:paraId="7FD76ADA" w14:textId="77777777" w:rsidR="00612227" w:rsidRDefault="00612227" w:rsidP="00612227">
      <w:pPr>
        <w:ind w:left="540" w:hanging="540"/>
        <w:jc w:val="both"/>
        <w:rPr>
          <w:rFonts w:ascii="Times New Roman" w:hAnsi="Times New Roman"/>
          <w:sz w:val="24"/>
          <w:szCs w:val="24"/>
          <w:lang w:val="es-US"/>
        </w:rPr>
      </w:pPr>
    </w:p>
    <w:p w14:paraId="5463CE73" w14:textId="7F266AAD"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lang w:val="es-US"/>
        </w:rPr>
        <w:t xml:space="preserve">Abeku, T. A., Iwegbu, A., Ogunmola, S., &amp; Oluwagbemiga, A. O. (2026). </w:t>
      </w:r>
      <w:r w:rsidRPr="00612227">
        <w:rPr>
          <w:rFonts w:ascii="Times New Roman" w:hAnsi="Times New Roman"/>
          <w:sz w:val="24"/>
          <w:szCs w:val="24"/>
        </w:rPr>
        <w:t xml:space="preserve">Seasonal climate patterns and their impact on mosquito net use in Nigeria: Evidence from repeated surveys. </w:t>
      </w:r>
      <w:r w:rsidRPr="00612227">
        <w:rPr>
          <w:rFonts w:ascii="Times New Roman" w:hAnsi="Times New Roman"/>
          <w:i/>
          <w:iCs/>
          <w:sz w:val="24"/>
          <w:szCs w:val="24"/>
        </w:rPr>
        <w:t>Malaria Journal, 25</w:t>
      </w:r>
      <w:r w:rsidRPr="00612227">
        <w:rPr>
          <w:rFonts w:ascii="Times New Roman" w:hAnsi="Times New Roman"/>
          <w:sz w:val="24"/>
          <w:szCs w:val="24"/>
        </w:rPr>
        <w:t xml:space="preserve">, Article 65. </w:t>
      </w:r>
      <w:hyperlink r:id="rId8" w:history="1">
        <w:r w:rsidRPr="00612227">
          <w:rPr>
            <w:rFonts w:ascii="Times New Roman" w:hAnsi="Times New Roman"/>
            <w:color w:val="0000FF"/>
            <w:sz w:val="24"/>
            <w:szCs w:val="24"/>
            <w:u w:val="single"/>
          </w:rPr>
          <w:t>https://doi.org/10.1186/s12936-025-05761-4</w:t>
        </w:r>
      </w:hyperlink>
    </w:p>
    <w:p w14:paraId="13F3F5A9" w14:textId="67B90343"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lang w:val="nl-BE"/>
        </w:rPr>
        <w:t xml:space="preserve">Adigwe, O. P., Onavbavba, G., &amp; Omoarelojie, O. (2025). </w:t>
      </w:r>
      <w:r w:rsidRPr="00612227">
        <w:rPr>
          <w:rFonts w:ascii="Times New Roman" w:hAnsi="Times New Roman"/>
          <w:sz w:val="24"/>
          <w:szCs w:val="24"/>
        </w:rPr>
        <w:t xml:space="preserve">Awareness, knowledge and belief regarding bitter leaf use: A cross-sectional study in Nigeria. </w:t>
      </w:r>
      <w:r w:rsidRPr="00612227">
        <w:rPr>
          <w:rFonts w:ascii="Times New Roman" w:hAnsi="Times New Roman"/>
          <w:i/>
          <w:iCs/>
          <w:sz w:val="24"/>
          <w:szCs w:val="24"/>
        </w:rPr>
        <w:t>PLOS ONE, 20</w:t>
      </w:r>
      <w:r w:rsidRPr="00612227">
        <w:rPr>
          <w:rFonts w:ascii="Times New Roman" w:hAnsi="Times New Roman"/>
          <w:sz w:val="24"/>
          <w:szCs w:val="24"/>
        </w:rPr>
        <w:t xml:space="preserve">(6), e0322364. </w:t>
      </w:r>
      <w:hyperlink r:id="rId9" w:history="1">
        <w:r w:rsidRPr="00612227">
          <w:rPr>
            <w:rFonts w:ascii="Times New Roman" w:hAnsi="Times New Roman"/>
            <w:color w:val="0000FF"/>
            <w:sz w:val="24"/>
            <w:szCs w:val="24"/>
            <w:u w:val="single"/>
          </w:rPr>
          <w:t>https://doi.org/10.1371/journal.pone.0322364</w:t>
        </w:r>
      </w:hyperlink>
    </w:p>
    <w:p w14:paraId="11240CBE" w14:textId="098C8850"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Adigwe, O. P., Fatokun, O. T., Benefit, E. K., Ibrahim, J. A., Adzu, B., &amp; Isimi, C. Y. (2022). Herbal medicine products sold in Nigeria: A pilot survey. </w:t>
      </w:r>
      <w:r w:rsidRPr="00612227">
        <w:rPr>
          <w:rFonts w:ascii="Times New Roman" w:hAnsi="Times New Roman"/>
          <w:i/>
          <w:iCs/>
          <w:sz w:val="24"/>
          <w:szCs w:val="24"/>
        </w:rPr>
        <w:t>Journal of Complementary and Alternative Medical Research, 18</w:t>
      </w:r>
      <w:r w:rsidRPr="00612227">
        <w:rPr>
          <w:rFonts w:ascii="Times New Roman" w:hAnsi="Times New Roman"/>
          <w:sz w:val="24"/>
          <w:szCs w:val="24"/>
        </w:rPr>
        <w:t xml:space="preserve">(4), 1–11. </w:t>
      </w:r>
      <w:hyperlink r:id="rId10" w:history="1">
        <w:r w:rsidRPr="00612227">
          <w:rPr>
            <w:rFonts w:ascii="Times New Roman" w:hAnsi="Times New Roman"/>
            <w:color w:val="0000FF"/>
            <w:sz w:val="24"/>
            <w:szCs w:val="24"/>
            <w:u w:val="single"/>
          </w:rPr>
          <w:t>https://doi.org/10.9734/jocamr/2022/v18i430356</w:t>
        </w:r>
      </w:hyperlink>
    </w:p>
    <w:p w14:paraId="2F099F47" w14:textId="789645ED"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Agyepong, I. A. (1992). Malaria: Ethnomedical perceptions and practice in an Adangbe farming community and implications for control. </w:t>
      </w:r>
      <w:r w:rsidRPr="00612227">
        <w:rPr>
          <w:rFonts w:ascii="Times New Roman" w:hAnsi="Times New Roman"/>
          <w:i/>
          <w:iCs/>
          <w:sz w:val="24"/>
          <w:szCs w:val="24"/>
        </w:rPr>
        <w:t>Social Science &amp; Medicine, 35</w:t>
      </w:r>
      <w:r w:rsidRPr="00612227">
        <w:rPr>
          <w:rFonts w:ascii="Times New Roman" w:hAnsi="Times New Roman"/>
          <w:sz w:val="24"/>
          <w:szCs w:val="24"/>
        </w:rPr>
        <w:t xml:space="preserve">(2), 131–137. </w:t>
      </w:r>
      <w:hyperlink r:id="rId11" w:history="1">
        <w:r w:rsidRPr="00612227">
          <w:rPr>
            <w:rFonts w:ascii="Times New Roman" w:hAnsi="Times New Roman"/>
            <w:color w:val="0000FF"/>
            <w:sz w:val="24"/>
            <w:szCs w:val="24"/>
            <w:u w:val="single"/>
          </w:rPr>
          <w:t>https://doi.org/10.1016/0277-9536(92)90160-r</w:t>
        </w:r>
      </w:hyperlink>
    </w:p>
    <w:p w14:paraId="1F3040DC" w14:textId="5167BD70"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Ayinbuomwan, S. A., Opadeyi, A. O., &amp; Isah, A. O. (2022). The current use of the artemisinin-based combination therapies in adult patients at a tertiary hospital, South-South Nigeria: ACT amongst adults; preferences, tolerability and cost consideration. </w:t>
      </w:r>
      <w:r w:rsidRPr="00612227">
        <w:rPr>
          <w:rFonts w:ascii="Times New Roman" w:hAnsi="Times New Roman"/>
          <w:i/>
          <w:iCs/>
          <w:sz w:val="24"/>
          <w:szCs w:val="24"/>
        </w:rPr>
        <w:t>Babcock University Medical Journal, 5</w:t>
      </w:r>
      <w:r w:rsidRPr="00612227">
        <w:rPr>
          <w:rFonts w:ascii="Times New Roman" w:hAnsi="Times New Roman"/>
          <w:sz w:val="24"/>
          <w:szCs w:val="24"/>
        </w:rPr>
        <w:t xml:space="preserve">(2), 68–77. </w:t>
      </w:r>
      <w:hyperlink r:id="rId12" w:history="1">
        <w:r w:rsidRPr="00612227">
          <w:rPr>
            <w:rFonts w:ascii="Times New Roman" w:hAnsi="Times New Roman"/>
            <w:color w:val="0000FF"/>
            <w:sz w:val="24"/>
            <w:szCs w:val="24"/>
            <w:u w:val="single"/>
          </w:rPr>
          <w:t>https://doi.org/10.38029/babcockunivmedj.v5i2.145</w:t>
        </w:r>
      </w:hyperlink>
    </w:p>
    <w:p w14:paraId="1934F823" w14:textId="4ECB4E5B"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Bamgboye, E. A., Ogunwale, A. O., Al-Mukhtar, A., Musa, B., Mhlanga, L., Olawuwo, M., Fagbamigbe, A., Akinyemi, J., Ajayi, I., &amp; Ozodiegwu, I. D. (2025). Understanding malaria treatment patronage from informal healthcare providers in Nigerian urban settlements: Insights from community members and providers. </w:t>
      </w:r>
      <w:r w:rsidRPr="00612227">
        <w:rPr>
          <w:rFonts w:ascii="Times New Roman" w:hAnsi="Times New Roman"/>
          <w:i/>
          <w:iCs/>
          <w:sz w:val="24"/>
          <w:szCs w:val="24"/>
        </w:rPr>
        <w:t>Malaria Journal, 24</w:t>
      </w:r>
      <w:r w:rsidRPr="00612227">
        <w:rPr>
          <w:rFonts w:ascii="Times New Roman" w:hAnsi="Times New Roman"/>
          <w:sz w:val="24"/>
          <w:szCs w:val="24"/>
        </w:rPr>
        <w:t xml:space="preserve">, Article 26. </w:t>
      </w:r>
      <w:hyperlink r:id="rId13" w:history="1">
        <w:r w:rsidRPr="00612227">
          <w:rPr>
            <w:rFonts w:ascii="Times New Roman" w:hAnsi="Times New Roman"/>
            <w:color w:val="0000FF"/>
            <w:sz w:val="24"/>
            <w:szCs w:val="24"/>
            <w:u w:val="single"/>
          </w:rPr>
          <w:t>https://doi.org/10.1186/s12936-025-05255-3</w:t>
        </w:r>
      </w:hyperlink>
    </w:p>
    <w:p w14:paraId="202023BE" w14:textId="15C0A61F"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Bamikole, O. J., Olajide, T. H., Adedeji, B. A., Ademola, S. A., Fayehun, A. F., Bukoye, N. O., Olufeagba, M.-D. B., &amp; Amodu, O. K. (2023). Drug use practices and self-treatment for suspected malaria in Ibadan, Nigeria. </w:t>
      </w:r>
      <w:r w:rsidRPr="00612227">
        <w:rPr>
          <w:rFonts w:ascii="Times New Roman" w:hAnsi="Times New Roman"/>
          <w:i/>
          <w:iCs/>
          <w:sz w:val="24"/>
          <w:szCs w:val="24"/>
        </w:rPr>
        <w:t>The American Journal of Tropical Medicine and Hygiene, 108</w:t>
      </w:r>
      <w:r w:rsidRPr="00612227">
        <w:rPr>
          <w:rFonts w:ascii="Times New Roman" w:hAnsi="Times New Roman"/>
          <w:sz w:val="24"/>
          <w:szCs w:val="24"/>
        </w:rPr>
        <w:t xml:space="preserve">(6), 1122–1126. </w:t>
      </w:r>
      <w:hyperlink r:id="rId14" w:history="1">
        <w:r w:rsidRPr="00612227">
          <w:rPr>
            <w:rFonts w:ascii="Times New Roman" w:hAnsi="Times New Roman"/>
            <w:color w:val="0000FF"/>
            <w:sz w:val="24"/>
            <w:szCs w:val="24"/>
            <w:u w:val="single"/>
          </w:rPr>
          <w:t>https://doi.org/10.4269/ajtmh.22-0489</w:t>
        </w:r>
      </w:hyperlink>
    </w:p>
    <w:p w14:paraId="0C07FF60" w14:textId="2E15F064"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Nwokeke, C. C., &amp; Igwillo, U. C. (2020). A review of heat therapy in African traditional medicine. </w:t>
      </w:r>
      <w:r w:rsidRPr="00612227">
        <w:rPr>
          <w:rFonts w:ascii="Times New Roman" w:hAnsi="Times New Roman"/>
          <w:i/>
          <w:iCs/>
          <w:sz w:val="24"/>
          <w:szCs w:val="24"/>
        </w:rPr>
        <w:t>Journal of Health and Environmental Research, 6</w:t>
      </w:r>
      <w:r w:rsidRPr="00612227">
        <w:rPr>
          <w:rFonts w:ascii="Times New Roman" w:hAnsi="Times New Roman"/>
          <w:sz w:val="24"/>
          <w:szCs w:val="24"/>
        </w:rPr>
        <w:t xml:space="preserve">(3), 87–92. </w:t>
      </w:r>
      <w:hyperlink r:id="rId15" w:history="1">
        <w:r w:rsidRPr="00612227">
          <w:rPr>
            <w:rFonts w:ascii="Times New Roman" w:hAnsi="Times New Roman"/>
            <w:color w:val="0000FF"/>
            <w:sz w:val="24"/>
            <w:szCs w:val="24"/>
            <w:u w:val="single"/>
          </w:rPr>
          <w:t>https://doi.org/10.11648/j.jher.20200603.16</w:t>
        </w:r>
      </w:hyperlink>
    </w:p>
    <w:p w14:paraId="29DCC710" w14:textId="30160717"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lastRenderedPageBreak/>
        <w:t xml:space="preserve">Chiamah, O. C., Ibe, A. C., Amaechi, C. C., Oraneli, U. B., &amp; Imakwu, C. A. (2026). Symptomatic and asymptomatic malaria in Abakiliki, Ebonyi State and associated risk factors. </w:t>
      </w:r>
      <w:r w:rsidRPr="00612227">
        <w:rPr>
          <w:rFonts w:ascii="Times New Roman" w:hAnsi="Times New Roman"/>
          <w:i/>
          <w:iCs/>
          <w:sz w:val="24"/>
          <w:szCs w:val="24"/>
        </w:rPr>
        <w:t>Journal of Disease and Global Health, 19</w:t>
      </w:r>
      <w:r w:rsidRPr="00612227">
        <w:rPr>
          <w:rFonts w:ascii="Times New Roman" w:hAnsi="Times New Roman"/>
          <w:sz w:val="24"/>
          <w:szCs w:val="24"/>
        </w:rPr>
        <w:t xml:space="preserve">(1), 381–390. </w:t>
      </w:r>
      <w:hyperlink r:id="rId16" w:history="1">
        <w:r w:rsidRPr="00612227">
          <w:rPr>
            <w:rFonts w:ascii="Times New Roman" w:hAnsi="Times New Roman"/>
            <w:color w:val="0000FF"/>
            <w:sz w:val="24"/>
            <w:szCs w:val="24"/>
            <w:u w:val="single"/>
          </w:rPr>
          <w:t>https://doi.org/10.56557/jodagh/2026/v19i110619</w:t>
        </w:r>
      </w:hyperlink>
    </w:p>
    <w:p w14:paraId="15CD8BB4" w14:textId="6FFDC526"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Danjin, M., Adewoye, S. O., &amp; Sawyerr, H. O. (2020). The burden and socio-demographic differentials of malaria infection among asymptomatic school children in Gombe State, Nigeria. </w:t>
      </w:r>
      <w:r w:rsidRPr="00612227">
        <w:rPr>
          <w:rFonts w:ascii="Times New Roman" w:hAnsi="Times New Roman"/>
          <w:i/>
          <w:iCs/>
          <w:sz w:val="24"/>
          <w:szCs w:val="24"/>
        </w:rPr>
        <w:t>International Journal of Tropical Disease &amp; Health, 41</w:t>
      </w:r>
      <w:r w:rsidRPr="00612227">
        <w:rPr>
          <w:rFonts w:ascii="Times New Roman" w:hAnsi="Times New Roman"/>
          <w:sz w:val="24"/>
          <w:szCs w:val="24"/>
        </w:rPr>
        <w:t xml:space="preserve">(4), 26–42. </w:t>
      </w:r>
      <w:hyperlink r:id="rId17" w:history="1">
        <w:r w:rsidRPr="00612227">
          <w:rPr>
            <w:rFonts w:ascii="Times New Roman" w:hAnsi="Times New Roman"/>
            <w:color w:val="0000FF"/>
            <w:sz w:val="24"/>
            <w:szCs w:val="24"/>
            <w:u w:val="single"/>
          </w:rPr>
          <w:t>https://doi.org/10.9734/ijtdh/2020/v41i430268</w:t>
        </w:r>
      </w:hyperlink>
    </w:p>
    <w:p w14:paraId="09753888" w14:textId="23EE67B1"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Deressa, W., &amp; Ali, A. (2009). Malaria-related perceptions and practices of women with children under the age of five years in rural Ethiopia. </w:t>
      </w:r>
      <w:r w:rsidRPr="00612227">
        <w:rPr>
          <w:rFonts w:ascii="Times New Roman" w:hAnsi="Times New Roman"/>
          <w:i/>
          <w:iCs/>
          <w:sz w:val="24"/>
          <w:szCs w:val="24"/>
        </w:rPr>
        <w:t>BMC Public Health, 9</w:t>
      </w:r>
      <w:r w:rsidRPr="00612227">
        <w:rPr>
          <w:rFonts w:ascii="Times New Roman" w:hAnsi="Times New Roman"/>
          <w:sz w:val="24"/>
          <w:szCs w:val="24"/>
        </w:rPr>
        <w:t xml:space="preserve">, Article 259. </w:t>
      </w:r>
      <w:hyperlink r:id="rId18" w:history="1">
        <w:r w:rsidRPr="00612227">
          <w:rPr>
            <w:rFonts w:ascii="Times New Roman" w:hAnsi="Times New Roman"/>
            <w:color w:val="0000FF"/>
            <w:sz w:val="24"/>
            <w:szCs w:val="24"/>
            <w:u w:val="single"/>
          </w:rPr>
          <w:t>https://doi.org/10.1186/1471-2458-9-259</w:t>
        </w:r>
      </w:hyperlink>
    </w:p>
    <w:p w14:paraId="71067F76" w14:textId="16E5BD1C"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Divya, S., Pandey, V. K., Dixit, R., Rustagi, S., Suthar, T., Atuahene, D., Nagy, V., Ungai, D., Ahmed, A. E. M., Kovács, B., &amp; Shaikh, A. M. (2024). Exploring the phytochemical, pharmacological and nutritional properties of </w:t>
      </w:r>
      <w:r w:rsidRPr="00612227">
        <w:rPr>
          <w:rFonts w:ascii="Times New Roman" w:hAnsi="Times New Roman"/>
          <w:i/>
          <w:iCs/>
          <w:sz w:val="24"/>
          <w:szCs w:val="24"/>
        </w:rPr>
        <w:t>Moringa oleifera</w:t>
      </w:r>
      <w:r w:rsidRPr="00612227">
        <w:rPr>
          <w:rFonts w:ascii="Times New Roman" w:hAnsi="Times New Roman"/>
          <w:sz w:val="24"/>
          <w:szCs w:val="24"/>
        </w:rPr>
        <w:t xml:space="preserve">: A comprehensive review. </w:t>
      </w:r>
      <w:r w:rsidRPr="00612227">
        <w:rPr>
          <w:rFonts w:ascii="Times New Roman" w:hAnsi="Times New Roman"/>
          <w:i/>
          <w:iCs/>
          <w:sz w:val="24"/>
          <w:szCs w:val="24"/>
        </w:rPr>
        <w:t>Nutrients, 16</w:t>
      </w:r>
      <w:r w:rsidRPr="00612227">
        <w:rPr>
          <w:rFonts w:ascii="Times New Roman" w:hAnsi="Times New Roman"/>
          <w:sz w:val="24"/>
          <w:szCs w:val="24"/>
        </w:rPr>
        <w:t xml:space="preserve">(19), 3423. </w:t>
      </w:r>
      <w:hyperlink r:id="rId19" w:history="1">
        <w:r w:rsidRPr="00612227">
          <w:rPr>
            <w:rFonts w:ascii="Times New Roman" w:hAnsi="Times New Roman"/>
            <w:color w:val="0000FF"/>
            <w:sz w:val="24"/>
            <w:szCs w:val="24"/>
            <w:u w:val="single"/>
          </w:rPr>
          <w:t>https://doi.org/10.3390/nu16193423</w:t>
        </w:r>
      </w:hyperlink>
    </w:p>
    <w:p w14:paraId="2154CBB4" w14:textId="4EFFFEE6"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Eiya, B. O., &amp; Igharo, O. G. (2020). Selected biochemical parameters and oxidative stress status of rats administered antimalaria herbal extract – “Agbo”. </w:t>
      </w:r>
      <w:r w:rsidRPr="00612227">
        <w:rPr>
          <w:rFonts w:ascii="Times New Roman" w:hAnsi="Times New Roman"/>
          <w:i/>
          <w:iCs/>
          <w:sz w:val="24"/>
          <w:szCs w:val="24"/>
        </w:rPr>
        <w:t>African Scientist, 21</w:t>
      </w:r>
      <w:r w:rsidRPr="00612227">
        <w:rPr>
          <w:rFonts w:ascii="Times New Roman" w:hAnsi="Times New Roman"/>
          <w:sz w:val="24"/>
          <w:szCs w:val="24"/>
        </w:rPr>
        <w:t xml:space="preserve">(3), 301–307. </w:t>
      </w:r>
      <w:hyperlink r:id="rId20" w:history="1">
        <w:r w:rsidRPr="00612227">
          <w:rPr>
            <w:rFonts w:ascii="Times New Roman" w:hAnsi="Times New Roman"/>
            <w:color w:val="0000FF"/>
            <w:sz w:val="24"/>
            <w:szCs w:val="24"/>
            <w:u w:val="single"/>
          </w:rPr>
          <w:t>https://publications.africanscientistjournal.org/selected-biochemical-parameters-and-oxidative-stress-status-rats-administered-antimalaria-herbal</w:t>
        </w:r>
      </w:hyperlink>
    </w:p>
    <w:p w14:paraId="4D17795A" w14:textId="20008391"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Engwa, A. G. (2015). Malaria and treatment: Herbal antimalarials as alternative to conventional medicine. </w:t>
      </w:r>
      <w:r w:rsidRPr="00612227">
        <w:rPr>
          <w:rFonts w:ascii="Times New Roman" w:hAnsi="Times New Roman"/>
          <w:i/>
          <w:iCs/>
          <w:sz w:val="24"/>
          <w:szCs w:val="24"/>
        </w:rPr>
        <w:t>Research Journal of Phytomedicine, 1</w:t>
      </w:r>
      <w:r w:rsidRPr="00612227">
        <w:rPr>
          <w:rFonts w:ascii="Times New Roman" w:hAnsi="Times New Roman"/>
          <w:sz w:val="24"/>
          <w:szCs w:val="24"/>
        </w:rPr>
        <w:t xml:space="preserve">(1), 4–7. </w:t>
      </w:r>
      <w:hyperlink r:id="rId21" w:history="1">
        <w:r w:rsidRPr="00612227">
          <w:rPr>
            <w:rFonts w:ascii="Times New Roman" w:hAnsi="Times New Roman"/>
            <w:color w:val="0000FF"/>
            <w:sz w:val="24"/>
            <w:szCs w:val="24"/>
            <w:u w:val="single"/>
          </w:rPr>
          <w:t>https://asdpub.com/index.php/rjp/article/view/162</w:t>
        </w:r>
      </w:hyperlink>
    </w:p>
    <w:p w14:paraId="18975E0B" w14:textId="5294B99C"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Erhirhie, E. O., Chidozie, I., Anthony, I. O., Chukwunonso, C. O., Ngozi, U. M., Uche, M. C., &amp; Onyinye, B. O. (2021). Antimalarial herbal drugs: A review of their interactions with conventional antimalarial drugs. </w:t>
      </w:r>
      <w:r w:rsidRPr="00612227">
        <w:rPr>
          <w:rFonts w:ascii="Times New Roman" w:hAnsi="Times New Roman"/>
          <w:i/>
          <w:iCs/>
          <w:sz w:val="24"/>
          <w:szCs w:val="24"/>
        </w:rPr>
        <w:t>Clinical Phytoscience, 7</w:t>
      </w:r>
      <w:r w:rsidRPr="00612227">
        <w:rPr>
          <w:rFonts w:ascii="Times New Roman" w:hAnsi="Times New Roman"/>
          <w:sz w:val="24"/>
          <w:szCs w:val="24"/>
        </w:rPr>
        <w:t xml:space="preserve">, Article 4. </w:t>
      </w:r>
      <w:hyperlink r:id="rId22" w:history="1">
        <w:r w:rsidRPr="00612227">
          <w:rPr>
            <w:rFonts w:ascii="Times New Roman" w:hAnsi="Times New Roman"/>
            <w:color w:val="0000FF"/>
            <w:sz w:val="24"/>
            <w:szCs w:val="24"/>
            <w:u w:val="single"/>
          </w:rPr>
          <w:t>https://doi.org/10.1186/s40816-020-00242-4</w:t>
        </w:r>
      </w:hyperlink>
    </w:p>
    <w:p w14:paraId="01FF9881" w14:textId="7D8AB217"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Erhunse, N., Omoregie, E. S., &amp; Sahal, D. (2023). Antiplasmodial and antimalarial evaluation of a Nigerian hepta-herbal Agbo-iba decoction: Identification of magic bullets and possible facilitators of drug action. </w:t>
      </w:r>
      <w:r w:rsidRPr="00612227">
        <w:rPr>
          <w:rFonts w:ascii="Times New Roman" w:hAnsi="Times New Roman"/>
          <w:i/>
          <w:iCs/>
          <w:sz w:val="24"/>
          <w:szCs w:val="24"/>
        </w:rPr>
        <w:t>Journal of Ethnopharmacology, 301</w:t>
      </w:r>
      <w:r w:rsidRPr="00612227">
        <w:rPr>
          <w:rFonts w:ascii="Times New Roman" w:hAnsi="Times New Roman"/>
          <w:sz w:val="24"/>
          <w:szCs w:val="24"/>
        </w:rPr>
        <w:t xml:space="preserve">, 115807. </w:t>
      </w:r>
      <w:hyperlink r:id="rId23" w:history="1">
        <w:r w:rsidRPr="00612227">
          <w:rPr>
            <w:rFonts w:ascii="Times New Roman" w:hAnsi="Times New Roman"/>
            <w:color w:val="0000FF"/>
            <w:sz w:val="24"/>
            <w:szCs w:val="24"/>
            <w:u w:val="single"/>
          </w:rPr>
          <w:t>https://doi.org/10.1016/j.jep.2022.115807</w:t>
        </w:r>
      </w:hyperlink>
    </w:p>
    <w:p w14:paraId="458A2B6F" w14:textId="11D0C5B3"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Etuk, U. L. (2025). Prevalence of malaria and treatment-seeking behaviour among pregnant women attending Immanuel General Hospital, Eket, Akwa Ibom State, Nigeria. </w:t>
      </w:r>
      <w:r w:rsidRPr="00612227">
        <w:rPr>
          <w:rFonts w:ascii="Times New Roman" w:hAnsi="Times New Roman"/>
          <w:i/>
          <w:iCs/>
          <w:sz w:val="24"/>
          <w:szCs w:val="24"/>
        </w:rPr>
        <w:t>Journal of Medicine and Health Research, 10</w:t>
      </w:r>
      <w:r w:rsidRPr="00612227">
        <w:rPr>
          <w:rFonts w:ascii="Times New Roman" w:hAnsi="Times New Roman"/>
          <w:sz w:val="24"/>
          <w:szCs w:val="24"/>
        </w:rPr>
        <w:t xml:space="preserve">(2), 5–13. </w:t>
      </w:r>
      <w:hyperlink r:id="rId24" w:history="1">
        <w:r w:rsidRPr="00612227">
          <w:rPr>
            <w:rFonts w:ascii="Times New Roman" w:hAnsi="Times New Roman"/>
            <w:color w:val="0000FF"/>
            <w:sz w:val="24"/>
            <w:szCs w:val="24"/>
            <w:u w:val="single"/>
          </w:rPr>
          <w:t>https://doi.org/10.56557/jomahr/2025/v10i29271</w:t>
        </w:r>
      </w:hyperlink>
    </w:p>
    <w:p w14:paraId="60B11F5C" w14:textId="06EC8703"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Evbuomwan, I. O., Adeyemi, O. S., &amp; Oluba, O. M. (2023). Indigenous medicinal plants used in folk medicine for malaria treatment in Kwara State, Nigeria: An ethnobotanical study. </w:t>
      </w:r>
      <w:r w:rsidRPr="00612227">
        <w:rPr>
          <w:rFonts w:ascii="Times New Roman" w:hAnsi="Times New Roman"/>
          <w:i/>
          <w:iCs/>
          <w:sz w:val="24"/>
          <w:szCs w:val="24"/>
        </w:rPr>
        <w:t>BMC Complementary Medicine and Therapies, 23</w:t>
      </w:r>
      <w:r w:rsidRPr="00612227">
        <w:rPr>
          <w:rFonts w:ascii="Times New Roman" w:hAnsi="Times New Roman"/>
          <w:sz w:val="24"/>
          <w:szCs w:val="24"/>
        </w:rPr>
        <w:t xml:space="preserve">, Article 324. </w:t>
      </w:r>
      <w:hyperlink r:id="rId25" w:history="1">
        <w:r w:rsidRPr="00612227">
          <w:rPr>
            <w:rFonts w:ascii="Times New Roman" w:hAnsi="Times New Roman"/>
            <w:color w:val="0000FF"/>
            <w:sz w:val="24"/>
            <w:szCs w:val="24"/>
            <w:u w:val="single"/>
          </w:rPr>
          <w:t>https://doi.org/10.1186/s12906-023-04131-4</w:t>
        </w:r>
      </w:hyperlink>
    </w:p>
    <w:p w14:paraId="060CFBB2" w14:textId="64604A64"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Gyasi, R. M., Asante, F., Abass, K., Yeboah, J. Y., Adu-Gyamfi, S., &amp; Amoah, P. A. (2016). Do health beliefs explain traditional medical therapies utilisation? Evidence from Ghana. </w:t>
      </w:r>
      <w:r w:rsidRPr="00612227">
        <w:rPr>
          <w:rFonts w:ascii="Times New Roman" w:hAnsi="Times New Roman"/>
          <w:i/>
          <w:iCs/>
          <w:sz w:val="24"/>
          <w:szCs w:val="24"/>
        </w:rPr>
        <w:t>Cogent Social Sciences, 2</w:t>
      </w:r>
      <w:r w:rsidRPr="00612227">
        <w:rPr>
          <w:rFonts w:ascii="Times New Roman" w:hAnsi="Times New Roman"/>
          <w:sz w:val="24"/>
          <w:szCs w:val="24"/>
        </w:rPr>
        <w:t xml:space="preserve">(1), Article 1209995. </w:t>
      </w:r>
      <w:hyperlink r:id="rId26" w:history="1">
        <w:r w:rsidRPr="00612227">
          <w:rPr>
            <w:rFonts w:ascii="Times New Roman" w:hAnsi="Times New Roman"/>
            <w:color w:val="0000FF"/>
            <w:sz w:val="24"/>
            <w:szCs w:val="24"/>
            <w:u w:val="single"/>
          </w:rPr>
          <w:t>https://doi.org/10.1080/23311886.2016.1209995</w:t>
        </w:r>
      </w:hyperlink>
    </w:p>
    <w:p w14:paraId="3B208506" w14:textId="62F61D75"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Ibrahim, A. O., Agbesanwa, T. A., Aremu, S. K., Bello, I. S., Elegbede, O. T., Gabriel-Alayode, O. E., Ajetunmobi, O. A., et al. (2023). Malaria infection and its association with socio-demographics, long lasting insecticide nets usage and hematological parameters among adolescent patients in rural Southwestern Nigeria. </w:t>
      </w:r>
      <w:r w:rsidRPr="00612227">
        <w:rPr>
          <w:rFonts w:ascii="Times New Roman" w:hAnsi="Times New Roman"/>
          <w:i/>
          <w:iCs/>
          <w:sz w:val="24"/>
          <w:szCs w:val="24"/>
        </w:rPr>
        <w:t>PLOS ONE, 18</w:t>
      </w:r>
      <w:r w:rsidRPr="00612227">
        <w:rPr>
          <w:rFonts w:ascii="Times New Roman" w:hAnsi="Times New Roman"/>
          <w:sz w:val="24"/>
          <w:szCs w:val="24"/>
        </w:rPr>
        <w:t xml:space="preserve">(7), e0287723. </w:t>
      </w:r>
      <w:hyperlink r:id="rId27" w:history="1">
        <w:r w:rsidRPr="00612227">
          <w:rPr>
            <w:rFonts w:ascii="Times New Roman" w:hAnsi="Times New Roman"/>
            <w:color w:val="0000FF"/>
            <w:sz w:val="24"/>
            <w:szCs w:val="24"/>
            <w:u w:val="single"/>
          </w:rPr>
          <w:t>https://doi.org/10.1371/journal.pone.0287723</w:t>
        </w:r>
      </w:hyperlink>
    </w:p>
    <w:p w14:paraId="699C1B35" w14:textId="375E917A"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Iyamah, P. C., &amp; Idu, M. (2015). Ethnomedicinal survey of plants used in the treatment of malaria in Southern Nigeria. </w:t>
      </w:r>
      <w:r w:rsidRPr="00612227">
        <w:rPr>
          <w:rFonts w:ascii="Times New Roman" w:hAnsi="Times New Roman"/>
          <w:i/>
          <w:iCs/>
          <w:sz w:val="24"/>
          <w:szCs w:val="24"/>
        </w:rPr>
        <w:t>Journal of Ethnopharmacology, 173</w:t>
      </w:r>
      <w:r w:rsidRPr="00612227">
        <w:rPr>
          <w:rFonts w:ascii="Times New Roman" w:hAnsi="Times New Roman"/>
          <w:sz w:val="24"/>
          <w:szCs w:val="24"/>
        </w:rPr>
        <w:t xml:space="preserve">, 287–302. </w:t>
      </w:r>
      <w:hyperlink r:id="rId28" w:history="1">
        <w:r w:rsidRPr="00612227">
          <w:rPr>
            <w:rFonts w:ascii="Times New Roman" w:hAnsi="Times New Roman"/>
            <w:color w:val="0000FF"/>
            <w:sz w:val="24"/>
            <w:szCs w:val="24"/>
            <w:u w:val="single"/>
          </w:rPr>
          <w:t>https://doi.org/10.1016/j.jep.2015.07.008</w:t>
        </w:r>
      </w:hyperlink>
    </w:p>
    <w:p w14:paraId="24CCACE7" w14:textId="002D746B"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Kelesidis, T., &amp; Falagas, M. E. (2015). Substandard/counterfeit antimicrobial drugs. </w:t>
      </w:r>
      <w:r w:rsidRPr="00612227">
        <w:rPr>
          <w:rFonts w:ascii="Times New Roman" w:hAnsi="Times New Roman"/>
          <w:i/>
          <w:iCs/>
          <w:sz w:val="24"/>
          <w:szCs w:val="24"/>
        </w:rPr>
        <w:t>Clinical Microbiology Reviews, 28</w:t>
      </w:r>
      <w:r w:rsidRPr="00612227">
        <w:rPr>
          <w:rFonts w:ascii="Times New Roman" w:hAnsi="Times New Roman"/>
          <w:sz w:val="24"/>
          <w:szCs w:val="24"/>
        </w:rPr>
        <w:t xml:space="preserve">(2), 443–464. </w:t>
      </w:r>
      <w:hyperlink r:id="rId29" w:history="1">
        <w:r w:rsidRPr="00612227">
          <w:rPr>
            <w:rFonts w:ascii="Times New Roman" w:hAnsi="Times New Roman"/>
            <w:color w:val="0000FF"/>
            <w:sz w:val="24"/>
            <w:szCs w:val="24"/>
            <w:u w:val="single"/>
          </w:rPr>
          <w:t>https://doi.org/10.1128/CMR.00072-14</w:t>
        </w:r>
      </w:hyperlink>
    </w:p>
    <w:p w14:paraId="5B11DBEE" w14:textId="25F79997" w:rsidR="00612227" w:rsidRPr="00612227" w:rsidRDefault="00612227" w:rsidP="00612227">
      <w:pPr>
        <w:ind w:left="540" w:hanging="540"/>
        <w:jc w:val="both"/>
        <w:rPr>
          <w:rFonts w:ascii="Times New Roman" w:hAnsi="Times New Roman"/>
          <w:sz w:val="24"/>
          <w:szCs w:val="24"/>
          <w:lang w:val="nl-BE"/>
        </w:rPr>
      </w:pPr>
      <w:r w:rsidRPr="00612227">
        <w:rPr>
          <w:rFonts w:ascii="Times New Roman" w:hAnsi="Times New Roman"/>
          <w:sz w:val="24"/>
          <w:szCs w:val="24"/>
        </w:rPr>
        <w:t xml:space="preserve">Kozhantayeva, A., Tursynova, N., Kolpek, A., Aibuldinov, Y., Tursynova, A., Mashan, T., Mukazhanova, Z., Ibrayeva, M., Zeinuldina, A., Nurlybayeva, A., Iskakova, Z., &amp; Tashenov, Y. (2024). Phytochemical profiling, antioxidant and antimicrobial potentials of ethanol and ethyl acetate extracts of </w:t>
      </w:r>
      <w:r w:rsidRPr="00612227">
        <w:rPr>
          <w:rFonts w:ascii="Times New Roman" w:hAnsi="Times New Roman"/>
          <w:i/>
          <w:iCs/>
          <w:sz w:val="24"/>
          <w:szCs w:val="24"/>
        </w:rPr>
        <w:t>Chamaenerion latifolium</w:t>
      </w:r>
      <w:r w:rsidRPr="00612227">
        <w:rPr>
          <w:rFonts w:ascii="Times New Roman" w:hAnsi="Times New Roman"/>
          <w:sz w:val="24"/>
          <w:szCs w:val="24"/>
        </w:rPr>
        <w:t xml:space="preserve"> L. </w:t>
      </w:r>
      <w:r w:rsidRPr="00612227">
        <w:rPr>
          <w:rFonts w:ascii="Times New Roman" w:hAnsi="Times New Roman"/>
          <w:i/>
          <w:iCs/>
          <w:sz w:val="24"/>
          <w:szCs w:val="24"/>
        </w:rPr>
        <w:t>Pharmaceuticals, 17</w:t>
      </w:r>
      <w:r w:rsidRPr="00612227">
        <w:rPr>
          <w:rFonts w:ascii="Times New Roman" w:hAnsi="Times New Roman"/>
          <w:sz w:val="24"/>
          <w:szCs w:val="24"/>
        </w:rPr>
        <w:t xml:space="preserve">(8), 996. </w:t>
      </w:r>
      <w:hyperlink r:id="rId30" w:history="1">
        <w:r w:rsidRPr="00612227">
          <w:rPr>
            <w:rFonts w:ascii="Times New Roman" w:hAnsi="Times New Roman"/>
            <w:color w:val="0000FF"/>
            <w:sz w:val="24"/>
            <w:szCs w:val="24"/>
            <w:u w:val="single"/>
            <w:lang w:val="nl-BE"/>
          </w:rPr>
          <w:t>https://doi.org/10.3390/ph17080996</w:t>
        </w:r>
      </w:hyperlink>
    </w:p>
    <w:p w14:paraId="572F1446" w14:textId="5C0962B4"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lang w:val="nl-BE"/>
        </w:rPr>
        <w:t xml:space="preserve">Logiel, A., Jørs, E., Akugizibwe, P., &amp; Ahnfeldt-Mollerup, P. (2021). </w:t>
      </w:r>
      <w:r w:rsidRPr="00612227">
        <w:rPr>
          <w:rFonts w:ascii="Times New Roman" w:hAnsi="Times New Roman"/>
          <w:sz w:val="24"/>
          <w:szCs w:val="24"/>
        </w:rPr>
        <w:t xml:space="preserve">Prevalence and socio-economic factors affecting the use of traditional medicine among adults of Katikekile Subcounty, Moroto District, Uganda. </w:t>
      </w:r>
      <w:r w:rsidRPr="00612227">
        <w:rPr>
          <w:rFonts w:ascii="Times New Roman" w:hAnsi="Times New Roman"/>
          <w:i/>
          <w:iCs/>
          <w:sz w:val="24"/>
          <w:szCs w:val="24"/>
        </w:rPr>
        <w:t>African Health Sciences, 21</w:t>
      </w:r>
      <w:r w:rsidRPr="00612227">
        <w:rPr>
          <w:rFonts w:ascii="Times New Roman" w:hAnsi="Times New Roman"/>
          <w:sz w:val="24"/>
          <w:szCs w:val="24"/>
        </w:rPr>
        <w:t xml:space="preserve">(3), 1410–1417. </w:t>
      </w:r>
      <w:hyperlink r:id="rId31" w:history="1">
        <w:r w:rsidRPr="00612227">
          <w:rPr>
            <w:rFonts w:ascii="Times New Roman" w:hAnsi="Times New Roman"/>
            <w:color w:val="0000FF"/>
            <w:sz w:val="24"/>
            <w:szCs w:val="24"/>
            <w:u w:val="single"/>
          </w:rPr>
          <w:t>https://doi.org/10.4314/ahs.v21i3.52</w:t>
        </w:r>
      </w:hyperlink>
    </w:p>
    <w:p w14:paraId="4429A0F7" w14:textId="3A4BCDD7"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Madara, A. A., Abah, R. O., &amp; Elkanah, O. S. (2018). Ethnobotanical survey of medicinal plants used in the treatment of malaria by the Idoma speaking people of Ogbadibo Local Government Area of Benue State, </w:t>
      </w:r>
      <w:r w:rsidRPr="00612227">
        <w:rPr>
          <w:rFonts w:ascii="Times New Roman" w:hAnsi="Times New Roman"/>
          <w:sz w:val="24"/>
          <w:szCs w:val="24"/>
        </w:rPr>
        <w:lastRenderedPageBreak/>
        <w:t xml:space="preserve">Nigeria. </w:t>
      </w:r>
      <w:r w:rsidRPr="00612227">
        <w:rPr>
          <w:rFonts w:ascii="Times New Roman" w:hAnsi="Times New Roman"/>
          <w:i/>
          <w:iCs/>
          <w:sz w:val="24"/>
          <w:szCs w:val="24"/>
        </w:rPr>
        <w:t>FUDMA Journal of Sciences, 2</w:t>
      </w:r>
      <w:r w:rsidRPr="00612227">
        <w:rPr>
          <w:rFonts w:ascii="Times New Roman" w:hAnsi="Times New Roman"/>
          <w:sz w:val="24"/>
          <w:szCs w:val="24"/>
        </w:rPr>
        <w:t xml:space="preserve">(2), 48–54. </w:t>
      </w:r>
      <w:hyperlink r:id="rId32" w:history="1">
        <w:r w:rsidRPr="00612227">
          <w:rPr>
            <w:rFonts w:ascii="Times New Roman" w:hAnsi="Times New Roman"/>
            <w:color w:val="0000FF"/>
            <w:sz w:val="24"/>
            <w:szCs w:val="24"/>
            <w:u w:val="single"/>
          </w:rPr>
          <w:t>https://fjs.fudutsinma.edu.ng/index.php/fjs/article/view/1349</w:t>
        </w:r>
      </w:hyperlink>
    </w:p>
    <w:p w14:paraId="0C10EDEA" w14:textId="08D3257F"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Mwende, W. G. (2024). A comprehensive review of malaria control strategies in Africa: Historical perspectives, policy frameworks, innovations, and future directions. </w:t>
      </w:r>
      <w:r w:rsidRPr="00612227">
        <w:rPr>
          <w:rFonts w:ascii="Times New Roman" w:hAnsi="Times New Roman"/>
          <w:i/>
          <w:iCs/>
          <w:sz w:val="24"/>
          <w:szCs w:val="24"/>
        </w:rPr>
        <w:t>Research Invention Journal of Scientific and Experimental Sciences, 4</w:t>
      </w:r>
      <w:r w:rsidRPr="00612227">
        <w:rPr>
          <w:rFonts w:ascii="Times New Roman" w:hAnsi="Times New Roman"/>
          <w:sz w:val="24"/>
          <w:szCs w:val="24"/>
        </w:rPr>
        <w:t xml:space="preserve">(1), 40–45. </w:t>
      </w:r>
      <w:hyperlink r:id="rId33" w:history="1">
        <w:r w:rsidRPr="00612227">
          <w:rPr>
            <w:rFonts w:ascii="Times New Roman" w:hAnsi="Times New Roman"/>
            <w:color w:val="0000FF"/>
            <w:sz w:val="24"/>
            <w:szCs w:val="24"/>
            <w:u w:val="single"/>
          </w:rPr>
          <w:t>https://doi.org/10.59298/RIJSES/2024/414045</w:t>
        </w:r>
      </w:hyperlink>
    </w:p>
    <w:p w14:paraId="0083D6BF" w14:textId="4E2681D8"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lang w:val="nl-BE"/>
        </w:rPr>
        <w:t xml:space="preserve">Nwele, D. E., Onyali, I. O., Iwueze, M. O., Elom, M. O., &amp; Uguru, O. E. S. (2022). </w:t>
      </w:r>
      <w:r w:rsidRPr="00612227">
        <w:rPr>
          <w:rFonts w:ascii="Times New Roman" w:hAnsi="Times New Roman"/>
          <w:sz w:val="24"/>
          <w:szCs w:val="24"/>
        </w:rPr>
        <w:t xml:space="preserve">Malaria endemicity in the rural communities of Ebonyi State, Nigeria. </w:t>
      </w:r>
      <w:r w:rsidRPr="00612227">
        <w:rPr>
          <w:rFonts w:ascii="Times New Roman" w:hAnsi="Times New Roman"/>
          <w:i/>
          <w:iCs/>
          <w:sz w:val="24"/>
          <w:szCs w:val="24"/>
        </w:rPr>
        <w:t>Parasites, Hosts and Diseases, 60</w:t>
      </w:r>
      <w:r w:rsidRPr="00612227">
        <w:rPr>
          <w:rFonts w:ascii="Times New Roman" w:hAnsi="Times New Roman"/>
          <w:sz w:val="24"/>
          <w:szCs w:val="24"/>
        </w:rPr>
        <w:t xml:space="preserve">(3), 173–179. </w:t>
      </w:r>
      <w:hyperlink r:id="rId34" w:history="1">
        <w:r w:rsidRPr="00612227">
          <w:rPr>
            <w:rFonts w:ascii="Times New Roman" w:hAnsi="Times New Roman"/>
            <w:color w:val="0000FF"/>
            <w:sz w:val="24"/>
            <w:szCs w:val="24"/>
            <w:u w:val="single"/>
          </w:rPr>
          <w:t>https://doi.org/10.3347/kjp.2022.60.3.173</w:t>
        </w:r>
      </w:hyperlink>
    </w:p>
    <w:p w14:paraId="5CD1FB5B" w14:textId="25C8A086"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Nwoye, O. O., Ikemsinachi, C. P., Ezulike, S. S., Nwodo, L. A., Nwokeforo, U. C., Nwokeforo, U. F., Nwoye, K. N., Nnaji, M. R., Nwankwo, C. S., &amp; Imediegwu, K. U. (2025). Knowledge, attitude and practice of malaria diagnosis and treatment among alternative healthcare providers in Enugu North Local Government Area, Nigeria. </w:t>
      </w:r>
      <w:r w:rsidRPr="00612227">
        <w:rPr>
          <w:rFonts w:ascii="Times New Roman" w:hAnsi="Times New Roman"/>
          <w:i/>
          <w:iCs/>
          <w:sz w:val="24"/>
          <w:szCs w:val="24"/>
        </w:rPr>
        <w:t>International Journal of Tropical Disease &amp; Health, 46</w:t>
      </w:r>
      <w:r w:rsidRPr="00612227">
        <w:rPr>
          <w:rFonts w:ascii="Times New Roman" w:hAnsi="Times New Roman"/>
          <w:sz w:val="24"/>
          <w:szCs w:val="24"/>
        </w:rPr>
        <w:t xml:space="preserve">(7), 31–45. </w:t>
      </w:r>
      <w:hyperlink r:id="rId35" w:history="1">
        <w:r w:rsidRPr="00612227">
          <w:rPr>
            <w:rFonts w:ascii="Times New Roman" w:hAnsi="Times New Roman"/>
            <w:color w:val="0000FF"/>
            <w:sz w:val="24"/>
            <w:szCs w:val="24"/>
            <w:u w:val="single"/>
          </w:rPr>
          <w:t>https://doi.org/10.9734/ijtdh/2025/v46i71671</w:t>
        </w:r>
      </w:hyperlink>
    </w:p>
    <w:p w14:paraId="7EA4C512" w14:textId="04127B7E"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Ocan, M., Loyce, N., Ojiambo, K. O., Kinengyere, A. A., Apunyo, R., &amp; Obuku, E. A. (2023). Efficacy of antimalarial herbal medicines used by communities in malaria-affected regions globally: A protocol for systematic review and evidence and gap map. </w:t>
      </w:r>
      <w:r w:rsidRPr="00612227">
        <w:rPr>
          <w:rFonts w:ascii="Times New Roman" w:hAnsi="Times New Roman"/>
          <w:i/>
          <w:iCs/>
          <w:sz w:val="24"/>
          <w:szCs w:val="24"/>
        </w:rPr>
        <w:t>BMJ Open, 13</w:t>
      </w:r>
      <w:r w:rsidRPr="00612227">
        <w:rPr>
          <w:rFonts w:ascii="Times New Roman" w:hAnsi="Times New Roman"/>
          <w:sz w:val="24"/>
          <w:szCs w:val="24"/>
        </w:rPr>
        <w:t xml:space="preserve">(7), e069771. </w:t>
      </w:r>
      <w:hyperlink r:id="rId36" w:history="1">
        <w:r w:rsidRPr="00612227">
          <w:rPr>
            <w:rFonts w:ascii="Times New Roman" w:hAnsi="Times New Roman"/>
            <w:color w:val="0000FF"/>
            <w:sz w:val="24"/>
            <w:szCs w:val="24"/>
            <w:u w:val="single"/>
          </w:rPr>
          <w:t>https://doi.org/10.1136/bmjopen-2022-069771</w:t>
        </w:r>
      </w:hyperlink>
    </w:p>
    <w:p w14:paraId="1229483D" w14:textId="0C83D8D9"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Odikamnoro, O. O., Ikeh, I. M., Okoh, F. N., Ebiriekwe, S. C., Nnadozie, I. A., Nkwuda, J. O., &amp; Asobie, G. C. (2018). Incidence of malaria/typhoid co-infection among adult population in Unwana Community, Afikpo North Local Government Area, Ebonyi State, Southeastern Nigeria. </w:t>
      </w:r>
      <w:r w:rsidRPr="00612227">
        <w:rPr>
          <w:rFonts w:ascii="Times New Roman" w:hAnsi="Times New Roman"/>
          <w:i/>
          <w:iCs/>
          <w:sz w:val="24"/>
          <w:szCs w:val="24"/>
        </w:rPr>
        <w:t>African Journal of Infectious Diseases, 12</w:t>
      </w:r>
      <w:r w:rsidRPr="00612227">
        <w:rPr>
          <w:rFonts w:ascii="Times New Roman" w:hAnsi="Times New Roman"/>
          <w:sz w:val="24"/>
          <w:szCs w:val="24"/>
        </w:rPr>
        <w:t xml:space="preserve">(1), 33–38. </w:t>
      </w:r>
      <w:hyperlink r:id="rId37" w:history="1">
        <w:r w:rsidRPr="00612227">
          <w:rPr>
            <w:rFonts w:ascii="Times New Roman" w:hAnsi="Times New Roman"/>
            <w:color w:val="0000FF"/>
            <w:sz w:val="24"/>
            <w:szCs w:val="24"/>
            <w:u w:val="single"/>
          </w:rPr>
          <w:t>https://doi.org/10.21010/ajid.v12i1.6</w:t>
        </w:r>
      </w:hyperlink>
      <w:r w:rsidRPr="00612227">
        <w:rPr>
          <w:rFonts w:ascii="Times New Roman" w:hAnsi="Times New Roman"/>
          <w:sz w:val="24"/>
          <w:szCs w:val="24"/>
        </w:rPr>
        <w:t xml:space="preserve"> </w:t>
      </w:r>
    </w:p>
    <w:p w14:paraId="54C51A02" w14:textId="28D16166"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Odoh, U. E., Uzor, P. F., Eze, C. L., Akunne, T. C., Onyegbulam, C. M., &amp; Osadebe, P. O. (2018). Medicinal plants used by the people of Nsukka Local Government Area, South-Eastern Nigeria for the treatment of malaria: An ethnobotanical survey. </w:t>
      </w:r>
      <w:r w:rsidRPr="00612227">
        <w:rPr>
          <w:rFonts w:ascii="Times New Roman" w:hAnsi="Times New Roman"/>
          <w:i/>
          <w:iCs/>
          <w:sz w:val="24"/>
          <w:szCs w:val="24"/>
        </w:rPr>
        <w:t>Journal of Ethnopharmacology, 218</w:t>
      </w:r>
      <w:r w:rsidRPr="00612227">
        <w:rPr>
          <w:rFonts w:ascii="Times New Roman" w:hAnsi="Times New Roman"/>
          <w:sz w:val="24"/>
          <w:szCs w:val="24"/>
        </w:rPr>
        <w:t xml:space="preserve">, 1–15. </w:t>
      </w:r>
      <w:hyperlink r:id="rId38" w:history="1">
        <w:r w:rsidRPr="00612227">
          <w:rPr>
            <w:rFonts w:ascii="Times New Roman" w:hAnsi="Times New Roman"/>
            <w:color w:val="0000FF"/>
            <w:sz w:val="24"/>
            <w:szCs w:val="24"/>
            <w:u w:val="single"/>
          </w:rPr>
          <w:t>https://doi.org/10.1016/j.jep.2018.02.034</w:t>
        </w:r>
      </w:hyperlink>
    </w:p>
    <w:p w14:paraId="2883B45E" w14:textId="64412A8F"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lang w:val="nl-BE"/>
        </w:rPr>
        <w:t xml:space="preserve">Oga, I. O., &amp; Oga, M. O. (2016). </w:t>
      </w:r>
      <w:r w:rsidRPr="00612227">
        <w:rPr>
          <w:rFonts w:ascii="Times New Roman" w:hAnsi="Times New Roman"/>
          <w:sz w:val="24"/>
          <w:szCs w:val="24"/>
        </w:rPr>
        <w:t xml:space="preserve">Pattern and distribution of rainfall in Afikpo North Local Government Area of Ebonyi State, Nigeria: Effect of global warming and climate change. </w:t>
      </w:r>
      <w:r w:rsidRPr="00612227">
        <w:rPr>
          <w:rFonts w:ascii="Times New Roman" w:hAnsi="Times New Roman"/>
          <w:i/>
          <w:iCs/>
          <w:sz w:val="24"/>
          <w:szCs w:val="24"/>
        </w:rPr>
        <w:t>International Journal of Advanced Research in Social Sciences, Environmental Studies and Technology, 2</w:t>
      </w:r>
      <w:r w:rsidRPr="00612227">
        <w:rPr>
          <w:rFonts w:ascii="Times New Roman" w:hAnsi="Times New Roman"/>
          <w:sz w:val="24"/>
          <w:szCs w:val="24"/>
        </w:rPr>
        <w:t xml:space="preserve">(1), 128–141. </w:t>
      </w:r>
      <w:hyperlink r:id="rId39" w:history="1">
        <w:r w:rsidRPr="00612227">
          <w:rPr>
            <w:rFonts w:ascii="Times New Roman" w:hAnsi="Times New Roman"/>
            <w:color w:val="0000FF"/>
            <w:sz w:val="24"/>
            <w:szCs w:val="24"/>
            <w:u w:val="single"/>
          </w:rPr>
          <w:t>https://internationalpolicybrief.org/wp-content/uploads/2023/10/ARTICLE-12-9.pdf</w:t>
        </w:r>
      </w:hyperlink>
    </w:p>
    <w:p w14:paraId="5FAB345E" w14:textId="210A1E28"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Ogundapo, S. S., Temidayo, S. O., Ngobidi, K. C., Vining-Ogu, I. C., Obasi, N. A., Olugbue, V. U., Ajala, L. O., Enemchukwu, B. N., Kalu, K. U., Okoro, N. O., Otu, I. O., Okon, R. I., Ezugwu, E. C., Okoro, P. N., Onyeamachi, J. C., &amp; Arua, O. U. (2022). Data on prevalence and management practices of malaria-typhoid co-infection in Unwana South East Nigeria. </w:t>
      </w:r>
      <w:r w:rsidRPr="00612227">
        <w:rPr>
          <w:rFonts w:ascii="Times New Roman" w:hAnsi="Times New Roman"/>
          <w:i/>
          <w:iCs/>
          <w:sz w:val="24"/>
          <w:szCs w:val="24"/>
        </w:rPr>
        <w:t>Data in Brief, 45</w:t>
      </w:r>
      <w:r w:rsidRPr="00612227">
        <w:rPr>
          <w:rFonts w:ascii="Times New Roman" w:hAnsi="Times New Roman"/>
          <w:sz w:val="24"/>
          <w:szCs w:val="24"/>
        </w:rPr>
        <w:t xml:space="preserve">, 108645. </w:t>
      </w:r>
      <w:hyperlink r:id="rId40" w:history="1">
        <w:r w:rsidRPr="00612227">
          <w:rPr>
            <w:rFonts w:ascii="Times New Roman" w:hAnsi="Times New Roman"/>
            <w:color w:val="0000FF"/>
            <w:sz w:val="24"/>
            <w:szCs w:val="24"/>
            <w:u w:val="single"/>
          </w:rPr>
          <w:t>https://doi.org/10.1016/j.dib.2022.108645</w:t>
        </w:r>
      </w:hyperlink>
    </w:p>
    <w:p w14:paraId="4604D928" w14:textId="243B59D6"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Okello, D., &amp; Kang, Y. (2019). Exploring antimalarial herbal plants across communities in Uganda based on electronic data. </w:t>
      </w:r>
      <w:r w:rsidRPr="00612227">
        <w:rPr>
          <w:rFonts w:ascii="Times New Roman" w:hAnsi="Times New Roman"/>
          <w:i/>
          <w:iCs/>
          <w:sz w:val="24"/>
          <w:szCs w:val="24"/>
        </w:rPr>
        <w:t>Evidence-Based Complementary and Alternative Medicine, 2019</w:t>
      </w:r>
      <w:r w:rsidRPr="00612227">
        <w:rPr>
          <w:rFonts w:ascii="Times New Roman" w:hAnsi="Times New Roman"/>
          <w:sz w:val="24"/>
          <w:szCs w:val="24"/>
        </w:rPr>
        <w:t xml:space="preserve">, Article 3057180. </w:t>
      </w:r>
      <w:hyperlink r:id="rId41" w:history="1">
        <w:r w:rsidRPr="00612227">
          <w:rPr>
            <w:rFonts w:ascii="Times New Roman" w:hAnsi="Times New Roman"/>
            <w:color w:val="0000FF"/>
            <w:sz w:val="24"/>
            <w:szCs w:val="24"/>
            <w:u w:val="single"/>
          </w:rPr>
          <w:t>https://doi.org/10.1155/2019/3057180</w:t>
        </w:r>
      </w:hyperlink>
    </w:p>
    <w:p w14:paraId="430BB9A9" w14:textId="22338B74"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Oladeji, O. S., Oluyori, A. P., Bankole, D. T., &amp; Afolabi, T. Y. (2020). Natural products as sources of antimalarial drugs: Ethnobotanical and ethnopharmacological studies. </w:t>
      </w:r>
      <w:r w:rsidRPr="00612227">
        <w:rPr>
          <w:rFonts w:ascii="Times New Roman" w:hAnsi="Times New Roman"/>
          <w:i/>
          <w:iCs/>
          <w:sz w:val="24"/>
          <w:szCs w:val="24"/>
        </w:rPr>
        <w:t>Scientifica, 2020</w:t>
      </w:r>
      <w:r w:rsidRPr="00612227">
        <w:rPr>
          <w:rFonts w:ascii="Times New Roman" w:hAnsi="Times New Roman"/>
          <w:sz w:val="24"/>
          <w:szCs w:val="24"/>
        </w:rPr>
        <w:t xml:space="preserve">, Article 7076139. </w:t>
      </w:r>
      <w:hyperlink r:id="rId42" w:history="1">
        <w:r w:rsidRPr="00612227">
          <w:rPr>
            <w:rFonts w:ascii="Times New Roman" w:hAnsi="Times New Roman"/>
            <w:color w:val="0000FF"/>
            <w:sz w:val="24"/>
            <w:szCs w:val="24"/>
            <w:u w:val="single"/>
          </w:rPr>
          <w:t>https://doi.org/10.1155/2020/7076139</w:t>
        </w:r>
      </w:hyperlink>
    </w:p>
    <w:p w14:paraId="33DE51FA" w14:textId="260722C2"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Oladeji, O. M. (2024). Knowledge, perception and utilization of herbal medicine in treatment of malaria in Southwestern Nigeria. </w:t>
      </w:r>
      <w:r w:rsidRPr="00612227">
        <w:rPr>
          <w:rFonts w:ascii="Times New Roman" w:hAnsi="Times New Roman"/>
          <w:i/>
          <w:iCs/>
          <w:sz w:val="24"/>
          <w:szCs w:val="24"/>
        </w:rPr>
        <w:t>Journal of Womens Health and Safety Research, 8</w:t>
      </w:r>
      <w:r w:rsidRPr="00612227">
        <w:rPr>
          <w:rFonts w:ascii="Times New Roman" w:hAnsi="Times New Roman"/>
          <w:sz w:val="24"/>
          <w:szCs w:val="24"/>
        </w:rPr>
        <w:t xml:space="preserve">(S1), 04. </w:t>
      </w:r>
      <w:hyperlink r:id="rId43" w:history="1">
        <w:r w:rsidRPr="00612227">
          <w:rPr>
            <w:rFonts w:ascii="Times New Roman" w:hAnsi="Times New Roman"/>
            <w:color w:val="0000FF"/>
            <w:sz w:val="24"/>
            <w:szCs w:val="24"/>
            <w:u w:val="single"/>
          </w:rPr>
          <w:t>https://www.scitcentral.com/article.php?article=3338&amp;article_title=Knowledge%2C+Perception+and+Utilization+of+Herbal+Medicine+in+Treatment+of+Malaria+in+Southwestern+Nigeria&amp;journal=28</w:t>
        </w:r>
      </w:hyperlink>
    </w:p>
    <w:p w14:paraId="72FBA588" w14:textId="072C174D"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Olawale, O. S. (2025). The role of elders and oral traditions in shaping moral values, attitudes and behavioural patterns of children. </w:t>
      </w:r>
      <w:r w:rsidRPr="00612227">
        <w:rPr>
          <w:rFonts w:ascii="Times New Roman" w:hAnsi="Times New Roman"/>
          <w:i/>
          <w:iCs/>
          <w:sz w:val="24"/>
          <w:szCs w:val="24"/>
        </w:rPr>
        <w:t>International Journal of Social Sciences &amp; Cultural Studies, 1</w:t>
      </w:r>
      <w:r w:rsidRPr="00612227">
        <w:rPr>
          <w:rFonts w:ascii="Times New Roman" w:hAnsi="Times New Roman"/>
          <w:sz w:val="24"/>
          <w:szCs w:val="24"/>
        </w:rPr>
        <w:t xml:space="preserve">(1), 9–14. </w:t>
      </w:r>
      <w:hyperlink r:id="rId44" w:history="1">
        <w:r w:rsidRPr="00612227">
          <w:rPr>
            <w:rFonts w:ascii="Times New Roman" w:hAnsi="Times New Roman"/>
            <w:color w:val="0000FF"/>
            <w:sz w:val="24"/>
            <w:szCs w:val="24"/>
            <w:u w:val="single"/>
          </w:rPr>
          <w:t>https://doi.org/10.54536/ijsscs.v1i1.5082</w:t>
        </w:r>
      </w:hyperlink>
    </w:p>
    <w:p w14:paraId="3B0A37B6" w14:textId="7FC5AFA6"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Onukansi, F. O., Anokwuru, C. C., Eneh, S. C., Odey, G. O., Onah, D. O., Sokunbi, T., Innocent, D. C., Dozie, U. W., Umoke, P. C., Ojo, T. O., &amp; Ezejindu, C. N. (2025). Investing in traditional medicine: Leveraging </w:t>
      </w:r>
      <w:r w:rsidRPr="00612227">
        <w:rPr>
          <w:rFonts w:ascii="Times New Roman" w:hAnsi="Times New Roman"/>
          <w:sz w:val="24"/>
          <w:szCs w:val="24"/>
        </w:rPr>
        <w:lastRenderedPageBreak/>
        <w:t xml:space="preserve">evidence and innovative research to strengthen the fight against malaria in Nigeria. </w:t>
      </w:r>
      <w:r w:rsidRPr="00612227">
        <w:rPr>
          <w:rFonts w:ascii="Times New Roman" w:hAnsi="Times New Roman"/>
          <w:i/>
          <w:iCs/>
          <w:sz w:val="24"/>
          <w:szCs w:val="24"/>
        </w:rPr>
        <w:t>Malaria Journal, 24</w:t>
      </w:r>
      <w:r w:rsidRPr="00612227">
        <w:rPr>
          <w:rFonts w:ascii="Times New Roman" w:hAnsi="Times New Roman"/>
          <w:sz w:val="24"/>
          <w:szCs w:val="24"/>
        </w:rPr>
        <w:t xml:space="preserve">, Article 232. </w:t>
      </w:r>
      <w:hyperlink r:id="rId45" w:history="1">
        <w:r w:rsidRPr="00612227">
          <w:rPr>
            <w:rFonts w:ascii="Times New Roman" w:hAnsi="Times New Roman"/>
            <w:color w:val="0000FF"/>
            <w:sz w:val="24"/>
            <w:szCs w:val="24"/>
            <w:u w:val="single"/>
          </w:rPr>
          <w:t>https://doi.org/10.1186/s12936-025-05359-w</w:t>
        </w:r>
      </w:hyperlink>
      <w:r w:rsidRPr="00612227">
        <w:rPr>
          <w:rFonts w:ascii="Times New Roman" w:hAnsi="Times New Roman"/>
          <w:sz w:val="24"/>
          <w:szCs w:val="24"/>
        </w:rPr>
        <w:t xml:space="preserve"> </w:t>
      </w:r>
    </w:p>
    <w:p w14:paraId="12080AC6" w14:textId="1178A3C2"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Osayi, E. E., Urama, D. C., Amujiri, A. N., Agyo, R. A., Afyare, A. A. A., &amp; Andong, F. A. (2026). Family traditions, accessibility and cost shape the continued reliance on </w:t>
      </w:r>
      <w:r w:rsidRPr="00612227">
        <w:rPr>
          <w:rFonts w:ascii="Times New Roman" w:hAnsi="Times New Roman"/>
          <w:i/>
          <w:iCs/>
          <w:sz w:val="24"/>
          <w:szCs w:val="24"/>
        </w:rPr>
        <w:t>Cajanus cajan</w:t>
      </w:r>
      <w:r w:rsidRPr="00612227">
        <w:rPr>
          <w:rFonts w:ascii="Times New Roman" w:hAnsi="Times New Roman"/>
          <w:sz w:val="24"/>
          <w:szCs w:val="24"/>
        </w:rPr>
        <w:t xml:space="preserve"> and </w:t>
      </w:r>
      <w:r w:rsidRPr="00612227">
        <w:rPr>
          <w:rFonts w:ascii="Times New Roman" w:hAnsi="Times New Roman"/>
          <w:i/>
          <w:iCs/>
          <w:sz w:val="24"/>
          <w:szCs w:val="24"/>
        </w:rPr>
        <w:t>Azadirachta indica</w:t>
      </w:r>
      <w:r w:rsidRPr="00612227">
        <w:rPr>
          <w:rFonts w:ascii="Times New Roman" w:hAnsi="Times New Roman"/>
          <w:sz w:val="24"/>
          <w:szCs w:val="24"/>
        </w:rPr>
        <w:t xml:space="preserve"> for malaria and typhoid despite prescription medicines in urban and rural Nsukka, Nigeria. </w:t>
      </w:r>
      <w:r w:rsidRPr="00612227">
        <w:rPr>
          <w:rFonts w:ascii="Times New Roman" w:hAnsi="Times New Roman"/>
          <w:i/>
          <w:iCs/>
          <w:sz w:val="24"/>
          <w:szCs w:val="24"/>
        </w:rPr>
        <w:t>BMC Complementary Medicine and Therapies</w:t>
      </w:r>
      <w:r w:rsidRPr="00612227">
        <w:rPr>
          <w:rFonts w:ascii="Times New Roman" w:hAnsi="Times New Roman"/>
          <w:sz w:val="24"/>
          <w:szCs w:val="24"/>
        </w:rPr>
        <w:t xml:space="preserve">. Advance online publication. </w:t>
      </w:r>
      <w:hyperlink r:id="rId46" w:history="1">
        <w:r w:rsidRPr="00612227">
          <w:rPr>
            <w:rFonts w:ascii="Times New Roman" w:hAnsi="Times New Roman"/>
            <w:color w:val="0000FF"/>
            <w:sz w:val="24"/>
            <w:szCs w:val="24"/>
            <w:u w:val="single"/>
          </w:rPr>
          <w:t>https://doi.org/10.1186/s12906-026-05426-y</w:t>
        </w:r>
      </w:hyperlink>
    </w:p>
    <w:p w14:paraId="5992169C" w14:textId="562DA97A"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Rafiu, B. O., Omotayo, A. O., Lawal, I. O., &amp; Aremu, A. O. (2025). Ethnobotanical uses of plants in Nigeria: An analysis of current research trends and patterns. </w:t>
      </w:r>
      <w:r w:rsidRPr="00612227">
        <w:rPr>
          <w:rFonts w:ascii="Times New Roman" w:hAnsi="Times New Roman"/>
          <w:i/>
          <w:iCs/>
          <w:sz w:val="24"/>
          <w:szCs w:val="24"/>
        </w:rPr>
        <w:t>Journal of Ethnobiology and Ethnomedicine, 21</w:t>
      </w:r>
      <w:r w:rsidRPr="00612227">
        <w:rPr>
          <w:rFonts w:ascii="Times New Roman" w:hAnsi="Times New Roman"/>
          <w:sz w:val="24"/>
          <w:szCs w:val="24"/>
        </w:rPr>
        <w:t xml:space="preserve">, Article 57. </w:t>
      </w:r>
      <w:hyperlink r:id="rId47" w:history="1">
        <w:r w:rsidRPr="00612227">
          <w:rPr>
            <w:rFonts w:ascii="Times New Roman" w:hAnsi="Times New Roman"/>
            <w:color w:val="0000FF"/>
            <w:sz w:val="24"/>
            <w:szCs w:val="24"/>
            <w:u w:val="single"/>
          </w:rPr>
          <w:t>https://doi.org/10.1186/s13002-025-00788-y</w:t>
        </w:r>
      </w:hyperlink>
    </w:p>
    <w:p w14:paraId="547A3FDA" w14:textId="1E30014F"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Sato, A. (2012). Revealing the popularity of traditional medicine in light of multiple recourses and outcome measurements from a user’s perspective in Ghana. </w:t>
      </w:r>
      <w:r w:rsidRPr="00612227">
        <w:rPr>
          <w:rFonts w:ascii="Times New Roman" w:hAnsi="Times New Roman"/>
          <w:i/>
          <w:iCs/>
          <w:sz w:val="24"/>
          <w:szCs w:val="24"/>
        </w:rPr>
        <w:t>Health Policy and Planning, 27</w:t>
      </w:r>
      <w:r w:rsidRPr="00612227">
        <w:rPr>
          <w:rFonts w:ascii="Times New Roman" w:hAnsi="Times New Roman"/>
          <w:sz w:val="24"/>
          <w:szCs w:val="24"/>
        </w:rPr>
        <w:t xml:space="preserve">(8), 625–637. </w:t>
      </w:r>
      <w:hyperlink r:id="rId48" w:history="1">
        <w:r w:rsidRPr="00612227">
          <w:rPr>
            <w:rFonts w:ascii="Times New Roman" w:hAnsi="Times New Roman"/>
            <w:color w:val="0000FF"/>
            <w:sz w:val="24"/>
            <w:szCs w:val="24"/>
            <w:u w:val="single"/>
          </w:rPr>
          <w:t>https://doi.org/10.1093/heapol/czs010</w:t>
        </w:r>
      </w:hyperlink>
    </w:p>
    <w:p w14:paraId="70F07E96" w14:textId="40F23959"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Tabernero, P., Fernández, F. M., Green, M., Guerin, P. J., &amp; Newton, P. N. (2014). Mind the gaps—The epidemiology of poor-quality anti-malarials in the malarious world—Analysis of the WorldWide Antimalarial Resistance Network database. </w:t>
      </w:r>
      <w:r w:rsidRPr="00612227">
        <w:rPr>
          <w:rFonts w:ascii="Times New Roman" w:hAnsi="Times New Roman"/>
          <w:i/>
          <w:iCs/>
          <w:sz w:val="24"/>
          <w:szCs w:val="24"/>
        </w:rPr>
        <w:t>Malaria Journal, 13</w:t>
      </w:r>
      <w:r w:rsidRPr="00612227">
        <w:rPr>
          <w:rFonts w:ascii="Times New Roman" w:hAnsi="Times New Roman"/>
          <w:sz w:val="24"/>
          <w:szCs w:val="24"/>
        </w:rPr>
        <w:t xml:space="preserve">, Article 139. </w:t>
      </w:r>
      <w:hyperlink r:id="rId49" w:history="1">
        <w:r w:rsidRPr="00612227">
          <w:rPr>
            <w:rFonts w:ascii="Times New Roman" w:hAnsi="Times New Roman"/>
            <w:color w:val="0000FF"/>
            <w:sz w:val="24"/>
            <w:szCs w:val="24"/>
            <w:u w:val="single"/>
          </w:rPr>
          <w:t>https://doi.org/10.1186/1475-2875-13-139</w:t>
        </w:r>
      </w:hyperlink>
    </w:p>
    <w:p w14:paraId="55352C03" w14:textId="760654A6"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Walker, E. J., Peterson, G. M., Grech, J., Paragalli, E., &amp; Thomas, J. (2018). Are we doing enough to prevent poor-quality antimalarial medicines in the developing world? </w:t>
      </w:r>
      <w:r w:rsidRPr="00612227">
        <w:rPr>
          <w:rFonts w:ascii="Times New Roman" w:hAnsi="Times New Roman"/>
          <w:i/>
          <w:iCs/>
          <w:sz w:val="24"/>
          <w:szCs w:val="24"/>
        </w:rPr>
        <w:t>BMC Public Health, 18</w:t>
      </w:r>
      <w:r w:rsidRPr="00612227">
        <w:rPr>
          <w:rFonts w:ascii="Times New Roman" w:hAnsi="Times New Roman"/>
          <w:sz w:val="24"/>
          <w:szCs w:val="24"/>
        </w:rPr>
        <w:t xml:space="preserve">, Article 630. </w:t>
      </w:r>
      <w:hyperlink r:id="rId50" w:history="1">
        <w:r w:rsidRPr="00612227">
          <w:rPr>
            <w:rFonts w:ascii="Times New Roman" w:hAnsi="Times New Roman"/>
            <w:color w:val="0000FF"/>
            <w:sz w:val="24"/>
            <w:szCs w:val="24"/>
            <w:u w:val="single"/>
          </w:rPr>
          <w:t>https://doi.org/10.1186/s12889-018-5521-7</w:t>
        </w:r>
      </w:hyperlink>
    </w:p>
    <w:p w14:paraId="73E6621A" w14:textId="10478033"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lang w:val="nl-BE"/>
        </w:rPr>
        <w:t xml:space="preserve">Wang, Y., Zheng, X., &amp; Masron, T. A. (2026). </w:t>
      </w:r>
      <w:r w:rsidRPr="00612227">
        <w:rPr>
          <w:rFonts w:ascii="Times New Roman" w:hAnsi="Times New Roman"/>
          <w:sz w:val="24"/>
          <w:szCs w:val="24"/>
        </w:rPr>
        <w:t xml:space="preserve">The impact of herbal medicine development on the population health in China. </w:t>
      </w:r>
      <w:r w:rsidRPr="00612227">
        <w:rPr>
          <w:rFonts w:ascii="Times New Roman" w:hAnsi="Times New Roman"/>
          <w:i/>
          <w:iCs/>
          <w:sz w:val="24"/>
          <w:szCs w:val="24"/>
        </w:rPr>
        <w:t>Scientific Reports, 16</w:t>
      </w:r>
      <w:r w:rsidRPr="00612227">
        <w:rPr>
          <w:rFonts w:ascii="Times New Roman" w:hAnsi="Times New Roman"/>
          <w:sz w:val="24"/>
          <w:szCs w:val="24"/>
        </w:rPr>
        <w:t xml:space="preserve">, Article 14941. </w:t>
      </w:r>
      <w:hyperlink r:id="rId51" w:history="1">
        <w:r w:rsidRPr="00612227">
          <w:rPr>
            <w:rFonts w:ascii="Times New Roman" w:hAnsi="Times New Roman"/>
            <w:color w:val="0000FF"/>
            <w:sz w:val="24"/>
            <w:szCs w:val="24"/>
            <w:u w:val="single"/>
          </w:rPr>
          <w:t>https://doi.org/10.1038/s41598-026-45889-0</w:t>
        </w:r>
      </w:hyperlink>
    </w:p>
    <w:p w14:paraId="684E78AD" w14:textId="02E237DE" w:rsidR="00612227" w:rsidRPr="00612227" w:rsidRDefault="00612227" w:rsidP="00612227">
      <w:pPr>
        <w:ind w:left="540" w:hanging="540"/>
        <w:jc w:val="both"/>
        <w:rPr>
          <w:rFonts w:ascii="Times New Roman" w:hAnsi="Times New Roman"/>
          <w:sz w:val="24"/>
          <w:szCs w:val="24"/>
        </w:rPr>
      </w:pPr>
      <w:r w:rsidRPr="00612227">
        <w:rPr>
          <w:rFonts w:ascii="Times New Roman" w:hAnsi="Times New Roman"/>
          <w:sz w:val="24"/>
          <w:szCs w:val="24"/>
        </w:rPr>
        <w:t xml:space="preserve">World Health Organization. (n.d.). How malaria RDTs work. </w:t>
      </w:r>
      <w:hyperlink r:id="rId52" w:history="1">
        <w:r w:rsidRPr="00612227">
          <w:rPr>
            <w:rFonts w:ascii="Times New Roman" w:hAnsi="Times New Roman"/>
            <w:color w:val="0000FF"/>
            <w:sz w:val="24"/>
            <w:szCs w:val="24"/>
            <w:u w:val="single"/>
          </w:rPr>
          <w:t>https://www.who.int/teams/global-malaria-programme/case-management/diagnosis/rapid-diagnostic-tests/how-malaria-rdts-work</w:t>
        </w:r>
      </w:hyperlink>
      <w:r w:rsidRPr="00612227">
        <w:rPr>
          <w:rFonts w:ascii="Times New Roman" w:hAnsi="Times New Roman"/>
          <w:sz w:val="24"/>
          <w:szCs w:val="24"/>
        </w:rPr>
        <w:t xml:space="preserve"> </w:t>
      </w:r>
    </w:p>
    <w:p w14:paraId="6EF3C401" w14:textId="561DA9F7" w:rsidR="00AD7444" w:rsidRDefault="00612227" w:rsidP="00612227">
      <w:pPr>
        <w:ind w:left="540" w:hanging="540"/>
        <w:jc w:val="both"/>
      </w:pPr>
      <w:r w:rsidRPr="00612227">
        <w:rPr>
          <w:rFonts w:ascii="Times New Roman" w:hAnsi="Times New Roman"/>
          <w:sz w:val="24"/>
          <w:szCs w:val="24"/>
        </w:rPr>
        <w:t xml:space="preserve">Zakariya, A. M., Adamu, A., Nuhu, A., &amp; Kiri, I. Z. (2021). Assessment of indigenous knowledge on medicinal plants used in the management of malaria in Kafin Hausa, north-western Nigeria. </w:t>
      </w:r>
      <w:r w:rsidRPr="00612227">
        <w:rPr>
          <w:rFonts w:ascii="Times New Roman" w:hAnsi="Times New Roman"/>
          <w:i/>
          <w:iCs/>
          <w:sz w:val="24"/>
          <w:szCs w:val="24"/>
        </w:rPr>
        <w:t>Ethnobotany Research and Applications, 22</w:t>
      </w:r>
      <w:r w:rsidRPr="00612227">
        <w:rPr>
          <w:rFonts w:ascii="Times New Roman" w:hAnsi="Times New Roman"/>
          <w:sz w:val="24"/>
          <w:szCs w:val="24"/>
        </w:rPr>
        <w:t xml:space="preserve">, Article 02, 1–18. </w:t>
      </w:r>
      <w:hyperlink r:id="rId53" w:history="1">
        <w:r w:rsidRPr="00612227">
          <w:rPr>
            <w:rFonts w:ascii="Times New Roman" w:hAnsi="Times New Roman"/>
            <w:color w:val="0000FF"/>
            <w:sz w:val="24"/>
            <w:szCs w:val="24"/>
            <w:u w:val="single"/>
          </w:rPr>
          <w:t>https://ethnobotanyjournal.org/index.php/era/article/view/2607</w:t>
        </w:r>
      </w:hyperlink>
    </w:p>
    <w:sectPr w:rsidR="00AD7444" w:rsidSect="008C61E3">
      <w:headerReference w:type="even" r:id="rId54"/>
      <w:headerReference w:type="default" r:id="rId55"/>
      <w:footerReference w:type="even" r:id="rId56"/>
      <w:footerReference w:type="default" r:id="rId57"/>
      <w:headerReference w:type="first" r:id="rId58"/>
      <w:footerReference w:type="first" r:id="rId5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444A" w14:textId="77777777" w:rsidR="008A1060" w:rsidRDefault="008A1060" w:rsidP="00C37E61">
      <w:r>
        <w:separator/>
      </w:r>
    </w:p>
  </w:endnote>
  <w:endnote w:type="continuationSeparator" w:id="0">
    <w:p w14:paraId="43512A51" w14:textId="77777777" w:rsidR="008A1060" w:rsidRDefault="008A1060"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9EDB" w14:textId="77777777" w:rsidR="009D60A4" w:rsidRDefault="009D6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E528" w14:textId="77777777" w:rsidR="009D60A4" w:rsidRPr="00C37E61" w:rsidRDefault="009D60A4" w:rsidP="00C3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D3E1" w14:textId="77777777" w:rsidR="009D60A4" w:rsidRDefault="009D6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60373" w14:textId="77777777" w:rsidR="008A1060" w:rsidRDefault="008A1060" w:rsidP="00C37E61">
      <w:r>
        <w:separator/>
      </w:r>
    </w:p>
  </w:footnote>
  <w:footnote w:type="continuationSeparator" w:id="0">
    <w:p w14:paraId="6202EC20" w14:textId="77777777" w:rsidR="008A1060" w:rsidRDefault="008A1060"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1EAA" w14:textId="77777777" w:rsidR="009D60A4" w:rsidRDefault="00000000">
    <w:pPr>
      <w:pStyle w:val="Header"/>
    </w:pPr>
    <w:r>
      <w:rPr>
        <w:noProof/>
      </w:rPr>
      <w:pict w14:anchorId="0729FC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1" o:spid="_x0000_s1027" type="#_x0000_t136" style="position:absolute;margin-left:0;margin-top:0;width:684.1pt;height:77.15pt;rotation:315;z-index:-25165619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0FD7" w14:textId="77777777" w:rsidR="009D60A4" w:rsidRDefault="00000000">
    <w:pPr>
      <w:pStyle w:val="Header"/>
    </w:pPr>
    <w:r>
      <w:rPr>
        <w:noProof/>
      </w:rPr>
      <w:pict w14:anchorId="4C7434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2" o:spid="_x0000_s1026" type="#_x0000_t136" style="position:absolute;margin-left:0;margin-top:0;width:684.1pt;height:77.1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7246" w14:textId="77777777" w:rsidR="009D60A4" w:rsidRDefault="00000000">
    <w:pPr>
      <w:pStyle w:val="Header"/>
    </w:pPr>
    <w:r>
      <w:rPr>
        <w:noProof/>
      </w:rPr>
      <w:pict w14:anchorId="270F7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0" o:spid="_x0000_s1025" type="#_x0000_t136" style="position:absolute;margin-left:0;margin-top:0;width:684.1pt;height:77.15pt;rotation:315;z-index:-25165824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39C6F90"/>
    <w:multiLevelType w:val="hybridMultilevel"/>
    <w:tmpl w:val="9348C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E315F"/>
    <w:multiLevelType w:val="multilevel"/>
    <w:tmpl w:val="7AAE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47609"/>
    <w:multiLevelType w:val="multilevel"/>
    <w:tmpl w:val="0A5CB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1446172"/>
    <w:multiLevelType w:val="multilevel"/>
    <w:tmpl w:val="611A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46E5027E"/>
    <w:multiLevelType w:val="hybridMultilevel"/>
    <w:tmpl w:val="C29096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1"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667F75D9"/>
    <w:multiLevelType w:val="multilevel"/>
    <w:tmpl w:val="D252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6"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8"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9"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0"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2"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571971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85589719">
    <w:abstractNumId w:val="20"/>
  </w:num>
  <w:num w:numId="3" w16cid:durableId="352845863">
    <w:abstractNumId w:val="29"/>
  </w:num>
  <w:num w:numId="4" w16cid:durableId="31434178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820274886">
    <w:abstractNumId w:val="10"/>
  </w:num>
  <w:num w:numId="6" w16cid:durableId="1052660058">
    <w:abstractNumId w:val="6"/>
  </w:num>
  <w:num w:numId="7" w16cid:durableId="494341327">
    <w:abstractNumId w:val="1"/>
  </w:num>
  <w:num w:numId="8" w16cid:durableId="1954241195">
    <w:abstractNumId w:val="16"/>
  </w:num>
  <w:num w:numId="9" w16cid:durableId="1879663019">
    <w:abstractNumId w:val="31"/>
  </w:num>
  <w:num w:numId="10" w16cid:durableId="102775637">
    <w:abstractNumId w:val="2"/>
  </w:num>
  <w:num w:numId="11" w16cid:durableId="566846826">
    <w:abstractNumId w:val="24"/>
  </w:num>
  <w:num w:numId="12" w16cid:durableId="1236014040">
    <w:abstractNumId w:val="3"/>
  </w:num>
  <w:num w:numId="13" w16cid:durableId="1395742895">
    <w:abstractNumId w:val="22"/>
  </w:num>
  <w:num w:numId="14" w16cid:durableId="1608854348">
    <w:abstractNumId w:val="11"/>
  </w:num>
  <w:num w:numId="15" w16cid:durableId="1303389446">
    <w:abstractNumId w:val="27"/>
  </w:num>
  <w:num w:numId="16" w16cid:durableId="901790429">
    <w:abstractNumId w:val="5"/>
  </w:num>
  <w:num w:numId="17" w16cid:durableId="1080908208">
    <w:abstractNumId w:val="28"/>
  </w:num>
  <w:num w:numId="18" w16cid:durableId="1434587489">
    <w:abstractNumId w:val="18"/>
  </w:num>
  <w:num w:numId="19" w16cid:durableId="718012970">
    <w:abstractNumId w:val="34"/>
  </w:num>
  <w:num w:numId="20" w16cid:durableId="1868059862">
    <w:abstractNumId w:val="15"/>
  </w:num>
  <w:num w:numId="21" w16cid:durableId="737628097">
    <w:abstractNumId w:val="13"/>
  </w:num>
  <w:num w:numId="22" w16cid:durableId="275407417">
    <w:abstractNumId w:val="17"/>
  </w:num>
  <w:num w:numId="23" w16cid:durableId="1179539220">
    <w:abstractNumId w:val="25"/>
  </w:num>
  <w:num w:numId="24" w16cid:durableId="1762408504">
    <w:abstractNumId w:val="32"/>
  </w:num>
  <w:num w:numId="25" w16cid:durableId="1384645090">
    <w:abstractNumId w:val="4"/>
  </w:num>
  <w:num w:numId="26" w16cid:durableId="1218738038">
    <w:abstractNumId w:val="21"/>
  </w:num>
  <w:num w:numId="27" w16cid:durableId="1626739889">
    <w:abstractNumId w:val="26"/>
  </w:num>
  <w:num w:numId="28" w16cid:durableId="1889100896">
    <w:abstractNumId w:val="33"/>
  </w:num>
  <w:num w:numId="29" w16cid:durableId="626005292">
    <w:abstractNumId w:val="30"/>
  </w:num>
  <w:num w:numId="30" w16cid:durableId="1766026393">
    <w:abstractNumId w:val="14"/>
  </w:num>
  <w:num w:numId="31" w16cid:durableId="1882014954">
    <w:abstractNumId w:val="12"/>
  </w:num>
  <w:num w:numId="32" w16cid:durableId="978072139">
    <w:abstractNumId w:val="23"/>
  </w:num>
  <w:num w:numId="33" w16cid:durableId="349646194">
    <w:abstractNumId w:val="8"/>
  </w:num>
  <w:num w:numId="34" w16cid:durableId="2029600812">
    <w:abstractNumId w:val="9"/>
  </w:num>
  <w:num w:numId="35" w16cid:durableId="2075547477">
    <w:abstractNumId w:val="7"/>
  </w:num>
  <w:num w:numId="36" w16cid:durableId="3596649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19"/>
    <w:rsid w:val="00000F8F"/>
    <w:rsid w:val="00003733"/>
    <w:rsid w:val="0000445A"/>
    <w:rsid w:val="00004A9B"/>
    <w:rsid w:val="000054D7"/>
    <w:rsid w:val="00011ADA"/>
    <w:rsid w:val="0002360E"/>
    <w:rsid w:val="00030174"/>
    <w:rsid w:val="00030A2C"/>
    <w:rsid w:val="00033173"/>
    <w:rsid w:val="000402FC"/>
    <w:rsid w:val="000436CD"/>
    <w:rsid w:val="0004579C"/>
    <w:rsid w:val="00051D4F"/>
    <w:rsid w:val="00053625"/>
    <w:rsid w:val="000551F3"/>
    <w:rsid w:val="000557A3"/>
    <w:rsid w:val="0006266E"/>
    <w:rsid w:val="0008065B"/>
    <w:rsid w:val="00082677"/>
    <w:rsid w:val="000912D9"/>
    <w:rsid w:val="000920A1"/>
    <w:rsid w:val="00093752"/>
    <w:rsid w:val="00094851"/>
    <w:rsid w:val="000A0239"/>
    <w:rsid w:val="000A40F2"/>
    <w:rsid w:val="000A47FA"/>
    <w:rsid w:val="000A65D3"/>
    <w:rsid w:val="000B1E33"/>
    <w:rsid w:val="000B4886"/>
    <w:rsid w:val="000B668A"/>
    <w:rsid w:val="000C6268"/>
    <w:rsid w:val="000D689F"/>
    <w:rsid w:val="000D7BC1"/>
    <w:rsid w:val="000E3CE4"/>
    <w:rsid w:val="000E74F8"/>
    <w:rsid w:val="000E7B7B"/>
    <w:rsid w:val="000E7D62"/>
    <w:rsid w:val="000F2B31"/>
    <w:rsid w:val="000F4F64"/>
    <w:rsid w:val="000F7435"/>
    <w:rsid w:val="00101B88"/>
    <w:rsid w:val="00103357"/>
    <w:rsid w:val="00111F5B"/>
    <w:rsid w:val="00123C9F"/>
    <w:rsid w:val="00126190"/>
    <w:rsid w:val="00130F17"/>
    <w:rsid w:val="001320BF"/>
    <w:rsid w:val="00147C43"/>
    <w:rsid w:val="0015451E"/>
    <w:rsid w:val="00163BC4"/>
    <w:rsid w:val="00172AFD"/>
    <w:rsid w:val="001744E9"/>
    <w:rsid w:val="00191062"/>
    <w:rsid w:val="00192B72"/>
    <w:rsid w:val="00197963"/>
    <w:rsid w:val="001A29D8"/>
    <w:rsid w:val="001A2FA2"/>
    <w:rsid w:val="001A5CAA"/>
    <w:rsid w:val="001B0427"/>
    <w:rsid w:val="001B2069"/>
    <w:rsid w:val="001B56B7"/>
    <w:rsid w:val="001C28F2"/>
    <w:rsid w:val="001C357D"/>
    <w:rsid w:val="001C4321"/>
    <w:rsid w:val="001D3A51"/>
    <w:rsid w:val="001E10D2"/>
    <w:rsid w:val="001E25B4"/>
    <w:rsid w:val="001E349D"/>
    <w:rsid w:val="001E44FE"/>
    <w:rsid w:val="001F1FB9"/>
    <w:rsid w:val="00200595"/>
    <w:rsid w:val="00204835"/>
    <w:rsid w:val="002141A4"/>
    <w:rsid w:val="00222915"/>
    <w:rsid w:val="002233EF"/>
    <w:rsid w:val="00223639"/>
    <w:rsid w:val="0022610B"/>
    <w:rsid w:val="00231920"/>
    <w:rsid w:val="0023195C"/>
    <w:rsid w:val="00236D1D"/>
    <w:rsid w:val="0024282C"/>
    <w:rsid w:val="002460DC"/>
    <w:rsid w:val="00250985"/>
    <w:rsid w:val="002556F6"/>
    <w:rsid w:val="002631C7"/>
    <w:rsid w:val="00266385"/>
    <w:rsid w:val="00272270"/>
    <w:rsid w:val="00272D6B"/>
    <w:rsid w:val="00283105"/>
    <w:rsid w:val="00284B1B"/>
    <w:rsid w:val="00284C4C"/>
    <w:rsid w:val="00287E68"/>
    <w:rsid w:val="00296529"/>
    <w:rsid w:val="002A0E63"/>
    <w:rsid w:val="002B27FB"/>
    <w:rsid w:val="002B5542"/>
    <w:rsid w:val="002B685A"/>
    <w:rsid w:val="002C4B6B"/>
    <w:rsid w:val="002C5793"/>
    <w:rsid w:val="002C57D2"/>
    <w:rsid w:val="002D692D"/>
    <w:rsid w:val="002D6DD3"/>
    <w:rsid w:val="002E0D56"/>
    <w:rsid w:val="002E7BBB"/>
    <w:rsid w:val="00300F20"/>
    <w:rsid w:val="003036FC"/>
    <w:rsid w:val="00304270"/>
    <w:rsid w:val="00315186"/>
    <w:rsid w:val="003176AC"/>
    <w:rsid w:val="00325EA2"/>
    <w:rsid w:val="003262E5"/>
    <w:rsid w:val="0033343E"/>
    <w:rsid w:val="00335C50"/>
    <w:rsid w:val="00340F35"/>
    <w:rsid w:val="00345177"/>
    <w:rsid w:val="00346A5E"/>
    <w:rsid w:val="003512C2"/>
    <w:rsid w:val="00351CEE"/>
    <w:rsid w:val="00353EAA"/>
    <w:rsid w:val="00371FB6"/>
    <w:rsid w:val="0037422D"/>
    <w:rsid w:val="003753A0"/>
    <w:rsid w:val="003763C1"/>
    <w:rsid w:val="00376BBE"/>
    <w:rsid w:val="0039224F"/>
    <w:rsid w:val="003A0CE8"/>
    <w:rsid w:val="003A43A4"/>
    <w:rsid w:val="003A7E18"/>
    <w:rsid w:val="003B017B"/>
    <w:rsid w:val="003B36CD"/>
    <w:rsid w:val="003B3784"/>
    <w:rsid w:val="003B75D4"/>
    <w:rsid w:val="003C4C86"/>
    <w:rsid w:val="003C6258"/>
    <w:rsid w:val="003C71C1"/>
    <w:rsid w:val="003D59A5"/>
    <w:rsid w:val="003E2904"/>
    <w:rsid w:val="003E4766"/>
    <w:rsid w:val="00401927"/>
    <w:rsid w:val="00402816"/>
    <w:rsid w:val="00402D5E"/>
    <w:rsid w:val="0041027F"/>
    <w:rsid w:val="00412475"/>
    <w:rsid w:val="00423789"/>
    <w:rsid w:val="00432882"/>
    <w:rsid w:val="00434A88"/>
    <w:rsid w:val="00440F43"/>
    <w:rsid w:val="00441B6F"/>
    <w:rsid w:val="00446221"/>
    <w:rsid w:val="00446477"/>
    <w:rsid w:val="00450AC8"/>
    <w:rsid w:val="00450E62"/>
    <w:rsid w:val="004539DB"/>
    <w:rsid w:val="00453B46"/>
    <w:rsid w:val="004565F4"/>
    <w:rsid w:val="00471A80"/>
    <w:rsid w:val="00481C78"/>
    <w:rsid w:val="004835EA"/>
    <w:rsid w:val="00485E40"/>
    <w:rsid w:val="00490975"/>
    <w:rsid w:val="004931FE"/>
    <w:rsid w:val="004A13F7"/>
    <w:rsid w:val="004B1963"/>
    <w:rsid w:val="004B3587"/>
    <w:rsid w:val="004B502F"/>
    <w:rsid w:val="004B6AE1"/>
    <w:rsid w:val="004D305E"/>
    <w:rsid w:val="004D4277"/>
    <w:rsid w:val="004D7232"/>
    <w:rsid w:val="004E226A"/>
    <w:rsid w:val="004E23F8"/>
    <w:rsid w:val="00501F5F"/>
    <w:rsid w:val="00502454"/>
    <w:rsid w:val="00502516"/>
    <w:rsid w:val="00502A4D"/>
    <w:rsid w:val="0050536D"/>
    <w:rsid w:val="00505F06"/>
    <w:rsid w:val="0050630D"/>
    <w:rsid w:val="00506828"/>
    <w:rsid w:val="005241DD"/>
    <w:rsid w:val="0053056E"/>
    <w:rsid w:val="00530D50"/>
    <w:rsid w:val="00536CBD"/>
    <w:rsid w:val="00536F3D"/>
    <w:rsid w:val="00541319"/>
    <w:rsid w:val="005511CB"/>
    <w:rsid w:val="0055473B"/>
    <w:rsid w:val="00554FDA"/>
    <w:rsid w:val="005558DF"/>
    <w:rsid w:val="00571D7D"/>
    <w:rsid w:val="005734BF"/>
    <w:rsid w:val="005807ED"/>
    <w:rsid w:val="00581069"/>
    <w:rsid w:val="00584515"/>
    <w:rsid w:val="00585061"/>
    <w:rsid w:val="005931DB"/>
    <w:rsid w:val="005955F5"/>
    <w:rsid w:val="005A2A6C"/>
    <w:rsid w:val="005A4C9D"/>
    <w:rsid w:val="005B42C3"/>
    <w:rsid w:val="005B7B11"/>
    <w:rsid w:val="005C1737"/>
    <w:rsid w:val="005C784C"/>
    <w:rsid w:val="005C78EF"/>
    <w:rsid w:val="005C7E25"/>
    <w:rsid w:val="005D17F6"/>
    <w:rsid w:val="005D2D6C"/>
    <w:rsid w:val="005E5539"/>
    <w:rsid w:val="005F07F3"/>
    <w:rsid w:val="005F31AE"/>
    <w:rsid w:val="00600D1D"/>
    <w:rsid w:val="00600E69"/>
    <w:rsid w:val="00602BF5"/>
    <w:rsid w:val="006104B4"/>
    <w:rsid w:val="00612227"/>
    <w:rsid w:val="00617FDD"/>
    <w:rsid w:val="00622730"/>
    <w:rsid w:val="00626C67"/>
    <w:rsid w:val="00633614"/>
    <w:rsid w:val="00633F68"/>
    <w:rsid w:val="00635BEF"/>
    <w:rsid w:val="00636EB2"/>
    <w:rsid w:val="006375B8"/>
    <w:rsid w:val="0066346A"/>
    <w:rsid w:val="0066510A"/>
    <w:rsid w:val="00673F9F"/>
    <w:rsid w:val="00686953"/>
    <w:rsid w:val="00687DEA"/>
    <w:rsid w:val="00687E67"/>
    <w:rsid w:val="00690CD4"/>
    <w:rsid w:val="00694799"/>
    <w:rsid w:val="006967F7"/>
    <w:rsid w:val="006A250C"/>
    <w:rsid w:val="006A5FA2"/>
    <w:rsid w:val="006B21D3"/>
    <w:rsid w:val="006B41AF"/>
    <w:rsid w:val="006B57D0"/>
    <w:rsid w:val="006B7584"/>
    <w:rsid w:val="006C299B"/>
    <w:rsid w:val="006C493D"/>
    <w:rsid w:val="006C7605"/>
    <w:rsid w:val="006D30FF"/>
    <w:rsid w:val="006D6940"/>
    <w:rsid w:val="006D7BD7"/>
    <w:rsid w:val="006D7CEB"/>
    <w:rsid w:val="006E2110"/>
    <w:rsid w:val="006F11EC"/>
    <w:rsid w:val="006F32D6"/>
    <w:rsid w:val="006F368B"/>
    <w:rsid w:val="006F491E"/>
    <w:rsid w:val="006F7FF4"/>
    <w:rsid w:val="0070082C"/>
    <w:rsid w:val="0070765D"/>
    <w:rsid w:val="00715287"/>
    <w:rsid w:val="00724DD3"/>
    <w:rsid w:val="00730ED7"/>
    <w:rsid w:val="00730F50"/>
    <w:rsid w:val="007369E6"/>
    <w:rsid w:val="00746E59"/>
    <w:rsid w:val="00754C9A"/>
    <w:rsid w:val="0075599A"/>
    <w:rsid w:val="00761D52"/>
    <w:rsid w:val="00774CC6"/>
    <w:rsid w:val="0077749E"/>
    <w:rsid w:val="00786C9C"/>
    <w:rsid w:val="00790ADA"/>
    <w:rsid w:val="007C02A9"/>
    <w:rsid w:val="007D2288"/>
    <w:rsid w:val="007E0425"/>
    <w:rsid w:val="007E088F"/>
    <w:rsid w:val="007E4660"/>
    <w:rsid w:val="007F7B32"/>
    <w:rsid w:val="00800CCC"/>
    <w:rsid w:val="00804BC2"/>
    <w:rsid w:val="0081356E"/>
    <w:rsid w:val="0081431A"/>
    <w:rsid w:val="00831AA1"/>
    <w:rsid w:val="0083216F"/>
    <w:rsid w:val="00834FAB"/>
    <w:rsid w:val="0084092C"/>
    <w:rsid w:val="00842BEB"/>
    <w:rsid w:val="00844151"/>
    <w:rsid w:val="00854910"/>
    <w:rsid w:val="00855AC0"/>
    <w:rsid w:val="00860000"/>
    <w:rsid w:val="00861196"/>
    <w:rsid w:val="00863BD3"/>
    <w:rsid w:val="008641ED"/>
    <w:rsid w:val="00866D66"/>
    <w:rsid w:val="008671C6"/>
    <w:rsid w:val="008716D6"/>
    <w:rsid w:val="008737FD"/>
    <w:rsid w:val="0087575D"/>
    <w:rsid w:val="00875803"/>
    <w:rsid w:val="0088736E"/>
    <w:rsid w:val="00892F35"/>
    <w:rsid w:val="008976A5"/>
    <w:rsid w:val="008A1060"/>
    <w:rsid w:val="008B459E"/>
    <w:rsid w:val="008C61E3"/>
    <w:rsid w:val="008C7CF8"/>
    <w:rsid w:val="008D5BEB"/>
    <w:rsid w:val="008E13AE"/>
    <w:rsid w:val="008E146C"/>
    <w:rsid w:val="008E1506"/>
    <w:rsid w:val="008E710C"/>
    <w:rsid w:val="008F06A5"/>
    <w:rsid w:val="008F0B0D"/>
    <w:rsid w:val="008F69D6"/>
    <w:rsid w:val="009020C9"/>
    <w:rsid w:val="00902823"/>
    <w:rsid w:val="009035DA"/>
    <w:rsid w:val="00904BDC"/>
    <w:rsid w:val="00911497"/>
    <w:rsid w:val="00915CA6"/>
    <w:rsid w:val="00923524"/>
    <w:rsid w:val="009270F0"/>
    <w:rsid w:val="00927834"/>
    <w:rsid w:val="00935D75"/>
    <w:rsid w:val="009375AA"/>
    <w:rsid w:val="00941B93"/>
    <w:rsid w:val="00942D60"/>
    <w:rsid w:val="009500A6"/>
    <w:rsid w:val="00951E06"/>
    <w:rsid w:val="009543D6"/>
    <w:rsid w:val="009547E6"/>
    <w:rsid w:val="00954CE5"/>
    <w:rsid w:val="00957C18"/>
    <w:rsid w:val="0096374A"/>
    <w:rsid w:val="009659BA"/>
    <w:rsid w:val="00971119"/>
    <w:rsid w:val="00971D14"/>
    <w:rsid w:val="00974584"/>
    <w:rsid w:val="009757FE"/>
    <w:rsid w:val="00983040"/>
    <w:rsid w:val="00997566"/>
    <w:rsid w:val="009A26B6"/>
    <w:rsid w:val="009B3D1C"/>
    <w:rsid w:val="009B3FB9"/>
    <w:rsid w:val="009B7E1B"/>
    <w:rsid w:val="009C03EC"/>
    <w:rsid w:val="009C0CDE"/>
    <w:rsid w:val="009C181C"/>
    <w:rsid w:val="009C2465"/>
    <w:rsid w:val="009D2757"/>
    <w:rsid w:val="009D35A0"/>
    <w:rsid w:val="009D60A4"/>
    <w:rsid w:val="009D7EB7"/>
    <w:rsid w:val="009E048A"/>
    <w:rsid w:val="009E08E9"/>
    <w:rsid w:val="009E3DB9"/>
    <w:rsid w:val="009E6E35"/>
    <w:rsid w:val="009F0EDA"/>
    <w:rsid w:val="00A00C4F"/>
    <w:rsid w:val="00A016A6"/>
    <w:rsid w:val="00A03B96"/>
    <w:rsid w:val="00A05B19"/>
    <w:rsid w:val="00A1134E"/>
    <w:rsid w:val="00A24E7E"/>
    <w:rsid w:val="00A258C3"/>
    <w:rsid w:val="00A302B7"/>
    <w:rsid w:val="00A347C0"/>
    <w:rsid w:val="00A37C48"/>
    <w:rsid w:val="00A40BB4"/>
    <w:rsid w:val="00A4362B"/>
    <w:rsid w:val="00A51431"/>
    <w:rsid w:val="00A539AD"/>
    <w:rsid w:val="00A6280B"/>
    <w:rsid w:val="00A65E44"/>
    <w:rsid w:val="00A84ACC"/>
    <w:rsid w:val="00A930B3"/>
    <w:rsid w:val="00A94063"/>
    <w:rsid w:val="00A95321"/>
    <w:rsid w:val="00AA3620"/>
    <w:rsid w:val="00AA4C43"/>
    <w:rsid w:val="00AA5D39"/>
    <w:rsid w:val="00AA6219"/>
    <w:rsid w:val="00AA74E0"/>
    <w:rsid w:val="00AB6114"/>
    <w:rsid w:val="00AB703F"/>
    <w:rsid w:val="00AC1A26"/>
    <w:rsid w:val="00AC344B"/>
    <w:rsid w:val="00AC6BB8"/>
    <w:rsid w:val="00AD3B05"/>
    <w:rsid w:val="00AD7444"/>
    <w:rsid w:val="00AE008F"/>
    <w:rsid w:val="00AE25AC"/>
    <w:rsid w:val="00AE3898"/>
    <w:rsid w:val="00AE4BD6"/>
    <w:rsid w:val="00AE6EEE"/>
    <w:rsid w:val="00AF21E2"/>
    <w:rsid w:val="00B01FCD"/>
    <w:rsid w:val="00B038D9"/>
    <w:rsid w:val="00B1776C"/>
    <w:rsid w:val="00B224F1"/>
    <w:rsid w:val="00B30781"/>
    <w:rsid w:val="00B31152"/>
    <w:rsid w:val="00B52583"/>
    <w:rsid w:val="00B52896"/>
    <w:rsid w:val="00B554A4"/>
    <w:rsid w:val="00B75482"/>
    <w:rsid w:val="00B777C3"/>
    <w:rsid w:val="00B92F95"/>
    <w:rsid w:val="00B95236"/>
    <w:rsid w:val="00B96BD9"/>
    <w:rsid w:val="00BA1B01"/>
    <w:rsid w:val="00BA2641"/>
    <w:rsid w:val="00BA40F7"/>
    <w:rsid w:val="00BB37AA"/>
    <w:rsid w:val="00BC123E"/>
    <w:rsid w:val="00BC2DCD"/>
    <w:rsid w:val="00BC53A0"/>
    <w:rsid w:val="00BC76F0"/>
    <w:rsid w:val="00BD3366"/>
    <w:rsid w:val="00BD492F"/>
    <w:rsid w:val="00BD5D40"/>
    <w:rsid w:val="00BE5877"/>
    <w:rsid w:val="00BE62AD"/>
    <w:rsid w:val="00BF016D"/>
    <w:rsid w:val="00BF121F"/>
    <w:rsid w:val="00BF1F80"/>
    <w:rsid w:val="00BF6D88"/>
    <w:rsid w:val="00C163B9"/>
    <w:rsid w:val="00C166EF"/>
    <w:rsid w:val="00C1701A"/>
    <w:rsid w:val="00C171E7"/>
    <w:rsid w:val="00C17EB0"/>
    <w:rsid w:val="00C27F5F"/>
    <w:rsid w:val="00C30A0F"/>
    <w:rsid w:val="00C310CE"/>
    <w:rsid w:val="00C37E61"/>
    <w:rsid w:val="00C61CEE"/>
    <w:rsid w:val="00C62F8C"/>
    <w:rsid w:val="00C70F1B"/>
    <w:rsid w:val="00C71A47"/>
    <w:rsid w:val="00C7464C"/>
    <w:rsid w:val="00C85588"/>
    <w:rsid w:val="00C85BB9"/>
    <w:rsid w:val="00C90FC5"/>
    <w:rsid w:val="00C975ED"/>
    <w:rsid w:val="00CC5498"/>
    <w:rsid w:val="00CC56D7"/>
    <w:rsid w:val="00CC7ADD"/>
    <w:rsid w:val="00CD018E"/>
    <w:rsid w:val="00CD3E70"/>
    <w:rsid w:val="00CD6755"/>
    <w:rsid w:val="00CD6856"/>
    <w:rsid w:val="00CD78EC"/>
    <w:rsid w:val="00CE0089"/>
    <w:rsid w:val="00CE481A"/>
    <w:rsid w:val="00CE793C"/>
    <w:rsid w:val="00CF193C"/>
    <w:rsid w:val="00CF2265"/>
    <w:rsid w:val="00CF58FD"/>
    <w:rsid w:val="00D0525E"/>
    <w:rsid w:val="00D0554B"/>
    <w:rsid w:val="00D069AC"/>
    <w:rsid w:val="00D173F1"/>
    <w:rsid w:val="00D24CA4"/>
    <w:rsid w:val="00D336C0"/>
    <w:rsid w:val="00D3702C"/>
    <w:rsid w:val="00D52348"/>
    <w:rsid w:val="00D57A70"/>
    <w:rsid w:val="00D7342C"/>
    <w:rsid w:val="00D737E1"/>
    <w:rsid w:val="00D74CB0"/>
    <w:rsid w:val="00D74CC5"/>
    <w:rsid w:val="00D8295D"/>
    <w:rsid w:val="00D914C3"/>
    <w:rsid w:val="00D961CB"/>
    <w:rsid w:val="00DA21A5"/>
    <w:rsid w:val="00DA35AE"/>
    <w:rsid w:val="00DC2271"/>
    <w:rsid w:val="00DC2A65"/>
    <w:rsid w:val="00DE15F0"/>
    <w:rsid w:val="00DE5663"/>
    <w:rsid w:val="00DE6222"/>
    <w:rsid w:val="00DE78AA"/>
    <w:rsid w:val="00DF0407"/>
    <w:rsid w:val="00DF320A"/>
    <w:rsid w:val="00DF71D4"/>
    <w:rsid w:val="00E053D0"/>
    <w:rsid w:val="00E11F6C"/>
    <w:rsid w:val="00E14A35"/>
    <w:rsid w:val="00E15994"/>
    <w:rsid w:val="00E2417B"/>
    <w:rsid w:val="00E25EE0"/>
    <w:rsid w:val="00E2738E"/>
    <w:rsid w:val="00E3114E"/>
    <w:rsid w:val="00E31A70"/>
    <w:rsid w:val="00E337E5"/>
    <w:rsid w:val="00E35B02"/>
    <w:rsid w:val="00E42DE7"/>
    <w:rsid w:val="00E463BE"/>
    <w:rsid w:val="00E52A82"/>
    <w:rsid w:val="00E54592"/>
    <w:rsid w:val="00E62FC4"/>
    <w:rsid w:val="00E640D5"/>
    <w:rsid w:val="00E66496"/>
    <w:rsid w:val="00E66B35"/>
    <w:rsid w:val="00E66E10"/>
    <w:rsid w:val="00E700E9"/>
    <w:rsid w:val="00E769F6"/>
    <w:rsid w:val="00E770E9"/>
    <w:rsid w:val="00E81249"/>
    <w:rsid w:val="00E82EAC"/>
    <w:rsid w:val="00E83173"/>
    <w:rsid w:val="00E8407C"/>
    <w:rsid w:val="00E84F3C"/>
    <w:rsid w:val="00E853ED"/>
    <w:rsid w:val="00E85CA1"/>
    <w:rsid w:val="00E915F7"/>
    <w:rsid w:val="00EA012C"/>
    <w:rsid w:val="00EA31BA"/>
    <w:rsid w:val="00EB7BEB"/>
    <w:rsid w:val="00EB7CE4"/>
    <w:rsid w:val="00EC6A55"/>
    <w:rsid w:val="00ED0288"/>
    <w:rsid w:val="00ED030B"/>
    <w:rsid w:val="00EE3E0E"/>
    <w:rsid w:val="00EE52CB"/>
    <w:rsid w:val="00EE60EE"/>
    <w:rsid w:val="00EF581D"/>
    <w:rsid w:val="00EF7FD8"/>
    <w:rsid w:val="00F06317"/>
    <w:rsid w:val="00F06F59"/>
    <w:rsid w:val="00F1644D"/>
    <w:rsid w:val="00F17988"/>
    <w:rsid w:val="00F207DE"/>
    <w:rsid w:val="00F2094F"/>
    <w:rsid w:val="00F24BF7"/>
    <w:rsid w:val="00F43B84"/>
    <w:rsid w:val="00F469F0"/>
    <w:rsid w:val="00F53273"/>
    <w:rsid w:val="00F54A5C"/>
    <w:rsid w:val="00F60900"/>
    <w:rsid w:val="00F647D1"/>
    <w:rsid w:val="00F67DA4"/>
    <w:rsid w:val="00F755E4"/>
    <w:rsid w:val="00F77867"/>
    <w:rsid w:val="00F77D02"/>
    <w:rsid w:val="00F77D48"/>
    <w:rsid w:val="00F82206"/>
    <w:rsid w:val="00F874EE"/>
    <w:rsid w:val="00F94B4D"/>
    <w:rsid w:val="00FA0A52"/>
    <w:rsid w:val="00FA26D5"/>
    <w:rsid w:val="00FA54BA"/>
    <w:rsid w:val="00FB383F"/>
    <w:rsid w:val="00FB3A86"/>
    <w:rsid w:val="00FD36C8"/>
    <w:rsid w:val="00FD5F7B"/>
    <w:rsid w:val="00FE7D64"/>
    <w:rsid w:val="00FF1450"/>
    <w:rsid w:val="00FF1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AFDAA"/>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4">
    <w:name w:val="heading 4"/>
    <w:basedOn w:val="Normal"/>
    <w:next w:val="Normal"/>
    <w:link w:val="Heading4Char"/>
    <w:unhideWhenUsed/>
    <w:qFormat/>
    <w:rsid w:val="006227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5C78EF"/>
    <w:pPr>
      <w:spacing w:after="160" w:line="254"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C181C"/>
    <w:rPr>
      <w:b/>
      <w:bCs/>
    </w:rPr>
  </w:style>
  <w:style w:type="character" w:customStyle="1" w:styleId="UnresolvedMention2">
    <w:name w:val="Unresolved Mention2"/>
    <w:basedOn w:val="DefaultParagraphFont"/>
    <w:uiPriority w:val="99"/>
    <w:semiHidden/>
    <w:unhideWhenUsed/>
    <w:rsid w:val="008C61E3"/>
    <w:rPr>
      <w:color w:val="605E5C"/>
      <w:shd w:val="clear" w:color="auto" w:fill="E1DFDD"/>
    </w:rPr>
  </w:style>
  <w:style w:type="paragraph" w:styleId="NoSpacing">
    <w:name w:val="No Spacing"/>
    <w:uiPriority w:val="1"/>
    <w:qFormat/>
    <w:rsid w:val="00304270"/>
    <w:rPr>
      <w:rFonts w:asciiTheme="minorHAnsi" w:eastAsiaTheme="minorHAnsi" w:hAnsiTheme="minorHAnsi" w:cstheme="minorBidi"/>
      <w:sz w:val="22"/>
      <w:szCs w:val="22"/>
      <w:lang w:val="en-GB"/>
    </w:rPr>
  </w:style>
  <w:style w:type="paragraph" w:customStyle="1" w:styleId="Default">
    <w:name w:val="Default"/>
    <w:rsid w:val="00E14A35"/>
    <w:pPr>
      <w:autoSpaceDE w:val="0"/>
      <w:autoSpaceDN w:val="0"/>
      <w:adjustRightInd w:val="0"/>
    </w:pPr>
    <w:rPr>
      <w:color w:val="000000"/>
      <w:sz w:val="24"/>
      <w:szCs w:val="24"/>
    </w:rPr>
  </w:style>
  <w:style w:type="paragraph" w:styleId="NormalWeb">
    <w:name w:val="Normal (Web)"/>
    <w:basedOn w:val="Normal"/>
    <w:uiPriority w:val="99"/>
    <w:unhideWhenUsed/>
    <w:rsid w:val="00971D14"/>
    <w:pPr>
      <w:spacing w:before="100" w:beforeAutospacing="1" w:after="100" w:afterAutospacing="1"/>
    </w:pPr>
    <w:rPr>
      <w:rFonts w:ascii="Times New Roman" w:hAnsi="Times New Roman"/>
      <w:sz w:val="24"/>
      <w:szCs w:val="24"/>
    </w:rPr>
  </w:style>
  <w:style w:type="character" w:customStyle="1" w:styleId="citation-35">
    <w:name w:val="citation-35"/>
    <w:basedOn w:val="DefaultParagraphFont"/>
    <w:rsid w:val="00971D14"/>
  </w:style>
  <w:style w:type="character" w:customStyle="1" w:styleId="citation-34">
    <w:name w:val="citation-34"/>
    <w:basedOn w:val="DefaultParagraphFont"/>
    <w:rsid w:val="00971D14"/>
  </w:style>
  <w:style w:type="character" w:customStyle="1" w:styleId="citation-33">
    <w:name w:val="citation-33"/>
    <w:basedOn w:val="DefaultParagraphFont"/>
    <w:rsid w:val="00971D14"/>
  </w:style>
  <w:style w:type="character" w:customStyle="1" w:styleId="citation-32">
    <w:name w:val="citation-32"/>
    <w:basedOn w:val="DefaultParagraphFont"/>
    <w:rsid w:val="00971D14"/>
  </w:style>
  <w:style w:type="character" w:customStyle="1" w:styleId="citation-31">
    <w:name w:val="citation-31"/>
    <w:basedOn w:val="DefaultParagraphFont"/>
    <w:rsid w:val="00971D14"/>
  </w:style>
  <w:style w:type="character" w:customStyle="1" w:styleId="citation-30">
    <w:name w:val="citation-30"/>
    <w:basedOn w:val="DefaultParagraphFont"/>
    <w:rsid w:val="00971D14"/>
  </w:style>
  <w:style w:type="character" w:customStyle="1" w:styleId="yadgie">
    <w:name w:val="yadgie"/>
    <w:basedOn w:val="DefaultParagraphFont"/>
    <w:rsid w:val="00A37C48"/>
  </w:style>
  <w:style w:type="character" w:customStyle="1" w:styleId="citation-23">
    <w:name w:val="citation-23"/>
    <w:basedOn w:val="DefaultParagraphFont"/>
    <w:rsid w:val="00B31152"/>
  </w:style>
  <w:style w:type="character" w:customStyle="1" w:styleId="citation-22">
    <w:name w:val="citation-22"/>
    <w:basedOn w:val="DefaultParagraphFont"/>
    <w:rsid w:val="00B31152"/>
  </w:style>
  <w:style w:type="character" w:customStyle="1" w:styleId="citation-21">
    <w:name w:val="citation-21"/>
    <w:basedOn w:val="DefaultParagraphFont"/>
    <w:rsid w:val="00B31152"/>
  </w:style>
  <w:style w:type="character" w:customStyle="1" w:styleId="citation-20">
    <w:name w:val="citation-20"/>
    <w:basedOn w:val="DefaultParagraphFont"/>
    <w:rsid w:val="00B31152"/>
  </w:style>
  <w:style w:type="character" w:customStyle="1" w:styleId="citation-19">
    <w:name w:val="citation-19"/>
    <w:basedOn w:val="DefaultParagraphFont"/>
    <w:rsid w:val="00B31152"/>
  </w:style>
  <w:style w:type="character" w:customStyle="1" w:styleId="citation-18">
    <w:name w:val="citation-18"/>
    <w:basedOn w:val="DefaultParagraphFont"/>
    <w:rsid w:val="00B31152"/>
  </w:style>
  <w:style w:type="character" w:customStyle="1" w:styleId="citation-17">
    <w:name w:val="citation-17"/>
    <w:basedOn w:val="DefaultParagraphFont"/>
    <w:rsid w:val="00B31152"/>
  </w:style>
  <w:style w:type="character" w:customStyle="1" w:styleId="citation-15">
    <w:name w:val="citation-15"/>
    <w:basedOn w:val="DefaultParagraphFont"/>
    <w:rsid w:val="00B31152"/>
  </w:style>
  <w:style w:type="character" w:customStyle="1" w:styleId="Heading4Char">
    <w:name w:val="Heading 4 Char"/>
    <w:basedOn w:val="DefaultParagraphFont"/>
    <w:link w:val="Heading4"/>
    <w:rsid w:val="00622730"/>
    <w:rPr>
      <w:rFonts w:asciiTheme="majorHAnsi" w:eastAsiaTheme="majorEastAsia" w:hAnsiTheme="majorHAnsi" w:cstheme="majorBidi"/>
      <w:i/>
      <w:iCs/>
      <w:color w:val="365F91" w:themeColor="accent1" w:themeShade="BF"/>
    </w:rPr>
  </w:style>
  <w:style w:type="character" w:customStyle="1" w:styleId="math-inline">
    <w:name w:val="math-inline"/>
    <w:basedOn w:val="DefaultParagraphFont"/>
    <w:rsid w:val="00E2417B"/>
  </w:style>
  <w:style w:type="character" w:customStyle="1" w:styleId="citation-475">
    <w:name w:val="citation-475"/>
    <w:basedOn w:val="DefaultParagraphFont"/>
    <w:rsid w:val="00E2417B"/>
  </w:style>
  <w:style w:type="character" w:customStyle="1" w:styleId="citation-474">
    <w:name w:val="citation-474"/>
    <w:basedOn w:val="DefaultParagraphFont"/>
    <w:rsid w:val="00E2417B"/>
  </w:style>
  <w:style w:type="character" w:customStyle="1" w:styleId="citation-473">
    <w:name w:val="citation-473"/>
    <w:basedOn w:val="DefaultParagraphFont"/>
    <w:rsid w:val="00E2417B"/>
  </w:style>
  <w:style w:type="character" w:customStyle="1" w:styleId="citation-815">
    <w:name w:val="citation-815"/>
    <w:basedOn w:val="DefaultParagraphFont"/>
    <w:rsid w:val="00E2417B"/>
  </w:style>
  <w:style w:type="paragraph" w:styleId="Bibliography">
    <w:name w:val="Bibliography"/>
    <w:basedOn w:val="Normal"/>
    <w:next w:val="Normal"/>
    <w:uiPriority w:val="37"/>
    <w:unhideWhenUsed/>
    <w:rsid w:val="00A95321"/>
    <w:pPr>
      <w:spacing w:after="240"/>
      <w:ind w:left="720" w:hanging="720"/>
    </w:pPr>
  </w:style>
  <w:style w:type="character" w:customStyle="1" w:styleId="citation-29">
    <w:name w:val="citation-29"/>
    <w:basedOn w:val="DefaultParagraphFont"/>
    <w:rsid w:val="004B502F"/>
  </w:style>
  <w:style w:type="character" w:customStyle="1" w:styleId="citation-28">
    <w:name w:val="citation-28"/>
    <w:basedOn w:val="DefaultParagraphFont"/>
    <w:rsid w:val="004B502F"/>
  </w:style>
  <w:style w:type="character" w:customStyle="1" w:styleId="citation-27">
    <w:name w:val="citation-27"/>
    <w:basedOn w:val="DefaultParagraphFont"/>
    <w:rsid w:val="004B502F"/>
  </w:style>
  <w:style w:type="character" w:customStyle="1" w:styleId="citation-26">
    <w:name w:val="citation-26"/>
    <w:basedOn w:val="DefaultParagraphFont"/>
    <w:rsid w:val="004B502F"/>
  </w:style>
  <w:style w:type="character" w:customStyle="1" w:styleId="citation-25">
    <w:name w:val="citation-25"/>
    <w:basedOn w:val="DefaultParagraphFont"/>
    <w:rsid w:val="004B502F"/>
  </w:style>
  <w:style w:type="character" w:customStyle="1" w:styleId="citation-24">
    <w:name w:val="citation-24"/>
    <w:basedOn w:val="DefaultParagraphFont"/>
    <w:rsid w:val="004B502F"/>
  </w:style>
  <w:style w:type="character" w:styleId="UnresolvedMention">
    <w:name w:val="Unresolved Mention"/>
    <w:basedOn w:val="DefaultParagraphFont"/>
    <w:uiPriority w:val="99"/>
    <w:semiHidden/>
    <w:unhideWhenUsed/>
    <w:rsid w:val="006C4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93928882">
      <w:bodyDiv w:val="1"/>
      <w:marLeft w:val="0"/>
      <w:marRight w:val="0"/>
      <w:marTop w:val="0"/>
      <w:marBottom w:val="0"/>
      <w:divBdr>
        <w:top w:val="none" w:sz="0" w:space="0" w:color="auto"/>
        <w:left w:val="none" w:sz="0" w:space="0" w:color="auto"/>
        <w:bottom w:val="none" w:sz="0" w:space="0" w:color="auto"/>
        <w:right w:val="none" w:sz="0" w:space="0" w:color="auto"/>
      </w:divBdr>
    </w:div>
    <w:div w:id="231505051">
      <w:bodyDiv w:val="1"/>
      <w:marLeft w:val="0"/>
      <w:marRight w:val="0"/>
      <w:marTop w:val="0"/>
      <w:marBottom w:val="0"/>
      <w:divBdr>
        <w:top w:val="none" w:sz="0" w:space="0" w:color="auto"/>
        <w:left w:val="none" w:sz="0" w:space="0" w:color="auto"/>
        <w:bottom w:val="none" w:sz="0" w:space="0" w:color="auto"/>
        <w:right w:val="none" w:sz="0" w:space="0" w:color="auto"/>
      </w:divBdr>
      <w:divsChild>
        <w:div w:id="254829338">
          <w:marLeft w:val="480"/>
          <w:marRight w:val="0"/>
          <w:marTop w:val="0"/>
          <w:marBottom w:val="0"/>
          <w:divBdr>
            <w:top w:val="none" w:sz="0" w:space="0" w:color="auto"/>
            <w:left w:val="none" w:sz="0" w:space="0" w:color="auto"/>
            <w:bottom w:val="none" w:sz="0" w:space="0" w:color="auto"/>
            <w:right w:val="none" w:sz="0" w:space="0" w:color="auto"/>
          </w:divBdr>
          <w:divsChild>
            <w:div w:id="2266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21547978">
      <w:bodyDiv w:val="1"/>
      <w:marLeft w:val="0"/>
      <w:marRight w:val="0"/>
      <w:marTop w:val="0"/>
      <w:marBottom w:val="0"/>
      <w:divBdr>
        <w:top w:val="none" w:sz="0" w:space="0" w:color="auto"/>
        <w:left w:val="none" w:sz="0" w:space="0" w:color="auto"/>
        <w:bottom w:val="none" w:sz="0" w:space="0" w:color="auto"/>
        <w:right w:val="none" w:sz="0" w:space="0" w:color="auto"/>
      </w:divBdr>
    </w:div>
    <w:div w:id="356397687">
      <w:bodyDiv w:val="1"/>
      <w:marLeft w:val="0"/>
      <w:marRight w:val="0"/>
      <w:marTop w:val="0"/>
      <w:marBottom w:val="0"/>
      <w:divBdr>
        <w:top w:val="none" w:sz="0" w:space="0" w:color="auto"/>
        <w:left w:val="none" w:sz="0" w:space="0" w:color="auto"/>
        <w:bottom w:val="none" w:sz="0" w:space="0" w:color="auto"/>
        <w:right w:val="none" w:sz="0" w:space="0" w:color="auto"/>
      </w:divBdr>
    </w:div>
    <w:div w:id="375468881">
      <w:bodyDiv w:val="1"/>
      <w:marLeft w:val="0"/>
      <w:marRight w:val="0"/>
      <w:marTop w:val="0"/>
      <w:marBottom w:val="0"/>
      <w:divBdr>
        <w:top w:val="none" w:sz="0" w:space="0" w:color="auto"/>
        <w:left w:val="none" w:sz="0" w:space="0" w:color="auto"/>
        <w:bottom w:val="none" w:sz="0" w:space="0" w:color="auto"/>
        <w:right w:val="none" w:sz="0" w:space="0" w:color="auto"/>
      </w:divBdr>
    </w:div>
    <w:div w:id="450512297">
      <w:bodyDiv w:val="1"/>
      <w:marLeft w:val="0"/>
      <w:marRight w:val="0"/>
      <w:marTop w:val="0"/>
      <w:marBottom w:val="0"/>
      <w:divBdr>
        <w:top w:val="none" w:sz="0" w:space="0" w:color="auto"/>
        <w:left w:val="none" w:sz="0" w:space="0" w:color="auto"/>
        <w:bottom w:val="none" w:sz="0" w:space="0" w:color="auto"/>
        <w:right w:val="none" w:sz="0" w:space="0" w:color="auto"/>
      </w:divBdr>
    </w:div>
    <w:div w:id="518204596">
      <w:bodyDiv w:val="1"/>
      <w:marLeft w:val="0"/>
      <w:marRight w:val="0"/>
      <w:marTop w:val="0"/>
      <w:marBottom w:val="0"/>
      <w:divBdr>
        <w:top w:val="none" w:sz="0" w:space="0" w:color="auto"/>
        <w:left w:val="none" w:sz="0" w:space="0" w:color="auto"/>
        <w:bottom w:val="none" w:sz="0" w:space="0" w:color="auto"/>
        <w:right w:val="none" w:sz="0" w:space="0" w:color="auto"/>
      </w:divBdr>
      <w:divsChild>
        <w:div w:id="1993363459">
          <w:marLeft w:val="0"/>
          <w:marRight w:val="0"/>
          <w:marTop w:val="0"/>
          <w:marBottom w:val="240"/>
          <w:divBdr>
            <w:top w:val="none" w:sz="0" w:space="0" w:color="auto"/>
            <w:left w:val="none" w:sz="0" w:space="0" w:color="auto"/>
            <w:bottom w:val="none" w:sz="0" w:space="0" w:color="auto"/>
            <w:right w:val="none" w:sz="0" w:space="0" w:color="auto"/>
          </w:divBdr>
        </w:div>
      </w:divsChild>
    </w:div>
    <w:div w:id="593711983">
      <w:bodyDiv w:val="1"/>
      <w:marLeft w:val="0"/>
      <w:marRight w:val="0"/>
      <w:marTop w:val="0"/>
      <w:marBottom w:val="0"/>
      <w:divBdr>
        <w:top w:val="none" w:sz="0" w:space="0" w:color="auto"/>
        <w:left w:val="none" w:sz="0" w:space="0" w:color="auto"/>
        <w:bottom w:val="none" w:sz="0" w:space="0" w:color="auto"/>
        <w:right w:val="none" w:sz="0" w:space="0" w:color="auto"/>
      </w:divBdr>
    </w:div>
    <w:div w:id="616529586">
      <w:bodyDiv w:val="1"/>
      <w:marLeft w:val="0"/>
      <w:marRight w:val="0"/>
      <w:marTop w:val="0"/>
      <w:marBottom w:val="0"/>
      <w:divBdr>
        <w:top w:val="none" w:sz="0" w:space="0" w:color="auto"/>
        <w:left w:val="none" w:sz="0" w:space="0" w:color="auto"/>
        <w:bottom w:val="none" w:sz="0" w:space="0" w:color="auto"/>
        <w:right w:val="none" w:sz="0" w:space="0" w:color="auto"/>
      </w:divBdr>
      <w:divsChild>
        <w:div w:id="523322727">
          <w:marLeft w:val="480"/>
          <w:marRight w:val="0"/>
          <w:marTop w:val="0"/>
          <w:marBottom w:val="0"/>
          <w:divBdr>
            <w:top w:val="none" w:sz="0" w:space="0" w:color="auto"/>
            <w:left w:val="none" w:sz="0" w:space="0" w:color="auto"/>
            <w:bottom w:val="none" w:sz="0" w:space="0" w:color="auto"/>
            <w:right w:val="none" w:sz="0" w:space="0" w:color="auto"/>
          </w:divBdr>
          <w:divsChild>
            <w:div w:id="8197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35403056">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47218601">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02997260">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565215663">
      <w:bodyDiv w:val="1"/>
      <w:marLeft w:val="0"/>
      <w:marRight w:val="0"/>
      <w:marTop w:val="0"/>
      <w:marBottom w:val="0"/>
      <w:divBdr>
        <w:top w:val="none" w:sz="0" w:space="0" w:color="auto"/>
        <w:left w:val="none" w:sz="0" w:space="0" w:color="auto"/>
        <w:bottom w:val="none" w:sz="0" w:space="0" w:color="auto"/>
        <w:right w:val="none" w:sz="0" w:space="0" w:color="auto"/>
      </w:divBdr>
    </w:div>
    <w:div w:id="1652517363">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59142898">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0508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12936-025-05255-3" TargetMode="External"/><Relationship Id="rId18" Type="http://schemas.openxmlformats.org/officeDocument/2006/relationships/hyperlink" Target="https://doi.org/10.1186/1471-2458-9-259" TargetMode="External"/><Relationship Id="rId26" Type="http://schemas.openxmlformats.org/officeDocument/2006/relationships/hyperlink" Target="https://doi.org/10.1080/23311886.2016.1209995" TargetMode="External"/><Relationship Id="rId39" Type="http://schemas.openxmlformats.org/officeDocument/2006/relationships/hyperlink" Target="https://internationalpolicybrief.org/wp-content/uploads/2023/10/ARTICLE-12-9.pdf" TargetMode="External"/><Relationship Id="rId21" Type="http://schemas.openxmlformats.org/officeDocument/2006/relationships/hyperlink" Target="https://asdpub.com/index.php/rjp/article/view/162" TargetMode="External"/><Relationship Id="rId34" Type="http://schemas.openxmlformats.org/officeDocument/2006/relationships/hyperlink" Target="https://doi.org/10.3347/kjp.2022.60.3.173" TargetMode="External"/><Relationship Id="rId42" Type="http://schemas.openxmlformats.org/officeDocument/2006/relationships/hyperlink" Target="https://doi.org/10.1155/2020/7076139" TargetMode="External"/><Relationship Id="rId47" Type="http://schemas.openxmlformats.org/officeDocument/2006/relationships/hyperlink" Target="https://doi.org/10.1186/s13002-025-00788-y" TargetMode="External"/><Relationship Id="rId50" Type="http://schemas.openxmlformats.org/officeDocument/2006/relationships/hyperlink" Target="https://doi.org/10.1186/s12889-018-5521-7"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6557/jodagh/2026/v19i110619" TargetMode="External"/><Relationship Id="rId29" Type="http://schemas.openxmlformats.org/officeDocument/2006/relationships/hyperlink" Target="https://doi.org/10.1128/CMR.00072-14" TargetMode="External"/><Relationship Id="rId11" Type="http://schemas.openxmlformats.org/officeDocument/2006/relationships/hyperlink" Target="https://doi.org/10.1016/0277-9536(92)90160-r" TargetMode="External"/><Relationship Id="rId24" Type="http://schemas.openxmlformats.org/officeDocument/2006/relationships/hyperlink" Target="https://doi.org/10.56557/jomahr/2025/v10i29271" TargetMode="External"/><Relationship Id="rId32" Type="http://schemas.openxmlformats.org/officeDocument/2006/relationships/hyperlink" Target="https://fjs.fudutsinma.edu.ng/index.php/fjs/article/view/1349" TargetMode="External"/><Relationship Id="rId37" Type="http://schemas.openxmlformats.org/officeDocument/2006/relationships/hyperlink" Target="https://doi.org/10.21010/ajid.v12i1.6" TargetMode="External"/><Relationship Id="rId40" Type="http://schemas.openxmlformats.org/officeDocument/2006/relationships/hyperlink" Target="https://doi.org/10.1016/j.dib.2022.108645" TargetMode="External"/><Relationship Id="rId45" Type="http://schemas.openxmlformats.org/officeDocument/2006/relationships/hyperlink" Target="https://doi.org/10.1186/s12936-025-05359-w" TargetMode="External"/><Relationship Id="rId53" Type="http://schemas.openxmlformats.org/officeDocument/2006/relationships/hyperlink" Target="https://ethnobotanyjournal.org/index.php/era/article/view/2607" TargetMode="Externa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oi.org/10.3390/nu16193423" TargetMode="External"/><Relationship Id="rId14" Type="http://schemas.openxmlformats.org/officeDocument/2006/relationships/hyperlink" Target="https://doi.org/10.4269/ajtmh.22-0489" TargetMode="External"/><Relationship Id="rId22" Type="http://schemas.openxmlformats.org/officeDocument/2006/relationships/hyperlink" Target="https://doi.org/10.1186/s40816-020-00242-4" TargetMode="External"/><Relationship Id="rId27" Type="http://schemas.openxmlformats.org/officeDocument/2006/relationships/hyperlink" Target="https://doi.org/10.1371/journal.pone.0287723" TargetMode="External"/><Relationship Id="rId30" Type="http://schemas.openxmlformats.org/officeDocument/2006/relationships/hyperlink" Target="https://doi.org/10.3390/ph17080996" TargetMode="External"/><Relationship Id="rId35" Type="http://schemas.openxmlformats.org/officeDocument/2006/relationships/hyperlink" Target="https://doi.org/10.9734/ijtdh/2025/v46i71671" TargetMode="External"/><Relationship Id="rId43" Type="http://schemas.openxmlformats.org/officeDocument/2006/relationships/hyperlink" Target="https://www.scitcentral.com/article.php?article=3338&amp;article_title=Knowledge%2C+Perception+and+Utilization+of+Herbal+Medicine+in+Treatment+of+Malaria+in+Southwestern+Nigeria&amp;journal=28" TargetMode="External"/><Relationship Id="rId48" Type="http://schemas.openxmlformats.org/officeDocument/2006/relationships/hyperlink" Target="https://doi.org/10.1093/heapol/czs010" TargetMode="External"/><Relationship Id="rId56" Type="http://schemas.openxmlformats.org/officeDocument/2006/relationships/footer" Target="footer1.xml"/><Relationship Id="rId8" Type="http://schemas.openxmlformats.org/officeDocument/2006/relationships/hyperlink" Target="https://doi.org/10.1186/s12936-025-05761-4" TargetMode="External"/><Relationship Id="rId51" Type="http://schemas.openxmlformats.org/officeDocument/2006/relationships/hyperlink" Target="https://doi.org/10.1038/s41598-026-45889-0" TargetMode="External"/><Relationship Id="rId3" Type="http://schemas.openxmlformats.org/officeDocument/2006/relationships/styles" Target="styles.xml"/><Relationship Id="rId12" Type="http://schemas.openxmlformats.org/officeDocument/2006/relationships/hyperlink" Target="https://doi.org/10.38029/babcockunivmedj.v5i2.145" TargetMode="External"/><Relationship Id="rId17" Type="http://schemas.openxmlformats.org/officeDocument/2006/relationships/hyperlink" Target="https://doi.org/10.9734/ijtdh/2020/v41i430268" TargetMode="External"/><Relationship Id="rId25" Type="http://schemas.openxmlformats.org/officeDocument/2006/relationships/hyperlink" Target="https://doi.org/10.1186/s12906-023-04131-4" TargetMode="External"/><Relationship Id="rId33" Type="http://schemas.openxmlformats.org/officeDocument/2006/relationships/hyperlink" Target="https://doi.org/10.59298/RIJSES/2024/414045" TargetMode="External"/><Relationship Id="rId38" Type="http://schemas.openxmlformats.org/officeDocument/2006/relationships/hyperlink" Target="https://doi.org/10.1016/j.jep.2018.02.034" TargetMode="External"/><Relationship Id="rId46" Type="http://schemas.openxmlformats.org/officeDocument/2006/relationships/hyperlink" Target="https://doi.org/10.1186/s12906-026-05426-y" TargetMode="External"/><Relationship Id="rId59" Type="http://schemas.openxmlformats.org/officeDocument/2006/relationships/footer" Target="footer3.xml"/><Relationship Id="rId20" Type="http://schemas.openxmlformats.org/officeDocument/2006/relationships/hyperlink" Target="https://publications.africanscientistjournal.org/selected-biochemical-parameters-and-oxidative-stress-status-rats-administered-antimalaria-herbal" TargetMode="External"/><Relationship Id="rId41" Type="http://schemas.openxmlformats.org/officeDocument/2006/relationships/hyperlink" Target="https://doi.org/10.1155/2019/3057180"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648/j.jher.20200603.16" TargetMode="External"/><Relationship Id="rId23" Type="http://schemas.openxmlformats.org/officeDocument/2006/relationships/hyperlink" Target="https://doi.org/10.1016/j.jep.2022.115807" TargetMode="External"/><Relationship Id="rId28" Type="http://schemas.openxmlformats.org/officeDocument/2006/relationships/hyperlink" Target="https://doi.org/10.1016/j.jep.2015.07.008" TargetMode="External"/><Relationship Id="rId36" Type="http://schemas.openxmlformats.org/officeDocument/2006/relationships/hyperlink" Target="https://doi.org/10.1136/bmjopen-2022-069771" TargetMode="External"/><Relationship Id="rId49" Type="http://schemas.openxmlformats.org/officeDocument/2006/relationships/hyperlink" Target="https://doi.org/10.1186/1475-2875-13-139" TargetMode="External"/><Relationship Id="rId57" Type="http://schemas.openxmlformats.org/officeDocument/2006/relationships/footer" Target="footer2.xml"/><Relationship Id="rId10" Type="http://schemas.openxmlformats.org/officeDocument/2006/relationships/hyperlink" Target="https://doi.org/10.9734/jocamr/2022/v18i430356" TargetMode="External"/><Relationship Id="rId31" Type="http://schemas.openxmlformats.org/officeDocument/2006/relationships/hyperlink" Target="https://doi.org/10.4314/ahs.v21i3.52" TargetMode="External"/><Relationship Id="rId44" Type="http://schemas.openxmlformats.org/officeDocument/2006/relationships/hyperlink" Target="https://doi.org/10.54536/ijsscs.v1i1.5082" TargetMode="External"/><Relationship Id="rId52" Type="http://schemas.openxmlformats.org/officeDocument/2006/relationships/hyperlink" Target="https://www.who.int/teams/global-malaria-programme/case-management/diagnosis/rapid-diagnostic-tests/how-malaria-rdts-work"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371/journal.pone.03223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A097E-6499-482F-A3D4-BB326766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143</TotalTime>
  <Pages>13</Pages>
  <Words>8090</Words>
  <Characters>46116</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54098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CPU 1117</cp:lastModifiedBy>
  <cp:revision>37</cp:revision>
  <cp:lastPrinted>1999-07-06T11:00:00Z</cp:lastPrinted>
  <dcterms:created xsi:type="dcterms:W3CDTF">2026-06-21T21:35:00Z</dcterms:created>
  <dcterms:modified xsi:type="dcterms:W3CDTF">2026-06-27T04:29:00Z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id="FsCp9qdE"/&gt;&lt;style id="http://www.zotero.org/styles/american-political-science-association" locale="en-GB" hasBibliography="1" bibliographyStyleHasBeenSet="1"/&gt;&lt;prefs&gt;&lt;pref name="fieldType" value="</vt:lpwstr>
  </property>
  <property fmtid="{D5CDD505-2E9C-101B-9397-08002B2CF9AE}" pid="3" name="ZOTERO_PREF_2">
    <vt:lpwstr>Field"/&gt;&lt;/prefs&gt;&lt;/data&gt;</vt:lpwstr>
  </property>
  <property fmtid="{D5CDD505-2E9C-101B-9397-08002B2CF9AE}" pid="4" name="GrammarlyDocumentId">
    <vt:lpwstr>aa7c18db-23de-41e5-b7b5-37215eb608ef</vt:lpwstr>
  </property>
</Properties>
</file>