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80186" w14:textId="77777777" w:rsidR="00DF7E66" w:rsidRPr="00DF7E66" w:rsidRDefault="00DF7E66" w:rsidP="004E0FAA">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DF7E66">
        <w:rPr>
          <w:rFonts w:ascii="Times New Roman" w:eastAsia="Times New Roman" w:hAnsi="Times New Roman" w:cs="Times New Roman"/>
          <w:b/>
          <w:bCs/>
          <w:i/>
          <w:iCs/>
          <w:sz w:val="36"/>
          <w:szCs w:val="36"/>
          <w:u w:val="single"/>
          <w:lang w:val="en-US" w:eastAsia="en-GB"/>
        </w:rPr>
        <w:t>Review Article</w:t>
      </w:r>
    </w:p>
    <w:p w14:paraId="058F51D1" w14:textId="77777777" w:rsidR="00F62F58" w:rsidRPr="00F62F58" w:rsidRDefault="00F62F58" w:rsidP="004E0FA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F62F58">
        <w:rPr>
          <w:rFonts w:ascii="Times New Roman" w:eastAsia="Times New Roman" w:hAnsi="Times New Roman" w:cs="Times New Roman"/>
          <w:b/>
          <w:bCs/>
          <w:sz w:val="36"/>
          <w:szCs w:val="36"/>
          <w:lang w:eastAsia="en-GB"/>
        </w:rPr>
        <w:t>The Emerging Role of Nutraceuticals in Health Promotion, Disease Prevention and Modern Healthcare</w:t>
      </w:r>
    </w:p>
    <w:p w14:paraId="6642741F"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Abstract</w:t>
      </w:r>
    </w:p>
    <w:p w14:paraId="1E6DC81E"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Nutraceuticals, defined broadly as food-derived products that deliver physiological benefits beyond basic nutrition, have moved from a niche wellness category into a central pillar of preventive medicine. Rising rates of cardiovascular disease, type 2 diabetes, obesity and certain cancers, combined with an ageing global population, have driven sustained interest in dietary </w:t>
      </w:r>
      <w:proofErr w:type="spellStart"/>
      <w:r w:rsidRPr="00F62F58">
        <w:rPr>
          <w:rFonts w:ascii="Times New Roman" w:eastAsia="Times New Roman" w:hAnsi="Times New Roman" w:cs="Times New Roman"/>
          <w:sz w:val="24"/>
          <w:szCs w:val="24"/>
          <w:lang w:eastAsia="en-GB"/>
        </w:rPr>
        <w:t>bioactives</w:t>
      </w:r>
      <w:proofErr w:type="spellEnd"/>
      <w:r w:rsidRPr="00F62F58">
        <w:rPr>
          <w:rFonts w:ascii="Times New Roman" w:eastAsia="Times New Roman" w:hAnsi="Times New Roman" w:cs="Times New Roman"/>
          <w:sz w:val="24"/>
          <w:szCs w:val="24"/>
          <w:lang w:eastAsia="en-GB"/>
        </w:rPr>
        <w:t xml:space="preserve"> such as polyphenols, omega-3 fatty acids, curcuminoids, probiotics, prebiotics and vitamin D as adjuncts to conventional pharmacotherapy. This review synthesises contemporary evidence on the mechanisms through which nutraceuticals act, the clinical settings in which they show measurable benefit, and the regulatory, technological and safety considerations that shape their responsible use. Particular attention is given to antioxidant and anti-inflammatory pathways, gut microbiome modulation, immune regulation and glycaemic control, alongside emerging delivery technologies such as nanoencapsulation that address the poor bioavailability of many plant-derived compounds. The regulatory patchwork spanning the United States, the European Union, India and other jurisdictions is examined as a major barrier to harmonised quality assurance and consumer protection. The review also considers the trajectory toward personalised and precision nutrition, in which genetic, metabolic and microbiome data are used to tailor nutraceutical recommendations to the individual. Taken together, the evidence indicates that nutraceuticals occupy a genuine, if carefully bounded, role in health promotion and chronic disease prevention, provided that product quality, dosing and regulatory oversight keep pace with scientific advancement.</w:t>
      </w:r>
    </w:p>
    <w:p w14:paraId="74A2EE3A"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Keywords:</w:t>
      </w:r>
      <w:r w:rsidRPr="00F62F58">
        <w:rPr>
          <w:rFonts w:ascii="Times New Roman" w:eastAsia="Times New Roman" w:hAnsi="Times New Roman" w:cs="Times New Roman"/>
          <w:sz w:val="24"/>
          <w:szCs w:val="24"/>
          <w:lang w:eastAsia="en-GB"/>
        </w:rPr>
        <w:t xml:space="preserve"> nutraceuticals; functional foods; disease prevention; bioactive compounds; dietary supplements; personalised nutrition</w:t>
      </w:r>
    </w:p>
    <w:p w14:paraId="299A2447"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 Introduction</w:t>
      </w:r>
    </w:p>
    <w:p w14:paraId="196E7F5A"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1.1 Historical background and conceptual foundations</w:t>
      </w:r>
    </w:p>
    <w:p w14:paraId="3F186514"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term nutraceutical was introduced by Stephen DeFelice in 1989 to describe a food or part of a food that provides medical or health benefits, including the prevention or treatment of disease (Santini et al., 2018). The word is a portmanteau of "nutrition" and "pharmaceutical", and it captures a deliberate blurring of the boundary between what is eaten for sustenance and what is consumed for therapeutic effect. Long before the term existed, the underlying idea was already ancient: traditional systems of medicine across India, China and the Mediterranean basin routinely prescribed specific foods, spices and herbal preparations for the management of illness, and many of the compounds studied today, curcumin, resveratrol, allicin, catechins, were first identified as active constituents of foods used in folk healing traditions. What has changed over the past three decades is not the intuition that food can heal, but the capacity to isolate, characterise, standardise and test these compounds with the tools of modern pharmacology and clinical trial methodology.</w:t>
      </w:r>
      <w:r>
        <w:rPr>
          <w:b/>
          <w:highlight w:val="yellow"/>
        </w:rPr>
        <w:t xml:space="preserve"> </w:t>
      </w:r>
      <w:r w:rsidRPr="004E0FAA">
        <w:rPr>
          <w:bCs/>
          <w:highlight w:val="yellow"/>
        </w:rPr>
        <w:t xml:space="preserve">Contemporary reviews characterise nutraceuticals as a heterogeneous group of food-derived preparations whose intended uses extend from general health maintenance to adjunctive disease management, while </w:t>
      </w:r>
      <w:r w:rsidRPr="004E0FAA">
        <w:rPr>
          <w:bCs/>
          <w:highlight w:val="yellow"/>
        </w:rPr>
        <w:lastRenderedPageBreak/>
        <w:t>emphasising that the strength of supporting evidence varies across products and indications (Chopra et al., 2022; Vignesh et al., 2024).</w:t>
      </w:r>
    </w:p>
    <w:p w14:paraId="25EA91C0"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1.2 Classification and scope of the nutraceutical category</w:t>
      </w:r>
    </w:p>
    <w:p w14:paraId="32E6324A"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Nutraceuticals are conventionally grouped by source and chemical nature: dietary fibres and prebiotics, probiotics and other microbial preparations, polyphenols and flavonoids, carotenoids, omega-3 and omega-6 polyunsaturated fatty acids, vitamins and minerals used at supra-nutritional doses, and herbal or botanical extracts each constitute a recognised subclass (Kaur et al., 2024; Li &amp; Luo, 2025). Functional foods, a closely related but distinct category, refers to conventional foods that have been fortified or naturally contain bioactive constituents at levels sufficient to confer a health benefit when consumed as part of a normal diet, whereas nutraceuticals are more often isolated, concentrated and delivered in pharmaceutical-like formats such as capsules, tablets or standardised extracts (</w:t>
      </w:r>
      <w:proofErr w:type="spellStart"/>
      <w:r w:rsidRPr="00F62F58">
        <w:rPr>
          <w:rFonts w:ascii="Times New Roman" w:eastAsia="Times New Roman" w:hAnsi="Times New Roman" w:cs="Times New Roman"/>
          <w:sz w:val="24"/>
          <w:szCs w:val="24"/>
          <w:lang w:eastAsia="en-GB"/>
        </w:rPr>
        <w:t>Obayomi</w:t>
      </w:r>
      <w:proofErr w:type="spellEnd"/>
      <w:r w:rsidRPr="00F62F58">
        <w:rPr>
          <w:rFonts w:ascii="Times New Roman" w:eastAsia="Times New Roman" w:hAnsi="Times New Roman" w:cs="Times New Roman"/>
          <w:sz w:val="24"/>
          <w:szCs w:val="24"/>
          <w:lang w:eastAsia="en-GB"/>
        </w:rPr>
        <w:t xml:space="preserve"> et al., 2024). This distinction matters for regulation, dosing and safety monitoring, since a concentrated extract can deliver a bioactive compound at doses many times higher than would ever be obtained from the whole food, altering both its therapeutic potential and its risk profile.</w:t>
      </w:r>
      <w:r>
        <w:rPr>
          <w:b/>
          <w:highlight w:val="yellow"/>
        </w:rPr>
        <w:t xml:space="preserve"> </w:t>
      </w:r>
      <w:r w:rsidRPr="004E0FAA">
        <w:rPr>
          <w:bCs/>
          <w:highlight w:val="yellow"/>
        </w:rPr>
        <w:t xml:space="preserve">Recent assessments further indicate that classification is complicated by inconsistent terminology and regulatory treatment across jurisdictions, and that the potential benefits of concentrated </w:t>
      </w:r>
      <w:proofErr w:type="spellStart"/>
      <w:r w:rsidRPr="004E0FAA">
        <w:rPr>
          <w:bCs/>
          <w:highlight w:val="yellow"/>
        </w:rPr>
        <w:t>bioactives</w:t>
      </w:r>
      <w:proofErr w:type="spellEnd"/>
      <w:r w:rsidRPr="004E0FAA">
        <w:rPr>
          <w:bCs/>
          <w:highlight w:val="yellow"/>
        </w:rPr>
        <w:t xml:space="preserve"> must be considered alongside dose-related toxicity, product-quality variation and interactions with medicines (</w:t>
      </w:r>
      <w:proofErr w:type="spellStart"/>
      <w:r w:rsidRPr="004E0FAA">
        <w:rPr>
          <w:bCs/>
          <w:highlight w:val="yellow"/>
        </w:rPr>
        <w:t>Takefuji</w:t>
      </w:r>
      <w:proofErr w:type="spellEnd"/>
      <w:r w:rsidRPr="004E0FAA">
        <w:rPr>
          <w:bCs/>
          <w:highlight w:val="yellow"/>
        </w:rPr>
        <w:t xml:space="preserve">, 2025; </w:t>
      </w:r>
      <w:proofErr w:type="spellStart"/>
      <w:r w:rsidRPr="004E0FAA">
        <w:rPr>
          <w:bCs/>
          <w:highlight w:val="yellow"/>
        </w:rPr>
        <w:t>Ashrafpour</w:t>
      </w:r>
      <w:proofErr w:type="spellEnd"/>
      <w:r w:rsidRPr="004E0FAA">
        <w:rPr>
          <w:bCs/>
          <w:highlight w:val="yellow"/>
        </w:rPr>
        <w:t xml:space="preserve"> &amp; </w:t>
      </w:r>
      <w:proofErr w:type="spellStart"/>
      <w:r w:rsidRPr="004E0FAA">
        <w:rPr>
          <w:bCs/>
          <w:highlight w:val="yellow"/>
        </w:rPr>
        <w:t>Ashrafpour</w:t>
      </w:r>
      <w:proofErr w:type="spellEnd"/>
      <w:r w:rsidRPr="004E0FAA">
        <w:rPr>
          <w:bCs/>
          <w:highlight w:val="yellow"/>
        </w:rPr>
        <w:t>, 2025).</w:t>
      </w:r>
    </w:p>
    <w:p w14:paraId="44241BEC"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1.3 Scope, research gap and objectives</w:t>
      </w:r>
    </w:p>
    <w:p w14:paraId="384FFACF"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Despite an expanding body of mechanistic and clinical research, the nutraceutical literature remains fragmented across disciplines including food science, pharmacology, clinical nutrition and public health policy, and no single account integrates the biological mechanisms, the clinical evidence across major chronic disease categories, the delivery technologies addressing bioavailability limitations, and the regulatory frameworks that determine market access and consumer safety. Existing reviews tend to focus narrowly on a single compound class or disease outcome, leaving readers without a coherent view of how these threads interact in practice. This review addresses that gap by drawing together evidence spanning cardiovascular, metabolic, oncological, immunological and gastrointestinal applications of nutraceuticals, situating this evidence within the regulatory landscape of the principal global markets, and considering how advances in nanotechnology and nutrigenomics are reshaping the field. The specific objectives are threefold: first, to critically appraise the mechanistic and clinical evidence underpinning the use of major nutraceutical classes in the prevention and management of chronic disease; second, to evaluate the technological innovations addressing the bioavailability and stability limitations that have historically constrained clinical efficacy; and third, to examine the regulatory and safety considerations that must be resolved for nutraceuticals to be integrated responsibly into mainstream healthcare.</w:t>
      </w:r>
    </w:p>
    <w:p w14:paraId="6F55BB60"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2. Methods for Literature Selection</w:t>
      </w:r>
    </w:p>
    <w:p w14:paraId="47024C75"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2.1 Databases and search strategy</w:t>
      </w:r>
    </w:p>
    <w:p w14:paraId="3E3C04A3"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Literature was identified through systematic searches of Web of Science, Scopus, Google Scholar and PubMed, supplemented by six field-specific indexing resources selected for their relevance to food science, pharmacology and clinical nutrition: CAB Abstracts, FSTA (Food </w:t>
      </w:r>
      <w:r w:rsidRPr="00F62F58">
        <w:rPr>
          <w:rFonts w:ascii="Times New Roman" w:eastAsia="Times New Roman" w:hAnsi="Times New Roman" w:cs="Times New Roman"/>
          <w:sz w:val="24"/>
          <w:szCs w:val="24"/>
          <w:lang w:eastAsia="en-GB"/>
        </w:rPr>
        <w:lastRenderedPageBreak/>
        <w:t>Science and Technology Abstracts), AGRICOLA, EMBASE, the Cochrane Library, and the WHO Global Index Medicus. Search strings combined the core term "nutraceutical*" with Boolean operators and disease- or mechanism-specific terms, for example ("nutraceutical*" OR "functional food*" OR "bioactive compound*") AND ("cardiovascular disease" OR "diabetes" OR "cancer prevention" OR "gut microbiome" OR "immune function"), together with technology-specific strings such as ("nanoencapsulation" OR "bioavailability") AND "nutraceutical*". Searches were restricted to literature published between 1 January 2015 and 2 April 2026, with earlier landmark studies retained where they remained the primary methodological or mechanistic reference for a given finding.</w:t>
      </w:r>
    </w:p>
    <w:p w14:paraId="1F8ABCC8"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2.2 Inclusion and exclusion criteria</w:t>
      </w:r>
    </w:p>
    <w:p w14:paraId="2878F6C9"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Eligible sources comprised peer-reviewed original research, systematic reviews, meta-analyses and editorials published in indexed journals, together with authoritative institutional reports from bodies such as the World Health Organization, the Food and Agriculture Organization and equivalent regional regulatory authorities where no peer-reviewed equivalent existed. Books, grey literature, conference proceedings, trade publications, pre-prints, patents and non-peer-reviewed sources were excluded, as were studies with unclear methodology or those published in predatory or non-indexed venues. Articles were limited to those published in English, reflecting a practical constraint on translation resources rather than a judgement on the quality of non-English scholarship; this restriction is acknowledged as a limitation.</w:t>
      </w:r>
    </w:p>
    <w:p w14:paraId="43A0445A"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2.3 Rationale for a narrative approach</w:t>
      </w:r>
    </w:p>
    <w:p w14:paraId="766B0789"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 narrative rather than systematic review methodology was adopted because the objective was to synthesise evidence across multiple disease domains, mechanistic pathways and regulatory jurisdictions in a manner that a single systematic review protocol, with its necessarily narrow research question, could not accommodate. Narrative reviews suit this kind of broad, interpretive synthesis well, allowing the reviewer to draw connections across disparate bodies of evidence while still adhering to a transparent and reproducible search strategy (Ferrari, 2015; Sukhera, 2022). This approach also permitted the inclusion of regulatory and policy material alongside clinical and mechanistic studies, which a systematic review restricted to randomised controlled trials would exclude by design.</w:t>
      </w:r>
    </w:p>
    <w:p w14:paraId="030D009E"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2.4 Screening workflow and selection of influential studies</w:t>
      </w:r>
    </w:p>
    <w:p w14:paraId="24DD6BF7"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Titles and abstracts identified through the search strategy were screened for relevance to the stated objectives, with full texts retrieved for records judged potentially eligible. Duplicate records arising from overlapping database coverage were identified and removed through reference management software prior to full-text screening. Where multiple studies addressed the same compound and outcome, preference was given to the most recent systematic reviews and meta-analyses, on the grounds that these typically aggregate and contextualise earlier primary studies, supplemented by recent primary trials not yet captured in existing syntheses. Influential studies that shaped the conceptual development of the field, including early regulatory analyses and foundational mechanistic papers, were retained irrespective of publication date where they continued to inform current understanding.</w:t>
      </w:r>
    </w:p>
    <w:p w14:paraId="5D83AFE8"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3. Mechanistic Basis of Nutraceutical Action</w:t>
      </w:r>
    </w:p>
    <w:p w14:paraId="20004B92"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lastRenderedPageBreak/>
        <w:t>The biological plausibility of nutraceutical efficacy rests on a relatively small number of convergent mechanisms recurring across compound classes and disease states. Oxidative stress, an imbalance between reactive oxygen species and endogenous antioxidant defences, is implicated in the pathogenesis of atherosclerosis, carcinogenesis and neurodegeneration, and polyphenolic compounds such as quercetin, catechins and resveratrol act as direct free radical scavengers while also upregulating endogenous antioxidant enzyme systems (Iqbal et al., 2023). Chronic low-grade inflammation is a second unifying pathway, with curcumin, omega-3 fatty acids and specific probiotic strains modulating nuclear factor kappa B signalling and downstream cytokine production (Kaur et al., 2024). A third mechanism operates through the gut microbiome, whereby prebiotic fibres and probiotic organisms alter the composition and metabolic output of the intestinal microbiota, generating short-chain fatty acids that influence systemic metabolism, immune tone and even neurological signalling via the gut-brain axis (</w:t>
      </w:r>
      <w:proofErr w:type="spellStart"/>
      <w:r w:rsidRPr="00F62F58">
        <w:rPr>
          <w:rFonts w:ascii="Times New Roman" w:eastAsia="Times New Roman" w:hAnsi="Times New Roman" w:cs="Times New Roman"/>
          <w:sz w:val="24"/>
          <w:szCs w:val="24"/>
          <w:lang w:eastAsia="en-GB"/>
        </w:rPr>
        <w:t>Obayomi</w:t>
      </w:r>
      <w:proofErr w:type="spellEnd"/>
      <w:r w:rsidRPr="00F62F58">
        <w:rPr>
          <w:rFonts w:ascii="Times New Roman" w:eastAsia="Times New Roman" w:hAnsi="Times New Roman" w:cs="Times New Roman"/>
          <w:sz w:val="24"/>
          <w:szCs w:val="24"/>
          <w:lang w:eastAsia="en-GB"/>
        </w:rPr>
        <w:t xml:space="preserve"> et al., 2024). Epigenetic modulation, including effects on DNA methylation and histone acetylation, has more recently been identified as a route through which resveratrol, sulforaphane and curcumin may influence gene expression relevant to cardiovascular and metabolic disease (</w:t>
      </w:r>
      <w:r w:rsidRPr="00F62F58">
        <w:rPr>
          <w:rFonts w:ascii="Times New Roman" w:eastAsia="Times New Roman" w:hAnsi="Times New Roman" w:cs="Times New Roman"/>
          <w:b/>
          <w:bCs/>
          <w:sz w:val="24"/>
          <w:szCs w:val="24"/>
          <w:lang w:eastAsia="en-GB"/>
        </w:rPr>
        <w:t>Arshad et al., 2025</w:t>
      </w:r>
      <w:r w:rsidRPr="00F62F58">
        <w:rPr>
          <w:rFonts w:ascii="Times New Roman" w:eastAsia="Times New Roman" w:hAnsi="Times New Roman" w:cs="Times New Roman"/>
          <w:sz w:val="24"/>
          <w:szCs w:val="24"/>
          <w:lang w:eastAsia="en-GB"/>
        </w:rPr>
        <w:t>). These mechanisms are seldom mutually exclusive; most nutraceuticals of clinical interest act through several overlapping pathways at once, which complicates the attribution of any single clinical outcome to a single mechanism but also offers a plausible explanation for the pleiotropic health effects frequently reported in observational studies.</w:t>
      </w:r>
    </w:p>
    <w:p w14:paraId="465FF648"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4. Nutraceuticals in Cardiovascular Disease Prevention</w:t>
      </w:r>
    </w:p>
    <w:p w14:paraId="6A78049E"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Cardiovascular disease remains the leading cause of mortality worldwide, and dietary polyphenols have attracted particular attention for their capacity to influence multiple risk factors simultaneously. A systematic review and meta-analysis of randomised controlled trials involving more than seventeen thousand participants found that polyphenol supplementation produced modest but statistically significant reductions in systolic and diastolic blood pressure with catechin supplementation, improvements in lipid profiles with anthocyanin supplementation, and favourable changes in glucose metabolism with curcumin supplementation (Wan et al., 2024). Mechanistically, flavonoids and related polyphenols inhibit angiotensin-converting enzyme activity, attenuating renin-angiotensin-aldosterone system overactivation, a pathway implicated in hypertension and vascular remodelling (</w:t>
      </w:r>
      <w:r w:rsidRPr="00F62F58">
        <w:rPr>
          <w:rFonts w:ascii="Times New Roman" w:eastAsia="Times New Roman" w:hAnsi="Times New Roman" w:cs="Times New Roman"/>
          <w:b/>
          <w:bCs/>
          <w:sz w:val="24"/>
          <w:szCs w:val="24"/>
          <w:lang w:eastAsia="en-GB"/>
        </w:rPr>
        <w:t>Arshad et al., 2025</w:t>
      </w:r>
      <w:r w:rsidRPr="00F62F58">
        <w:rPr>
          <w:rFonts w:ascii="Times New Roman" w:eastAsia="Times New Roman" w:hAnsi="Times New Roman" w:cs="Times New Roman"/>
          <w:sz w:val="24"/>
          <w:szCs w:val="24"/>
          <w:lang w:eastAsia="en-GB"/>
        </w:rPr>
        <w:t>). Kaempferol, quercetin and resveratrol additionally protect cardiac tissue by regulating proteins involved in oxidative injury, and their bioavailability and safety profile at dietary and moderate supplemental doses have been characterised across numerous intervention trials (Iqbal et al., 2023).</w:t>
      </w:r>
    </w:p>
    <w:p w14:paraId="195600C9"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Omega-3 polyunsaturated fatty acids, principally eicosapentaenoic acid and docosahexaenoic acid derived from marine sources, form a second major cardioprotective nutraceutical class, with evidence supporting favourable effects on triglyceride concentrations, endothelial function and arrhythmic risk (</w:t>
      </w:r>
      <w:proofErr w:type="spellStart"/>
      <w:r w:rsidRPr="00F62F58">
        <w:rPr>
          <w:rFonts w:ascii="Times New Roman" w:eastAsia="Times New Roman" w:hAnsi="Times New Roman" w:cs="Times New Roman"/>
          <w:sz w:val="24"/>
          <w:szCs w:val="24"/>
          <w:lang w:eastAsia="en-GB"/>
        </w:rPr>
        <w:t>Elagizi</w:t>
      </w:r>
      <w:proofErr w:type="spellEnd"/>
      <w:r w:rsidRPr="00F62F58">
        <w:rPr>
          <w:rFonts w:ascii="Times New Roman" w:eastAsia="Times New Roman" w:hAnsi="Times New Roman" w:cs="Times New Roman"/>
          <w:sz w:val="24"/>
          <w:szCs w:val="24"/>
          <w:lang w:eastAsia="en-GB"/>
        </w:rPr>
        <w:t xml:space="preserve"> et al., 2021; Patted et al., 2024). It should be noted, however, that recent commentary has highlighted inconsistencies in the omega-3 evidence base, driven partly by variability in product quality, dosing and baseline omega-3 status across studied populations, underscoring that clinical benefit is not uniform across all supplementation contexts (Djuricic &amp; Calder, 2021). Short-chain fatty acids generated through fibre fermentation, particularly butyrate, further contribute to cardiovascular protection by improving endothelial function and modestly lowering blood pressure, illustrating the interconnection between gut microbial metabolism and cardiovascular outcomes (</w:t>
      </w:r>
      <w:r w:rsidRPr="00F62F58">
        <w:rPr>
          <w:rFonts w:ascii="Times New Roman" w:eastAsia="Times New Roman" w:hAnsi="Times New Roman" w:cs="Times New Roman"/>
          <w:b/>
          <w:bCs/>
          <w:sz w:val="24"/>
          <w:szCs w:val="24"/>
          <w:lang w:eastAsia="en-GB"/>
        </w:rPr>
        <w:t>Arshad et al., 2025</w:t>
      </w:r>
      <w:r w:rsidRPr="00F62F58">
        <w:rPr>
          <w:rFonts w:ascii="Times New Roman" w:eastAsia="Times New Roman" w:hAnsi="Times New Roman" w:cs="Times New Roman"/>
          <w:sz w:val="24"/>
          <w:szCs w:val="24"/>
          <w:lang w:eastAsia="en-GB"/>
        </w:rPr>
        <w:t xml:space="preserve">). The mechanisms, sources and reported outcomes for these </w:t>
      </w:r>
      <w:r w:rsidRPr="00F62F58">
        <w:rPr>
          <w:rFonts w:ascii="Times New Roman" w:eastAsia="Times New Roman" w:hAnsi="Times New Roman" w:cs="Times New Roman"/>
          <w:sz w:val="24"/>
          <w:szCs w:val="24"/>
          <w:lang w:eastAsia="en-GB"/>
        </w:rPr>
        <w:lastRenderedPageBreak/>
        <w:t>compound classes, together with berberine's cardiometabolic role discussed in the following section, are consolidated in Table 1.</w:t>
      </w:r>
    </w:p>
    <w:p w14:paraId="1368DB44"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1. Selected nutraceutical classes and their principal cardiometabolic mechanisms</w:t>
      </w:r>
    </w:p>
    <w:tbl>
      <w:tblPr>
        <w:tblStyle w:val="TableGridLight"/>
        <w:tblW w:w="0" w:type="auto"/>
        <w:tblLook w:val="04A0" w:firstRow="1" w:lastRow="0" w:firstColumn="1" w:lastColumn="0" w:noHBand="0" w:noVBand="1"/>
      </w:tblPr>
      <w:tblGrid>
        <w:gridCol w:w="1689"/>
        <w:gridCol w:w="1949"/>
        <w:gridCol w:w="2157"/>
        <w:gridCol w:w="2039"/>
        <w:gridCol w:w="1408"/>
      </w:tblGrid>
      <w:tr w:rsidR="00F62F58" w:rsidRPr="00F62F58" w14:paraId="0C8D98B9" w14:textId="77777777" w:rsidTr="00F62F58">
        <w:tc>
          <w:tcPr>
            <w:tcW w:w="0" w:type="auto"/>
            <w:hideMark/>
          </w:tcPr>
          <w:p w14:paraId="38B074AE"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Nutraceutical class</w:t>
            </w:r>
          </w:p>
        </w:tc>
        <w:tc>
          <w:tcPr>
            <w:tcW w:w="0" w:type="auto"/>
            <w:hideMark/>
          </w:tcPr>
          <w:p w14:paraId="6478FACB"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Representative compounds</w:t>
            </w:r>
          </w:p>
        </w:tc>
        <w:tc>
          <w:tcPr>
            <w:tcW w:w="0" w:type="auto"/>
            <w:hideMark/>
          </w:tcPr>
          <w:p w14:paraId="103A37CF"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Principal proposed mechanism</w:t>
            </w:r>
          </w:p>
        </w:tc>
        <w:tc>
          <w:tcPr>
            <w:tcW w:w="0" w:type="auto"/>
            <w:hideMark/>
          </w:tcPr>
          <w:p w14:paraId="247BAF8E"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Reported clinical outcome</w:t>
            </w:r>
          </w:p>
        </w:tc>
        <w:tc>
          <w:tcPr>
            <w:tcW w:w="0" w:type="auto"/>
            <w:hideMark/>
          </w:tcPr>
          <w:p w14:paraId="380AACA2"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6DA61D16" w14:textId="77777777" w:rsidTr="00F62F58">
        <w:tc>
          <w:tcPr>
            <w:tcW w:w="0" w:type="auto"/>
            <w:hideMark/>
          </w:tcPr>
          <w:p w14:paraId="2F28AAD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Polyphenols</w:t>
            </w:r>
          </w:p>
        </w:tc>
        <w:tc>
          <w:tcPr>
            <w:tcW w:w="0" w:type="auto"/>
            <w:hideMark/>
          </w:tcPr>
          <w:p w14:paraId="462E54A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Quercetin, catechins, anthocyanins</w:t>
            </w:r>
          </w:p>
        </w:tc>
        <w:tc>
          <w:tcPr>
            <w:tcW w:w="0" w:type="auto"/>
            <w:hideMark/>
          </w:tcPr>
          <w:p w14:paraId="7A71F84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Antioxidant activity; ACE inhibition; endothelial modulation</w:t>
            </w:r>
          </w:p>
        </w:tc>
        <w:tc>
          <w:tcPr>
            <w:tcW w:w="0" w:type="auto"/>
            <w:hideMark/>
          </w:tcPr>
          <w:p w14:paraId="014FDBA6"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Reduced blood pressure and improved lipid profile</w:t>
            </w:r>
          </w:p>
        </w:tc>
        <w:tc>
          <w:tcPr>
            <w:tcW w:w="0" w:type="auto"/>
            <w:hideMark/>
          </w:tcPr>
          <w:p w14:paraId="6FAA26F9" w14:textId="77777777" w:rsidR="00F62F58" w:rsidRPr="00F62F58" w:rsidRDefault="00F62F58" w:rsidP="004E0FAA">
            <w:pPr>
              <w:jc w:val="both"/>
              <w:rPr>
                <w:rFonts w:ascii="Times New Roman" w:eastAsia="Times New Roman" w:hAnsi="Times New Roman" w:cs="Times New Roman"/>
                <w:sz w:val="24"/>
                <w:szCs w:val="24"/>
                <w:lang w:eastAsia="en-GB"/>
              </w:rPr>
            </w:pPr>
            <w:r w:rsidRPr="00E85F6C">
              <w:rPr>
                <w:rFonts w:ascii="Times New Roman" w:eastAsia="Times New Roman" w:hAnsi="Times New Roman" w:cs="Times New Roman"/>
                <w:sz w:val="24"/>
                <w:szCs w:val="24"/>
                <w:lang w:val="nl-BE" w:eastAsia="en-GB"/>
              </w:rPr>
              <w:t xml:space="preserve">Wan et al. (2024); </w:t>
            </w:r>
            <w:r w:rsidRPr="00E85F6C">
              <w:rPr>
                <w:rFonts w:ascii="Times New Roman" w:eastAsia="Times New Roman" w:hAnsi="Times New Roman" w:cs="Times New Roman"/>
                <w:b/>
                <w:bCs/>
                <w:sz w:val="24"/>
                <w:szCs w:val="24"/>
                <w:lang w:val="nl-BE" w:eastAsia="en-GB"/>
              </w:rPr>
              <w:t xml:space="preserve">Arshad et al. </w:t>
            </w:r>
            <w:r w:rsidRPr="00F62F58">
              <w:rPr>
                <w:rFonts w:ascii="Times New Roman" w:eastAsia="Times New Roman" w:hAnsi="Times New Roman" w:cs="Times New Roman"/>
                <w:b/>
                <w:bCs/>
                <w:sz w:val="24"/>
                <w:szCs w:val="24"/>
                <w:lang w:eastAsia="en-GB"/>
              </w:rPr>
              <w:t>(2025)</w:t>
            </w:r>
          </w:p>
        </w:tc>
      </w:tr>
      <w:tr w:rsidR="00F62F58" w:rsidRPr="00E85F6C" w14:paraId="6F33AA77" w14:textId="77777777" w:rsidTr="00F62F58">
        <w:tc>
          <w:tcPr>
            <w:tcW w:w="0" w:type="auto"/>
            <w:hideMark/>
          </w:tcPr>
          <w:p w14:paraId="18B6B95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Omega-3 fatty acids</w:t>
            </w:r>
          </w:p>
        </w:tc>
        <w:tc>
          <w:tcPr>
            <w:tcW w:w="0" w:type="auto"/>
            <w:hideMark/>
          </w:tcPr>
          <w:p w14:paraId="34F0610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EPA, DHA</w:t>
            </w:r>
          </w:p>
        </w:tc>
        <w:tc>
          <w:tcPr>
            <w:tcW w:w="0" w:type="auto"/>
            <w:hideMark/>
          </w:tcPr>
          <w:p w14:paraId="04C6DBA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Anti-inflammatory eicosanoid production; membrane fluidity modulation</w:t>
            </w:r>
          </w:p>
        </w:tc>
        <w:tc>
          <w:tcPr>
            <w:tcW w:w="0" w:type="auto"/>
            <w:hideMark/>
          </w:tcPr>
          <w:p w14:paraId="5BE6540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Reduced triglycerides; improved endothelial function</w:t>
            </w:r>
          </w:p>
        </w:tc>
        <w:tc>
          <w:tcPr>
            <w:tcW w:w="0" w:type="auto"/>
            <w:hideMark/>
          </w:tcPr>
          <w:p w14:paraId="2E32D575" w14:textId="77777777" w:rsidR="00F62F58" w:rsidRPr="00E85F6C" w:rsidRDefault="00F62F58" w:rsidP="004E0FAA">
            <w:pPr>
              <w:jc w:val="both"/>
              <w:rPr>
                <w:rFonts w:ascii="Times New Roman" w:eastAsia="Times New Roman" w:hAnsi="Times New Roman" w:cs="Times New Roman"/>
                <w:sz w:val="24"/>
                <w:szCs w:val="24"/>
                <w:lang w:val="nl-BE" w:eastAsia="en-GB"/>
              </w:rPr>
            </w:pPr>
            <w:r w:rsidRPr="00E85F6C">
              <w:rPr>
                <w:rFonts w:ascii="Times New Roman" w:eastAsia="Times New Roman" w:hAnsi="Times New Roman" w:cs="Times New Roman"/>
                <w:sz w:val="24"/>
                <w:szCs w:val="24"/>
                <w:lang w:val="nl-BE" w:eastAsia="en-GB"/>
              </w:rPr>
              <w:t>Elagizi et al. (2021); Djuricic &amp; Calder (2021)</w:t>
            </w:r>
          </w:p>
        </w:tc>
      </w:tr>
      <w:tr w:rsidR="00F62F58" w:rsidRPr="00F62F58" w14:paraId="21A9174D" w14:textId="77777777" w:rsidTr="00F62F58">
        <w:tc>
          <w:tcPr>
            <w:tcW w:w="0" w:type="auto"/>
            <w:hideMark/>
          </w:tcPr>
          <w:p w14:paraId="2C1F839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Curcuminoids</w:t>
            </w:r>
          </w:p>
        </w:tc>
        <w:tc>
          <w:tcPr>
            <w:tcW w:w="0" w:type="auto"/>
            <w:hideMark/>
          </w:tcPr>
          <w:p w14:paraId="5007916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w:t>
            </w:r>
          </w:p>
        </w:tc>
        <w:tc>
          <w:tcPr>
            <w:tcW w:w="0" w:type="auto"/>
            <w:hideMark/>
          </w:tcPr>
          <w:p w14:paraId="4D6288B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NF-</w:t>
            </w:r>
            <w:proofErr w:type="spellStart"/>
            <w:r w:rsidRPr="00F62F58">
              <w:rPr>
                <w:rFonts w:ascii="Times New Roman" w:eastAsia="Times New Roman" w:hAnsi="Times New Roman" w:cs="Times New Roman"/>
                <w:sz w:val="24"/>
                <w:szCs w:val="24"/>
                <w:lang w:eastAsia="en-GB"/>
              </w:rPr>
              <w:t>κB</w:t>
            </w:r>
            <w:proofErr w:type="spellEnd"/>
            <w:r w:rsidRPr="00F62F58">
              <w:rPr>
                <w:rFonts w:ascii="Times New Roman" w:eastAsia="Times New Roman" w:hAnsi="Times New Roman" w:cs="Times New Roman"/>
                <w:sz w:val="24"/>
                <w:szCs w:val="24"/>
                <w:lang w:eastAsia="en-GB"/>
              </w:rPr>
              <w:t xml:space="preserve"> inhibition; antioxidant activity</w:t>
            </w:r>
          </w:p>
        </w:tc>
        <w:tc>
          <w:tcPr>
            <w:tcW w:w="0" w:type="auto"/>
            <w:hideMark/>
          </w:tcPr>
          <w:p w14:paraId="5824B6D1"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Improved glucose metabolism; reduced inflammatory markers</w:t>
            </w:r>
          </w:p>
        </w:tc>
        <w:tc>
          <w:tcPr>
            <w:tcW w:w="0" w:type="auto"/>
            <w:hideMark/>
          </w:tcPr>
          <w:p w14:paraId="138648F2" w14:textId="77777777" w:rsidR="00F62F58" w:rsidRPr="00F62F58" w:rsidRDefault="00F62F58" w:rsidP="004E0FAA">
            <w:pPr>
              <w:jc w:val="both"/>
              <w:rPr>
                <w:rFonts w:ascii="Times New Roman" w:eastAsia="Times New Roman" w:hAnsi="Times New Roman" w:cs="Times New Roman"/>
                <w:sz w:val="24"/>
                <w:szCs w:val="24"/>
                <w:lang w:eastAsia="en-GB"/>
              </w:rPr>
            </w:pPr>
            <w:r w:rsidRPr="00E85F6C">
              <w:rPr>
                <w:rFonts w:ascii="Times New Roman" w:eastAsia="Times New Roman" w:hAnsi="Times New Roman" w:cs="Times New Roman"/>
                <w:sz w:val="24"/>
                <w:szCs w:val="24"/>
                <w:lang w:val="nl-BE" w:eastAsia="en-GB"/>
              </w:rPr>
              <w:t xml:space="preserve">Wan et al. (2024); Kaur et al. </w:t>
            </w:r>
            <w:r w:rsidRPr="00F62F58">
              <w:rPr>
                <w:rFonts w:ascii="Times New Roman" w:eastAsia="Times New Roman" w:hAnsi="Times New Roman" w:cs="Times New Roman"/>
                <w:sz w:val="24"/>
                <w:szCs w:val="24"/>
                <w:lang w:eastAsia="en-GB"/>
              </w:rPr>
              <w:t>(2024)</w:t>
            </w:r>
          </w:p>
        </w:tc>
      </w:tr>
      <w:tr w:rsidR="00F62F58" w:rsidRPr="00F62F58" w14:paraId="629E026C" w14:textId="77777777" w:rsidTr="00F62F58">
        <w:tc>
          <w:tcPr>
            <w:tcW w:w="0" w:type="auto"/>
            <w:hideMark/>
          </w:tcPr>
          <w:p w14:paraId="6EEF9EF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Fibre-derived SCFAs</w:t>
            </w:r>
          </w:p>
        </w:tc>
        <w:tc>
          <w:tcPr>
            <w:tcW w:w="0" w:type="auto"/>
            <w:hideMark/>
          </w:tcPr>
          <w:p w14:paraId="79B25A32"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Butyrate, propionate</w:t>
            </w:r>
          </w:p>
        </w:tc>
        <w:tc>
          <w:tcPr>
            <w:tcW w:w="0" w:type="auto"/>
            <w:hideMark/>
          </w:tcPr>
          <w:p w14:paraId="4A3B22B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Gut microbiota fermentation product; endothelial signalling</w:t>
            </w:r>
          </w:p>
        </w:tc>
        <w:tc>
          <w:tcPr>
            <w:tcW w:w="0" w:type="auto"/>
            <w:hideMark/>
          </w:tcPr>
          <w:p w14:paraId="59B02F6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Improved endothelial function; modest BP reduction</w:t>
            </w:r>
          </w:p>
        </w:tc>
        <w:tc>
          <w:tcPr>
            <w:tcW w:w="0" w:type="auto"/>
            <w:hideMark/>
          </w:tcPr>
          <w:p w14:paraId="5718847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Arshad et al. (2025)</w:t>
            </w:r>
          </w:p>
        </w:tc>
      </w:tr>
      <w:tr w:rsidR="00F62F58" w:rsidRPr="00F62F58" w14:paraId="746049D8" w14:textId="77777777" w:rsidTr="00F62F58">
        <w:tc>
          <w:tcPr>
            <w:tcW w:w="0" w:type="auto"/>
            <w:hideMark/>
          </w:tcPr>
          <w:p w14:paraId="62CFD07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Berberine</w:t>
            </w:r>
          </w:p>
        </w:tc>
        <w:tc>
          <w:tcPr>
            <w:tcW w:w="0" w:type="auto"/>
            <w:hideMark/>
          </w:tcPr>
          <w:p w14:paraId="597E0A6C" w14:textId="77777777" w:rsidR="00F62F58" w:rsidRPr="00F62F58" w:rsidRDefault="00F62F58" w:rsidP="004E0FAA">
            <w:pPr>
              <w:jc w:val="both"/>
              <w:rPr>
                <w:rFonts w:ascii="Times New Roman" w:eastAsia="Times New Roman" w:hAnsi="Times New Roman" w:cs="Times New Roman"/>
                <w:sz w:val="24"/>
                <w:szCs w:val="24"/>
                <w:lang w:eastAsia="en-GB"/>
              </w:rPr>
            </w:pPr>
            <w:proofErr w:type="spellStart"/>
            <w:r w:rsidRPr="00F62F58">
              <w:rPr>
                <w:rFonts w:ascii="Times New Roman" w:eastAsia="Times New Roman" w:hAnsi="Times New Roman" w:cs="Times New Roman"/>
                <w:sz w:val="24"/>
                <w:szCs w:val="24"/>
                <w:lang w:eastAsia="en-GB"/>
              </w:rPr>
              <w:t>Isoquinoline</w:t>
            </w:r>
            <w:proofErr w:type="spellEnd"/>
            <w:r w:rsidRPr="00F62F58">
              <w:rPr>
                <w:rFonts w:ascii="Times New Roman" w:eastAsia="Times New Roman" w:hAnsi="Times New Roman" w:cs="Times New Roman"/>
                <w:sz w:val="24"/>
                <w:szCs w:val="24"/>
                <w:lang w:eastAsia="en-GB"/>
              </w:rPr>
              <w:t xml:space="preserve"> alkaloid</w:t>
            </w:r>
          </w:p>
        </w:tc>
        <w:tc>
          <w:tcPr>
            <w:tcW w:w="0" w:type="auto"/>
            <w:hideMark/>
          </w:tcPr>
          <w:p w14:paraId="5362C83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AMPK activation; insulin sensitisation</w:t>
            </w:r>
          </w:p>
        </w:tc>
        <w:tc>
          <w:tcPr>
            <w:tcW w:w="0" w:type="auto"/>
            <w:hideMark/>
          </w:tcPr>
          <w:p w14:paraId="0FA7F74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Improved glycaemic and lipid parameters</w:t>
            </w:r>
          </w:p>
        </w:tc>
        <w:tc>
          <w:tcPr>
            <w:tcW w:w="0" w:type="auto"/>
            <w:hideMark/>
          </w:tcPr>
          <w:p w14:paraId="39C5CD4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Liu et al. (2025)</w:t>
            </w:r>
          </w:p>
        </w:tc>
      </w:tr>
    </w:tbl>
    <w:p w14:paraId="2CFDE0C0"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5. Nutraceuticals in Metabolic Disease and Diabetes Management</w:t>
      </w:r>
    </w:p>
    <w:p w14:paraId="22A3F434"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The global prevalence of type 2 diabetes mellitus continues to rise, and several plant-derived compounds have accumulated a substantial evidence base as adjunctive metabolic agents. Berberine, an </w:t>
      </w:r>
      <w:proofErr w:type="spellStart"/>
      <w:r w:rsidRPr="00F62F58">
        <w:rPr>
          <w:rFonts w:ascii="Times New Roman" w:eastAsia="Times New Roman" w:hAnsi="Times New Roman" w:cs="Times New Roman"/>
          <w:sz w:val="24"/>
          <w:szCs w:val="24"/>
          <w:lang w:eastAsia="en-GB"/>
        </w:rPr>
        <w:t>isoquinoline</w:t>
      </w:r>
      <w:proofErr w:type="spellEnd"/>
      <w:r w:rsidRPr="00F62F58">
        <w:rPr>
          <w:rFonts w:ascii="Times New Roman" w:eastAsia="Times New Roman" w:hAnsi="Times New Roman" w:cs="Times New Roman"/>
          <w:sz w:val="24"/>
          <w:szCs w:val="24"/>
          <w:lang w:eastAsia="en-GB"/>
        </w:rPr>
        <w:t xml:space="preserve"> alkaloid derived from several plant genera including </w:t>
      </w:r>
      <w:r w:rsidRPr="00F62F58">
        <w:rPr>
          <w:rFonts w:ascii="Times New Roman" w:eastAsia="Times New Roman" w:hAnsi="Times New Roman" w:cs="Times New Roman"/>
          <w:i/>
          <w:iCs/>
          <w:sz w:val="24"/>
          <w:szCs w:val="24"/>
          <w:lang w:eastAsia="en-GB"/>
        </w:rPr>
        <w:t>Berberis</w:t>
      </w:r>
      <w:r w:rsidRPr="00F62F58">
        <w:rPr>
          <w:rFonts w:ascii="Times New Roman" w:eastAsia="Times New Roman" w:hAnsi="Times New Roman" w:cs="Times New Roman"/>
          <w:sz w:val="24"/>
          <w:szCs w:val="24"/>
          <w:lang w:eastAsia="en-GB"/>
        </w:rPr>
        <w:t xml:space="preserve">, shares mechanistic overlap with metformin, activating adenosine monophosphate-activated protein kinase, inhibiting hepatic gluconeogenesis and modulating gut microbial composition (Liu et al., 2025; see Table 1). Clinical trials have demonstrated reductions in fasting glucose and glycated haemoglobin with berberine supplementation, alongside anti-inflammatory and antioxidant effects that may confer benefit beyond glycaemic control alone, although its lack of formal regulatory approval as a diabetes therapy in most jurisdictions means it remains classified as a complementary rather than first-line intervention. Cinnamon extract has likewise demonstrated statistically significant, if modest, reductions in fasting blood glucose, glycated haemoglobin and insulin resistance indices in meta-analytic pooling of randomised controlled trials (Cortez-Navarrete et al., 2023). Fenugreek, </w:t>
      </w:r>
      <w:r w:rsidRPr="00F62F58">
        <w:rPr>
          <w:rFonts w:ascii="Times New Roman" w:eastAsia="Times New Roman" w:hAnsi="Times New Roman" w:cs="Times New Roman"/>
          <w:i/>
          <w:iCs/>
          <w:sz w:val="24"/>
          <w:szCs w:val="24"/>
          <w:lang w:eastAsia="en-GB"/>
        </w:rPr>
        <w:t>Curcuma longa</w:t>
      </w:r>
      <w:r w:rsidRPr="00F62F58">
        <w:rPr>
          <w:rFonts w:ascii="Times New Roman" w:eastAsia="Times New Roman" w:hAnsi="Times New Roman" w:cs="Times New Roman"/>
          <w:sz w:val="24"/>
          <w:szCs w:val="24"/>
          <w:lang w:eastAsia="en-GB"/>
        </w:rPr>
        <w:t xml:space="preserve"> and </w:t>
      </w:r>
      <w:r w:rsidRPr="00F62F58">
        <w:rPr>
          <w:rFonts w:ascii="Times New Roman" w:eastAsia="Times New Roman" w:hAnsi="Times New Roman" w:cs="Times New Roman"/>
          <w:i/>
          <w:iCs/>
          <w:sz w:val="24"/>
          <w:szCs w:val="24"/>
          <w:lang w:eastAsia="en-GB"/>
        </w:rPr>
        <w:t xml:space="preserve">Momordica </w:t>
      </w:r>
      <w:proofErr w:type="spellStart"/>
      <w:r w:rsidRPr="00F62F58">
        <w:rPr>
          <w:rFonts w:ascii="Times New Roman" w:eastAsia="Times New Roman" w:hAnsi="Times New Roman" w:cs="Times New Roman"/>
          <w:i/>
          <w:iCs/>
          <w:sz w:val="24"/>
          <w:szCs w:val="24"/>
          <w:lang w:eastAsia="en-GB"/>
        </w:rPr>
        <w:t>charantia</w:t>
      </w:r>
      <w:proofErr w:type="spellEnd"/>
      <w:r w:rsidRPr="00F62F58">
        <w:rPr>
          <w:rFonts w:ascii="Times New Roman" w:eastAsia="Times New Roman" w:hAnsi="Times New Roman" w:cs="Times New Roman"/>
          <w:sz w:val="24"/>
          <w:szCs w:val="24"/>
          <w:lang w:eastAsia="en-GB"/>
        </w:rPr>
        <w:t xml:space="preserve"> (bitter melon) have each shown hypoglycaemic activity in controlled trials, acting through mechanisms including delayed carbohydrate absorption, enhanced insulin receptor expression and modulation of hepatic glucose output (Cortez-Navarrete et al., 2023). These effects should be interpreted cautiously, since most trials are of modest sample size and </w:t>
      </w:r>
      <w:r w:rsidRPr="00F62F58">
        <w:rPr>
          <w:rFonts w:ascii="Times New Roman" w:eastAsia="Times New Roman" w:hAnsi="Times New Roman" w:cs="Times New Roman"/>
          <w:sz w:val="24"/>
          <w:szCs w:val="24"/>
          <w:lang w:eastAsia="en-GB"/>
        </w:rPr>
        <w:lastRenderedPageBreak/>
        <w:t>duration, and the magnitude of glycaemic improvement, while statistically robust, is generally smaller than that achieved with established pharmacological agents. Combination approaches, such as co-administering berberine with cinnamon, have been investigated as a means of achieving additive metabolic benefit while permitting lower doses of each agent, with early trial data suggesting improved tolerability alongside preserved efficacy (Mansour et al., 2025).</w:t>
      </w:r>
    </w:p>
    <w:p w14:paraId="06DC2930"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6. Nutraceuticals in Cancer Chemoprevention</w:t>
      </w:r>
    </w:p>
    <w:p w14:paraId="4724D60D"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Curcumin, the principal curcuminoid of turmeric, has attracted the most extensive investigation among nutraceuticals studied for cancer chemoprevention, owing to its capacity to induce apoptosis, arrest the cell cycle, inhibit angiogenesis and suppress multiple inflammatory signalling cascades in preclinical models (Nocito et al., 2021). Clinical translation of these preclinical findings has, however, been substantially constrained by curcumin's inherently poor oral bioavailability, arising from low aqueous solubility, rapid hepatic and intestinal metabolism, and swift systemic elimination (Nocito et al., 2021). Systematic review of curcumin-enriched dietary approaches in colorectal cancer patients has highlighted encouraging anti-inflammatory and antioxidant signals, while also underscoring that dosing, formulation and duration of exposure remain insufficiently standardised across the available trial literature to support firm clinical recommendations (Neira et al., 2025). Novel curcumin analogues, incorporating structural modifications to the diketone moiety or methylation pattern, have shown enhanced antitumour and anti-inflammatory activity relative to native curcumin in laboratory models, illustrating one strategy for overcoming the bioavailability barrier through medicinal chemistry rather than delivery technology alone (Kaur et al., 2024). Beyond curcumin, dietary polyphenols more broadly are understood to exert </w:t>
      </w:r>
      <w:proofErr w:type="spellStart"/>
      <w:r w:rsidRPr="00F62F58">
        <w:rPr>
          <w:rFonts w:ascii="Times New Roman" w:eastAsia="Times New Roman" w:hAnsi="Times New Roman" w:cs="Times New Roman"/>
          <w:sz w:val="24"/>
          <w:szCs w:val="24"/>
          <w:lang w:eastAsia="en-GB"/>
        </w:rPr>
        <w:t>chemopreventive</w:t>
      </w:r>
      <w:proofErr w:type="spellEnd"/>
      <w:r w:rsidRPr="00F62F58">
        <w:rPr>
          <w:rFonts w:ascii="Times New Roman" w:eastAsia="Times New Roman" w:hAnsi="Times New Roman" w:cs="Times New Roman"/>
          <w:sz w:val="24"/>
          <w:szCs w:val="24"/>
          <w:lang w:eastAsia="en-GB"/>
        </w:rPr>
        <w:t xml:space="preserve"> effects through antioxidant scavenging and modulation of carcinogen-metabolising enzyme systems, although the epidemiological evidence linking habitual polyphenol intake to reduced cancer incidence remains predominantly observational and subject to confounding by broader dietary and lifestyle patterns (Iqbal et al., 2023).</w:t>
      </w:r>
    </w:p>
    <w:p w14:paraId="6B3492BA"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7. Gut Microbiome, Probiotics, Prebiotics and Functional Foods</w:t>
      </w:r>
    </w:p>
    <w:p w14:paraId="5AEDD9E3"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gut microbiome has emerged as a central mediator of the health effects attributed to a wide range of nutraceuticals, and probiotics and prebiotics together form one of the fastest-growing nutraceutical subcategories. Probiotics, defined as live microorganisms that confer a health benefit on the host when administered in adequate amounts, exert effects on immune modulation, metabolic regulation and pathogen exclusion through mechanisms including competitive exclusion of pathogenic bacteria, production of antimicrobial metabolites, and modulation of host immune signalling (</w:t>
      </w:r>
      <w:r w:rsidRPr="00F62F58">
        <w:rPr>
          <w:rFonts w:ascii="Times New Roman" w:eastAsia="Times New Roman" w:hAnsi="Times New Roman" w:cs="Times New Roman"/>
          <w:b/>
          <w:bCs/>
          <w:sz w:val="24"/>
          <w:szCs w:val="24"/>
          <w:lang w:eastAsia="en-GB"/>
        </w:rPr>
        <w:t>Pérez Guerra, 2025</w:t>
      </w:r>
      <w:r w:rsidRPr="00F62F58">
        <w:rPr>
          <w:rFonts w:ascii="Times New Roman" w:eastAsia="Times New Roman" w:hAnsi="Times New Roman" w:cs="Times New Roman"/>
          <w:sz w:val="24"/>
          <w:szCs w:val="24"/>
          <w:lang w:eastAsia="en-GB"/>
        </w:rPr>
        <w:t xml:space="preserve">). Prebiotics, comprising indigestible oligosaccharides and fibres such as inulin, fructo-oligosaccharides, </w:t>
      </w:r>
      <w:proofErr w:type="spellStart"/>
      <w:r w:rsidRPr="00F62F58">
        <w:rPr>
          <w:rFonts w:ascii="Times New Roman" w:eastAsia="Times New Roman" w:hAnsi="Times New Roman" w:cs="Times New Roman"/>
          <w:sz w:val="24"/>
          <w:szCs w:val="24"/>
          <w:lang w:eastAsia="en-GB"/>
        </w:rPr>
        <w:t>galacto</w:t>
      </w:r>
      <w:proofErr w:type="spellEnd"/>
      <w:r w:rsidRPr="00F62F58">
        <w:rPr>
          <w:rFonts w:ascii="Times New Roman" w:eastAsia="Times New Roman" w:hAnsi="Times New Roman" w:cs="Times New Roman"/>
          <w:sz w:val="24"/>
          <w:szCs w:val="24"/>
          <w:lang w:eastAsia="en-GB"/>
        </w:rPr>
        <w:t>-oligosaccharides and xylo-oligosaccharides, selectively stimulate the growth and activity of beneficial colonic bacteria, and their fermentation generates short-chain fatty acids that lower colonic pH, creating conditions unfavourable to pathogenic organisms while simultaneously supplying an energy substrate to colonocytes (</w:t>
      </w:r>
      <w:proofErr w:type="spellStart"/>
      <w:r w:rsidRPr="00F62F58">
        <w:rPr>
          <w:rFonts w:ascii="Times New Roman" w:eastAsia="Times New Roman" w:hAnsi="Times New Roman" w:cs="Times New Roman"/>
          <w:sz w:val="24"/>
          <w:szCs w:val="24"/>
          <w:lang w:eastAsia="en-GB"/>
        </w:rPr>
        <w:t>Obayomi</w:t>
      </w:r>
      <w:proofErr w:type="spellEnd"/>
      <w:r w:rsidRPr="00F62F58">
        <w:rPr>
          <w:rFonts w:ascii="Times New Roman" w:eastAsia="Times New Roman" w:hAnsi="Times New Roman" w:cs="Times New Roman"/>
          <w:sz w:val="24"/>
          <w:szCs w:val="24"/>
          <w:lang w:eastAsia="en-GB"/>
        </w:rPr>
        <w:t xml:space="preserve"> et al., 2024). </w:t>
      </w:r>
      <w:proofErr w:type="spellStart"/>
      <w:r w:rsidRPr="00F62F58">
        <w:rPr>
          <w:rFonts w:ascii="Times New Roman" w:eastAsia="Times New Roman" w:hAnsi="Times New Roman" w:cs="Times New Roman"/>
          <w:sz w:val="24"/>
          <w:szCs w:val="24"/>
          <w:lang w:eastAsia="en-GB"/>
        </w:rPr>
        <w:t>Synbiotic</w:t>
      </w:r>
      <w:proofErr w:type="spellEnd"/>
      <w:r w:rsidRPr="00F62F58">
        <w:rPr>
          <w:rFonts w:ascii="Times New Roman" w:eastAsia="Times New Roman" w:hAnsi="Times New Roman" w:cs="Times New Roman"/>
          <w:sz w:val="24"/>
          <w:szCs w:val="24"/>
          <w:lang w:eastAsia="en-GB"/>
        </w:rPr>
        <w:t xml:space="preserve"> formulations, which combine probiotics with a compatible prebiotic substrate, and the more recently characterised postbiotics and </w:t>
      </w:r>
      <w:proofErr w:type="spellStart"/>
      <w:r w:rsidRPr="00F62F58">
        <w:rPr>
          <w:rFonts w:ascii="Times New Roman" w:eastAsia="Times New Roman" w:hAnsi="Times New Roman" w:cs="Times New Roman"/>
          <w:sz w:val="24"/>
          <w:szCs w:val="24"/>
          <w:lang w:eastAsia="en-GB"/>
        </w:rPr>
        <w:t>paraprobiotics</w:t>
      </w:r>
      <w:proofErr w:type="spellEnd"/>
      <w:r w:rsidRPr="00F62F58">
        <w:rPr>
          <w:rFonts w:ascii="Times New Roman" w:eastAsia="Times New Roman" w:hAnsi="Times New Roman" w:cs="Times New Roman"/>
          <w:sz w:val="24"/>
          <w:szCs w:val="24"/>
          <w:lang w:eastAsia="en-GB"/>
        </w:rPr>
        <w:t xml:space="preserve">, comprising inactivated microbial cells or their metabolic by-products, extend this framework further by offering mechanisms of benefit that do not depend on the viability of the administered organism, a property with practical advantages for product stability and shelf life (Li &amp; Luo, 2025). Clinical applications span gastrointestinal disorders, metabolic syndrome, allergic disease and, increasingly, </w:t>
      </w:r>
      <w:r w:rsidRPr="00F62F58">
        <w:rPr>
          <w:rFonts w:ascii="Times New Roman" w:eastAsia="Times New Roman" w:hAnsi="Times New Roman" w:cs="Times New Roman"/>
          <w:sz w:val="24"/>
          <w:szCs w:val="24"/>
          <w:lang w:eastAsia="en-GB"/>
        </w:rPr>
        <w:lastRenderedPageBreak/>
        <w:t xml:space="preserve">neuropsychiatric conditions studied through the gut-brain axis, although the strain-specificity of probiotic effects means findings cannot be generalised across different microbial species or even different strains within the same species (Ayyash &amp; Liu, 2023). Functional foods incorporating these </w:t>
      </w:r>
      <w:proofErr w:type="spellStart"/>
      <w:r w:rsidRPr="00F62F58">
        <w:rPr>
          <w:rFonts w:ascii="Times New Roman" w:eastAsia="Times New Roman" w:hAnsi="Times New Roman" w:cs="Times New Roman"/>
          <w:sz w:val="24"/>
          <w:szCs w:val="24"/>
          <w:lang w:eastAsia="en-GB"/>
        </w:rPr>
        <w:t>bioactives</w:t>
      </w:r>
      <w:proofErr w:type="spellEnd"/>
      <w:r w:rsidRPr="00F62F58">
        <w:rPr>
          <w:rFonts w:ascii="Times New Roman" w:eastAsia="Times New Roman" w:hAnsi="Times New Roman" w:cs="Times New Roman"/>
          <w:sz w:val="24"/>
          <w:szCs w:val="24"/>
          <w:lang w:eastAsia="en-GB"/>
        </w:rPr>
        <w:t>, including fortified dairy products, fermented beverages and fibre-enriched staples, provide a practical vehicle for population-level delivery of prebiotic and probiotic benefits outside the clinical supplement context (</w:t>
      </w:r>
      <w:r w:rsidRPr="00F62F58">
        <w:rPr>
          <w:rFonts w:ascii="Times New Roman" w:eastAsia="Times New Roman" w:hAnsi="Times New Roman" w:cs="Times New Roman"/>
          <w:b/>
          <w:bCs/>
          <w:sz w:val="24"/>
          <w:szCs w:val="24"/>
          <w:lang w:eastAsia="en-GB"/>
        </w:rPr>
        <w:t>Kumari et al., 2024</w:t>
      </w:r>
      <w:r w:rsidRPr="00F62F58">
        <w:rPr>
          <w:rFonts w:ascii="Times New Roman" w:eastAsia="Times New Roman" w:hAnsi="Times New Roman" w:cs="Times New Roman"/>
          <w:sz w:val="24"/>
          <w:szCs w:val="24"/>
          <w:lang w:eastAsia="en-GB"/>
        </w:rPr>
        <w:t>). The principal categories and their mechanisms of action are summarised in Table 2.</w:t>
      </w:r>
    </w:p>
    <w:p w14:paraId="71CCBE17"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2. Functional roles of probiotics, prebiotics and related microbiome-modulating nutraceuticals</w:t>
      </w:r>
    </w:p>
    <w:tbl>
      <w:tblPr>
        <w:tblStyle w:val="TableGridLight"/>
        <w:tblW w:w="0" w:type="auto"/>
        <w:tblLook w:val="04A0" w:firstRow="1" w:lastRow="0" w:firstColumn="1" w:lastColumn="0" w:noHBand="0" w:noVBand="1"/>
      </w:tblPr>
      <w:tblGrid>
        <w:gridCol w:w="2740"/>
        <w:gridCol w:w="1848"/>
        <w:gridCol w:w="1620"/>
        <w:gridCol w:w="1831"/>
        <w:gridCol w:w="1203"/>
      </w:tblGrid>
      <w:tr w:rsidR="00F62F58" w:rsidRPr="00F62F58" w14:paraId="32F3AFD8" w14:textId="77777777" w:rsidTr="00F62F58">
        <w:tc>
          <w:tcPr>
            <w:tcW w:w="0" w:type="auto"/>
            <w:hideMark/>
          </w:tcPr>
          <w:p w14:paraId="56A57662"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Category</w:t>
            </w:r>
          </w:p>
        </w:tc>
        <w:tc>
          <w:tcPr>
            <w:tcW w:w="0" w:type="auto"/>
            <w:hideMark/>
          </w:tcPr>
          <w:p w14:paraId="24BB7B86"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Examples</w:t>
            </w:r>
          </w:p>
        </w:tc>
        <w:tc>
          <w:tcPr>
            <w:tcW w:w="0" w:type="auto"/>
            <w:hideMark/>
          </w:tcPr>
          <w:p w14:paraId="477E8910"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Primary mechanism</w:t>
            </w:r>
          </w:p>
        </w:tc>
        <w:tc>
          <w:tcPr>
            <w:tcW w:w="0" w:type="auto"/>
            <w:hideMark/>
          </w:tcPr>
          <w:p w14:paraId="5C5D0C4B"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Health domain affected</w:t>
            </w:r>
          </w:p>
        </w:tc>
        <w:tc>
          <w:tcPr>
            <w:tcW w:w="0" w:type="auto"/>
            <w:hideMark/>
          </w:tcPr>
          <w:p w14:paraId="78AD7F25"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54F06BBC" w14:textId="77777777" w:rsidTr="00F62F58">
        <w:tc>
          <w:tcPr>
            <w:tcW w:w="0" w:type="auto"/>
            <w:hideMark/>
          </w:tcPr>
          <w:p w14:paraId="49ADBF9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Probiotics</w:t>
            </w:r>
          </w:p>
        </w:tc>
        <w:tc>
          <w:tcPr>
            <w:tcW w:w="0" w:type="auto"/>
            <w:hideMark/>
          </w:tcPr>
          <w:p w14:paraId="299CFB8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i/>
                <w:iCs/>
                <w:sz w:val="24"/>
                <w:szCs w:val="24"/>
                <w:lang w:eastAsia="en-GB"/>
              </w:rPr>
              <w:t>Lactobacillus</w:t>
            </w:r>
            <w:r w:rsidRPr="00F62F58">
              <w:rPr>
                <w:rFonts w:ascii="Times New Roman" w:eastAsia="Times New Roman" w:hAnsi="Times New Roman" w:cs="Times New Roman"/>
                <w:sz w:val="24"/>
                <w:szCs w:val="24"/>
                <w:lang w:eastAsia="en-GB"/>
              </w:rPr>
              <w:t xml:space="preserve">, </w:t>
            </w:r>
            <w:r w:rsidRPr="00F62F58">
              <w:rPr>
                <w:rFonts w:ascii="Times New Roman" w:eastAsia="Times New Roman" w:hAnsi="Times New Roman" w:cs="Times New Roman"/>
                <w:i/>
                <w:iCs/>
                <w:sz w:val="24"/>
                <w:szCs w:val="24"/>
                <w:lang w:eastAsia="en-GB"/>
              </w:rPr>
              <w:t>Bifidobacterium</w:t>
            </w:r>
            <w:r w:rsidRPr="00F62F58">
              <w:rPr>
                <w:rFonts w:ascii="Times New Roman" w:eastAsia="Times New Roman" w:hAnsi="Times New Roman" w:cs="Times New Roman"/>
                <w:sz w:val="24"/>
                <w:szCs w:val="24"/>
                <w:lang w:eastAsia="en-GB"/>
              </w:rPr>
              <w:t xml:space="preserve"> species</w:t>
            </w:r>
          </w:p>
        </w:tc>
        <w:tc>
          <w:tcPr>
            <w:tcW w:w="0" w:type="auto"/>
            <w:hideMark/>
          </w:tcPr>
          <w:p w14:paraId="066AF9F6"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Competitive exclusion; immune modulation</w:t>
            </w:r>
          </w:p>
        </w:tc>
        <w:tc>
          <w:tcPr>
            <w:tcW w:w="0" w:type="auto"/>
            <w:hideMark/>
          </w:tcPr>
          <w:p w14:paraId="51040C8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Gastrointestinal and immune health</w:t>
            </w:r>
          </w:p>
        </w:tc>
        <w:tc>
          <w:tcPr>
            <w:tcW w:w="0" w:type="auto"/>
            <w:hideMark/>
          </w:tcPr>
          <w:p w14:paraId="2360D5A2"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Pérez Guerra (2025)</w:t>
            </w:r>
            <w:r w:rsidRPr="00F62F58">
              <w:rPr>
                <w:rFonts w:ascii="Times New Roman" w:eastAsia="Times New Roman" w:hAnsi="Times New Roman" w:cs="Times New Roman"/>
                <w:sz w:val="24"/>
                <w:szCs w:val="24"/>
                <w:lang w:eastAsia="en-GB"/>
              </w:rPr>
              <w:t>; Ayyash &amp; Liu (2023)</w:t>
            </w:r>
          </w:p>
        </w:tc>
      </w:tr>
      <w:tr w:rsidR="00F62F58" w:rsidRPr="00F62F58" w14:paraId="6EE49546" w14:textId="77777777" w:rsidTr="00F62F58">
        <w:tc>
          <w:tcPr>
            <w:tcW w:w="0" w:type="auto"/>
            <w:hideMark/>
          </w:tcPr>
          <w:p w14:paraId="2661FAD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Prebiotics</w:t>
            </w:r>
          </w:p>
        </w:tc>
        <w:tc>
          <w:tcPr>
            <w:tcW w:w="0" w:type="auto"/>
            <w:hideMark/>
          </w:tcPr>
          <w:p w14:paraId="17E1DBE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Inulin, FOS, GOS, XOS</w:t>
            </w:r>
          </w:p>
        </w:tc>
        <w:tc>
          <w:tcPr>
            <w:tcW w:w="0" w:type="auto"/>
            <w:hideMark/>
          </w:tcPr>
          <w:p w14:paraId="4EBD40A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Selective fermentation; SCFA production</w:t>
            </w:r>
          </w:p>
        </w:tc>
        <w:tc>
          <w:tcPr>
            <w:tcW w:w="0" w:type="auto"/>
            <w:hideMark/>
          </w:tcPr>
          <w:p w14:paraId="4D65E816"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Gut barrier integrity; metabolic regulation</w:t>
            </w:r>
          </w:p>
        </w:tc>
        <w:tc>
          <w:tcPr>
            <w:tcW w:w="0" w:type="auto"/>
            <w:hideMark/>
          </w:tcPr>
          <w:p w14:paraId="59856E48" w14:textId="77777777" w:rsidR="00F62F58" w:rsidRPr="00F62F58" w:rsidRDefault="00F62F58" w:rsidP="004E0FAA">
            <w:pPr>
              <w:jc w:val="both"/>
              <w:rPr>
                <w:rFonts w:ascii="Times New Roman" w:eastAsia="Times New Roman" w:hAnsi="Times New Roman" w:cs="Times New Roman"/>
                <w:sz w:val="24"/>
                <w:szCs w:val="24"/>
                <w:lang w:eastAsia="en-GB"/>
              </w:rPr>
            </w:pPr>
            <w:proofErr w:type="spellStart"/>
            <w:r w:rsidRPr="00F62F58">
              <w:rPr>
                <w:rFonts w:ascii="Times New Roman" w:eastAsia="Times New Roman" w:hAnsi="Times New Roman" w:cs="Times New Roman"/>
                <w:sz w:val="24"/>
                <w:szCs w:val="24"/>
                <w:lang w:eastAsia="en-GB"/>
              </w:rPr>
              <w:t>Obayomi</w:t>
            </w:r>
            <w:proofErr w:type="spellEnd"/>
            <w:r w:rsidRPr="00F62F58">
              <w:rPr>
                <w:rFonts w:ascii="Times New Roman" w:eastAsia="Times New Roman" w:hAnsi="Times New Roman" w:cs="Times New Roman"/>
                <w:sz w:val="24"/>
                <w:szCs w:val="24"/>
                <w:lang w:eastAsia="en-GB"/>
              </w:rPr>
              <w:t xml:space="preserve"> et al. (2024)</w:t>
            </w:r>
          </w:p>
        </w:tc>
      </w:tr>
      <w:tr w:rsidR="00F62F58" w:rsidRPr="00F62F58" w14:paraId="2F45CFCA" w14:textId="77777777" w:rsidTr="00F62F58">
        <w:tc>
          <w:tcPr>
            <w:tcW w:w="0" w:type="auto"/>
            <w:hideMark/>
          </w:tcPr>
          <w:p w14:paraId="523F8575" w14:textId="77777777" w:rsidR="00F62F58" w:rsidRPr="00F62F58" w:rsidRDefault="00F62F58" w:rsidP="004E0FAA">
            <w:pPr>
              <w:jc w:val="both"/>
              <w:rPr>
                <w:rFonts w:ascii="Times New Roman" w:eastAsia="Times New Roman" w:hAnsi="Times New Roman" w:cs="Times New Roman"/>
                <w:sz w:val="24"/>
                <w:szCs w:val="24"/>
                <w:lang w:eastAsia="en-GB"/>
              </w:rPr>
            </w:pPr>
            <w:proofErr w:type="spellStart"/>
            <w:r w:rsidRPr="00F62F58">
              <w:rPr>
                <w:rFonts w:ascii="Times New Roman" w:eastAsia="Times New Roman" w:hAnsi="Times New Roman" w:cs="Times New Roman"/>
                <w:sz w:val="24"/>
                <w:szCs w:val="24"/>
                <w:lang w:eastAsia="en-GB"/>
              </w:rPr>
              <w:t>Synbiotics</w:t>
            </w:r>
            <w:proofErr w:type="spellEnd"/>
          </w:p>
        </w:tc>
        <w:tc>
          <w:tcPr>
            <w:tcW w:w="0" w:type="auto"/>
            <w:hideMark/>
          </w:tcPr>
          <w:p w14:paraId="69EFAA0D"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Combined probiotic–prebiotic formulations</w:t>
            </w:r>
          </w:p>
        </w:tc>
        <w:tc>
          <w:tcPr>
            <w:tcW w:w="0" w:type="auto"/>
            <w:hideMark/>
          </w:tcPr>
          <w:p w14:paraId="2A5B98A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Synergistic microbiota modulation</w:t>
            </w:r>
          </w:p>
        </w:tc>
        <w:tc>
          <w:tcPr>
            <w:tcW w:w="0" w:type="auto"/>
            <w:hideMark/>
          </w:tcPr>
          <w:p w14:paraId="16FD0A8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Broad gastrointestinal and metabolic benefit</w:t>
            </w:r>
          </w:p>
        </w:tc>
        <w:tc>
          <w:tcPr>
            <w:tcW w:w="0" w:type="auto"/>
            <w:hideMark/>
          </w:tcPr>
          <w:p w14:paraId="0489A32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 &amp; Luo (2025)</w:t>
            </w:r>
          </w:p>
        </w:tc>
      </w:tr>
      <w:tr w:rsidR="00F62F58" w:rsidRPr="00F62F58" w14:paraId="3E94250B" w14:textId="77777777" w:rsidTr="00F62F58">
        <w:tc>
          <w:tcPr>
            <w:tcW w:w="0" w:type="auto"/>
            <w:hideMark/>
          </w:tcPr>
          <w:p w14:paraId="2441351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Postbiotics/</w:t>
            </w:r>
            <w:proofErr w:type="spellStart"/>
            <w:r w:rsidRPr="00F62F58">
              <w:rPr>
                <w:rFonts w:ascii="Times New Roman" w:eastAsia="Times New Roman" w:hAnsi="Times New Roman" w:cs="Times New Roman"/>
                <w:sz w:val="24"/>
                <w:szCs w:val="24"/>
                <w:lang w:eastAsia="en-GB"/>
              </w:rPr>
              <w:t>paraprobiotics</w:t>
            </w:r>
            <w:proofErr w:type="spellEnd"/>
          </w:p>
        </w:tc>
        <w:tc>
          <w:tcPr>
            <w:tcW w:w="0" w:type="auto"/>
            <w:hideMark/>
          </w:tcPr>
          <w:p w14:paraId="749DF8A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Inactivated cells, microbial metabolites</w:t>
            </w:r>
          </w:p>
        </w:tc>
        <w:tc>
          <w:tcPr>
            <w:tcW w:w="0" w:type="auto"/>
            <w:hideMark/>
          </w:tcPr>
          <w:p w14:paraId="6B5A492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Metabolite-mediated signalling independent of viability</w:t>
            </w:r>
          </w:p>
        </w:tc>
        <w:tc>
          <w:tcPr>
            <w:tcW w:w="0" w:type="auto"/>
            <w:hideMark/>
          </w:tcPr>
          <w:p w14:paraId="01B57FD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Stability-dependent applications; immune signalling</w:t>
            </w:r>
          </w:p>
        </w:tc>
        <w:tc>
          <w:tcPr>
            <w:tcW w:w="0" w:type="auto"/>
            <w:hideMark/>
          </w:tcPr>
          <w:p w14:paraId="2AF61BC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 &amp; Luo (2025)</w:t>
            </w:r>
          </w:p>
        </w:tc>
      </w:tr>
      <w:tr w:rsidR="00F62F58" w:rsidRPr="00F62F58" w14:paraId="6388795F" w14:textId="77777777" w:rsidTr="00F62F58">
        <w:tc>
          <w:tcPr>
            <w:tcW w:w="0" w:type="auto"/>
            <w:hideMark/>
          </w:tcPr>
          <w:p w14:paraId="545DE49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Functional dairy and fermented foods</w:t>
            </w:r>
          </w:p>
        </w:tc>
        <w:tc>
          <w:tcPr>
            <w:tcW w:w="0" w:type="auto"/>
            <w:hideMark/>
          </w:tcPr>
          <w:p w14:paraId="3118887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Fortified yoghurt, kefir</w:t>
            </w:r>
          </w:p>
        </w:tc>
        <w:tc>
          <w:tcPr>
            <w:tcW w:w="0" w:type="auto"/>
            <w:hideMark/>
          </w:tcPr>
          <w:p w14:paraId="153936B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Delivery vehicle for live cultures and </w:t>
            </w:r>
            <w:proofErr w:type="spellStart"/>
            <w:r w:rsidRPr="00F62F58">
              <w:rPr>
                <w:rFonts w:ascii="Times New Roman" w:eastAsia="Times New Roman" w:hAnsi="Times New Roman" w:cs="Times New Roman"/>
                <w:sz w:val="24"/>
                <w:szCs w:val="24"/>
                <w:lang w:eastAsia="en-GB"/>
              </w:rPr>
              <w:t>bioactives</w:t>
            </w:r>
            <w:proofErr w:type="spellEnd"/>
          </w:p>
        </w:tc>
        <w:tc>
          <w:tcPr>
            <w:tcW w:w="0" w:type="auto"/>
            <w:hideMark/>
          </w:tcPr>
          <w:p w14:paraId="4EF50EBA"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Population-level gut and immune health</w:t>
            </w:r>
          </w:p>
        </w:tc>
        <w:tc>
          <w:tcPr>
            <w:tcW w:w="0" w:type="auto"/>
            <w:hideMark/>
          </w:tcPr>
          <w:p w14:paraId="2A42E64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Kumari et al. (2024)</w:t>
            </w:r>
          </w:p>
        </w:tc>
      </w:tr>
    </w:tbl>
    <w:p w14:paraId="05A513F9"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8. Nutraceuticals and Immune Function</w:t>
      </w:r>
    </w:p>
    <w:p w14:paraId="28FBDE7F"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Vitamin D occupies a distinctive position among nutraceuticals in that it functions both as a classical nutrient, essential for calcium and phosphate homeostasis, and as a potent immunomodulator acting through nuclear vitamin D receptors expressed across nearly all cells of the innate and adaptive immune system. Systematic review evidence indicates that adequate vitamin D status supports innate antimicrobial defence, partly through upregulation of </w:t>
      </w:r>
      <w:proofErr w:type="spellStart"/>
      <w:r w:rsidRPr="00F62F58">
        <w:rPr>
          <w:rFonts w:ascii="Times New Roman" w:eastAsia="Times New Roman" w:hAnsi="Times New Roman" w:cs="Times New Roman"/>
          <w:sz w:val="24"/>
          <w:szCs w:val="24"/>
          <w:lang w:eastAsia="en-GB"/>
        </w:rPr>
        <w:t>cathelicidin</w:t>
      </w:r>
      <w:proofErr w:type="spellEnd"/>
      <w:r w:rsidRPr="00F62F58">
        <w:rPr>
          <w:rFonts w:ascii="Times New Roman" w:eastAsia="Times New Roman" w:hAnsi="Times New Roman" w:cs="Times New Roman"/>
          <w:sz w:val="24"/>
          <w:szCs w:val="24"/>
          <w:lang w:eastAsia="en-GB"/>
        </w:rPr>
        <w:t xml:space="preserve"> and defensin production, while also reducing the risk of autoimmune phenomena associated with vitamin D deficiency (</w:t>
      </w:r>
      <w:proofErr w:type="spellStart"/>
      <w:r w:rsidRPr="00F62F58">
        <w:rPr>
          <w:rFonts w:ascii="Times New Roman" w:eastAsia="Times New Roman" w:hAnsi="Times New Roman" w:cs="Times New Roman"/>
          <w:sz w:val="24"/>
          <w:szCs w:val="24"/>
          <w:lang w:eastAsia="en-GB"/>
        </w:rPr>
        <w:t>Wimalawansa</w:t>
      </w:r>
      <w:proofErr w:type="spellEnd"/>
      <w:r w:rsidRPr="00F62F58">
        <w:rPr>
          <w:rFonts w:ascii="Times New Roman" w:eastAsia="Times New Roman" w:hAnsi="Times New Roman" w:cs="Times New Roman"/>
          <w:sz w:val="24"/>
          <w:szCs w:val="24"/>
          <w:lang w:eastAsia="en-GB"/>
        </w:rPr>
        <w:t xml:space="preserve">, 2023). Vitamin D additionally influences T-lymphocyte differentiation, favouring regulatory T-cell populations over pro-inflammatory T-helper 17 responses, a mechanism with relevance to autoimmune and allergic disease (Aribi et al., 2023). Despite this substantial mechanistic evidence base, clinical trial data on vitamin D supplementation for the prevention of acute infections and </w:t>
      </w:r>
      <w:r w:rsidRPr="00F62F58">
        <w:rPr>
          <w:rFonts w:ascii="Times New Roman" w:eastAsia="Times New Roman" w:hAnsi="Times New Roman" w:cs="Times New Roman"/>
          <w:sz w:val="24"/>
          <w:szCs w:val="24"/>
          <w:lang w:eastAsia="en-GB"/>
        </w:rPr>
        <w:lastRenderedPageBreak/>
        <w:t>autoimmune disease onset have yielded mixed results, likely reflecting variability in baseline vitamin D status across study populations, since supplementation appears most beneficial in individuals who are frankly deficient rather than those with sufficient circulating 25-hydroxyvitamin D concentrations. Beyond vitamin D, several probiotic strains and dietary polyphenols exert immunomodulatory effects through gut-associated lymphoid tissue signalling, again illustrating the interconnected nature of the mechanisms discussed throughout this review; the gut microbiome functions as a critical intermediary linking dietary nutraceutical intake to systemic immune competence.</w:t>
      </w:r>
    </w:p>
    <w:p w14:paraId="619379F6"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9. Bioavailability Challenges and Novel Delivery Technologies</w:t>
      </w:r>
    </w:p>
    <w:p w14:paraId="71BACBAC"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A recurring limitation across nearly every nutraceutical class discussed in this review is poor oral bioavailability, arising from low aqueous solubility, extensive first-pass metabolism, and rapid systemic clearance. Curcumin exemplifies this problem acutely, with unmodified curcumin undergoing near-complete hepatic glucuronidation and sulfation before reaching meaningful systemic concentrations (Nocito et al., 2021). Nanoencapsulation technologies have emerged as the principal engineering response, employing nanoscale carriers including liposomes, solid lipid nanoparticles, polymeric nanoparticles and </w:t>
      </w:r>
      <w:proofErr w:type="spellStart"/>
      <w:r w:rsidRPr="00F62F58">
        <w:rPr>
          <w:rFonts w:ascii="Times New Roman" w:eastAsia="Times New Roman" w:hAnsi="Times New Roman" w:cs="Times New Roman"/>
          <w:sz w:val="24"/>
          <w:szCs w:val="24"/>
          <w:lang w:eastAsia="en-GB"/>
        </w:rPr>
        <w:t>nanoemulsions</w:t>
      </w:r>
      <w:proofErr w:type="spellEnd"/>
      <w:r w:rsidRPr="00F62F58">
        <w:rPr>
          <w:rFonts w:ascii="Times New Roman" w:eastAsia="Times New Roman" w:hAnsi="Times New Roman" w:cs="Times New Roman"/>
          <w:sz w:val="24"/>
          <w:szCs w:val="24"/>
          <w:lang w:eastAsia="en-GB"/>
        </w:rPr>
        <w:t xml:space="preserve"> to protect sensitive </w:t>
      </w:r>
      <w:proofErr w:type="spellStart"/>
      <w:r w:rsidRPr="00F62F58">
        <w:rPr>
          <w:rFonts w:ascii="Times New Roman" w:eastAsia="Times New Roman" w:hAnsi="Times New Roman" w:cs="Times New Roman"/>
          <w:sz w:val="24"/>
          <w:szCs w:val="24"/>
          <w:lang w:eastAsia="en-GB"/>
        </w:rPr>
        <w:t>bioactives</w:t>
      </w:r>
      <w:proofErr w:type="spellEnd"/>
      <w:r w:rsidRPr="00F62F58">
        <w:rPr>
          <w:rFonts w:ascii="Times New Roman" w:eastAsia="Times New Roman" w:hAnsi="Times New Roman" w:cs="Times New Roman"/>
          <w:sz w:val="24"/>
          <w:szCs w:val="24"/>
          <w:lang w:eastAsia="en-GB"/>
        </w:rPr>
        <w:t xml:space="preserve"> from gastrointestinal degradation while enhancing their absorption across the intestinal epithelium (Prieto &amp; </w:t>
      </w:r>
      <w:proofErr w:type="spellStart"/>
      <w:r w:rsidRPr="00F62F58">
        <w:rPr>
          <w:rFonts w:ascii="Times New Roman" w:eastAsia="Times New Roman" w:hAnsi="Times New Roman" w:cs="Times New Roman"/>
          <w:sz w:val="24"/>
          <w:szCs w:val="24"/>
          <w:lang w:eastAsia="en-GB"/>
        </w:rPr>
        <w:t>Lagaron</w:t>
      </w:r>
      <w:proofErr w:type="spellEnd"/>
      <w:r w:rsidRPr="00F62F58">
        <w:rPr>
          <w:rFonts w:ascii="Times New Roman" w:eastAsia="Times New Roman" w:hAnsi="Times New Roman" w:cs="Times New Roman"/>
          <w:sz w:val="24"/>
          <w:szCs w:val="24"/>
          <w:lang w:eastAsia="en-GB"/>
        </w:rPr>
        <w:t xml:space="preserve">, 2024). Liposomal and lipid-based nanocarriers have demonstrated improved stability and </w:t>
      </w:r>
      <w:proofErr w:type="spellStart"/>
      <w:r w:rsidRPr="00F62F58">
        <w:rPr>
          <w:rFonts w:ascii="Times New Roman" w:eastAsia="Times New Roman" w:hAnsi="Times New Roman" w:cs="Times New Roman"/>
          <w:sz w:val="24"/>
          <w:szCs w:val="24"/>
          <w:lang w:eastAsia="en-GB"/>
        </w:rPr>
        <w:t>bioaccessibility</w:t>
      </w:r>
      <w:proofErr w:type="spellEnd"/>
      <w:r w:rsidRPr="00F62F58">
        <w:rPr>
          <w:rFonts w:ascii="Times New Roman" w:eastAsia="Times New Roman" w:hAnsi="Times New Roman" w:cs="Times New Roman"/>
          <w:sz w:val="24"/>
          <w:szCs w:val="24"/>
          <w:lang w:eastAsia="en-GB"/>
        </w:rPr>
        <w:t xml:space="preserve"> for lipophilic compounds including curcumin and certain carotenoids, while biopolymer-based nanoparticles have shown utility in the targeted delivery of peptides and other larger bioactive molecules (Sridhar &amp; Sharma, 2023). Commercial adoption of these technologies has accelerated markedly, with more than eighty nanotechnology-enabled nutraceutical products introduced to market within a single recent year, reflecting genuine industrial confidence in the approach even as independent clinical validation of many specific formulations remains limited (Tan &amp; Abd El-</w:t>
      </w:r>
      <w:proofErr w:type="spellStart"/>
      <w:r w:rsidRPr="00F62F58">
        <w:rPr>
          <w:rFonts w:ascii="Times New Roman" w:eastAsia="Times New Roman" w:hAnsi="Times New Roman" w:cs="Times New Roman"/>
          <w:sz w:val="24"/>
          <w:szCs w:val="24"/>
          <w:lang w:eastAsia="en-GB"/>
        </w:rPr>
        <w:t>Aty</w:t>
      </w:r>
      <w:proofErr w:type="spellEnd"/>
      <w:r w:rsidRPr="00F62F58">
        <w:rPr>
          <w:rFonts w:ascii="Times New Roman" w:eastAsia="Times New Roman" w:hAnsi="Times New Roman" w:cs="Times New Roman"/>
          <w:sz w:val="24"/>
          <w:szCs w:val="24"/>
          <w:lang w:eastAsia="en-GB"/>
        </w:rPr>
        <w:t>, 2024). Alongside nanoencapsulation, structural modification through medicinal chemistry, as seen with curcumin analogues, and simple co-administration strategies, such as combining curcumin with piperine to inhibit its hepatic glucuronidation, represent complementary approaches to the bioavailability problem that do not require nanotechnology infrastructure. The choice among these strategies in practice depends on cost, regulatory classification and the intended route and setting of administration, and no single technology has yet emerged as universally superior across all nutraceutical classes. Table 3 summarises the principal delivery technologies and the compounds for which they have shown the clearest benefit.</w:t>
      </w:r>
    </w:p>
    <w:p w14:paraId="2624889C"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3. Delivery technologies addressing nutraceutical bioavailability limitations</w:t>
      </w:r>
    </w:p>
    <w:tbl>
      <w:tblPr>
        <w:tblStyle w:val="TableGridLight"/>
        <w:tblW w:w="0" w:type="auto"/>
        <w:tblLook w:val="04A0" w:firstRow="1" w:lastRow="0" w:firstColumn="1" w:lastColumn="0" w:noHBand="0" w:noVBand="1"/>
      </w:tblPr>
      <w:tblGrid>
        <w:gridCol w:w="1963"/>
        <w:gridCol w:w="2501"/>
        <w:gridCol w:w="1651"/>
        <w:gridCol w:w="1947"/>
        <w:gridCol w:w="1180"/>
      </w:tblGrid>
      <w:tr w:rsidR="00F62F58" w:rsidRPr="00F62F58" w14:paraId="1768E246" w14:textId="77777777" w:rsidTr="00F62F58">
        <w:tc>
          <w:tcPr>
            <w:tcW w:w="0" w:type="auto"/>
            <w:hideMark/>
          </w:tcPr>
          <w:p w14:paraId="62999DB7"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Technology</w:t>
            </w:r>
          </w:p>
        </w:tc>
        <w:tc>
          <w:tcPr>
            <w:tcW w:w="0" w:type="auto"/>
            <w:hideMark/>
          </w:tcPr>
          <w:p w14:paraId="3A44558A"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Mechanism of benefit</w:t>
            </w:r>
          </w:p>
        </w:tc>
        <w:tc>
          <w:tcPr>
            <w:tcW w:w="0" w:type="auto"/>
            <w:hideMark/>
          </w:tcPr>
          <w:p w14:paraId="6A9263B9"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Compounds most improved</w:t>
            </w:r>
          </w:p>
        </w:tc>
        <w:tc>
          <w:tcPr>
            <w:tcW w:w="0" w:type="auto"/>
            <w:hideMark/>
          </w:tcPr>
          <w:p w14:paraId="0D08B32F"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Key limitation</w:t>
            </w:r>
          </w:p>
        </w:tc>
        <w:tc>
          <w:tcPr>
            <w:tcW w:w="0" w:type="auto"/>
            <w:hideMark/>
          </w:tcPr>
          <w:p w14:paraId="21CED909"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064884FC" w14:textId="77777777" w:rsidTr="00F62F58">
        <w:tc>
          <w:tcPr>
            <w:tcW w:w="0" w:type="auto"/>
            <w:hideMark/>
          </w:tcPr>
          <w:p w14:paraId="2DBD4D2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Liposomal encapsulation</w:t>
            </w:r>
          </w:p>
        </w:tc>
        <w:tc>
          <w:tcPr>
            <w:tcW w:w="0" w:type="auto"/>
            <w:hideMark/>
          </w:tcPr>
          <w:p w14:paraId="5245B41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Protects lipophilic compounds from degradation; enhances membrane permeation</w:t>
            </w:r>
          </w:p>
        </w:tc>
        <w:tc>
          <w:tcPr>
            <w:tcW w:w="0" w:type="auto"/>
            <w:hideMark/>
          </w:tcPr>
          <w:p w14:paraId="571A0DC0"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 carotenoids</w:t>
            </w:r>
          </w:p>
        </w:tc>
        <w:tc>
          <w:tcPr>
            <w:tcW w:w="0" w:type="auto"/>
            <w:hideMark/>
          </w:tcPr>
          <w:p w14:paraId="1D8E583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Manufacturing cost and scale-up complexity</w:t>
            </w:r>
          </w:p>
        </w:tc>
        <w:tc>
          <w:tcPr>
            <w:tcW w:w="0" w:type="auto"/>
            <w:hideMark/>
          </w:tcPr>
          <w:p w14:paraId="78DB0B2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Prieto &amp; </w:t>
            </w:r>
            <w:proofErr w:type="spellStart"/>
            <w:r w:rsidRPr="00F62F58">
              <w:rPr>
                <w:rFonts w:ascii="Times New Roman" w:eastAsia="Times New Roman" w:hAnsi="Times New Roman" w:cs="Times New Roman"/>
                <w:sz w:val="24"/>
                <w:szCs w:val="24"/>
                <w:lang w:eastAsia="en-GB"/>
              </w:rPr>
              <w:t>Lagaron</w:t>
            </w:r>
            <w:proofErr w:type="spellEnd"/>
            <w:r w:rsidRPr="00F62F58">
              <w:rPr>
                <w:rFonts w:ascii="Times New Roman" w:eastAsia="Times New Roman" w:hAnsi="Times New Roman" w:cs="Times New Roman"/>
                <w:sz w:val="24"/>
                <w:szCs w:val="24"/>
                <w:lang w:eastAsia="en-GB"/>
              </w:rPr>
              <w:t xml:space="preserve"> (2024)</w:t>
            </w:r>
          </w:p>
        </w:tc>
      </w:tr>
      <w:tr w:rsidR="00F62F58" w:rsidRPr="00F62F58" w14:paraId="2944D04B" w14:textId="77777777" w:rsidTr="00F62F58">
        <w:tc>
          <w:tcPr>
            <w:tcW w:w="0" w:type="auto"/>
            <w:hideMark/>
          </w:tcPr>
          <w:p w14:paraId="27225D8A"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Solid lipid nanoparticles</w:t>
            </w:r>
          </w:p>
        </w:tc>
        <w:tc>
          <w:tcPr>
            <w:tcW w:w="0" w:type="auto"/>
            <w:hideMark/>
          </w:tcPr>
          <w:p w14:paraId="6C6B2E21"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Controlled release; improved gastrointestinal stability</w:t>
            </w:r>
          </w:p>
        </w:tc>
        <w:tc>
          <w:tcPr>
            <w:tcW w:w="0" w:type="auto"/>
            <w:hideMark/>
          </w:tcPr>
          <w:p w14:paraId="66D58E4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Fat-soluble vitamins, polyphenols</w:t>
            </w:r>
          </w:p>
        </w:tc>
        <w:tc>
          <w:tcPr>
            <w:tcW w:w="0" w:type="auto"/>
            <w:hideMark/>
          </w:tcPr>
          <w:p w14:paraId="29BF9E4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Variable encapsulation efficiency</w:t>
            </w:r>
          </w:p>
        </w:tc>
        <w:tc>
          <w:tcPr>
            <w:tcW w:w="0" w:type="auto"/>
            <w:hideMark/>
          </w:tcPr>
          <w:p w14:paraId="37288A0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Sridhar &amp; Sharma (2023)</w:t>
            </w:r>
          </w:p>
        </w:tc>
      </w:tr>
      <w:tr w:rsidR="00F62F58" w:rsidRPr="00F62F58" w14:paraId="297415E9" w14:textId="77777777" w:rsidTr="00F62F58">
        <w:tc>
          <w:tcPr>
            <w:tcW w:w="0" w:type="auto"/>
            <w:hideMark/>
          </w:tcPr>
          <w:p w14:paraId="4FF7903B" w14:textId="77777777" w:rsidR="00F62F58" w:rsidRPr="00F62F58" w:rsidRDefault="00F62F58" w:rsidP="004E0FAA">
            <w:pPr>
              <w:jc w:val="both"/>
              <w:rPr>
                <w:rFonts w:ascii="Times New Roman" w:eastAsia="Times New Roman" w:hAnsi="Times New Roman" w:cs="Times New Roman"/>
                <w:sz w:val="24"/>
                <w:szCs w:val="24"/>
                <w:lang w:eastAsia="en-GB"/>
              </w:rPr>
            </w:pPr>
            <w:proofErr w:type="spellStart"/>
            <w:r w:rsidRPr="00F62F58">
              <w:rPr>
                <w:rFonts w:ascii="Times New Roman" w:eastAsia="Times New Roman" w:hAnsi="Times New Roman" w:cs="Times New Roman"/>
                <w:sz w:val="24"/>
                <w:szCs w:val="24"/>
                <w:lang w:eastAsia="en-GB"/>
              </w:rPr>
              <w:lastRenderedPageBreak/>
              <w:t>Nanoemulsions</w:t>
            </w:r>
            <w:proofErr w:type="spellEnd"/>
          </w:p>
        </w:tc>
        <w:tc>
          <w:tcPr>
            <w:tcW w:w="0" w:type="auto"/>
            <w:hideMark/>
          </w:tcPr>
          <w:p w14:paraId="6765101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Increased surface area and solubilisation</w:t>
            </w:r>
          </w:p>
        </w:tc>
        <w:tc>
          <w:tcPr>
            <w:tcW w:w="0" w:type="auto"/>
            <w:hideMark/>
          </w:tcPr>
          <w:p w14:paraId="2B27D27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Quercetin, essential oils</w:t>
            </w:r>
          </w:p>
        </w:tc>
        <w:tc>
          <w:tcPr>
            <w:tcW w:w="0" w:type="auto"/>
            <w:hideMark/>
          </w:tcPr>
          <w:p w14:paraId="31C32130"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Long-term physical stability concerns</w:t>
            </w:r>
          </w:p>
        </w:tc>
        <w:tc>
          <w:tcPr>
            <w:tcW w:w="0" w:type="auto"/>
            <w:hideMark/>
          </w:tcPr>
          <w:p w14:paraId="25DCFA1E"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Tan &amp; Abd El-</w:t>
            </w:r>
            <w:proofErr w:type="spellStart"/>
            <w:r w:rsidRPr="00F62F58">
              <w:rPr>
                <w:rFonts w:ascii="Times New Roman" w:eastAsia="Times New Roman" w:hAnsi="Times New Roman" w:cs="Times New Roman"/>
                <w:sz w:val="24"/>
                <w:szCs w:val="24"/>
                <w:lang w:eastAsia="en-GB"/>
              </w:rPr>
              <w:t>Aty</w:t>
            </w:r>
            <w:proofErr w:type="spellEnd"/>
            <w:r w:rsidRPr="00F62F58">
              <w:rPr>
                <w:rFonts w:ascii="Times New Roman" w:eastAsia="Times New Roman" w:hAnsi="Times New Roman" w:cs="Times New Roman"/>
                <w:sz w:val="24"/>
                <w:szCs w:val="24"/>
                <w:lang w:eastAsia="en-GB"/>
              </w:rPr>
              <w:t xml:space="preserve"> (2024)</w:t>
            </w:r>
          </w:p>
        </w:tc>
      </w:tr>
      <w:tr w:rsidR="00F62F58" w:rsidRPr="00F62F58" w14:paraId="1F19EDB2" w14:textId="77777777" w:rsidTr="00F62F58">
        <w:tc>
          <w:tcPr>
            <w:tcW w:w="0" w:type="auto"/>
            <w:hideMark/>
          </w:tcPr>
          <w:p w14:paraId="65794A4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Biopolymer nanoparticles</w:t>
            </w:r>
          </w:p>
        </w:tc>
        <w:tc>
          <w:tcPr>
            <w:tcW w:w="0" w:type="auto"/>
            <w:hideMark/>
          </w:tcPr>
          <w:p w14:paraId="7923A6A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Targeted and sustained release</w:t>
            </w:r>
          </w:p>
        </w:tc>
        <w:tc>
          <w:tcPr>
            <w:tcW w:w="0" w:type="auto"/>
            <w:hideMark/>
          </w:tcPr>
          <w:p w14:paraId="67BDA0E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Peptides, probiotics</w:t>
            </w:r>
          </w:p>
        </w:tc>
        <w:tc>
          <w:tcPr>
            <w:tcW w:w="0" w:type="auto"/>
            <w:hideMark/>
          </w:tcPr>
          <w:p w14:paraId="70D35D91"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Regulatory classification uncertainty</w:t>
            </w:r>
          </w:p>
        </w:tc>
        <w:tc>
          <w:tcPr>
            <w:tcW w:w="0" w:type="auto"/>
            <w:hideMark/>
          </w:tcPr>
          <w:p w14:paraId="77B969BA"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Prieto &amp; </w:t>
            </w:r>
            <w:proofErr w:type="spellStart"/>
            <w:r w:rsidRPr="00F62F58">
              <w:rPr>
                <w:rFonts w:ascii="Times New Roman" w:eastAsia="Times New Roman" w:hAnsi="Times New Roman" w:cs="Times New Roman"/>
                <w:sz w:val="24"/>
                <w:szCs w:val="24"/>
                <w:lang w:eastAsia="en-GB"/>
              </w:rPr>
              <w:t>Lagaron</w:t>
            </w:r>
            <w:proofErr w:type="spellEnd"/>
            <w:r w:rsidRPr="00F62F58">
              <w:rPr>
                <w:rFonts w:ascii="Times New Roman" w:eastAsia="Times New Roman" w:hAnsi="Times New Roman" w:cs="Times New Roman"/>
                <w:sz w:val="24"/>
                <w:szCs w:val="24"/>
                <w:lang w:eastAsia="en-GB"/>
              </w:rPr>
              <w:t xml:space="preserve"> (2024)</w:t>
            </w:r>
          </w:p>
        </w:tc>
      </w:tr>
      <w:tr w:rsidR="00F62F58" w:rsidRPr="00F62F58" w14:paraId="4F8B72EA" w14:textId="77777777" w:rsidTr="00F62F58">
        <w:tc>
          <w:tcPr>
            <w:tcW w:w="0" w:type="auto"/>
            <w:hideMark/>
          </w:tcPr>
          <w:p w14:paraId="40C09982"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Structural analogues (medicinal chemistry)</w:t>
            </w:r>
          </w:p>
        </w:tc>
        <w:tc>
          <w:tcPr>
            <w:tcW w:w="0" w:type="auto"/>
            <w:hideMark/>
          </w:tcPr>
          <w:p w14:paraId="37CDF3E2"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Alters pharmacokinetics at the molecular level</w:t>
            </w:r>
          </w:p>
        </w:tc>
        <w:tc>
          <w:tcPr>
            <w:tcW w:w="0" w:type="auto"/>
            <w:hideMark/>
          </w:tcPr>
          <w:p w14:paraId="7311EEE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Curcumin derivatives</w:t>
            </w:r>
          </w:p>
        </w:tc>
        <w:tc>
          <w:tcPr>
            <w:tcW w:w="0" w:type="auto"/>
            <w:hideMark/>
          </w:tcPr>
          <w:p w14:paraId="120710E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Requires separate safety and efficacy validation</w:t>
            </w:r>
          </w:p>
        </w:tc>
        <w:tc>
          <w:tcPr>
            <w:tcW w:w="0" w:type="auto"/>
            <w:hideMark/>
          </w:tcPr>
          <w:p w14:paraId="3420207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Kaur et al. (2024)</w:t>
            </w:r>
          </w:p>
        </w:tc>
      </w:tr>
    </w:tbl>
    <w:p w14:paraId="33C45F7D"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10. Regulatory Frameworks Governing Nutraceuticals</w:t>
      </w:r>
    </w:p>
    <w:p w14:paraId="0F900825"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regulatory treatment of nutraceuticals varies substantially across major markets, producing a fragmented global landscape that complicates both international trade and consumer protection. In the United States, nutraceuticals are regulated as dietary supplements under the Dietary Supplement Health and Education Act of 1994, which places the burden of safety demonstration on manufacturers rather than requiring pre-market approval analogous to that required for pharmaceuticals, with the Food and Drug Administration relying predominantly on post-market surveillance (</w:t>
      </w:r>
      <w:r w:rsidRPr="00F62F58">
        <w:rPr>
          <w:rFonts w:ascii="Times New Roman" w:eastAsia="Times New Roman" w:hAnsi="Times New Roman" w:cs="Times New Roman"/>
          <w:b/>
          <w:bCs/>
          <w:sz w:val="24"/>
          <w:szCs w:val="24"/>
          <w:lang w:eastAsia="en-GB"/>
        </w:rPr>
        <w:t>Blaze, 2021</w:t>
      </w:r>
      <w:r w:rsidRPr="00F62F58">
        <w:rPr>
          <w:rFonts w:ascii="Times New Roman" w:eastAsia="Times New Roman" w:hAnsi="Times New Roman" w:cs="Times New Roman"/>
          <w:sz w:val="24"/>
          <w:szCs w:val="24"/>
          <w:lang w:eastAsia="en-GB"/>
        </w:rPr>
        <w:t>). In the European Union, the equivalent products are termed food supplements and fall under the regulatory purview of the European Food Safety Authority, which since 2002 has operated a more centralised system requiring scientific substantiation of health claims prior to their use on product labelling, an approach generally regarded as more stringent than the American model but also criticised for potentially constraining innovation (Santini et al., 2018). India retains the specific term nutraceuticals within its regulatory vocabulary, with the Food Safety and Standards Authority of India overseeing a registration process characterised as comparatively simpler than either the American or European systems (Shan et al., 2025). Beyond these three major jurisdictions, countries including China, Japan, South Korea, Australia and various African nations maintain distinct frameworks reflecting differing traditions of complementary and traditional medicine, with faith-based certification systems such as Kosher and Halal standards adding a further layer of quality assurance relevant to specific consumer populations (Shan et al., 2025). This heterogeneity has direct consequences for consumer safety, since a compound permitted at a given dose in one jurisdiction may be restricted or unregulated elsewhere, and manufacturers seeking multi-market distribution must navigate substantially divergent evidentiary and labelling requirements. Calls for harmonisation have recurred throughout the academic literature for more than a decade, with proposals ranging from mutual recognition agreements to the establishment of an internationally recognised nutraceutical category distinct from both food and pharmaceutical classifications, yet meaningful convergence has thus far proved elusive (Santini et al., 2018). Table 4 compares the principal features of these frameworks.</w:t>
      </w:r>
    </w:p>
    <w:p w14:paraId="23951CBB"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4. Comparative regulatory frameworks for nutraceuticals across selected jurisdictions</w:t>
      </w:r>
    </w:p>
    <w:tbl>
      <w:tblPr>
        <w:tblStyle w:val="TableGridLight"/>
        <w:tblW w:w="0" w:type="auto"/>
        <w:tblLook w:val="04A0" w:firstRow="1" w:lastRow="0" w:firstColumn="1" w:lastColumn="0" w:noHBand="0" w:noVBand="1"/>
      </w:tblPr>
      <w:tblGrid>
        <w:gridCol w:w="1514"/>
        <w:gridCol w:w="1949"/>
        <w:gridCol w:w="2252"/>
        <w:gridCol w:w="2366"/>
        <w:gridCol w:w="1161"/>
      </w:tblGrid>
      <w:tr w:rsidR="00F62F58" w:rsidRPr="00F62F58" w14:paraId="6E13B030" w14:textId="77777777" w:rsidTr="00F62F58">
        <w:tc>
          <w:tcPr>
            <w:tcW w:w="0" w:type="auto"/>
            <w:hideMark/>
          </w:tcPr>
          <w:p w14:paraId="2A7BE8A2"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Jurisdiction</w:t>
            </w:r>
          </w:p>
        </w:tc>
        <w:tc>
          <w:tcPr>
            <w:tcW w:w="0" w:type="auto"/>
            <w:hideMark/>
          </w:tcPr>
          <w:p w14:paraId="6E985941"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Regulatory term used</w:t>
            </w:r>
          </w:p>
        </w:tc>
        <w:tc>
          <w:tcPr>
            <w:tcW w:w="0" w:type="auto"/>
            <w:hideMark/>
          </w:tcPr>
          <w:p w14:paraId="65A4FA9D"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Governing authority</w:t>
            </w:r>
          </w:p>
        </w:tc>
        <w:tc>
          <w:tcPr>
            <w:tcW w:w="0" w:type="auto"/>
            <w:hideMark/>
          </w:tcPr>
          <w:p w14:paraId="052F3760"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Pre-market requirement</w:t>
            </w:r>
          </w:p>
        </w:tc>
        <w:tc>
          <w:tcPr>
            <w:tcW w:w="0" w:type="auto"/>
            <w:hideMark/>
          </w:tcPr>
          <w:p w14:paraId="7F6C0549"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5853B971" w14:textId="77777777" w:rsidTr="00F62F58">
        <w:tc>
          <w:tcPr>
            <w:tcW w:w="0" w:type="auto"/>
            <w:hideMark/>
          </w:tcPr>
          <w:p w14:paraId="045B063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United States</w:t>
            </w:r>
          </w:p>
        </w:tc>
        <w:tc>
          <w:tcPr>
            <w:tcW w:w="0" w:type="auto"/>
            <w:hideMark/>
          </w:tcPr>
          <w:p w14:paraId="330A51A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Dietary supplement</w:t>
            </w:r>
          </w:p>
        </w:tc>
        <w:tc>
          <w:tcPr>
            <w:tcW w:w="0" w:type="auto"/>
            <w:hideMark/>
          </w:tcPr>
          <w:p w14:paraId="2DEB868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Food and Drug Administration</w:t>
            </w:r>
          </w:p>
        </w:tc>
        <w:tc>
          <w:tcPr>
            <w:tcW w:w="0" w:type="auto"/>
            <w:hideMark/>
          </w:tcPr>
          <w:p w14:paraId="3F94C37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Manufacturer self-certification; post-</w:t>
            </w:r>
            <w:r w:rsidRPr="00F62F58">
              <w:rPr>
                <w:rFonts w:ascii="Times New Roman" w:eastAsia="Times New Roman" w:hAnsi="Times New Roman" w:cs="Times New Roman"/>
                <w:sz w:val="24"/>
                <w:szCs w:val="24"/>
                <w:lang w:eastAsia="en-GB"/>
              </w:rPr>
              <w:lastRenderedPageBreak/>
              <w:t>market surveillance</w:t>
            </w:r>
          </w:p>
        </w:tc>
        <w:tc>
          <w:tcPr>
            <w:tcW w:w="0" w:type="auto"/>
            <w:hideMark/>
          </w:tcPr>
          <w:p w14:paraId="491C28BD"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lastRenderedPageBreak/>
              <w:t>Blaze (2021)</w:t>
            </w:r>
          </w:p>
        </w:tc>
      </w:tr>
      <w:tr w:rsidR="00F62F58" w:rsidRPr="00F62F58" w14:paraId="508132F0" w14:textId="77777777" w:rsidTr="00F62F58">
        <w:tc>
          <w:tcPr>
            <w:tcW w:w="0" w:type="auto"/>
            <w:hideMark/>
          </w:tcPr>
          <w:p w14:paraId="1EFE1BA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European Union</w:t>
            </w:r>
          </w:p>
        </w:tc>
        <w:tc>
          <w:tcPr>
            <w:tcW w:w="0" w:type="auto"/>
            <w:hideMark/>
          </w:tcPr>
          <w:p w14:paraId="1577122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Food supplement</w:t>
            </w:r>
          </w:p>
        </w:tc>
        <w:tc>
          <w:tcPr>
            <w:tcW w:w="0" w:type="auto"/>
            <w:hideMark/>
          </w:tcPr>
          <w:p w14:paraId="14006F7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European Food Safety Authority</w:t>
            </w:r>
          </w:p>
        </w:tc>
        <w:tc>
          <w:tcPr>
            <w:tcW w:w="0" w:type="auto"/>
            <w:hideMark/>
          </w:tcPr>
          <w:p w14:paraId="6FC1B18D"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Scientific substantiation of health claims required</w:t>
            </w:r>
          </w:p>
        </w:tc>
        <w:tc>
          <w:tcPr>
            <w:tcW w:w="0" w:type="auto"/>
            <w:hideMark/>
          </w:tcPr>
          <w:p w14:paraId="74C54F5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Santini et al. (2018)</w:t>
            </w:r>
          </w:p>
        </w:tc>
      </w:tr>
      <w:tr w:rsidR="00F62F58" w:rsidRPr="00F62F58" w14:paraId="20B2CF2B" w14:textId="77777777" w:rsidTr="00F62F58">
        <w:tc>
          <w:tcPr>
            <w:tcW w:w="0" w:type="auto"/>
            <w:hideMark/>
          </w:tcPr>
          <w:p w14:paraId="078C10E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India</w:t>
            </w:r>
          </w:p>
        </w:tc>
        <w:tc>
          <w:tcPr>
            <w:tcW w:w="0" w:type="auto"/>
            <w:hideMark/>
          </w:tcPr>
          <w:p w14:paraId="23716774"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Nutraceutical</w:t>
            </w:r>
          </w:p>
        </w:tc>
        <w:tc>
          <w:tcPr>
            <w:tcW w:w="0" w:type="auto"/>
            <w:hideMark/>
          </w:tcPr>
          <w:p w14:paraId="509A9871"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Food Safety and Standards Authority of India</w:t>
            </w:r>
          </w:p>
        </w:tc>
        <w:tc>
          <w:tcPr>
            <w:tcW w:w="0" w:type="auto"/>
            <w:hideMark/>
          </w:tcPr>
          <w:p w14:paraId="55D715F2"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Simplified registration process</w:t>
            </w:r>
          </w:p>
        </w:tc>
        <w:tc>
          <w:tcPr>
            <w:tcW w:w="0" w:type="auto"/>
            <w:hideMark/>
          </w:tcPr>
          <w:p w14:paraId="3771B82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Shan et al. (2025)</w:t>
            </w:r>
          </w:p>
        </w:tc>
      </w:tr>
      <w:tr w:rsidR="00F62F58" w:rsidRPr="00F62F58" w14:paraId="6A855B0B" w14:textId="77777777" w:rsidTr="00F62F58">
        <w:tc>
          <w:tcPr>
            <w:tcW w:w="0" w:type="auto"/>
            <w:hideMark/>
          </w:tcPr>
          <w:p w14:paraId="06C2690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China</w:t>
            </w:r>
          </w:p>
        </w:tc>
        <w:tc>
          <w:tcPr>
            <w:tcW w:w="0" w:type="auto"/>
            <w:hideMark/>
          </w:tcPr>
          <w:p w14:paraId="6B442B86"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Health food</w:t>
            </w:r>
          </w:p>
        </w:tc>
        <w:tc>
          <w:tcPr>
            <w:tcW w:w="0" w:type="auto"/>
            <w:hideMark/>
          </w:tcPr>
          <w:p w14:paraId="3146A8C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National Medical Products Administration</w:t>
            </w:r>
          </w:p>
        </w:tc>
        <w:tc>
          <w:tcPr>
            <w:tcW w:w="0" w:type="auto"/>
            <w:hideMark/>
          </w:tcPr>
          <w:p w14:paraId="7EC649FC"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Product registration or filing, depending on category</w:t>
            </w:r>
          </w:p>
        </w:tc>
        <w:tc>
          <w:tcPr>
            <w:tcW w:w="0" w:type="auto"/>
            <w:hideMark/>
          </w:tcPr>
          <w:p w14:paraId="18114B60"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Shan et al. (2025)</w:t>
            </w:r>
          </w:p>
        </w:tc>
      </w:tr>
      <w:tr w:rsidR="00F62F58" w:rsidRPr="00F62F58" w14:paraId="021C89ED" w14:textId="77777777" w:rsidTr="00F62F58">
        <w:tc>
          <w:tcPr>
            <w:tcW w:w="0" w:type="auto"/>
            <w:hideMark/>
          </w:tcPr>
          <w:p w14:paraId="1902A58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Australia</w:t>
            </w:r>
          </w:p>
        </w:tc>
        <w:tc>
          <w:tcPr>
            <w:tcW w:w="0" w:type="auto"/>
            <w:hideMark/>
          </w:tcPr>
          <w:p w14:paraId="1595723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Complementary medicine</w:t>
            </w:r>
          </w:p>
        </w:tc>
        <w:tc>
          <w:tcPr>
            <w:tcW w:w="0" w:type="auto"/>
            <w:hideMark/>
          </w:tcPr>
          <w:p w14:paraId="214C05C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Therapeutic Goods Administration</w:t>
            </w:r>
          </w:p>
        </w:tc>
        <w:tc>
          <w:tcPr>
            <w:tcW w:w="0" w:type="auto"/>
            <w:hideMark/>
          </w:tcPr>
          <w:p w14:paraId="7C86233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Listed or registered pathway depending on risk</w:t>
            </w:r>
          </w:p>
        </w:tc>
        <w:tc>
          <w:tcPr>
            <w:tcW w:w="0" w:type="auto"/>
            <w:hideMark/>
          </w:tcPr>
          <w:p w14:paraId="4101EE3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Blaze (2021)</w:t>
            </w:r>
          </w:p>
        </w:tc>
      </w:tr>
    </w:tbl>
    <w:p w14:paraId="1BE409B0"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11. Safety, Quality Control and Adverse Event Reporting</w:t>
      </w:r>
    </w:p>
    <w:p w14:paraId="16546E73"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The comparatively permissive regulatory posture adopted in several major markets has direct implications for product safety, since dietary supplements and nutraceuticals are not subject to the pre-market efficacy and safety trials required of pharmaceuticals. Adulteration of dietary supplement products with undeclared pharmaceutical agents or prohibited substances has been documented across multiple analytical studies, with reported prevalence estimates varying widely by product category and testing methodology, and weight-loss and sexual-enhancement products appearing disproportionately affected (</w:t>
      </w:r>
      <w:proofErr w:type="spellStart"/>
      <w:r w:rsidRPr="00F62F58">
        <w:rPr>
          <w:rFonts w:ascii="Times New Roman" w:eastAsia="Times New Roman" w:hAnsi="Times New Roman" w:cs="Times New Roman"/>
          <w:sz w:val="24"/>
          <w:szCs w:val="24"/>
          <w:lang w:eastAsia="en-GB"/>
        </w:rPr>
        <w:t>Jagim</w:t>
      </w:r>
      <w:proofErr w:type="spellEnd"/>
      <w:r w:rsidRPr="00F62F58">
        <w:rPr>
          <w:rFonts w:ascii="Times New Roman" w:eastAsia="Times New Roman" w:hAnsi="Times New Roman" w:cs="Times New Roman"/>
          <w:sz w:val="24"/>
          <w:szCs w:val="24"/>
          <w:lang w:eastAsia="en-GB"/>
        </w:rPr>
        <w:t xml:space="preserve"> et al., 2023). Adverse event reporting systems, such as the United States Food and Drug Administration's </w:t>
      </w:r>
      <w:proofErr w:type="spellStart"/>
      <w:r w:rsidRPr="00F62F58">
        <w:rPr>
          <w:rFonts w:ascii="Times New Roman" w:eastAsia="Times New Roman" w:hAnsi="Times New Roman" w:cs="Times New Roman"/>
          <w:sz w:val="24"/>
          <w:szCs w:val="24"/>
          <w:lang w:eastAsia="en-GB"/>
        </w:rPr>
        <w:t>Center</w:t>
      </w:r>
      <w:proofErr w:type="spellEnd"/>
      <w:r w:rsidRPr="00F62F58">
        <w:rPr>
          <w:rFonts w:ascii="Times New Roman" w:eastAsia="Times New Roman" w:hAnsi="Times New Roman" w:cs="Times New Roman"/>
          <w:sz w:val="24"/>
          <w:szCs w:val="24"/>
          <w:lang w:eastAsia="en-GB"/>
        </w:rPr>
        <w:t xml:space="preserve"> for Food Safety and Applied Nutrition Adverse Event Reporting System, have identified associations between specific dietary supplement ingredients and serious adverse outcomes including cardiac arrhythmia, hepatotoxicity and acute renal injury, although underreporting is widely acknowledged to limit the completeness of these datasets (Costello et al., 2023). Structural weaknesses in the post-market surveillance model, including the absence of mandatory pre-market safety testing and reliance on voluntary reporting by consumers and clinicians, have been identified as contributing factors to the persistence of preventable adverse events (Li &amp; Wertheimer, 2023). These safety considerations are not uniform across nutraceutical classes: well-characterised compounds such as vitamin D and omega-3 fatty acids, administered at physiologically appropriate doses, carry a favourable safety profile supported by decades of clinical use, whereas concentrated botanical extracts with less extensive human safety data warrant greater caution, particularly in populations receiving concurrent pharmacological therapy, given the potential for herb-drug interactions affecting hepatic metabolising enzymes. Clinicians and pharmacists are therefore positioned as important intermediaries in guiding safe nutraceutical use, particularly since patients frequently initiate supplement use without medical consultation despite the availability of professional guidance.</w:t>
      </w:r>
    </w:p>
    <w:p w14:paraId="401DDD29"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12. Personalised and Precision Nutrition</w:t>
      </w:r>
    </w:p>
    <w:p w14:paraId="54BA4E40"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The trajectory of nutraceutical science is increasingly oriented toward individualisation, reflecting recognition that genetic, metabolic and microbiome variation among individuals substantially modifies the response to any given dietary bioactive. Personalised nutrition applies genomic, metabolomic and microbiome data to tailor dietary and nutraceutical recommendations to the individual, moving beyond the population-level guidance that has historically characterised nutritional science (Bremer, 2025). The International Society of </w:t>
      </w:r>
      <w:r w:rsidRPr="00F62F58">
        <w:rPr>
          <w:rFonts w:ascii="Times New Roman" w:eastAsia="Times New Roman" w:hAnsi="Times New Roman" w:cs="Times New Roman"/>
          <w:sz w:val="24"/>
          <w:szCs w:val="24"/>
          <w:lang w:eastAsia="en-GB"/>
        </w:rPr>
        <w:lastRenderedPageBreak/>
        <w:t>Nutrigenetics and Nutrigenomics has articulated a tiered framework distinguishing stratified nutrition, which targets defined population subgroups; individualised nutrition, which incorporates lifestyle and biochemical markers; and genotype-directed nutrition, which integrates an individual's genetic profile to generate fully personalised recommendations (</w:t>
      </w:r>
      <w:r w:rsidRPr="00F62F58">
        <w:rPr>
          <w:rFonts w:ascii="Times New Roman" w:eastAsia="Times New Roman" w:hAnsi="Times New Roman" w:cs="Times New Roman"/>
          <w:b/>
          <w:bCs/>
          <w:sz w:val="24"/>
          <w:szCs w:val="24"/>
          <w:lang w:eastAsia="en-GB"/>
        </w:rPr>
        <w:t>Yoon et al., 2024</w:t>
      </w:r>
      <w:r w:rsidRPr="00F62F58">
        <w:rPr>
          <w:rFonts w:ascii="Times New Roman" w:eastAsia="Times New Roman" w:hAnsi="Times New Roman" w:cs="Times New Roman"/>
          <w:sz w:val="24"/>
          <w:szCs w:val="24"/>
          <w:lang w:eastAsia="en-GB"/>
        </w:rPr>
        <w:t>). Gene-diet interaction studies have identified specific genetic variants that modify individual responses to dietary fatty acid composition and polygenic obesity risk, providing a mechanistic foundation for genotype-informed dietary customisation, although the translation of these findings into validated, clinically actionable recommendations remains at an early stage (</w:t>
      </w:r>
      <w:r w:rsidRPr="00F62F58">
        <w:rPr>
          <w:rFonts w:ascii="Times New Roman" w:eastAsia="Times New Roman" w:hAnsi="Times New Roman" w:cs="Times New Roman"/>
          <w:b/>
          <w:bCs/>
          <w:sz w:val="24"/>
          <w:szCs w:val="24"/>
          <w:lang w:eastAsia="en-GB"/>
        </w:rPr>
        <w:t>Yoon et al., 2024</w:t>
      </w:r>
      <w:r w:rsidRPr="00F62F58">
        <w:rPr>
          <w:rFonts w:ascii="Times New Roman" w:eastAsia="Times New Roman" w:hAnsi="Times New Roman" w:cs="Times New Roman"/>
          <w:sz w:val="24"/>
          <w:szCs w:val="24"/>
          <w:lang w:eastAsia="en-GB"/>
        </w:rPr>
        <w:t>). The regulatory framework for personalised nutrition products remains underdeveloped relative to the pace of scientific advancement, with existing dietary supplement and food regulations not fully anticipating products whose formulation is contingent on an individual's genetic or microbiome profile, a gap that regulatory bodies including the National Institutes of Health have begun to address through dedicated research initiatives (Bremer, 2025). The convergence of personalised nutrition with the nanoencapsulation and delivery technologies discussed in Section 9 suggests a plausible future direction in which individually tailored nutraceutical formulations, optimised for both genetic responsiveness and pharmacokinetic delivery, become technically feasible, even if their economic and regulatory viability at population scale remains uncertain. Table 5 outlines the recognised tiers of personalisation and their implications for nutraceutical practice.</w:t>
      </w:r>
    </w:p>
    <w:p w14:paraId="0A58DDB9" w14:textId="77777777" w:rsidR="00F62F58" w:rsidRPr="00F62F58" w:rsidRDefault="00F62F58" w:rsidP="004E0FA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Table 5. Tiers of personalised and precision nutrition and their nutraceutical implications</w:t>
      </w:r>
    </w:p>
    <w:tbl>
      <w:tblPr>
        <w:tblStyle w:val="TableGridLight"/>
        <w:tblW w:w="0" w:type="auto"/>
        <w:tblLook w:val="04A0" w:firstRow="1" w:lastRow="0" w:firstColumn="1" w:lastColumn="0" w:noHBand="0" w:noVBand="1"/>
      </w:tblPr>
      <w:tblGrid>
        <w:gridCol w:w="1767"/>
        <w:gridCol w:w="2451"/>
        <w:gridCol w:w="2370"/>
        <w:gridCol w:w="1606"/>
        <w:gridCol w:w="1048"/>
      </w:tblGrid>
      <w:tr w:rsidR="00F62F58" w:rsidRPr="00F62F58" w14:paraId="45B1B802" w14:textId="77777777" w:rsidTr="00F62F58">
        <w:tc>
          <w:tcPr>
            <w:tcW w:w="0" w:type="auto"/>
            <w:hideMark/>
          </w:tcPr>
          <w:p w14:paraId="0E3EA7F9"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Tier</w:t>
            </w:r>
          </w:p>
        </w:tc>
        <w:tc>
          <w:tcPr>
            <w:tcW w:w="0" w:type="auto"/>
            <w:hideMark/>
          </w:tcPr>
          <w:p w14:paraId="14BEC3EA"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Basis for recommendation</w:t>
            </w:r>
          </w:p>
        </w:tc>
        <w:tc>
          <w:tcPr>
            <w:tcW w:w="0" w:type="auto"/>
            <w:hideMark/>
          </w:tcPr>
          <w:p w14:paraId="756EB448"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Example application</w:t>
            </w:r>
          </w:p>
        </w:tc>
        <w:tc>
          <w:tcPr>
            <w:tcW w:w="0" w:type="auto"/>
            <w:hideMark/>
          </w:tcPr>
          <w:p w14:paraId="33072AEA"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Current maturity</w:t>
            </w:r>
          </w:p>
        </w:tc>
        <w:tc>
          <w:tcPr>
            <w:tcW w:w="0" w:type="auto"/>
            <w:hideMark/>
          </w:tcPr>
          <w:p w14:paraId="3506171E" w14:textId="77777777" w:rsidR="00F62F58" w:rsidRPr="00F62F58" w:rsidRDefault="00F62F58" w:rsidP="004E0FAA">
            <w:pPr>
              <w:jc w:val="both"/>
              <w:rPr>
                <w:rFonts w:ascii="Times New Roman" w:eastAsia="Times New Roman" w:hAnsi="Times New Roman" w:cs="Times New Roman"/>
                <w:b/>
                <w:bCs/>
                <w:sz w:val="24"/>
                <w:szCs w:val="24"/>
                <w:lang w:eastAsia="en-GB"/>
              </w:rPr>
            </w:pPr>
            <w:r w:rsidRPr="00F62F58">
              <w:rPr>
                <w:rFonts w:ascii="Times New Roman" w:eastAsia="Times New Roman" w:hAnsi="Times New Roman" w:cs="Times New Roman"/>
                <w:b/>
                <w:bCs/>
                <w:sz w:val="24"/>
                <w:szCs w:val="24"/>
                <w:lang w:eastAsia="en-GB"/>
              </w:rPr>
              <w:t>Source</w:t>
            </w:r>
          </w:p>
        </w:tc>
      </w:tr>
      <w:tr w:rsidR="00F62F58" w:rsidRPr="00F62F58" w14:paraId="4106EE82" w14:textId="77777777" w:rsidTr="00F62F58">
        <w:tc>
          <w:tcPr>
            <w:tcW w:w="0" w:type="auto"/>
            <w:hideMark/>
          </w:tcPr>
          <w:p w14:paraId="4DED03F6"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Stratified nutrition</w:t>
            </w:r>
          </w:p>
        </w:tc>
        <w:tc>
          <w:tcPr>
            <w:tcW w:w="0" w:type="auto"/>
            <w:hideMark/>
          </w:tcPr>
          <w:p w14:paraId="18BDC90A"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Population subgroup characteristics (age, sex, socioeconomic status)</w:t>
            </w:r>
          </w:p>
        </w:tc>
        <w:tc>
          <w:tcPr>
            <w:tcW w:w="0" w:type="auto"/>
            <w:hideMark/>
          </w:tcPr>
          <w:p w14:paraId="43D641D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Age-specific vitamin D dosing guidance</w:t>
            </w:r>
          </w:p>
        </w:tc>
        <w:tc>
          <w:tcPr>
            <w:tcW w:w="0" w:type="auto"/>
            <w:hideMark/>
          </w:tcPr>
          <w:p w14:paraId="0DA90B0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Well established</w:t>
            </w:r>
          </w:p>
        </w:tc>
        <w:tc>
          <w:tcPr>
            <w:tcW w:w="0" w:type="auto"/>
            <w:hideMark/>
          </w:tcPr>
          <w:p w14:paraId="29190CA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Yoon et al. (2024)</w:t>
            </w:r>
          </w:p>
        </w:tc>
      </w:tr>
      <w:tr w:rsidR="00F62F58" w:rsidRPr="00F62F58" w14:paraId="5D209A0A" w14:textId="77777777" w:rsidTr="00F62F58">
        <w:tc>
          <w:tcPr>
            <w:tcW w:w="0" w:type="auto"/>
            <w:hideMark/>
          </w:tcPr>
          <w:p w14:paraId="41F8BF87"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Individualised nutrition</w:t>
            </w:r>
          </w:p>
        </w:tc>
        <w:tc>
          <w:tcPr>
            <w:tcW w:w="0" w:type="auto"/>
            <w:hideMark/>
          </w:tcPr>
          <w:p w14:paraId="7ED870C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Lifestyle, biochemical and metabolic markers</w:t>
            </w:r>
          </w:p>
        </w:tc>
        <w:tc>
          <w:tcPr>
            <w:tcW w:w="0" w:type="auto"/>
            <w:hideMark/>
          </w:tcPr>
          <w:p w14:paraId="506AD70F"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Tailoring omega-3 dose to baseline omega-3 index</w:t>
            </w:r>
          </w:p>
        </w:tc>
        <w:tc>
          <w:tcPr>
            <w:tcW w:w="0" w:type="auto"/>
            <w:hideMark/>
          </w:tcPr>
          <w:p w14:paraId="2DC93BC8"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Moderately established</w:t>
            </w:r>
          </w:p>
        </w:tc>
        <w:tc>
          <w:tcPr>
            <w:tcW w:w="0" w:type="auto"/>
            <w:hideMark/>
          </w:tcPr>
          <w:p w14:paraId="1C073FA0"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Bremer (2025)</w:t>
            </w:r>
          </w:p>
        </w:tc>
      </w:tr>
      <w:tr w:rsidR="00F62F58" w:rsidRPr="00F62F58" w14:paraId="25B6DAC0" w14:textId="77777777" w:rsidTr="00F62F58">
        <w:tc>
          <w:tcPr>
            <w:tcW w:w="0" w:type="auto"/>
            <w:hideMark/>
          </w:tcPr>
          <w:p w14:paraId="46C26552"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Genotype-directed nutrition</w:t>
            </w:r>
          </w:p>
        </w:tc>
        <w:tc>
          <w:tcPr>
            <w:tcW w:w="0" w:type="auto"/>
            <w:hideMark/>
          </w:tcPr>
          <w:p w14:paraId="2AB5E603"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Genetic variant profiling</w:t>
            </w:r>
          </w:p>
        </w:tc>
        <w:tc>
          <w:tcPr>
            <w:tcW w:w="0" w:type="auto"/>
            <w:hideMark/>
          </w:tcPr>
          <w:p w14:paraId="1F45D82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FADS1/ELOVL2-informed omega-3 recommendations</w:t>
            </w:r>
          </w:p>
        </w:tc>
        <w:tc>
          <w:tcPr>
            <w:tcW w:w="0" w:type="auto"/>
            <w:hideMark/>
          </w:tcPr>
          <w:p w14:paraId="558252EB"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Emerging</w:t>
            </w:r>
          </w:p>
        </w:tc>
        <w:tc>
          <w:tcPr>
            <w:tcW w:w="0" w:type="auto"/>
            <w:hideMark/>
          </w:tcPr>
          <w:p w14:paraId="03B3D9CA"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b/>
                <w:bCs/>
                <w:sz w:val="24"/>
                <w:szCs w:val="24"/>
                <w:lang w:eastAsia="en-GB"/>
              </w:rPr>
              <w:t>Yoon et al. (2024)</w:t>
            </w:r>
          </w:p>
        </w:tc>
      </w:tr>
      <w:tr w:rsidR="00F62F58" w:rsidRPr="00F62F58" w14:paraId="5A794D7F" w14:textId="77777777" w:rsidTr="00F62F58">
        <w:tc>
          <w:tcPr>
            <w:tcW w:w="0" w:type="auto"/>
            <w:hideMark/>
          </w:tcPr>
          <w:p w14:paraId="72F2AC5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Multi-omics integrated nutrition</w:t>
            </w:r>
          </w:p>
        </w:tc>
        <w:tc>
          <w:tcPr>
            <w:tcW w:w="0" w:type="auto"/>
            <w:hideMark/>
          </w:tcPr>
          <w:p w14:paraId="62CABFCD"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Combined genomic, metabolomic and microbiome data</w:t>
            </w:r>
          </w:p>
        </w:tc>
        <w:tc>
          <w:tcPr>
            <w:tcW w:w="0" w:type="auto"/>
            <w:hideMark/>
          </w:tcPr>
          <w:p w14:paraId="172D03DA"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Machine learning-based dietary response prediction</w:t>
            </w:r>
          </w:p>
        </w:tc>
        <w:tc>
          <w:tcPr>
            <w:tcW w:w="0" w:type="auto"/>
            <w:hideMark/>
          </w:tcPr>
          <w:p w14:paraId="34F976A5"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Experimental</w:t>
            </w:r>
          </w:p>
        </w:tc>
        <w:tc>
          <w:tcPr>
            <w:tcW w:w="0" w:type="auto"/>
            <w:hideMark/>
          </w:tcPr>
          <w:p w14:paraId="61497779" w14:textId="77777777" w:rsidR="00F62F58" w:rsidRPr="00F62F58" w:rsidRDefault="00F62F58" w:rsidP="004E0FAA">
            <w:pPr>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Bremer (2025)</w:t>
            </w:r>
          </w:p>
        </w:tc>
      </w:tr>
    </w:tbl>
    <w:p w14:paraId="7A9EFA98"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13. Future Directions</w:t>
      </w:r>
    </w:p>
    <w:p w14:paraId="400083EB"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Several trajectories are likely to shape the next phase of nutraceutical research and application. Advances in nanotechnology-enabled delivery are expected to continue addressing the bioavailability limitations that have constrained the clinical translation of otherwise promising compounds such as curcumin and specific polyphenols, with lipid- and biopolymer-based carriers moving from laboratory demonstration toward validated commercial formulations supported by rigorous pharmacokinetic and clinical trial data. Integration of multi-omics technologies, encompassing genomics, metabolomics and microbiome sequencing, into personalised nutrition platforms is likely to accelerate, provided </w:t>
      </w:r>
      <w:r w:rsidRPr="00F62F58">
        <w:rPr>
          <w:rFonts w:ascii="Times New Roman" w:eastAsia="Times New Roman" w:hAnsi="Times New Roman" w:cs="Times New Roman"/>
          <w:sz w:val="24"/>
          <w:szCs w:val="24"/>
          <w:lang w:eastAsia="en-GB"/>
        </w:rPr>
        <w:lastRenderedPageBreak/>
        <w:t>that computational models achieve sufficient predictive validity and regulatory frameworks evolve to accommodate individually tailored products. Harmonisation of international regulatory standards, while repeatedly called for over more than a decade, will require sustained diplomatic and scientific coordination among major regulatory bodies, and near-term progress is more plausible through mutual recognition arrangements between individual jurisdictions than through a single unified global framework. Greater methodological rigour in clinical trials of nutraceuticals, including larger sample sizes, longer follow-up durations, and standardised reporting of formulation, dose and bioavailability characteristics, would substantially strengthen the evidentiary basis for clinical recommendations and reduce the heterogeneity currently limiting meta-analytic synthesis. Finally, closer integration between nutraceutical research and mainstream clinical pharmacology, including systematic characterisation of herb-drug and supplement-drug interactions, would better equip prescribing clinicians to counsel patients on the safe and effective combination of nutraceuticals with conventional pharmacotherapy.</w:t>
      </w:r>
    </w:p>
    <w:p w14:paraId="6ED19B05"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14. Conclusions</w:t>
      </w:r>
    </w:p>
    <w:p w14:paraId="7A35080C" w14:textId="77777777" w:rsidR="00F62F58" w:rsidRP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 xml:space="preserve">Nutraceuticals have progressed from a loosely defined wellness category into an area of substantive scientific and clinical interest, supported by a growing body of mechanistic and, in some cases, clinical trial evidence spanning cardiovascular, metabolic, oncological, immunological and gastrointestinal health domains. Polyphenols, omega-3 fatty acids, curcuminoids, berberine, probiotics, prebiotics and vitamin D each demonstrate biologically plausible and, for several compounds, clinically measurable benefit when used appropriately, most often as adjuncts to rather than replacements for conventional medical therapy. Persistent challenges remain, particularly the poor oral bioavailability of many plant-derived </w:t>
      </w:r>
      <w:proofErr w:type="spellStart"/>
      <w:r w:rsidRPr="00F62F58">
        <w:rPr>
          <w:rFonts w:ascii="Times New Roman" w:eastAsia="Times New Roman" w:hAnsi="Times New Roman" w:cs="Times New Roman"/>
          <w:sz w:val="24"/>
          <w:szCs w:val="24"/>
          <w:lang w:eastAsia="en-GB"/>
        </w:rPr>
        <w:t>bioactives</w:t>
      </w:r>
      <w:proofErr w:type="spellEnd"/>
      <w:r w:rsidRPr="00F62F58">
        <w:rPr>
          <w:rFonts w:ascii="Times New Roman" w:eastAsia="Times New Roman" w:hAnsi="Times New Roman" w:cs="Times New Roman"/>
          <w:sz w:val="24"/>
          <w:szCs w:val="24"/>
          <w:lang w:eastAsia="en-GB"/>
        </w:rPr>
        <w:t>, the regulatory fragmentation that produces inconsistent quality and safety standards across global markets, and the comparative scarcity of large, well-controlled clinical trials relative to the volume of preclinical and observational evidence. Emerging nanoencapsulation technologies and the developing field of personalised nutrition offer credible pathways toward addressing these limitations, though their full clinical and commercial maturation will require continued investment in rigorous trial methodology and coordinated regulatory reform. On balance, the evidence supports a measured but genuine role for nutraceuticals within modern preventive and integrative healthcare, contingent on continued scientific scrutiny, transparent product quality assurance, and informed clinical guidance for consumers.</w:t>
      </w:r>
    </w:p>
    <w:p w14:paraId="5F82B0AA"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15. Limitations</w:t>
      </w:r>
    </w:p>
    <w:p w14:paraId="33C050C9" w14:textId="77777777" w:rsidR="00F62F58" w:rsidRDefault="00F62F58"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2F58">
        <w:rPr>
          <w:rFonts w:ascii="Times New Roman" w:eastAsia="Times New Roman" w:hAnsi="Times New Roman" w:cs="Times New Roman"/>
          <w:sz w:val="24"/>
          <w:szCs w:val="24"/>
          <w:lang w:eastAsia="en-GB"/>
        </w:rPr>
        <w:t>This review is subject to several limitations inherent to its narrative rather than systematic methodology, including the potential for selection bias in the studies chosen for discussion and the absence of a formal risk-of-bias assessment applied uniformly across the cited literature. The restriction to English-language sources may have excluded relevant evidence published in other languages, particularly research emerging from traditional medicine systems in non-English-speaking regions. The rapidly evolving nature of the regulatory landscape means that specific regulatory details, particularly those relating to personalised nutrition products and novel nanotechnology-based formulations, may change subsequent to publication. Finally, the heterogeneity of dosing, formulation and outcome measures across the clinical studies discussed constrains direct comparison between compounds and disease contexts, and readers should interpret the synthesised conclusions as indicative of general trends in the evidence base rather than as precise, universally applicable clinical guidance.</w:t>
      </w:r>
    </w:p>
    <w:p w14:paraId="73E7FF7D" w14:textId="77777777" w:rsidR="004B0DFA" w:rsidRPr="000839CE" w:rsidRDefault="004B0DFA" w:rsidP="004E0FAA">
      <w:pPr>
        <w:spacing w:after="0" w:line="240" w:lineRule="auto"/>
        <w:jc w:val="both"/>
        <w:rPr>
          <w:rFonts w:ascii="Times New Roman" w:hAnsi="Times New Roman" w:cs="Times New Roman"/>
          <w:b/>
        </w:rPr>
      </w:pPr>
      <w:r w:rsidRPr="000839CE">
        <w:rPr>
          <w:rFonts w:ascii="Times New Roman" w:hAnsi="Times New Roman" w:cs="Times New Roman"/>
          <w:b/>
        </w:rPr>
        <w:lastRenderedPageBreak/>
        <w:t>Declaration of AI Use</w:t>
      </w:r>
    </w:p>
    <w:p w14:paraId="264161C3" w14:textId="77777777" w:rsidR="004B0DFA" w:rsidRPr="000839CE" w:rsidRDefault="004B0DFA" w:rsidP="004E0FAA">
      <w:pPr>
        <w:spacing w:after="0" w:line="240" w:lineRule="auto"/>
        <w:jc w:val="both"/>
        <w:rPr>
          <w:rFonts w:ascii="Times New Roman" w:hAnsi="Times New Roman" w:cs="Times New Roman"/>
        </w:rPr>
      </w:pPr>
    </w:p>
    <w:p w14:paraId="3550395A" w14:textId="77777777" w:rsidR="004B0DFA" w:rsidRPr="000839CE" w:rsidRDefault="004B0DFA" w:rsidP="004E0FA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1B4FE6C" w14:textId="77777777" w:rsidR="004B0DFA" w:rsidRPr="00F62F58" w:rsidRDefault="004B0DFA" w:rsidP="004E0FAA">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77914F12" w14:textId="77777777" w:rsidR="00F62F58" w:rsidRPr="00F62F58" w:rsidRDefault="00F62F58" w:rsidP="004E0FA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62F58">
        <w:rPr>
          <w:rFonts w:ascii="Times New Roman" w:eastAsia="Times New Roman" w:hAnsi="Times New Roman" w:cs="Times New Roman"/>
          <w:b/>
          <w:bCs/>
          <w:sz w:val="27"/>
          <w:szCs w:val="27"/>
          <w:lang w:eastAsia="en-GB"/>
        </w:rPr>
        <w:t>References</w:t>
      </w:r>
    </w:p>
    <w:p w14:paraId="23F9B3D4" w14:textId="77777777" w:rsidR="00E85F6C" w:rsidRDefault="00E85F6C" w:rsidP="00E85F6C">
      <w:pPr>
        <w:pStyle w:val="isselectedend"/>
        <w:ind w:left="540" w:hanging="540"/>
        <w:jc w:val="both"/>
      </w:pPr>
      <w:r w:rsidRPr="00E85F6C">
        <w:rPr>
          <w:lang w:val="nl-BE"/>
        </w:rPr>
        <w:t xml:space="preserve">Aribi, M., Mennechet, F. J. D., &amp; Touil-Boukoffa, C. (2023). </w:t>
      </w:r>
      <w:r>
        <w:t xml:space="preserve">Editorial: The role of vitamin D as an immunomodulator. </w:t>
      </w:r>
      <w:r>
        <w:rPr>
          <w:rStyle w:val="Emphasis"/>
        </w:rPr>
        <w:t>Frontiers in Immunology, 14</w:t>
      </w:r>
      <w:r>
        <w:t xml:space="preserve">, 1186635. </w:t>
      </w:r>
      <w:hyperlink r:id="rId4" w:history="1">
        <w:r>
          <w:rPr>
            <w:rStyle w:val="Hyperlink"/>
          </w:rPr>
          <w:t>https://doi.org/10.3389/fimmu.2023.1186635</w:t>
        </w:r>
      </w:hyperlink>
    </w:p>
    <w:p w14:paraId="3D7498F8" w14:textId="77777777" w:rsidR="00E85F6C" w:rsidRDefault="00E85F6C" w:rsidP="00E85F6C">
      <w:pPr>
        <w:pStyle w:val="isselectedend"/>
        <w:ind w:left="540" w:hanging="540"/>
        <w:jc w:val="both"/>
      </w:pPr>
      <w:r>
        <w:t xml:space="preserve">Arshad, M. T., Ali, M. K. M., Maqsood, S., Ikram, A., Hossain, M. S., </w:t>
      </w:r>
      <w:proofErr w:type="spellStart"/>
      <w:r>
        <w:t>Aljameel</w:t>
      </w:r>
      <w:proofErr w:type="spellEnd"/>
      <w:r>
        <w:t>, A. I., Al-</w:t>
      </w:r>
      <w:proofErr w:type="spellStart"/>
      <w:r>
        <w:t>Farga</w:t>
      </w:r>
      <w:proofErr w:type="spellEnd"/>
      <w:r>
        <w:t xml:space="preserve">, A., &amp; </w:t>
      </w:r>
      <w:proofErr w:type="spellStart"/>
      <w:r>
        <w:t>Gnedeka</w:t>
      </w:r>
      <w:proofErr w:type="spellEnd"/>
      <w:r>
        <w:t xml:space="preserve">, K. T. (2025). Dietary phytochemicals in cardiovascular disease prevention and management: A comprehensive review. </w:t>
      </w:r>
      <w:r>
        <w:rPr>
          <w:rStyle w:val="Emphasis"/>
        </w:rPr>
        <w:t>Food Science &amp; Nutrition, 13</w:t>
      </w:r>
      <w:r>
        <w:t xml:space="preserve">(9), e70872. </w:t>
      </w:r>
      <w:hyperlink r:id="rId5" w:history="1">
        <w:r>
          <w:rPr>
            <w:rStyle w:val="Hyperlink"/>
          </w:rPr>
          <w:t>https://doi.org/10.1002/fsn3.70872</w:t>
        </w:r>
      </w:hyperlink>
    </w:p>
    <w:p w14:paraId="3D1D2A7A" w14:textId="77777777" w:rsidR="00E85F6C" w:rsidRDefault="00E85F6C" w:rsidP="00E85F6C">
      <w:pPr>
        <w:pStyle w:val="isselectedend"/>
        <w:ind w:left="540" w:hanging="540"/>
        <w:jc w:val="both"/>
      </w:pPr>
      <w:proofErr w:type="spellStart"/>
      <w:r>
        <w:t>Ashrafpour</w:t>
      </w:r>
      <w:proofErr w:type="spellEnd"/>
      <w:r>
        <w:t xml:space="preserve">, S., &amp; </w:t>
      </w:r>
      <w:proofErr w:type="spellStart"/>
      <w:r>
        <w:t>Ashrafpour</w:t>
      </w:r>
      <w:proofErr w:type="spellEnd"/>
      <w:r>
        <w:t xml:space="preserve">, M. (2025). The double-edged sword of nutraceuticals: Comprehensive review of protective agents and their hidden risks. </w:t>
      </w:r>
      <w:r>
        <w:rPr>
          <w:rStyle w:val="Emphasis"/>
        </w:rPr>
        <w:t>Frontiers in Nutrition, 12</w:t>
      </w:r>
      <w:r>
        <w:t xml:space="preserve">, 1524627. </w:t>
      </w:r>
      <w:hyperlink r:id="rId6" w:history="1">
        <w:r>
          <w:rPr>
            <w:rStyle w:val="Hyperlink"/>
          </w:rPr>
          <w:t>https://doi.org/10.3389/fnut.2025.1524627</w:t>
        </w:r>
      </w:hyperlink>
    </w:p>
    <w:p w14:paraId="22F34FA2" w14:textId="77777777" w:rsidR="00E85F6C" w:rsidRDefault="00E85F6C" w:rsidP="00E85F6C">
      <w:pPr>
        <w:pStyle w:val="isselectedend"/>
        <w:ind w:left="540" w:hanging="540"/>
        <w:jc w:val="both"/>
      </w:pPr>
      <w:r>
        <w:t xml:space="preserve">Ayyash, M., &amp; Liu, S.-Q. (2023). Special issue “Probiotics, prebiotics and functional foods: Health benefits and biosafety.” </w:t>
      </w:r>
      <w:r>
        <w:rPr>
          <w:rStyle w:val="Emphasis"/>
        </w:rPr>
        <w:t>Microorganisms, 11</w:t>
      </w:r>
      <w:r>
        <w:t xml:space="preserve">(5), 1218. </w:t>
      </w:r>
      <w:hyperlink r:id="rId7" w:history="1">
        <w:r>
          <w:rPr>
            <w:rStyle w:val="Hyperlink"/>
          </w:rPr>
          <w:t>https://doi.org/10.3390/microorganisms11051218</w:t>
        </w:r>
      </w:hyperlink>
    </w:p>
    <w:p w14:paraId="6B42AE00" w14:textId="77777777" w:rsidR="00E85F6C" w:rsidRDefault="00E85F6C" w:rsidP="00E85F6C">
      <w:pPr>
        <w:pStyle w:val="isselectedend"/>
        <w:ind w:left="540" w:hanging="540"/>
        <w:jc w:val="both"/>
      </w:pPr>
      <w:r>
        <w:t xml:space="preserve">Blaze, J. (2021). A comparison of current regulatory frameworks for nutraceuticals in Australia, Canada, Japan, and the United States. </w:t>
      </w:r>
      <w:r>
        <w:rPr>
          <w:rStyle w:val="Emphasis"/>
        </w:rPr>
        <w:t>Innovations in Pharmacy, 12</w:t>
      </w:r>
      <w:r>
        <w:t xml:space="preserve">(2). </w:t>
      </w:r>
      <w:hyperlink r:id="rId8" w:history="1">
        <w:r>
          <w:rPr>
            <w:rStyle w:val="Hyperlink"/>
          </w:rPr>
          <w:t>https://doi.org/10.24926/iip.v12i2.3694</w:t>
        </w:r>
      </w:hyperlink>
    </w:p>
    <w:p w14:paraId="781A2005" w14:textId="77777777" w:rsidR="00E85F6C" w:rsidRDefault="00E85F6C" w:rsidP="00E85F6C">
      <w:pPr>
        <w:pStyle w:val="isselectedend"/>
        <w:ind w:left="540" w:hanging="540"/>
        <w:jc w:val="both"/>
      </w:pPr>
      <w:r>
        <w:t xml:space="preserve">Bremer, A. A. (2025). Personalized nutrition and the regulatory framework—Moving forward. </w:t>
      </w:r>
      <w:r>
        <w:rPr>
          <w:rStyle w:val="Emphasis"/>
        </w:rPr>
        <w:t>Advances in Nutrition, 16</w:t>
      </w:r>
      <w:r>
        <w:t xml:space="preserve">(3), 100383. </w:t>
      </w:r>
      <w:hyperlink r:id="rId9" w:history="1">
        <w:r>
          <w:rPr>
            <w:rStyle w:val="Hyperlink"/>
          </w:rPr>
          <w:t>https://doi.org/10.1016/j.advnut.2025.100383</w:t>
        </w:r>
      </w:hyperlink>
    </w:p>
    <w:p w14:paraId="1D4B60EC" w14:textId="77777777" w:rsidR="00E85F6C" w:rsidRDefault="00E85F6C" w:rsidP="00E85F6C">
      <w:pPr>
        <w:pStyle w:val="isselectedend"/>
        <w:ind w:left="540" w:hanging="540"/>
        <w:jc w:val="both"/>
      </w:pPr>
      <w:r>
        <w:t xml:space="preserve">Chopra, A. S., Lordan, R., </w:t>
      </w:r>
      <w:proofErr w:type="spellStart"/>
      <w:r>
        <w:t>Horbańczuk</w:t>
      </w:r>
      <w:proofErr w:type="spellEnd"/>
      <w:r>
        <w:t xml:space="preserve">, O. K., Atanasov, A. G., Chopra, I., </w:t>
      </w:r>
      <w:proofErr w:type="spellStart"/>
      <w:r>
        <w:t>Horbańczuk</w:t>
      </w:r>
      <w:proofErr w:type="spellEnd"/>
      <w:r>
        <w:t xml:space="preserve">, J. O., Jóźwik, A., Huang, L., </w:t>
      </w:r>
      <w:proofErr w:type="spellStart"/>
      <w:r>
        <w:t>Pirgozliev</w:t>
      </w:r>
      <w:proofErr w:type="spellEnd"/>
      <w:r>
        <w:t xml:space="preserve">, V., Banach, M., Battino, M., &amp; Arkells, N. (2022). The current use and evolving landscape of nutraceuticals. </w:t>
      </w:r>
      <w:r>
        <w:rPr>
          <w:rStyle w:val="Emphasis"/>
        </w:rPr>
        <w:t>Pharmacological Research, 175</w:t>
      </w:r>
      <w:r>
        <w:t xml:space="preserve">, 106001. </w:t>
      </w:r>
      <w:hyperlink r:id="rId10" w:history="1">
        <w:r>
          <w:rPr>
            <w:rStyle w:val="Hyperlink"/>
          </w:rPr>
          <w:t>https://doi.org/10.1016/j.phrs.2021.106001</w:t>
        </w:r>
      </w:hyperlink>
    </w:p>
    <w:p w14:paraId="6FD1F002" w14:textId="77777777" w:rsidR="00E85F6C" w:rsidRDefault="00E85F6C" w:rsidP="00E85F6C">
      <w:pPr>
        <w:pStyle w:val="isselectedend"/>
        <w:ind w:left="540" w:hanging="540"/>
        <w:jc w:val="both"/>
      </w:pPr>
      <w:r>
        <w:t xml:space="preserve">Cortez-Navarrete, M., Pérez-Rubio, K. G., &amp; Escobedo-Gutiérrez, M. de J. (2023). Role of fenugreek, cinnamon, </w:t>
      </w:r>
      <w:r>
        <w:rPr>
          <w:rStyle w:val="Emphasis"/>
        </w:rPr>
        <w:t>Curcuma longa</w:t>
      </w:r>
      <w:r>
        <w:t xml:space="preserve">, berberine and </w:t>
      </w:r>
      <w:r>
        <w:rPr>
          <w:rStyle w:val="Emphasis"/>
        </w:rPr>
        <w:t xml:space="preserve">Momordica </w:t>
      </w:r>
      <w:proofErr w:type="spellStart"/>
      <w:r>
        <w:rPr>
          <w:rStyle w:val="Emphasis"/>
        </w:rPr>
        <w:t>charantia</w:t>
      </w:r>
      <w:proofErr w:type="spellEnd"/>
      <w:r>
        <w:t xml:space="preserve"> in type 2 diabetes mellitus treatment: A review. </w:t>
      </w:r>
      <w:r>
        <w:rPr>
          <w:rStyle w:val="Emphasis"/>
        </w:rPr>
        <w:t>Pharmaceuticals, 16</w:t>
      </w:r>
      <w:r>
        <w:t xml:space="preserve">(4), 515. </w:t>
      </w:r>
      <w:hyperlink r:id="rId11" w:history="1">
        <w:r>
          <w:rPr>
            <w:rStyle w:val="Hyperlink"/>
          </w:rPr>
          <w:t>https://doi.org/10.3390/ph16040515</w:t>
        </w:r>
      </w:hyperlink>
    </w:p>
    <w:p w14:paraId="63F1785B" w14:textId="77777777" w:rsidR="00E85F6C" w:rsidRDefault="00E85F6C" w:rsidP="00E85F6C">
      <w:pPr>
        <w:pStyle w:val="isselectedend"/>
        <w:ind w:left="540" w:hanging="540"/>
        <w:jc w:val="both"/>
      </w:pPr>
      <w:r>
        <w:lastRenderedPageBreak/>
        <w:t xml:space="preserve">Costello, R. B., Lindsey, A. T., &amp; Deuster, P. (2023). Challenges in reporting adverse events from dietary supplements. </w:t>
      </w:r>
      <w:r>
        <w:rPr>
          <w:rStyle w:val="Emphasis"/>
        </w:rPr>
        <w:t>Nutrition Today, 58</w:t>
      </w:r>
      <w:r>
        <w:t xml:space="preserve">(1), 34–38. </w:t>
      </w:r>
      <w:hyperlink r:id="rId12" w:history="1">
        <w:r>
          <w:rPr>
            <w:rStyle w:val="Hyperlink"/>
          </w:rPr>
          <w:t>https://doi.org/10.1097/NT.0000000000000587</w:t>
        </w:r>
      </w:hyperlink>
    </w:p>
    <w:p w14:paraId="41A3302C" w14:textId="77777777" w:rsidR="00E85F6C" w:rsidRDefault="00E85F6C" w:rsidP="00E85F6C">
      <w:pPr>
        <w:pStyle w:val="isselectedend"/>
        <w:ind w:left="540" w:hanging="540"/>
        <w:jc w:val="both"/>
      </w:pPr>
      <w:r>
        <w:t xml:space="preserve">Djuricic, I., &amp; Calder, P. C. (2021). Beneficial outcomes of omega-6 and omega-3 polyunsaturated fatty acids on human health: An update for 2021. </w:t>
      </w:r>
      <w:r>
        <w:rPr>
          <w:rStyle w:val="Emphasis"/>
        </w:rPr>
        <w:t>Nutrients, 13</w:t>
      </w:r>
      <w:r>
        <w:t xml:space="preserve">(7), 2421. </w:t>
      </w:r>
      <w:hyperlink r:id="rId13" w:history="1">
        <w:r>
          <w:rPr>
            <w:rStyle w:val="Hyperlink"/>
          </w:rPr>
          <w:t>https://doi.org/10.3390/nu13072421</w:t>
        </w:r>
      </w:hyperlink>
    </w:p>
    <w:p w14:paraId="2C7BDE27" w14:textId="77777777" w:rsidR="00E85F6C" w:rsidRDefault="00E85F6C" w:rsidP="00E85F6C">
      <w:pPr>
        <w:pStyle w:val="isselectedend"/>
        <w:ind w:left="540" w:hanging="540"/>
        <w:jc w:val="both"/>
      </w:pPr>
      <w:r>
        <w:t xml:space="preserve">Elagizi, A., Lavie, C. J., O’Keefe, E., Marshall, K., O’Keefe, J. H., &amp; Milani, R. V. (2021). An update on omega-3 polyunsaturated fatty acids and cardiovascular health. </w:t>
      </w:r>
      <w:r>
        <w:rPr>
          <w:rStyle w:val="Emphasis"/>
        </w:rPr>
        <w:t>Nutrients, 13</w:t>
      </w:r>
      <w:r>
        <w:t xml:space="preserve">(1), 204. </w:t>
      </w:r>
      <w:hyperlink r:id="rId14" w:history="1">
        <w:r>
          <w:rPr>
            <w:rStyle w:val="Hyperlink"/>
          </w:rPr>
          <w:t>https://doi.org/10.3390/nu13010204</w:t>
        </w:r>
      </w:hyperlink>
    </w:p>
    <w:p w14:paraId="270653AA" w14:textId="77777777" w:rsidR="00E85F6C" w:rsidRDefault="00E85F6C" w:rsidP="00E85F6C">
      <w:pPr>
        <w:pStyle w:val="isselectedend"/>
        <w:ind w:left="540" w:hanging="540"/>
        <w:jc w:val="both"/>
      </w:pPr>
      <w:r>
        <w:t xml:space="preserve">Ferrari, R. (2015). Writing narrative style literature reviews. </w:t>
      </w:r>
      <w:r>
        <w:rPr>
          <w:rStyle w:val="Emphasis"/>
        </w:rPr>
        <w:t>Medical Writing, 24</w:t>
      </w:r>
      <w:r>
        <w:t xml:space="preserve">(4), 230–235. </w:t>
      </w:r>
      <w:hyperlink r:id="rId15" w:history="1">
        <w:r>
          <w:rPr>
            <w:rStyle w:val="Hyperlink"/>
          </w:rPr>
          <w:t>https://doi.org/10.1179/2047480615Z.000000000329</w:t>
        </w:r>
      </w:hyperlink>
    </w:p>
    <w:p w14:paraId="38C45DE6" w14:textId="77777777" w:rsidR="00E85F6C" w:rsidRDefault="00E85F6C" w:rsidP="00E85F6C">
      <w:pPr>
        <w:pStyle w:val="isselectedend"/>
        <w:ind w:left="540" w:hanging="540"/>
        <w:jc w:val="both"/>
      </w:pPr>
      <w:proofErr w:type="spellStart"/>
      <w:r>
        <w:t>Jagim</w:t>
      </w:r>
      <w:proofErr w:type="spellEnd"/>
      <w:r>
        <w:t xml:space="preserve">, A. R., Harty, P. S., Erickson, J. L., Tinsley, G. M., Garner, D., &amp; Galpin, A. J. (2023). Prevalence of adulteration in dietary supplements and recommendations for safe supplement practices in sport. </w:t>
      </w:r>
      <w:r>
        <w:rPr>
          <w:rStyle w:val="Emphasis"/>
        </w:rPr>
        <w:t>Frontiers in Sports and Active Living, 5</w:t>
      </w:r>
      <w:r>
        <w:t xml:space="preserve">, 1239121. </w:t>
      </w:r>
      <w:hyperlink r:id="rId16" w:history="1">
        <w:r>
          <w:rPr>
            <w:rStyle w:val="Hyperlink"/>
          </w:rPr>
          <w:t>https://doi.org/10.3389/fspor.2023.1239121</w:t>
        </w:r>
      </w:hyperlink>
    </w:p>
    <w:p w14:paraId="605322C9" w14:textId="77777777" w:rsidR="00E85F6C" w:rsidRDefault="00E85F6C" w:rsidP="00E85F6C">
      <w:pPr>
        <w:pStyle w:val="isselectedend"/>
        <w:ind w:left="540" w:hanging="540"/>
        <w:jc w:val="both"/>
      </w:pPr>
      <w:r w:rsidRPr="00E85F6C">
        <w:rPr>
          <w:lang w:val="nl-BE"/>
        </w:rPr>
        <w:t xml:space="preserve">Kaur, K., Al-Khazaleh, A. K., Bhuyan, D. J., Li, F., &amp; Li, C. G. (2024). </w:t>
      </w:r>
      <w:r>
        <w:t xml:space="preserve">A review of recent curcumin analogues and their antioxidant, anti-inflammatory, and anticancer activities. </w:t>
      </w:r>
      <w:r>
        <w:rPr>
          <w:rStyle w:val="Emphasis"/>
        </w:rPr>
        <w:t>Antioxidants, 13</w:t>
      </w:r>
      <w:r>
        <w:t xml:space="preserve">(9), 1092. </w:t>
      </w:r>
      <w:hyperlink r:id="rId17" w:history="1">
        <w:r>
          <w:rPr>
            <w:rStyle w:val="Hyperlink"/>
          </w:rPr>
          <w:t>https://doi.org/10.3390/antiox13091092</w:t>
        </w:r>
      </w:hyperlink>
    </w:p>
    <w:p w14:paraId="706A57E0" w14:textId="77777777" w:rsidR="00E85F6C" w:rsidRDefault="00E85F6C" w:rsidP="00E85F6C">
      <w:pPr>
        <w:pStyle w:val="isselectedend"/>
        <w:ind w:left="540" w:hanging="540"/>
        <w:jc w:val="both"/>
      </w:pPr>
      <w:r>
        <w:t xml:space="preserve">Kumari, T., Bag, K. K., Das, A. B., &amp; Deka, S. C. (2024). Synergistic role of prebiotics and probiotics in gut microbiome health: Mechanisms and clinical applications. </w:t>
      </w:r>
      <w:r>
        <w:rPr>
          <w:rStyle w:val="Emphasis"/>
        </w:rPr>
        <w:t>Food Bioengineering, 3</w:t>
      </w:r>
      <w:r>
        <w:t xml:space="preserve">(4), 407–424. </w:t>
      </w:r>
      <w:hyperlink r:id="rId18" w:history="1">
        <w:r>
          <w:rPr>
            <w:rStyle w:val="Hyperlink"/>
          </w:rPr>
          <w:t>https://doi.org/10.1002/fbe2.12107</w:t>
        </w:r>
      </w:hyperlink>
    </w:p>
    <w:p w14:paraId="3ABA2AEE" w14:textId="77777777" w:rsidR="00E85F6C" w:rsidRDefault="00E85F6C" w:rsidP="00E85F6C">
      <w:pPr>
        <w:pStyle w:val="isselectedend"/>
        <w:ind w:left="540" w:hanging="540"/>
        <w:jc w:val="both"/>
      </w:pPr>
      <w:r>
        <w:t xml:space="preserve">Li, W., &amp; Wertheimer, A. (2023). Narrative review: The FDA’s perfunctory approach of dietary supplement regulations giving rise to copious reports of adverse events. </w:t>
      </w:r>
      <w:r>
        <w:rPr>
          <w:rStyle w:val="Emphasis"/>
        </w:rPr>
        <w:t>Innovations in Pharmacy, 14</w:t>
      </w:r>
      <w:r>
        <w:t xml:space="preserve">(1). </w:t>
      </w:r>
      <w:hyperlink r:id="rId19" w:history="1">
        <w:r>
          <w:rPr>
            <w:rStyle w:val="Hyperlink"/>
          </w:rPr>
          <w:t>https://doi.org/10.24926/iip.v14i1.4989</w:t>
        </w:r>
      </w:hyperlink>
    </w:p>
    <w:p w14:paraId="130DBE5C" w14:textId="77777777" w:rsidR="00E85F6C" w:rsidRDefault="00E85F6C" w:rsidP="00E85F6C">
      <w:pPr>
        <w:pStyle w:val="isselectedend"/>
        <w:ind w:left="540" w:hanging="540"/>
        <w:jc w:val="both"/>
      </w:pPr>
      <w:r>
        <w:t xml:space="preserve">Li, Z., &amp; Luo, X. (2025). Probiotics, prebiotics, </w:t>
      </w:r>
      <w:proofErr w:type="spellStart"/>
      <w:r>
        <w:t>synbiotics</w:t>
      </w:r>
      <w:proofErr w:type="spellEnd"/>
      <w:r>
        <w:t xml:space="preserve">, postbiotics, and </w:t>
      </w:r>
      <w:proofErr w:type="spellStart"/>
      <w:r>
        <w:t>paraprobiotics</w:t>
      </w:r>
      <w:proofErr w:type="spellEnd"/>
      <w:r>
        <w:t xml:space="preserve">—New perspectives on functional foods and nutraceuticals. </w:t>
      </w:r>
      <w:r>
        <w:rPr>
          <w:rStyle w:val="Emphasis"/>
        </w:rPr>
        <w:t>Foods, 14</w:t>
      </w:r>
      <w:r>
        <w:t xml:space="preserve">(15), 2613. </w:t>
      </w:r>
      <w:hyperlink r:id="rId20" w:history="1">
        <w:r>
          <w:rPr>
            <w:rStyle w:val="Hyperlink"/>
          </w:rPr>
          <w:t>https://doi.org/10.3390/foods14152613</w:t>
        </w:r>
      </w:hyperlink>
    </w:p>
    <w:p w14:paraId="114C975B" w14:textId="77777777" w:rsidR="00E85F6C" w:rsidRDefault="00E85F6C" w:rsidP="00E85F6C">
      <w:pPr>
        <w:pStyle w:val="isselectedend"/>
        <w:ind w:left="540" w:hanging="540"/>
        <w:jc w:val="both"/>
      </w:pPr>
      <w:r>
        <w:t xml:space="preserve">Liu, D., Zhao, L., Wang, Y., Wang, L., Wu, D., &amp; Liu, Y. (2025). Berberine: A rising star in the management of type 2 diabetes—Novel insights into its anti-inflammatory, metabolic, and epigenetic mechanisms. </w:t>
      </w:r>
      <w:r>
        <w:rPr>
          <w:rStyle w:val="Emphasis"/>
        </w:rPr>
        <w:t>Pharmaceuticals, 18</w:t>
      </w:r>
      <w:r>
        <w:t xml:space="preserve">(12), 1890. </w:t>
      </w:r>
      <w:hyperlink r:id="rId21" w:history="1">
        <w:r>
          <w:rPr>
            <w:rStyle w:val="Hyperlink"/>
          </w:rPr>
          <w:t>https://doi.org/10.3390/ph18121890</w:t>
        </w:r>
      </w:hyperlink>
    </w:p>
    <w:p w14:paraId="42573FEC" w14:textId="77777777" w:rsidR="00E85F6C" w:rsidRDefault="00E85F6C" w:rsidP="00E85F6C">
      <w:pPr>
        <w:pStyle w:val="isselectedend"/>
        <w:ind w:left="540" w:hanging="540"/>
        <w:jc w:val="both"/>
      </w:pPr>
      <w:r>
        <w:t>Mansour, A., Sajjadi-</w:t>
      </w:r>
      <w:proofErr w:type="spellStart"/>
      <w:r>
        <w:t>Jazi</w:t>
      </w:r>
      <w:proofErr w:type="spellEnd"/>
      <w:r>
        <w:t xml:space="preserve">, S. M., Gerami, H., </w:t>
      </w:r>
      <w:proofErr w:type="spellStart"/>
      <w:r>
        <w:t>Khorasanian</w:t>
      </w:r>
      <w:proofErr w:type="spellEnd"/>
      <w:r>
        <w:t xml:space="preserve">, A. S., </w:t>
      </w:r>
      <w:proofErr w:type="spellStart"/>
      <w:r>
        <w:t>Moalemzadeh</w:t>
      </w:r>
      <w:proofErr w:type="spellEnd"/>
      <w:r>
        <w:t xml:space="preserve">, B., Karimi, S., Mohamadi </w:t>
      </w:r>
      <w:proofErr w:type="spellStart"/>
      <w:r>
        <w:t>Afrakoti</w:t>
      </w:r>
      <w:proofErr w:type="spellEnd"/>
      <w:r>
        <w:t xml:space="preserve">, N., </w:t>
      </w:r>
      <w:proofErr w:type="spellStart"/>
      <w:r>
        <w:t>Mofid</w:t>
      </w:r>
      <w:proofErr w:type="spellEnd"/>
      <w:r>
        <w:t xml:space="preserve">, V., Mohajeri-Tehrani, M. R., &amp; </w:t>
      </w:r>
      <w:proofErr w:type="spellStart"/>
      <w:r>
        <w:t>Hekmatdoost</w:t>
      </w:r>
      <w:proofErr w:type="spellEnd"/>
      <w:r>
        <w:t xml:space="preserve">, A. (2025). The efficacy and safety of berberine in combination with cinnamon supplementation in patients with type 2 diabetes: A randomized clinical trial. </w:t>
      </w:r>
      <w:r>
        <w:rPr>
          <w:rStyle w:val="Emphasis"/>
        </w:rPr>
        <w:t>European Journal of Nutrition, 64</w:t>
      </w:r>
      <w:r>
        <w:t xml:space="preserve">, 102. </w:t>
      </w:r>
      <w:hyperlink r:id="rId22" w:history="1">
        <w:r>
          <w:rPr>
            <w:rStyle w:val="Hyperlink"/>
          </w:rPr>
          <w:t>https://doi.org/10.1007/s00394-025-03618-9</w:t>
        </w:r>
      </w:hyperlink>
    </w:p>
    <w:p w14:paraId="283C0D9D" w14:textId="77777777" w:rsidR="00E85F6C" w:rsidRDefault="00E85F6C" w:rsidP="00E85F6C">
      <w:pPr>
        <w:pStyle w:val="isselectedend"/>
        <w:ind w:left="540" w:hanging="540"/>
        <w:jc w:val="both"/>
      </w:pPr>
      <w:r>
        <w:t xml:space="preserve">Neira, M., Mena, C., Torres, K., &amp; Simón, L. (2025). The potential benefits of curcumin-enriched diets for adults with colorectal cancer: A systematic review. </w:t>
      </w:r>
      <w:r>
        <w:rPr>
          <w:rStyle w:val="Emphasis"/>
        </w:rPr>
        <w:t>Antioxidants, 14</w:t>
      </w:r>
      <w:r>
        <w:t xml:space="preserve">(4), 388. </w:t>
      </w:r>
      <w:hyperlink r:id="rId23" w:history="1">
        <w:r>
          <w:rPr>
            <w:rStyle w:val="Hyperlink"/>
          </w:rPr>
          <w:t>https://doi.org/10.3390/antiox14040388</w:t>
        </w:r>
      </w:hyperlink>
    </w:p>
    <w:p w14:paraId="22E30173" w14:textId="77777777" w:rsidR="00E85F6C" w:rsidRDefault="00E85F6C" w:rsidP="00E85F6C">
      <w:pPr>
        <w:pStyle w:val="isselectedend"/>
        <w:ind w:left="540" w:hanging="540"/>
        <w:jc w:val="both"/>
      </w:pPr>
      <w:r>
        <w:lastRenderedPageBreak/>
        <w:t xml:space="preserve">Nocito, M. C., De Luca, A., Prestia, F., Avena, P., La Padula, D., Zavaglia, L., Sirianni, R., Casaburi, I., </w:t>
      </w:r>
      <w:proofErr w:type="spellStart"/>
      <w:r>
        <w:t>Puoci</w:t>
      </w:r>
      <w:proofErr w:type="spellEnd"/>
      <w:r>
        <w:t xml:space="preserve">, F., Chimento, A., &amp; Pezzi, V. (2021). Antitumoral activities of curcumin and recent advances to improve its oral bioavailability. </w:t>
      </w:r>
      <w:r>
        <w:rPr>
          <w:rStyle w:val="Emphasis"/>
        </w:rPr>
        <w:t>Biomedicines, 9</w:t>
      </w:r>
      <w:r>
        <w:t xml:space="preserve">(10), 1476. </w:t>
      </w:r>
      <w:hyperlink r:id="rId24" w:history="1">
        <w:r>
          <w:rPr>
            <w:rStyle w:val="Hyperlink"/>
          </w:rPr>
          <w:t>https://doi.org/10.3390/biomedicines9101476</w:t>
        </w:r>
      </w:hyperlink>
    </w:p>
    <w:p w14:paraId="79BB6234" w14:textId="77777777" w:rsidR="00E85F6C" w:rsidRDefault="00E85F6C" w:rsidP="00E85F6C">
      <w:pPr>
        <w:pStyle w:val="isselectedend"/>
        <w:ind w:left="540" w:hanging="540"/>
        <w:jc w:val="both"/>
      </w:pPr>
      <w:r>
        <w:t xml:space="preserve">Obayomi, O. V., Olaniran, A. F., &amp; Owa, S. O. (2024). Unveiling the role of functional foods with emphasis on prebiotics and probiotics in human health: A review. </w:t>
      </w:r>
      <w:r>
        <w:rPr>
          <w:rStyle w:val="Emphasis"/>
        </w:rPr>
        <w:t>Journal of Functional Foods, 119</w:t>
      </w:r>
      <w:r>
        <w:t xml:space="preserve">, 106337. </w:t>
      </w:r>
      <w:hyperlink r:id="rId25" w:history="1">
        <w:r>
          <w:rPr>
            <w:rStyle w:val="Hyperlink"/>
          </w:rPr>
          <w:t>https://doi.org/10.1016/j.jff.2024.106337</w:t>
        </w:r>
      </w:hyperlink>
    </w:p>
    <w:p w14:paraId="24B36565" w14:textId="77777777" w:rsidR="00E85F6C" w:rsidRDefault="00E85F6C" w:rsidP="00E85F6C">
      <w:pPr>
        <w:pStyle w:val="isselectedend"/>
        <w:ind w:left="540" w:hanging="540"/>
        <w:jc w:val="both"/>
      </w:pPr>
      <w:r>
        <w:t xml:space="preserve">Patted, P. G., Masareddy, R. S., Patil, A. S., </w:t>
      </w:r>
      <w:proofErr w:type="spellStart"/>
      <w:r>
        <w:t>Kanabargi</w:t>
      </w:r>
      <w:proofErr w:type="spellEnd"/>
      <w:r>
        <w:t xml:space="preserve">, R. R., &amp; Bhat, C. T. (2024). Omega-3 fatty acids: A comprehensive scientific review of their sources, functions and health benefits. </w:t>
      </w:r>
      <w:r>
        <w:rPr>
          <w:rStyle w:val="Emphasis"/>
        </w:rPr>
        <w:t>Future Journal of Pharmaceutical Sciences, 10</w:t>
      </w:r>
      <w:r>
        <w:t xml:space="preserve">, 94. </w:t>
      </w:r>
      <w:hyperlink r:id="rId26" w:history="1">
        <w:r>
          <w:rPr>
            <w:rStyle w:val="Hyperlink"/>
          </w:rPr>
          <w:t>https://doi.org/10.1186/s43094-024-00667-5</w:t>
        </w:r>
      </w:hyperlink>
    </w:p>
    <w:p w14:paraId="11459AF4" w14:textId="77777777" w:rsidR="00E85F6C" w:rsidRDefault="00E85F6C" w:rsidP="00E85F6C">
      <w:pPr>
        <w:pStyle w:val="isselectedend"/>
        <w:ind w:left="540" w:hanging="540"/>
        <w:jc w:val="both"/>
      </w:pPr>
      <w:r>
        <w:t xml:space="preserve">Pérez Guerra, N. (2025). The impact of probiotics, prebiotics, and functional foods on human health. </w:t>
      </w:r>
      <w:r>
        <w:rPr>
          <w:rStyle w:val="Emphasis"/>
        </w:rPr>
        <w:t>Nutrients, 17</w:t>
      </w:r>
      <w:r>
        <w:t xml:space="preserve">(9), 1529. </w:t>
      </w:r>
      <w:hyperlink r:id="rId27" w:history="1">
        <w:r>
          <w:rPr>
            <w:rStyle w:val="Hyperlink"/>
          </w:rPr>
          <w:t>https://doi.org/10.3390/nu17091529</w:t>
        </w:r>
      </w:hyperlink>
    </w:p>
    <w:p w14:paraId="36562C27" w14:textId="77777777" w:rsidR="00E85F6C" w:rsidRDefault="00E85F6C" w:rsidP="00E85F6C">
      <w:pPr>
        <w:pStyle w:val="isselectedend"/>
        <w:ind w:left="540" w:hanging="540"/>
        <w:jc w:val="both"/>
      </w:pPr>
      <w:r>
        <w:t xml:space="preserve">Prieto, C., &amp; </w:t>
      </w:r>
      <w:proofErr w:type="spellStart"/>
      <w:r>
        <w:t>Lagaron</w:t>
      </w:r>
      <w:proofErr w:type="spellEnd"/>
      <w:r>
        <w:t xml:space="preserve">, J. M. (2024). Nanoencapsulation and nanocoating of </w:t>
      </w:r>
      <w:proofErr w:type="spellStart"/>
      <w:r>
        <w:t>bioactives</w:t>
      </w:r>
      <w:proofErr w:type="spellEnd"/>
      <w:r>
        <w:t xml:space="preserve"> of application interest in food, nutraceuticals and pharma. </w:t>
      </w:r>
      <w:r>
        <w:rPr>
          <w:rStyle w:val="Emphasis"/>
        </w:rPr>
        <w:t>Nanomaterials, 14</w:t>
      </w:r>
      <w:r>
        <w:t xml:space="preserve">(3), 313. </w:t>
      </w:r>
      <w:hyperlink r:id="rId28" w:history="1">
        <w:r>
          <w:rPr>
            <w:rStyle w:val="Hyperlink"/>
          </w:rPr>
          <w:t>https://doi.org/10.3390/nano14030313</w:t>
        </w:r>
      </w:hyperlink>
    </w:p>
    <w:p w14:paraId="22E89FC6" w14:textId="77777777" w:rsidR="00E85F6C" w:rsidRDefault="00E85F6C" w:rsidP="00E85F6C">
      <w:pPr>
        <w:pStyle w:val="isselectedend"/>
        <w:ind w:left="540" w:hanging="540"/>
        <w:jc w:val="both"/>
      </w:pPr>
      <w:r>
        <w:t xml:space="preserve">Santini, A., Cammarata, S. M., Capone, G., Ianaro, A., Tenore, G. C., Pani, L., &amp; Novellino, E. (2018). Nutraceuticals: Opening the debate for a regulatory framework. </w:t>
      </w:r>
      <w:r>
        <w:rPr>
          <w:rStyle w:val="Emphasis"/>
        </w:rPr>
        <w:t>British Journal of Clinical Pharmacology, 84</w:t>
      </w:r>
      <w:r>
        <w:t xml:space="preserve">(4), 659–672. </w:t>
      </w:r>
      <w:hyperlink r:id="rId29" w:history="1">
        <w:r>
          <w:rPr>
            <w:rStyle w:val="Hyperlink"/>
          </w:rPr>
          <w:t>https://doi.org/10.1111/bcp.13496</w:t>
        </w:r>
      </w:hyperlink>
    </w:p>
    <w:p w14:paraId="51462CF8" w14:textId="77777777" w:rsidR="00E85F6C" w:rsidRDefault="00E85F6C" w:rsidP="00E85F6C">
      <w:pPr>
        <w:pStyle w:val="isselectedend"/>
        <w:ind w:left="540" w:hanging="540"/>
        <w:jc w:val="both"/>
      </w:pPr>
      <w:r>
        <w:t xml:space="preserve">Shan, F., Liu, L., Li, L., Wang, W., Bi, Y., &amp; Li, M. (2025). Management, safety, and efficacy evaluation of nutraceutical and functional food: A global perspective. </w:t>
      </w:r>
      <w:r>
        <w:rPr>
          <w:rStyle w:val="Emphasis"/>
        </w:rPr>
        <w:t>Comprehensive Reviews in Food Science and Food Safety, 24</w:t>
      </w:r>
      <w:r>
        <w:t xml:space="preserve">(4), e70222. </w:t>
      </w:r>
      <w:hyperlink r:id="rId30" w:history="1">
        <w:r>
          <w:rPr>
            <w:rStyle w:val="Hyperlink"/>
          </w:rPr>
          <w:t>https://doi.org/10.1111/1541-4337.70222</w:t>
        </w:r>
      </w:hyperlink>
    </w:p>
    <w:p w14:paraId="0C380F39" w14:textId="77777777" w:rsidR="00E85F6C" w:rsidRDefault="00E85F6C" w:rsidP="00E85F6C">
      <w:pPr>
        <w:pStyle w:val="isselectedend"/>
        <w:ind w:left="540" w:hanging="540"/>
        <w:jc w:val="both"/>
      </w:pPr>
      <w:r>
        <w:t xml:space="preserve">Sridhar, K., &amp; Sharma, M. (2023). Editorial: Recent advances in nanofabricated delivery systems of bioactive components for food applications. </w:t>
      </w:r>
      <w:r>
        <w:rPr>
          <w:rStyle w:val="Emphasis"/>
        </w:rPr>
        <w:t>Frontiers in Nutrition, 9</w:t>
      </w:r>
      <w:r>
        <w:t xml:space="preserve">, 1124487. </w:t>
      </w:r>
      <w:hyperlink r:id="rId31" w:history="1">
        <w:r>
          <w:rPr>
            <w:rStyle w:val="Hyperlink"/>
          </w:rPr>
          <w:t>https://doi.org/10.3389/fnut.2022.1124487</w:t>
        </w:r>
      </w:hyperlink>
    </w:p>
    <w:p w14:paraId="5DACAB1D" w14:textId="77777777" w:rsidR="00E85F6C" w:rsidRDefault="00E85F6C" w:rsidP="00E85F6C">
      <w:pPr>
        <w:pStyle w:val="isselectedend"/>
        <w:ind w:left="540" w:hanging="540"/>
        <w:jc w:val="both"/>
      </w:pPr>
      <w:r>
        <w:t xml:space="preserve">Sukhera, J. (2022). Narrative reviews: Flexible, rigorous, and practical. </w:t>
      </w:r>
      <w:r>
        <w:rPr>
          <w:rStyle w:val="Emphasis"/>
        </w:rPr>
        <w:t>Journal of Graduate Medical Education, 14</w:t>
      </w:r>
      <w:r>
        <w:t xml:space="preserve">(4), 414–417. </w:t>
      </w:r>
      <w:hyperlink r:id="rId32" w:history="1">
        <w:r>
          <w:rPr>
            <w:rStyle w:val="Hyperlink"/>
          </w:rPr>
          <w:t>https://doi.org/10.4300/JGME-D-22-00480.1</w:t>
        </w:r>
      </w:hyperlink>
    </w:p>
    <w:p w14:paraId="442D5439" w14:textId="77777777" w:rsidR="00E85F6C" w:rsidRDefault="00E85F6C" w:rsidP="00E85F6C">
      <w:pPr>
        <w:pStyle w:val="isselectedend"/>
        <w:ind w:left="540" w:hanging="540"/>
        <w:jc w:val="both"/>
      </w:pPr>
      <w:proofErr w:type="spellStart"/>
      <w:r>
        <w:t>Takefuji</w:t>
      </w:r>
      <w:proofErr w:type="spellEnd"/>
      <w:r>
        <w:t xml:space="preserve">, Y. (2025). Nutraceuticals: A promising, yet unregulated frontier in healthcare. </w:t>
      </w:r>
      <w:r>
        <w:rPr>
          <w:rStyle w:val="Emphasis"/>
        </w:rPr>
        <w:t>European Journal of Clinical Nutrition, 79</w:t>
      </w:r>
      <w:r>
        <w:t xml:space="preserve">, 413–418. </w:t>
      </w:r>
      <w:hyperlink r:id="rId33" w:history="1">
        <w:r>
          <w:rPr>
            <w:rStyle w:val="Hyperlink"/>
          </w:rPr>
          <w:t>https://doi.org/10.1038/s41430-024-01557-y</w:t>
        </w:r>
      </w:hyperlink>
    </w:p>
    <w:p w14:paraId="1A04DCA3" w14:textId="77777777" w:rsidR="00E85F6C" w:rsidRDefault="00E85F6C" w:rsidP="00E85F6C">
      <w:pPr>
        <w:pStyle w:val="isselectedend"/>
        <w:ind w:left="540" w:hanging="540"/>
        <w:jc w:val="both"/>
      </w:pPr>
      <w:r>
        <w:t>Tan, M., &amp; Abd El-</w:t>
      </w:r>
      <w:proofErr w:type="spellStart"/>
      <w:r>
        <w:t>Aty</w:t>
      </w:r>
      <w:proofErr w:type="spellEnd"/>
      <w:r>
        <w:t xml:space="preserve">, A. M. (2024). Editorial: Nanostructured steady-state systems for nutrient and bioactive compounds delivery. </w:t>
      </w:r>
      <w:r>
        <w:rPr>
          <w:rStyle w:val="Emphasis"/>
        </w:rPr>
        <w:t>Frontiers in Nutrition, 11</w:t>
      </w:r>
      <w:r>
        <w:t xml:space="preserve">, 1421572. </w:t>
      </w:r>
      <w:hyperlink r:id="rId34" w:history="1">
        <w:r>
          <w:rPr>
            <w:rStyle w:val="Hyperlink"/>
          </w:rPr>
          <w:t>https://doi.org/10.3389/fnut.2024.1421572</w:t>
        </w:r>
      </w:hyperlink>
    </w:p>
    <w:p w14:paraId="47910918" w14:textId="77777777" w:rsidR="00E85F6C" w:rsidRDefault="00E85F6C" w:rsidP="00E85F6C">
      <w:pPr>
        <w:pStyle w:val="isselectedend"/>
        <w:ind w:left="540" w:hanging="540"/>
        <w:jc w:val="both"/>
      </w:pPr>
      <w:r>
        <w:t xml:space="preserve">Vignesh, A., Amal, T. C., </w:t>
      </w:r>
      <w:proofErr w:type="spellStart"/>
      <w:r>
        <w:t>Sarvalingam</w:t>
      </w:r>
      <w:proofErr w:type="spellEnd"/>
      <w:r>
        <w:t xml:space="preserve">, A., &amp; Vasanth, K. (2024). A review on the influence of nutraceuticals and functional foods on health. </w:t>
      </w:r>
      <w:r>
        <w:rPr>
          <w:rStyle w:val="Emphasis"/>
        </w:rPr>
        <w:t>Food Chemistry Advances, 5</w:t>
      </w:r>
      <w:r>
        <w:t xml:space="preserve">, 100749. </w:t>
      </w:r>
      <w:hyperlink r:id="rId35" w:history="1">
        <w:r>
          <w:rPr>
            <w:rStyle w:val="Hyperlink"/>
          </w:rPr>
          <w:t>https://doi.org/10.1016/j.focha.2024.100749</w:t>
        </w:r>
      </w:hyperlink>
    </w:p>
    <w:p w14:paraId="2216BA2F" w14:textId="77777777" w:rsidR="00E85F6C" w:rsidRDefault="00E85F6C" w:rsidP="00E85F6C">
      <w:pPr>
        <w:pStyle w:val="isselectedend"/>
        <w:ind w:left="540" w:hanging="540"/>
        <w:jc w:val="both"/>
      </w:pPr>
      <w:r w:rsidRPr="00E85F6C">
        <w:rPr>
          <w:lang w:val="nl-BE"/>
        </w:rPr>
        <w:lastRenderedPageBreak/>
        <w:t xml:space="preserve">Wan, S., Luo, J., Zhu, Y., An, P., Luo, Y., &amp; Xing, Q. (2024). </w:t>
      </w:r>
      <w:r>
        <w:t xml:space="preserve">The effect of antioxidant polyphenol supplementation on cardiometabolic risk factors: A systematic review and meta-analysis. </w:t>
      </w:r>
      <w:r>
        <w:rPr>
          <w:rStyle w:val="Emphasis"/>
        </w:rPr>
        <w:t>Nutrients, 16</w:t>
      </w:r>
      <w:r>
        <w:t xml:space="preserve">(23), 4206. </w:t>
      </w:r>
      <w:hyperlink r:id="rId36" w:history="1">
        <w:r>
          <w:rPr>
            <w:rStyle w:val="Hyperlink"/>
          </w:rPr>
          <w:t>https://doi.org/10.3390/nu16234206</w:t>
        </w:r>
      </w:hyperlink>
    </w:p>
    <w:p w14:paraId="5CF15618" w14:textId="77777777" w:rsidR="00E85F6C" w:rsidRDefault="00E85F6C" w:rsidP="00E85F6C">
      <w:pPr>
        <w:pStyle w:val="isselectedend"/>
        <w:ind w:left="540" w:hanging="540"/>
        <w:jc w:val="both"/>
      </w:pPr>
      <w:proofErr w:type="spellStart"/>
      <w:r>
        <w:t>Wimalawansa</w:t>
      </w:r>
      <w:proofErr w:type="spellEnd"/>
      <w:r>
        <w:t xml:space="preserve">, S. J. (2023). Infections and autoimmunity—The immune system and vitamin D: A systematic review. </w:t>
      </w:r>
      <w:r>
        <w:rPr>
          <w:rStyle w:val="Emphasis"/>
        </w:rPr>
        <w:t>Nutrients, 15</w:t>
      </w:r>
      <w:r>
        <w:t xml:space="preserve">(17), 3842. </w:t>
      </w:r>
      <w:hyperlink r:id="rId37" w:history="1">
        <w:r>
          <w:rPr>
            <w:rStyle w:val="Hyperlink"/>
          </w:rPr>
          <w:t>https://doi.org/10.3390/nu15173842</w:t>
        </w:r>
      </w:hyperlink>
    </w:p>
    <w:p w14:paraId="3180B953" w14:textId="77777777" w:rsidR="00E85F6C" w:rsidRDefault="00E85F6C" w:rsidP="00E85F6C">
      <w:pPr>
        <w:pStyle w:val="NormalWeb"/>
        <w:ind w:left="540" w:hanging="540"/>
        <w:jc w:val="both"/>
      </w:pPr>
      <w:r>
        <w:t xml:space="preserve">Yoon, Y. S., Lee, H. I., &amp; Oh, S. W. (2024). A life-stage approach to precision nutrition: A narrative review. </w:t>
      </w:r>
      <w:r>
        <w:rPr>
          <w:rStyle w:val="Emphasis"/>
        </w:rPr>
        <w:t>Cureus, 16</w:t>
      </w:r>
      <w:r>
        <w:t xml:space="preserve">(8), e66813. </w:t>
      </w:r>
      <w:hyperlink r:id="rId38" w:history="1">
        <w:r>
          <w:rPr>
            <w:rStyle w:val="Hyperlink"/>
          </w:rPr>
          <w:t>https://doi.org/10.7759/cureus.66813</w:t>
        </w:r>
      </w:hyperlink>
    </w:p>
    <w:p w14:paraId="75F86872" w14:textId="77777777" w:rsidR="004841B3" w:rsidRDefault="004841B3" w:rsidP="004E0FAA">
      <w:pPr>
        <w:jc w:val="both"/>
      </w:pPr>
    </w:p>
    <w:sectPr w:rsidR="004841B3" w:rsidSect="00484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C26CD2"/>
    <w:rsid w:val="0013688C"/>
    <w:rsid w:val="00345F3B"/>
    <w:rsid w:val="00475948"/>
    <w:rsid w:val="004841B3"/>
    <w:rsid w:val="004B0DFA"/>
    <w:rsid w:val="004E0FAA"/>
    <w:rsid w:val="00526659"/>
    <w:rsid w:val="006525F0"/>
    <w:rsid w:val="00824882"/>
    <w:rsid w:val="00A34B61"/>
    <w:rsid w:val="00C26CD2"/>
    <w:rsid w:val="00DF7E66"/>
    <w:rsid w:val="00E85F6C"/>
    <w:rsid w:val="00F62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EAEF"/>
  <w15:chartTrackingRefBased/>
  <w15:docId w15:val="{BA3258A2-402F-45B2-B719-FEE2E136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C26CD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26CD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26CD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26CD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26CD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26C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C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C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C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C26CD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26CD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26CD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26CD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26CD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26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CD2"/>
    <w:rPr>
      <w:rFonts w:eastAsiaTheme="majorEastAsia" w:cstheme="majorBidi"/>
      <w:color w:val="272727" w:themeColor="text1" w:themeTint="D8"/>
    </w:rPr>
  </w:style>
  <w:style w:type="paragraph" w:styleId="Title">
    <w:name w:val="Title"/>
    <w:basedOn w:val="Normal"/>
    <w:next w:val="Normal"/>
    <w:link w:val="TitleChar"/>
    <w:uiPriority w:val="10"/>
    <w:qFormat/>
    <w:rsid w:val="00C26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C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C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6CD2"/>
    <w:rPr>
      <w:i/>
      <w:iCs/>
      <w:color w:val="404040" w:themeColor="text1" w:themeTint="BF"/>
    </w:rPr>
  </w:style>
  <w:style w:type="paragraph" w:styleId="ListParagraph">
    <w:name w:val="List Paragraph"/>
    <w:basedOn w:val="Normal"/>
    <w:uiPriority w:val="34"/>
    <w:qFormat/>
    <w:rsid w:val="00C26CD2"/>
    <w:pPr>
      <w:ind w:left="720"/>
      <w:contextualSpacing/>
    </w:pPr>
  </w:style>
  <w:style w:type="character" w:styleId="IntenseEmphasis">
    <w:name w:val="Intense Emphasis"/>
    <w:basedOn w:val="DefaultParagraphFont"/>
    <w:uiPriority w:val="21"/>
    <w:qFormat/>
    <w:rsid w:val="00C26CD2"/>
    <w:rPr>
      <w:i/>
      <w:iCs/>
      <w:color w:val="365F91" w:themeColor="accent1" w:themeShade="BF"/>
    </w:rPr>
  </w:style>
  <w:style w:type="paragraph" w:styleId="IntenseQuote">
    <w:name w:val="Intense Quote"/>
    <w:basedOn w:val="Normal"/>
    <w:next w:val="Normal"/>
    <w:link w:val="IntenseQuoteChar"/>
    <w:uiPriority w:val="30"/>
    <w:qFormat/>
    <w:rsid w:val="00C26C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6CD2"/>
    <w:rPr>
      <w:i/>
      <w:iCs/>
      <w:color w:val="365F91" w:themeColor="accent1" w:themeShade="BF"/>
    </w:rPr>
  </w:style>
  <w:style w:type="character" w:styleId="IntenseReference">
    <w:name w:val="Intense Reference"/>
    <w:basedOn w:val="DefaultParagraphFont"/>
    <w:uiPriority w:val="32"/>
    <w:qFormat/>
    <w:rsid w:val="00C26CD2"/>
    <w:rPr>
      <w:b/>
      <w:bCs/>
      <w:smallCaps/>
      <w:color w:val="365F91" w:themeColor="accent1" w:themeShade="BF"/>
      <w:spacing w:val="5"/>
    </w:rPr>
  </w:style>
  <w:style w:type="table" w:styleId="TableGridLight">
    <w:name w:val="Grid Table Light"/>
    <w:basedOn w:val="TableNormal"/>
    <w:uiPriority w:val="40"/>
    <w:rsid w:val="00F62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E85F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85F6C"/>
    <w:rPr>
      <w:i/>
      <w:iCs/>
    </w:rPr>
  </w:style>
  <w:style w:type="character" w:styleId="Hyperlink">
    <w:name w:val="Hyperlink"/>
    <w:basedOn w:val="DefaultParagraphFont"/>
    <w:uiPriority w:val="99"/>
    <w:semiHidden/>
    <w:unhideWhenUsed/>
    <w:rsid w:val="00E85F6C"/>
    <w:rPr>
      <w:color w:val="0000FF"/>
      <w:u w:val="single"/>
    </w:rPr>
  </w:style>
  <w:style w:type="paragraph" w:styleId="NormalWeb">
    <w:name w:val="Normal (Web)"/>
    <w:basedOn w:val="Normal"/>
    <w:uiPriority w:val="99"/>
    <w:semiHidden/>
    <w:unhideWhenUsed/>
    <w:rsid w:val="00E85F6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nu13072421" TargetMode="External"/><Relationship Id="rId18" Type="http://schemas.openxmlformats.org/officeDocument/2006/relationships/hyperlink" Target="https://doi.org/10.1002/fbe2.12107" TargetMode="External"/><Relationship Id="rId26" Type="http://schemas.openxmlformats.org/officeDocument/2006/relationships/hyperlink" Target="https://doi.org/10.1186/s43094-024-00667-5" TargetMode="External"/><Relationship Id="rId39" Type="http://schemas.openxmlformats.org/officeDocument/2006/relationships/fontTable" Target="fontTable.xml"/><Relationship Id="rId21" Type="http://schemas.openxmlformats.org/officeDocument/2006/relationships/hyperlink" Target="https://doi.org/10.3390/ph18121890" TargetMode="External"/><Relationship Id="rId34" Type="http://schemas.openxmlformats.org/officeDocument/2006/relationships/hyperlink" Target="https://doi.org/10.3389/fnut.2024.1421572" TargetMode="External"/><Relationship Id="rId7" Type="http://schemas.openxmlformats.org/officeDocument/2006/relationships/hyperlink" Target="https://doi.org/10.3390/microorganisms11051218" TargetMode="External"/><Relationship Id="rId12" Type="http://schemas.openxmlformats.org/officeDocument/2006/relationships/hyperlink" Target="https://doi.org/10.1097/NT.0000000000000587" TargetMode="External"/><Relationship Id="rId17" Type="http://schemas.openxmlformats.org/officeDocument/2006/relationships/hyperlink" Target="https://doi.org/10.3390/antiox13091092" TargetMode="External"/><Relationship Id="rId25" Type="http://schemas.openxmlformats.org/officeDocument/2006/relationships/hyperlink" Target="https://doi.org/10.1016/j.jff.2024.106337" TargetMode="External"/><Relationship Id="rId33" Type="http://schemas.openxmlformats.org/officeDocument/2006/relationships/hyperlink" Target="https://doi.org/10.1038/s41430-024-01557-y" TargetMode="External"/><Relationship Id="rId38" Type="http://schemas.openxmlformats.org/officeDocument/2006/relationships/hyperlink" Target="https://doi.org/10.7759/cureus.66813" TargetMode="External"/><Relationship Id="rId2" Type="http://schemas.openxmlformats.org/officeDocument/2006/relationships/settings" Target="settings.xml"/><Relationship Id="rId16" Type="http://schemas.openxmlformats.org/officeDocument/2006/relationships/hyperlink" Target="https://doi.org/10.3389/fspor.2023.1239121" TargetMode="External"/><Relationship Id="rId20" Type="http://schemas.openxmlformats.org/officeDocument/2006/relationships/hyperlink" Target="https://doi.org/10.3390/foods14152613" TargetMode="External"/><Relationship Id="rId29" Type="http://schemas.openxmlformats.org/officeDocument/2006/relationships/hyperlink" Target="https://doi.org/10.1111/bcp.13496" TargetMode="External"/><Relationship Id="rId1" Type="http://schemas.openxmlformats.org/officeDocument/2006/relationships/styles" Target="styles.xml"/><Relationship Id="rId6" Type="http://schemas.openxmlformats.org/officeDocument/2006/relationships/hyperlink" Target="https://doi.org/10.3389/fnut.2025.1524627" TargetMode="External"/><Relationship Id="rId11" Type="http://schemas.openxmlformats.org/officeDocument/2006/relationships/hyperlink" Target="https://doi.org/10.3390/ph16040515" TargetMode="External"/><Relationship Id="rId24" Type="http://schemas.openxmlformats.org/officeDocument/2006/relationships/hyperlink" Target="https://doi.org/10.3390/biomedicines9101476" TargetMode="External"/><Relationship Id="rId32" Type="http://schemas.openxmlformats.org/officeDocument/2006/relationships/hyperlink" Target="https://doi.org/10.4300/JGME-D-22-00480.1" TargetMode="External"/><Relationship Id="rId37" Type="http://schemas.openxmlformats.org/officeDocument/2006/relationships/hyperlink" Target="https://doi.org/10.3390/nu15173842" TargetMode="External"/><Relationship Id="rId40" Type="http://schemas.openxmlformats.org/officeDocument/2006/relationships/theme" Target="theme/theme1.xml"/><Relationship Id="rId5" Type="http://schemas.openxmlformats.org/officeDocument/2006/relationships/hyperlink" Target="https://doi.org/10.1002/fsn3.70872" TargetMode="External"/><Relationship Id="rId15" Type="http://schemas.openxmlformats.org/officeDocument/2006/relationships/hyperlink" Target="https://doi.org/10.1179/2047480615Z.000000000329" TargetMode="External"/><Relationship Id="rId23" Type="http://schemas.openxmlformats.org/officeDocument/2006/relationships/hyperlink" Target="https://doi.org/10.3390/antiox14040388" TargetMode="External"/><Relationship Id="rId28" Type="http://schemas.openxmlformats.org/officeDocument/2006/relationships/hyperlink" Target="https://doi.org/10.3390/nano14030313" TargetMode="External"/><Relationship Id="rId36" Type="http://schemas.openxmlformats.org/officeDocument/2006/relationships/hyperlink" Target="https://doi.org/10.3390/nu16234206" TargetMode="External"/><Relationship Id="rId10" Type="http://schemas.openxmlformats.org/officeDocument/2006/relationships/hyperlink" Target="https://doi.org/10.1016/j.phrs.2021.106001" TargetMode="External"/><Relationship Id="rId19" Type="http://schemas.openxmlformats.org/officeDocument/2006/relationships/hyperlink" Target="https://doi.org/10.24926/iip.v14i1.4989" TargetMode="External"/><Relationship Id="rId31" Type="http://schemas.openxmlformats.org/officeDocument/2006/relationships/hyperlink" Target="https://doi.org/10.3389/fnut.2022.1124487" TargetMode="External"/><Relationship Id="rId4" Type="http://schemas.openxmlformats.org/officeDocument/2006/relationships/hyperlink" Target="https://doi.org/10.3389/fimmu.2023.1186635" TargetMode="External"/><Relationship Id="rId9" Type="http://schemas.openxmlformats.org/officeDocument/2006/relationships/hyperlink" Target="https://doi.org/10.1016/j.advnut.2025.100383" TargetMode="External"/><Relationship Id="rId14" Type="http://schemas.openxmlformats.org/officeDocument/2006/relationships/hyperlink" Target="https://doi.org/10.3390/nu13010204" TargetMode="External"/><Relationship Id="rId22" Type="http://schemas.openxmlformats.org/officeDocument/2006/relationships/hyperlink" Target="https://doi.org/10.1007/s00394-025-03618-9" TargetMode="External"/><Relationship Id="rId27" Type="http://schemas.openxmlformats.org/officeDocument/2006/relationships/hyperlink" Target="https://doi.org/10.3390/nu17091529" TargetMode="External"/><Relationship Id="rId30" Type="http://schemas.openxmlformats.org/officeDocument/2006/relationships/hyperlink" Target="https://doi.org/10.1111/1541-4337.70222" TargetMode="External"/><Relationship Id="rId35" Type="http://schemas.openxmlformats.org/officeDocument/2006/relationships/hyperlink" Target="https://doi.org/10.1016/j.focha.2024.100749" TargetMode="External"/><Relationship Id="rId8" Type="http://schemas.openxmlformats.org/officeDocument/2006/relationships/hyperlink" Target="https://doi.org/10.24926/iip.v12i2.3694"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7740</Words>
  <Characters>44121</Characters>
  <Application>Microsoft Office Word</Application>
  <DocSecurity>0</DocSecurity>
  <Lines>367</Lines>
  <Paragraphs>103</Paragraphs>
  <ScaleCrop>false</ScaleCrop>
  <Company>HP</Company>
  <LinksUpToDate>false</LinksUpToDate>
  <CharactersWithSpaces>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Editor-90</cp:lastModifiedBy>
  <cp:revision>7</cp:revision>
  <dcterms:created xsi:type="dcterms:W3CDTF">2026-07-14T18:08:00Z</dcterms:created>
  <dcterms:modified xsi:type="dcterms:W3CDTF">2026-07-20T08:17:00Z</dcterms:modified>
</cp:coreProperties>
</file>