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C4A9" w14:textId="77777777" w:rsidR="008B7631" w:rsidRPr="008B7631" w:rsidRDefault="008B7631" w:rsidP="00F454DA">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8B7631">
        <w:rPr>
          <w:rFonts w:ascii="Times New Roman" w:eastAsia="Times New Roman" w:hAnsi="Times New Roman" w:cs="Times New Roman"/>
          <w:b/>
          <w:bCs/>
          <w:i/>
          <w:iCs/>
          <w:sz w:val="36"/>
          <w:szCs w:val="36"/>
          <w:u w:val="single"/>
          <w:lang w:val="en-US" w:eastAsia="en-GB"/>
        </w:rPr>
        <w:t>Review Article</w:t>
      </w:r>
    </w:p>
    <w:p w14:paraId="636188B8" w14:textId="77777777" w:rsidR="00643D6C" w:rsidRPr="00643D6C" w:rsidRDefault="00643D6C" w:rsidP="00F454D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643D6C">
        <w:rPr>
          <w:rFonts w:ascii="Times New Roman" w:eastAsia="Times New Roman" w:hAnsi="Times New Roman" w:cs="Times New Roman"/>
          <w:b/>
          <w:bCs/>
          <w:sz w:val="36"/>
          <w:szCs w:val="36"/>
          <w:lang w:eastAsia="en-GB"/>
        </w:rPr>
        <w:t>Nasal In-Situ Nanospanlastic Gels for Nose-to-Systemic Drug Delivery: A Critical Review</w:t>
      </w:r>
    </w:p>
    <w:p w14:paraId="2FC6E877"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Abstract</w:t>
      </w:r>
    </w:p>
    <w:p w14:paraId="7CD0ED1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Intranasal administration has re-emerged as a pharmaceutically attractive non-invasive route for systemic and central nervous system drug delivery, owing to the high vascularity and permeability of the nasal mucosa and its capacity to circumvent hepatic first-pass metabolism. Among the carrier technologies developed to overcome the principal limitations of this route, namely rapid mucociliary clearance and restricted membrane permeability, spanlastic nanovesicles have attracted sustained interest because their deformable bilayer, conferred by an edge activator, allows efficient accommodation within the narrow intercellular spaces of the nasal epithelium. When such vesicles are dispersed within a stimuli-responsive in situ gelling matrix, the resulting nanospanlastic in situ gel combines nanoscale carrier flexibility with prolonged mucosal residence, addressing two of the most persistent formulation bottlenecks simultaneously. This review synthesises the pharmaceutical rationale, formulation composition, preparation methodologies, optimisation strategies and preclinical evidence base for nasal in situ nanospanlastic gels intended for systemic and brain-targeted delivery. Particular attention is given to the physicochemical interplay between spanlastic vesicle characteristics and gelling polymer selection, to the design-of-experiments approaches used to optimise such multicomponent systems, and to the biopharmaceutical, safety and regulatory considerations that will determine their translational trajectory. The available preclinical data, spanning drugs as diverse as cilostazol, carbamazepine, rasagiline, flibanserin, piperine, lamotrigine and granisetron, consistently demonstrate improved nasal residence, enhanced permeability and superior central or systemic bioavailability relative to conventional nasal solutions. Nonetheless, the field remains almost entirely preclinical, and questions of manufacturing scalability, long-term physical stability, and human translational relevance are only beginning to be addressed. The review closes by identifying priority research directions and articulating the principal limitations of the current evidence base.</w:t>
      </w:r>
    </w:p>
    <w:p w14:paraId="7624F069"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Keywords:</w:t>
      </w:r>
      <w:r w:rsidRPr="00643D6C">
        <w:rPr>
          <w:rFonts w:ascii="Times New Roman" w:eastAsia="Times New Roman" w:hAnsi="Times New Roman" w:cs="Times New Roman"/>
          <w:sz w:val="24"/>
          <w:szCs w:val="24"/>
          <w:lang w:eastAsia="en-GB"/>
        </w:rPr>
        <w:t xml:space="preserve"> spanlastics; nanovesicles; in situ gel; nose-to-brain delivery; intranasal drug delivery; mucoadhesion; edge activator; nasal drug targeting</w:t>
      </w:r>
    </w:p>
    <w:p w14:paraId="0227D0A1"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4C7B53EE"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 Introduction</w:t>
      </w:r>
    </w:p>
    <w:p w14:paraId="324FA815"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1.1 Background and rationale</w:t>
      </w:r>
    </w:p>
    <w:p w14:paraId="74EB9454" w14:textId="09A7B7D2" w:rsidR="00EC6F05" w:rsidRPr="00F454DA"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intranasal route has undergone a marked reappraisal over the past decade, moving from a niche option for locally acting decongestants and corticosteroids to a serious candidate for systemic and central nervous system (CNS) drug delivery. The nasal mucosa presents a large surface area, a dense vascular network beneath a relatively thin epithelium, and direct anatomical continuity with the CNS through the olfactory and trigeminal nerve pathways, all of which combine to make this route attractive for drugs that suffer from poor oral </w:t>
      </w:r>
      <w:r w:rsidRPr="00643D6C">
        <w:rPr>
          <w:rFonts w:ascii="Times New Roman" w:eastAsia="Times New Roman" w:hAnsi="Times New Roman" w:cs="Times New Roman"/>
          <w:sz w:val="24"/>
          <w:szCs w:val="24"/>
          <w:lang w:eastAsia="en-GB"/>
        </w:rPr>
        <w:lastRenderedPageBreak/>
        <w:t>bioavailability, extensive hepatic first-pass metabolism, or restricted access across the blood–brain barrier (BBB) (Drath et al., 2025). Two therapeutic aims are commonly pursued through nasal administration: nose-to-systemic delivery, in which the nasal mucosa functions principally as an absorptive surface analogous to, but faster acting than, the gastrointestinal tract, and nose-to-brain delivery, in which drug transport proceeds along olfactory and trigeminal neuronal and perineuronal pathways that bypass the BBB altogether (Drath et al., 2025; Meredith et al., 2015). Nasal delivery of larger and more fragile macromolecular payloads, including nucleic acid-based therapeutics, has also been explored as a further extension of this same anatomical rationale, illustrating the breadth of cargo types now being investigated via the nose-to-brain route (Fachel et al., 2025).</w:t>
      </w:r>
      <w:r w:rsidR="00F454DA">
        <w:rPr>
          <w:rFonts w:ascii="Times New Roman" w:eastAsia="Times New Roman" w:hAnsi="Times New Roman" w:cs="Times New Roman"/>
          <w:sz w:val="24"/>
          <w:szCs w:val="24"/>
          <w:lang w:eastAsia="en-GB"/>
        </w:rPr>
        <w:t xml:space="preserve"> </w:t>
      </w:r>
      <w:r w:rsidRPr="00F454DA">
        <w:rPr>
          <w:bCs/>
          <w:highlight w:val="yellow"/>
        </w:rPr>
        <w:t>A recent field-level analysis further indicates that intranasal drug-delivery research increasingly integrates local, systemic and central nervous system applications, with nanocarrier-enabled targeting and dosage-form optimisation emerging as prominent development themes (Xu et al., 2024).</w:t>
      </w:r>
    </w:p>
    <w:p w14:paraId="60EB24F1" w14:textId="7AB4841A" w:rsidR="00EC6F05"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Despite this anatomical promise, the clinical exploitation of the nasal route has long been constrained by two interlinked formulation problems. First, mucociliary clearance removes conventional nasal solutions from the absorptive surface within roughly fifteen to twenty minutes, leaving an unfavourably short contact time for drug permeation (Weyers et al., 2022). Second, the nasal epithelium, while more permeable than skin, still imposes a meaningful barrier to hydrophilic and high-molecular-weight therapeutic agents, so that unmodified aqueous solutions frequently achieve only modest absorption (Trows et al., 2014). Overcoming both constraints simultaneously, without resorting to harsh permeation enhancers that can compromise ciliary function, has become a central preoccupation of nasal formulation science.</w:t>
      </w:r>
      <w:r w:rsidR="00F454DA">
        <w:rPr>
          <w:rFonts w:ascii="Times New Roman" w:eastAsia="Times New Roman" w:hAnsi="Times New Roman" w:cs="Times New Roman"/>
          <w:sz w:val="24"/>
          <w:szCs w:val="24"/>
          <w:lang w:eastAsia="en-GB"/>
        </w:rPr>
        <w:t xml:space="preserve"> </w:t>
      </w:r>
      <w:r w:rsidRPr="00F454DA">
        <w:rPr>
          <w:bCs/>
          <w:highlight w:val="yellow"/>
        </w:rPr>
        <w:t>Current biopharmaceutical analyses also emphasise that nanoparticle performance depends on sequential interactions with nasal mucus, the epithelium and the lamina propria, rather than on carrier size alone (Chen et al., 2024).</w:t>
      </w:r>
    </w:p>
    <w:p w14:paraId="37F52098"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1.2 Nose-to-brain and nose-to-systemic delivery: mechanistic basis</w:t>
      </w:r>
    </w:p>
    <w:p w14:paraId="51F04866"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Drug transport following nasal deposition can proceed by several parallel routes. Molecules deposited over the richly vascularised respiratory epithelium are absorbed into the systemic circulation and may subsequently cross the BBB if their physicochemical properties permit, while molecules reaching the narrower olfactory region at the roof of the nasal cavity can access the CNS directly through intracellular axonal transport within olfactory neurons or through extracellular pathways along perivascular and perineural channels associated with the olfactory and trigeminal nerves (Drath et al., 2025). The relative contribution of each pathway depends on the site of deposition, the physicochemical properties of the drug and carrier, and the residence time available before mucociliary clearance intervenes (Drath et al., 2025). Carrier systems that are simultaneously small enough to be endocytosed by olfactory and trigeminal axons, sufficiently mucoadhesive to resist premature clearance, and capable of protecting a labile drug from local enzymatic degradation are therefore positioned to exploit both systemic and direct CNS transport mechanisms (Meredith et al., 2015).</w:t>
      </w:r>
    </w:p>
    <w:p w14:paraId="17A53DF0" w14:textId="0A098E7C" w:rsidR="00EC6F05" w:rsidRPr="00F454DA"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Vesicular nanocarriers occupy a distinctive niche among the technologies developed for this purpose. Liposomes and niosomes were the earliest colloidal vesicular systems applied to nasal delivery, but their comparatively rigid bilayers restrict passage through the narrow intercellular channels of the nasal epithelium and often compromise long-term physical stability (Nadim et al., 2025). Spanlastic nanovesicles were developed specifically to address this rigidity: replacing the cholesterol component of a conventional niosome with a single-chain surfactant termed an edge activator introduces a zone of curvature instability into the </w:t>
      </w:r>
      <w:r w:rsidRPr="00643D6C">
        <w:rPr>
          <w:rFonts w:ascii="Times New Roman" w:eastAsia="Times New Roman" w:hAnsi="Times New Roman" w:cs="Times New Roman"/>
          <w:sz w:val="24"/>
          <w:szCs w:val="24"/>
          <w:lang w:eastAsia="en-GB"/>
        </w:rPr>
        <w:lastRenderedPageBreak/>
        <w:t>bilayer, rendering the vesicle elastic and deformable while retaining the amphiphilic architecture needed to entrap both hydrophilic and lipophilic drugs (Nadim et al., 2025). This deformability allows spanlastics to squeeze through nasal mucosal pores considerably smaller than their own resting diameter, a property that has been exploited across ocular, transdermal, buccal and, increasingly, nasal routes of administration (Alharbi et al., 2022).</w:t>
      </w:r>
      <w:r w:rsidR="00F454DA">
        <w:rPr>
          <w:rFonts w:ascii="Times New Roman" w:eastAsia="Times New Roman" w:hAnsi="Times New Roman" w:cs="Times New Roman"/>
          <w:sz w:val="24"/>
          <w:szCs w:val="24"/>
          <w:lang w:eastAsia="en-GB"/>
        </w:rPr>
        <w:t xml:space="preserve"> </w:t>
      </w:r>
      <w:r w:rsidRPr="00F454DA">
        <w:rPr>
          <w:bCs/>
          <w:highlight w:val="yellow"/>
        </w:rPr>
        <w:t>Recent translational synthesis similarly identifies coordinated optimisation of nasal retention, epithelial transport, cargo protection and release within the brain as interdependent design requirements for intranasal nanocarrier systems (Morim et al., 2026).</w:t>
      </w:r>
    </w:p>
    <w:p w14:paraId="4A98E71B" w14:textId="7917A848" w:rsidR="00EC6F05" w:rsidRPr="00F454DA"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Coupling spanlastic vesicles with an in situ gelling vehicle addresses the residence-time problem independently of the permeability problem that the vesicle itself resolves. In situ gelling systems are administered as free-flowing liquids that undergo a sol-to-gel phase transition upon contact with the nasal mucosa, triggered by temperature, pH or the ionic composition of nasal secretions, and the resulting semisolid matrix substantially prolongs mucosal contact time relative to a simple solution or dispersion (Salamah et al., 2025). When spanlastic vesicles are embedded within such a matrix, the vesicles are retained at the absorptive surface for longer, increasing the cumulative opportunity for permeation while the gel itself contributes additional mucoadhesive and viscosity-modifying properties (Salamah et al., 2025; Menshutina et al., 2025).</w:t>
      </w:r>
      <w:r w:rsidR="00F454DA">
        <w:rPr>
          <w:rFonts w:ascii="Times New Roman" w:eastAsia="Times New Roman" w:hAnsi="Times New Roman" w:cs="Times New Roman"/>
          <w:sz w:val="24"/>
          <w:szCs w:val="24"/>
          <w:lang w:eastAsia="en-GB"/>
        </w:rPr>
        <w:t xml:space="preserve"> </w:t>
      </w:r>
      <w:r w:rsidRPr="00F454DA">
        <w:rPr>
          <w:bCs/>
          <w:highlight w:val="yellow"/>
        </w:rPr>
        <w:t>Within in situ gel technologies, recent evidence concerning ion-triggered gellan-gum systems supports their capacity to prolong nasal residence and facilitate brain-oriented delivery, while also underscoring the need to balance gel strength against drug diffusion (Garg &amp; Lavania, 2024).</w:t>
      </w:r>
    </w:p>
    <w:p w14:paraId="66E6D0B8"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1.3 Scope, research gap and objectives</w:t>
      </w:r>
    </w:p>
    <w:p w14:paraId="3FE221D9"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present review addresses the specific convergence of spanlastic nanovesicle technology with in situ gelling systems for nasal application, a combination that has been explored in a growing but still fragmented body of preclinical literature spanning cerebrovascular agents, antiepileptics, antiemetics, migraine therapeutics and other CNS- or systemically-acting drugs. Although individual reviews exist on spanlastics as a general vesicular platform and on nasal in situ gels as a delivery vehicle, no prior synthesis has specifically integrated the formulation science of the combined nanospanlastic in situ gel system, examined its optimisation through design-of-experiments approaches, or critically appraised the consistency of the preclinical evidence across drug classes. This represents a meaningful gap, because the physicochemical interaction between a deformable vesicle and a gelling polymer matrix, including effects on vesicle stability, drug release kinetics and mucoadhesive force, cannot be inferred simply by summing the properties of the two components in isolation. The objectives of this review are, accordingly, threefold: to describe the compositional and mechanistic basis of nasal nanospanlastic in situ gels; to critically appraise the preclinical evidence for their performance in nose-to-systemic and nose-to-brain delivery across a range of therapeutic agents; and to identify the translational, safety and regulatory considerations that will shape the future development of this delivery platform.</w:t>
      </w:r>
    </w:p>
    <w:p w14:paraId="61395719"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6FCF4F0B"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2. Methods for Literature Selection</w:t>
      </w:r>
    </w:p>
    <w:p w14:paraId="7F184796"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2.1 Databases searched</w:t>
      </w:r>
    </w:p>
    <w:p w14:paraId="617F4997"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A structured literature search was conducted across Web of Science, Scopus, Google Scholar and PubMed, supplemented by five field-specific indexing resources considered appropriate to pharmaceutical nanotechnology and drug delivery science: ScienceDirect, SpringerLink, Wiley Online Library, the Directory of Open Access Journals, and the MDPI journal platform. These supplementary sources were selected because a substantial proportion of contemporary spanlastic and nasal in situ gel research is published in specialist pharmaceutics journals indexed across these platforms, and reliance on the four principal databases alone risked omitting recent, highly relevant primary studies.</w:t>
      </w:r>
    </w:p>
    <w:p w14:paraId="6B3708AF"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2.2 Search strategy and time frame</w:t>
      </w:r>
    </w:p>
    <w:p w14:paraId="395511D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Search strings combined the core technological term ("spanlastic*" OR "elastic niosome*" OR "nanospanlastic*") with formulation and route descriptors ("in situ gel*" OR "thermosensitive gel*" OR "mucoadhesive gel*") and route/target descriptors ("nasal" OR "intranasal" OR "nose-to-brain" OR "nose to brain"), using Boolean operators and truncation appropriate to each platform's syntax. Supplementary searches addressed component technologies, including "poloxamer 407 nasal", "chitosan in situ gel nasal", "Box-Behnken nanoparticle optimisation", and "nasal mucociliary clearance", to ensure adequate coverage of the underlying formulation science. The literature search covered the period from 2011 to 30 March 2026. The lower boundary of 2011 was chosen because this period coincides with the earliest systematic description and pharmaceutical characterisation of spanlastic vesicles as a distinct carrier class, meaning that literature published before this date offers little of direct relevance to the technology under review; a small number of older foundational references on vesicle biophysics and niosome pharmacology were retained where they provide mechanistic grounding not superseded by more recent work.</w:t>
      </w:r>
    </w:p>
    <w:p w14:paraId="0F995CAA"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2.3 Inclusion and exclusion criteria</w:t>
      </w:r>
    </w:p>
    <w:p w14:paraId="0984A227"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Studies were included if they reported original formulation, characterisation, optimisation or in vivo evaluation data for spanlastic or structurally related deformable nanovesicles incorporated into a nasal in situ gelling system, or if they provided methodologically or mechanistically relevant background on nasal anatomy, mucociliary physiology, vesicular drug delivery, or design-of-experiments approaches applicable to pharmaceutical nanoformulation. Peer-reviewed original research articles and narrative or systematic reviews published in indexed journals were eligible. Authoritative regulatory guidance addressing nasal product performance testing was also considered where it bore directly on formulation evaluation. Books, conference proceedings, unpublished theses, preprints, patents, and trade or promotional publications were excluded, as were non-peer-reviewed sources and articles not available in English. Studies addressing spanlastics for non-nasal routes, such as ocular, transdermal or oral delivery, were retained selectively where they illustrated general formulation or mechanistic principles transferable to the nasal context, but were not treated as primary evidence for nasal performance.</w:t>
      </w:r>
    </w:p>
    <w:p w14:paraId="404D7514"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2.4 Rationale for narrative review approach</w:t>
      </w:r>
    </w:p>
    <w:p w14:paraId="769161F8"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A narrative rather than systematic review methodology was adopted for this synthesis. The underlying literature on nasal nanospanlastic in situ gels is heterogeneous in design, comprising small preclinical formulation studies that vary widely in drug substance, animal model, outcome measure and reporting standard, a pattern that is poorly suited to the pooled quantitative synthesis and narrowly framed research question that a systematic review or </w:t>
      </w:r>
      <w:r w:rsidRPr="00643D6C">
        <w:rPr>
          <w:rFonts w:ascii="Times New Roman" w:eastAsia="Times New Roman" w:hAnsi="Times New Roman" w:cs="Times New Roman"/>
          <w:sz w:val="24"/>
          <w:szCs w:val="24"/>
          <w:lang w:eastAsia="en-GB"/>
        </w:rPr>
        <w:lastRenderedPageBreak/>
        <w:t>meta-analysis requires (Sukhera, 2022). A narrative approach instead permits integration of formulation chemistry, optimisation methodology and preclinical pharmacology into a coherent technological account, situating individual studies within a broader mechanistic and translational context rather than reducing them to comparable numerical endpoints (Sukhera, 2022; Furley &amp; Goldschmied, 2021). This choice reflects an established distinction in the methodological literature between systematic reviews, which are best suited to answering narrowly defined, comparable clinical or empirical questions, and narrative reviews, which are more appropriate for synthesising and critiquing a conceptually diverse and rapidly evolving technical field such as this one (Furley &amp; Goldschmied, 2021).</w:t>
      </w:r>
    </w:p>
    <w:p w14:paraId="426861E7" w14:textId="77777777" w:rsidR="00643D6C" w:rsidRPr="00643D6C" w:rsidRDefault="00643D6C" w:rsidP="00F454D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2.5 Screening workflow and study selection</w:t>
      </w:r>
    </w:p>
    <w:p w14:paraId="3980A9AB"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Titles and abstracts retrieved from each database were screened for relevance to the combined technology of spanlastic vesicles and nasal in situ gelling systems, or to closely related formulation and mechanistic themes identified in Section 2.3. Duplicate records arising from overlapping database coverage were identified by comparison of title, author list and publication year and were retained only once. Full texts of records passing title and abstract screening were then examined in detail to confirm methodological adequacy and topical relevance, with particular attention paid to studies reporting complete formulation composition, characterisation data and, where applicable, in vivo pharmacokinetic or pharmacodynamic outcomes. Language was restricted to English throughout. Where several publications addressed formulation of the same drug substance by the same research group, the most methodologically complete and most recent report was prioritised as the primary source, with earlier reports cited only where they contributed distinct mechanistic or comparative information. Where full bibliographic metadata, in particular verified authorship, could not be confirmed for an otherwise relevant study, that study was excluded from citation rather than referenced incompletely. This approach, while not exhaustive in the manner of a systematic review, was designed to identify the influential and representative studies that define the current state of the field.</w:t>
      </w:r>
    </w:p>
    <w:p w14:paraId="17F9DB4B"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675E7B60"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3. Nasal Anatomy, Physiology and Barriers to Drug Delivery</w:t>
      </w:r>
    </w:p>
    <w:p w14:paraId="2EAFF562"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human nasal cavity is functionally divided into the vestibular, respiratory and olfactory regions, each contributing differently to drug absorption. The respiratory region, which constitutes the largest proportion of the nasal cavity, is lined by a pseudostratified ciliated epithelium overlying a densely vascularised lamina propria, and it is chiefly responsible for rapid systemic absorption of drugs deposited within it (Drath et al., 2025). The olfactory region, situated at the roof of the nasal cavity and considerably smaller in surface area, contains bipolar sensory neurons whose axons traverse the cribriform plate to synapse in the olfactory bulb, and it is this anatomical arrangement that provides the principal direct conduit from the nasal cavity to the CNS (Drath et al., 2025). The trigeminal nerve, which innervates both the respiratory and olfactory epithelia, offers a further, generally slower, route to the brainstem and deeper brain structures (Drath et al., 2025).</w:t>
      </w:r>
    </w:p>
    <w:p w14:paraId="2F656C78"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Three physiological barriers must be reconciled by any nasal formulation aiming for systemic or CNS delivery. The first is mucociliary clearance, whereby the coordinated beating of epithelial cilia propels the overlying mucus layer, and any dissolved or dispersed drug within it, towards the nasopharynx for swallowing within approximately fifteen minutes of </w:t>
      </w:r>
      <w:r w:rsidRPr="00643D6C">
        <w:rPr>
          <w:rFonts w:ascii="Times New Roman" w:eastAsia="Times New Roman" w:hAnsi="Times New Roman" w:cs="Times New Roman"/>
          <w:sz w:val="24"/>
          <w:szCs w:val="24"/>
          <w:lang w:eastAsia="en-GB"/>
        </w:rPr>
        <w:lastRenderedPageBreak/>
        <w:t>deposition (Weyers et al., 2022). The second is the enzymatic and efflux barrier presented by the nasal epithelium itself, which, while considerably less extensive than hepatic first-pass metabolism, is nonetheless capable of degrading susceptible drug substances locally. The third is the physical permeability barrier of the epithelium and its tight junctions, which restricts paracellular transport of hydrophilic and macromolecular agents in particular (Trows et al., 2014). Formulation strategies addressing nasal delivery must therefore simultaneously extend residence time against clearance, protect the drug from local degradation, and enhance transcellular or paracellular permeability, a combination of requirements that few single-component delivery systems can satisfy on their own (Formica et al., 2022).</w:t>
      </w:r>
    </w:p>
    <w:p w14:paraId="60FF1674"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Regulatory and quality guidance for nasal spray products further specifies that formulations intended for deposition beyond the anterior vestibule should generate droplets with a median volume diameter in the region of twenty to two hundred micrometres, since droplets smaller than approximately ten micrometres risk inhalation into the lower respiratory tract while excessively large droplets are deposited anteriorly and cleared without meaningful absorption (Trows et al., 2014). These physical spray-performance characteristics, alongside gelation temperature, viscosity and mucoadhesive force, constitute the principal quality attributes against which nasal in situ gel formulations, including nanospanlastic systems, must be evaluated.</w:t>
      </w:r>
    </w:p>
    <w:p w14:paraId="350D3855"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5736E6B3"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4. Spanlastic Nanovesicles: Composition, Structure and Mechanism of Action</w:t>
      </w:r>
    </w:p>
    <w:p w14:paraId="703D485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 nanovesicles are colloidal bilayer structures composed of a non-ionic surfactant, most commonly a member of the sorbitan ester (Span) family, combined with a second, more hydrophilic surfactant acting as an edge activator, typically a polysorbate such as Tween 20, Tween 60 or Tween 80 (Nadim et al., 2025). Unlike conventional niosomes, in which cholesterol rigidifies the bilayer and confers stability, spanlastics substitute the edge activator for cholesterol, and this component preferentially partitions into regions of high bilayer curvature, destabilising the membrane locally and conferring the elasticity that gives the carrier its name (Elsaied et al., 2019). The biophysical basis of this curvature-driven instability is consistent with more general principles of amphiphilic bilayer self-assembly and deformation described for giant vesicle model systems (Dimova et al., 2006). The resulting vesicles can deform under an applied stress sufficiently to pass through pores considerably narrower than their own equilibrium diameter, a property directly analogous to the mechanism proposed for ultradeformable transfersomes in transdermal delivery, and it is this deformability that is thought to underlie the enhanced mucosal permeation reported for spanlastic-based nasal formulations relative to rigid niosomal or liposomal comparators (Nadim et al., 2025).</w:t>
      </w:r>
    </w:p>
    <w:p w14:paraId="7A0D910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choice and ratio of surfactant to edge activator exert a dominant influence over vesicle size, entrapment efficiency and surface charge. Span 60, with its relatively high hydrophile–lipophile balance transition temperature and long saturated alkyl chain, is frequently selected as the vesicle-forming surfactant because it confers favourable bilayer rigidity and reduces premature drug leakage, while Tween 80 is a commonly preferred edge activator owing to its short, flexible polyoxyethylene chain and unsaturated alkyl tail, both of which promote the fluidity required for elasticity without destabilising the vesicle to the point of collapse (Salamah et al., 2025). Reported optimal ratios of surfactant to edge activator vary somewhat by drug and preparation method, but ratios in the region of eighty to twenty percent by </w:t>
      </w:r>
      <w:r w:rsidRPr="00643D6C">
        <w:rPr>
          <w:rFonts w:ascii="Times New Roman" w:eastAsia="Times New Roman" w:hAnsi="Times New Roman" w:cs="Times New Roman"/>
          <w:sz w:val="24"/>
          <w:szCs w:val="24"/>
          <w:lang w:eastAsia="en-GB"/>
        </w:rPr>
        <w:lastRenderedPageBreak/>
        <w:t>weight recur across several independent formulation studies (Salamah et al., 2025). Penetration enhancers such as oleic acid are sometimes incorporated within the bilayer in addition to the primary surfactant pair, serving a dual function as both a component of vesicle architecture and an agent that further fluidises the nasal epithelial membrane to facilitate transcellular transport (Salamah et al., 2025).</w:t>
      </w:r>
    </w:p>
    <w:p w14:paraId="75821FA5" w14:textId="77777777" w:rsidR="00643D6C" w:rsidRDefault="00643D6C" w:rsidP="00F454DA">
      <w:pPr>
        <w:spacing w:before="100" w:beforeAutospacing="1" w:after="100" w:afterAutospacing="1" w:line="240" w:lineRule="auto"/>
        <w:jc w:val="both"/>
      </w:pPr>
      <w:r>
        <w:t>The versatility of this deformable architecture is not confined to the nasal route. Spanlastic elasticity has also been exploited to enhance ocular permeation of poorly soluble antifungal agents such as clotrimazole (Abdelbari et al., 2021) and to improve the oral bioavailability of poorly absorbed natural compounds such as epigallocatechin gallate through nanospanlastic encapsulation (</w:t>
      </w:r>
      <w:r>
        <w:rPr>
          <w:rStyle w:val="Strong"/>
        </w:rPr>
        <w:t>Mazyed et al., 2021</w:t>
      </w:r>
      <w:r>
        <w:t>), illustrating the applicability of the same deformable-vesicle principle across mucosal barriers of differing permeability. Related elastic, non-ionic surfactant-based vesicles have also been applied to gene delivery, where elastic cationic niosomes enhanced expression of a loaded reporter gene relative to more conventional vesicular carriers (Khositsuntiwong et al., 2012), underscoring the broader applicability of deformable vesicular architecture beyond small-molecule drug delivery. More generally, nanovesicular carriers of this class have also been reported to enhance the oral bioavailability of poorly absorbed drugs (Ren et al., 2022), reinforcing the generalisability of vesicular deformability as a permeation-enhancing principle across administration routes.</w:t>
      </w:r>
    </w:p>
    <w:p w14:paraId="1C04F64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Table 1 summarises representative compositions and physicochemical outcomes reported for spanlastic formulations intended for nasal or nose-to-brain application, illustrating the consistency of the general design principle across diverse drug substances while also highlighting the sensitivity of vesicle size, entrapment efficiency and zeta potential to comparatively modest changes in composition.</w:t>
      </w:r>
    </w:p>
    <w:p w14:paraId="0567D217"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Table 1. Representative compositions and physicochemical characteristics of spanlastic nanovesicles developed for nasal and nose-to-brain delivery</w:t>
      </w:r>
    </w:p>
    <w:tbl>
      <w:tblPr>
        <w:tblStyle w:val="TableGrid"/>
        <w:tblW w:w="0" w:type="auto"/>
        <w:tblLook w:val="04A0" w:firstRow="1" w:lastRow="0" w:firstColumn="1" w:lastColumn="0" w:noHBand="0" w:noVBand="1"/>
      </w:tblPr>
      <w:tblGrid>
        <w:gridCol w:w="1627"/>
        <w:gridCol w:w="1213"/>
        <w:gridCol w:w="1187"/>
        <w:gridCol w:w="1389"/>
        <w:gridCol w:w="1414"/>
        <w:gridCol w:w="1414"/>
        <w:gridCol w:w="998"/>
      </w:tblGrid>
      <w:tr w:rsidR="00643D6C" w:rsidRPr="00643D6C" w14:paraId="3841DE79" w14:textId="77777777" w:rsidTr="00981AA8">
        <w:tc>
          <w:tcPr>
            <w:tcW w:w="0" w:type="auto"/>
            <w:hideMark/>
          </w:tcPr>
          <w:p w14:paraId="7AF371DA"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Drug</w:t>
            </w:r>
          </w:p>
        </w:tc>
        <w:tc>
          <w:tcPr>
            <w:tcW w:w="0" w:type="auto"/>
            <w:hideMark/>
          </w:tcPr>
          <w:p w14:paraId="6863AC8F"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Vesicle-forming surfactant</w:t>
            </w:r>
          </w:p>
        </w:tc>
        <w:tc>
          <w:tcPr>
            <w:tcW w:w="0" w:type="auto"/>
            <w:hideMark/>
          </w:tcPr>
          <w:p w14:paraId="52DFC73C"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Edge activator</w:t>
            </w:r>
          </w:p>
        </w:tc>
        <w:tc>
          <w:tcPr>
            <w:tcW w:w="0" w:type="auto"/>
            <w:hideMark/>
          </w:tcPr>
          <w:p w14:paraId="6DEB281A"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Preparation method</w:t>
            </w:r>
          </w:p>
        </w:tc>
        <w:tc>
          <w:tcPr>
            <w:tcW w:w="0" w:type="auto"/>
            <w:hideMark/>
          </w:tcPr>
          <w:p w14:paraId="716E6F71"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vesicle size (nm)</w:t>
            </w:r>
          </w:p>
        </w:tc>
        <w:tc>
          <w:tcPr>
            <w:tcW w:w="0" w:type="auto"/>
            <w:hideMark/>
          </w:tcPr>
          <w:p w14:paraId="34B647F3"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Entrapment efficiency (%)</w:t>
            </w:r>
          </w:p>
        </w:tc>
        <w:tc>
          <w:tcPr>
            <w:tcW w:w="0" w:type="auto"/>
            <w:hideMark/>
          </w:tcPr>
          <w:p w14:paraId="4FF2FF88"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74280E96" w14:textId="77777777" w:rsidTr="00981AA8">
        <w:tc>
          <w:tcPr>
            <w:tcW w:w="0" w:type="auto"/>
            <w:hideMark/>
          </w:tcPr>
          <w:p w14:paraId="5200882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Cilostazol</w:t>
            </w:r>
          </w:p>
        </w:tc>
        <w:tc>
          <w:tcPr>
            <w:tcW w:w="0" w:type="auto"/>
            <w:hideMark/>
          </w:tcPr>
          <w:p w14:paraId="7974CD0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10E9BB7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 (with oleic acid)</w:t>
            </w:r>
          </w:p>
        </w:tc>
        <w:tc>
          <w:tcPr>
            <w:tcW w:w="0" w:type="auto"/>
            <w:hideMark/>
          </w:tcPr>
          <w:p w14:paraId="71C89F50"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Ethanol injection</w:t>
            </w:r>
          </w:p>
        </w:tc>
        <w:tc>
          <w:tcPr>
            <w:tcW w:w="0" w:type="auto"/>
            <w:hideMark/>
          </w:tcPr>
          <w:p w14:paraId="3894A1E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&lt;300</w:t>
            </w:r>
          </w:p>
        </w:tc>
        <w:tc>
          <w:tcPr>
            <w:tcW w:w="0" w:type="auto"/>
            <w:hideMark/>
          </w:tcPr>
          <w:p w14:paraId="391496E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&gt;99</w:t>
            </w:r>
          </w:p>
        </w:tc>
        <w:tc>
          <w:tcPr>
            <w:tcW w:w="0" w:type="auto"/>
            <w:hideMark/>
          </w:tcPr>
          <w:p w14:paraId="65EDF04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26F134A4" w14:textId="77777777" w:rsidTr="00981AA8">
        <w:tc>
          <w:tcPr>
            <w:tcW w:w="0" w:type="auto"/>
            <w:hideMark/>
          </w:tcPr>
          <w:p w14:paraId="3FC48A2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Rasagiline mesylate</w:t>
            </w:r>
          </w:p>
        </w:tc>
        <w:tc>
          <w:tcPr>
            <w:tcW w:w="0" w:type="auto"/>
            <w:hideMark/>
          </w:tcPr>
          <w:p w14:paraId="71F5B99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7ADD962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21D5DD9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vs. modified spraying</w:t>
            </w:r>
          </w:p>
        </w:tc>
        <w:tc>
          <w:tcPr>
            <w:tcW w:w="0" w:type="auto"/>
            <w:hideMark/>
          </w:tcPr>
          <w:p w14:paraId="24A29CB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0D63989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40E1867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Ali et al. (2023)</w:t>
            </w:r>
          </w:p>
        </w:tc>
      </w:tr>
      <w:tr w:rsidR="00643D6C" w:rsidRPr="00643D6C" w14:paraId="583DF859" w14:textId="77777777" w:rsidTr="00981AA8">
        <w:tc>
          <w:tcPr>
            <w:tcW w:w="0" w:type="auto"/>
            <w:hideMark/>
          </w:tcPr>
          <w:p w14:paraId="0E7D3925"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Flibanserin</w:t>
            </w:r>
          </w:p>
        </w:tc>
        <w:tc>
          <w:tcPr>
            <w:tcW w:w="0" w:type="auto"/>
            <w:hideMark/>
          </w:tcPr>
          <w:p w14:paraId="7505F17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000C745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 (response-surface optimised)</w:t>
            </w:r>
          </w:p>
        </w:tc>
        <w:tc>
          <w:tcPr>
            <w:tcW w:w="0" w:type="auto"/>
            <w:hideMark/>
          </w:tcPr>
          <w:p w14:paraId="78D6E91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w:t>
            </w:r>
          </w:p>
        </w:tc>
        <w:tc>
          <w:tcPr>
            <w:tcW w:w="0" w:type="auto"/>
            <w:hideMark/>
          </w:tcPr>
          <w:p w14:paraId="67B8205E"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1DBEB30E"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37E7F20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Alharbi et al. (2022)</w:t>
            </w:r>
          </w:p>
        </w:tc>
      </w:tr>
      <w:tr w:rsidR="00643D6C" w:rsidRPr="00643D6C" w14:paraId="7590377A" w14:textId="77777777" w:rsidTr="00981AA8">
        <w:tc>
          <w:tcPr>
            <w:tcW w:w="0" w:type="auto"/>
            <w:hideMark/>
          </w:tcPr>
          <w:p w14:paraId="5C6D526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Carbamazepine</w:t>
            </w:r>
          </w:p>
        </w:tc>
        <w:tc>
          <w:tcPr>
            <w:tcW w:w="0" w:type="auto"/>
            <w:hideMark/>
          </w:tcPr>
          <w:p w14:paraId="69005FF0"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4E6D5E7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54CCF03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(2³ factorial design)</w:t>
            </w:r>
          </w:p>
        </w:tc>
        <w:tc>
          <w:tcPr>
            <w:tcW w:w="0" w:type="auto"/>
            <w:hideMark/>
          </w:tcPr>
          <w:p w14:paraId="5529302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2829E3E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6A19A9B3"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Yassin et al. (2019)</w:t>
            </w:r>
          </w:p>
        </w:tc>
      </w:tr>
      <w:tr w:rsidR="00643D6C" w:rsidRPr="00643D6C" w14:paraId="4B14CF6C" w14:textId="77777777" w:rsidTr="00981AA8">
        <w:tc>
          <w:tcPr>
            <w:tcW w:w="0" w:type="auto"/>
            <w:hideMark/>
          </w:tcPr>
          <w:p w14:paraId="38AD426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Piperine</w:t>
            </w:r>
          </w:p>
        </w:tc>
        <w:tc>
          <w:tcPr>
            <w:tcW w:w="0" w:type="auto"/>
            <w:hideMark/>
          </w:tcPr>
          <w:p w14:paraId="69D91F4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49924AB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0C498A2E"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(Box–Behnken design)</w:t>
            </w:r>
          </w:p>
        </w:tc>
        <w:tc>
          <w:tcPr>
            <w:tcW w:w="0" w:type="auto"/>
            <w:hideMark/>
          </w:tcPr>
          <w:p w14:paraId="7C46BA8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152.4</w:t>
            </w:r>
          </w:p>
        </w:tc>
        <w:tc>
          <w:tcPr>
            <w:tcW w:w="0" w:type="auto"/>
            <w:hideMark/>
          </w:tcPr>
          <w:p w14:paraId="406FF47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72.9</w:t>
            </w:r>
          </w:p>
        </w:tc>
        <w:tc>
          <w:tcPr>
            <w:tcW w:w="0" w:type="auto"/>
            <w:hideMark/>
          </w:tcPr>
          <w:p w14:paraId="22023E1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Gupta et al. (2023)</w:t>
            </w:r>
          </w:p>
        </w:tc>
      </w:tr>
    </w:tbl>
    <w:p w14:paraId="78663E9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vesicle sizes and entrapment efficiencies reported across these studies are broadly consistent with the ranges considered favourable for nose-to-brain delivery, since particles below approximately three hundred nanometres are generally regarded as capable of transiting the olfactory pathway and accessing the brain following intranasal administration (Salamah et al., 2025). Zeta potential, whether strongly negative or, where chitosan-based components are present, positive, is likewise consistently reported as a determinant of colloidal stability, with values exceeding an absolute magnitude of approximately thirty millivolts generally associated with resistance to aggregation during storage (Salamah et al., 2025).</w:t>
      </w:r>
    </w:p>
    <w:p w14:paraId="057D322E"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2EFACF13"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5. Methods of Spanlastic Preparation and Physicochemical Characterisation</w:t>
      </w:r>
    </w:p>
    <w:p w14:paraId="66E6E6DD"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Two preparation techniques dominate the spanlastic formulation literature: thin-film hydration and ethanol injection, with a modified spraying technique also reported as a scalable alternative in more recent work. In thin-film hydration, the surfactant and edge activator are dissolved in a volatile organic solvent, which is then removed under reduced pressure to leave a thin lipid film on the wall of a rotating flask; hydration of this film with an aqueous phase containing the drug generates multilamellar vesicles, which are subsequently reduced in size and lamellarity by sonication or extrusion (Gupta et al., 2023). Ethanol injection instead involves dissolving the surfactant components and drug in ethanol and injecting this organic phase directly into a preheated aqueous solution of the edge activator under continuous stirring, whereupon vesicles self-assemble as the ethanol diffuses into the bulk aqueous phase; this method avoids the film-formation step and is often reported as more readily scalable and reproducible (Salamah et al., 2025). A modified spraying technique, in which the organic phase is atomised into the aqueous phase rather than injected as a bolus, has been directly compared with thin-film hydration for rasagiline-loaded spanlastics and was found to yield more consistent particle size distribution and higher statistical robustness under design-of-experiments optimisation (Ali et al., 2023).</w:t>
      </w:r>
    </w:p>
    <w:p w14:paraId="433399C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Following preparation, spanlastic dispersions are routinely characterised for vesicle size and polydispersity index by dynamic light scattering, for surface charge by zeta potential measurement, and for entrapment efficiency by ultracentrifugation or dialysis separation of free from vesicle-associated drug followed by quantification of the supernatant or dialysate by high-performance liquid chromatography or ultraviolet spectrophotometry (Salamah et al., 2025). Morphological confirmation of spherical, unilamellar vesicle architecture is typically obtained by transmission electron microscopy (Yassin et al., 2019). Fourier-transform infrared spectroscopy and differential scanning calorimetry are commonly employed to confirm the absence of unfavourable chemical interaction between drug and excipients and to characterise any change in the drug's crystalline or amorphous state upon encapsulation (Salamah et al., 2025). Deformability or elasticity, the defining functional attribute of spanlastics, is most often assessed indirectly by measuring the extrusion pressure or extrusion rate required to force the vesicle dispersion through a membrane of defined pore size smaller </w:t>
      </w:r>
      <w:r w:rsidRPr="00643D6C">
        <w:rPr>
          <w:rFonts w:ascii="Times New Roman" w:eastAsia="Times New Roman" w:hAnsi="Times New Roman" w:cs="Times New Roman"/>
          <w:sz w:val="24"/>
          <w:szCs w:val="24"/>
          <w:lang w:eastAsia="en-GB"/>
        </w:rPr>
        <w:lastRenderedPageBreak/>
        <w:t>than the vesicle's own resting diameter, with lower required pressure or faster extrusion interpreted as evidence of greater elasticity (Nadim et al., 2025).</w:t>
      </w:r>
    </w:p>
    <w:p w14:paraId="2D9E696A"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313EDB5B"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6. In Situ Gelling Systems for Nasal Application</w:t>
      </w:r>
    </w:p>
    <w:p w14:paraId="5371EF59"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In situ gelling systems undergo a reversible sol-to-gel phase transition triggered by a physiological stimulus encountered upon nasal deposition, and three classes of trigger dominate the nasal formulation literature: thermal transition, ionic cross-linking and pH-responsive gelation. Thermosensitive systems based on poloxamer 407, frequently blended with poloxamer 188 to fine-tune the gelation temperature towards the range encountered in the nasal cavity, remain the most widely used approach; poloxamer 407 self-assembles into micelles that pack into a cubic gel lattice as temperature rises past a critical solution temperature, and the addition of poloxamer 188 or mucoadhesive polymers such as polycarbophil can shift this transition temperature closer to the desired range of approximately thirty to thirty-five degrees Celsius while also improving bioadhesive strength (Menshutina et al., 2025). Ion-triggered systems typically employ gellan gum, marketed as Phytagel or Gelrite, which forms a physically cross-linked gel network in the presence of the divalent and monovalent cations naturally present in nasal secretions (Salamah et al., 2025). Chitosan-based systems exploit the polymer's cationic character, which promotes both pH- and ion-dependent gelation and additionally confers intrinsic mucoadhesive character through electrostatic interaction with the negatively charged sialic acid residues of mucin (Salamah et al., 2025).</w:t>
      </w:r>
    </w:p>
    <w:p w14:paraId="54F81980"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general strategy of combining a nasal in situ gelling vehicle with a brain-targeted small molecule predates the spanlastic-specific literature. An early mucoadhesive, temperature-mediated in situ gel containing ropinirole demonstrated enhanced brain-targeting efficiency following intranasal administration in rats, establishing an important precedent for the gel-based platform subsequently adapted to nanovesicular carriers (Khan et al., 2010).</w:t>
      </w:r>
    </w:p>
    <w:p w14:paraId="4CF71A1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selection of gelling matrix exerts a demonstrable influence on the performance of the embedded spanlastic vesicles. In a direct comparison of cilostazol-loaded spanlastics incorporated into gellan gum, poloxamer 407 and chitosan gel bases, the gellan gum formulation exhibited the strongest gel structure and highest viscosity but the lowest in vitro permeation, attributed to the dense gel network impeding drug diffusion, whereas the poloxamer 407 and chitosan formulations achieved higher permeation while retaining adequate mucoadhesive force (Salamah et al., 2025). This finding illustrates a broader formulation trade-off recurring across the literature: gelling systems that maximise mucoadhesion and residence time do not necessarily maximise permeation, and optimal performance appears to depend on balancing gel strength against diffusional resistance for the specific drug and vesicle system under development (Menshutina et al., 2025).</w:t>
      </w:r>
    </w:p>
    <w:p w14:paraId="3EB1C9D7"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Table 2 summarises the principal classes of in situ gelling polymer used in combination with nasal spanlastic vesicles, together with their gelation trigger, characteristic advantages and reported limitations.</w:t>
      </w:r>
    </w:p>
    <w:p w14:paraId="459907E2"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Table 2. Comparison of in situ gelling polymer systems used in nasal nanospanlastic formulations</w:t>
      </w:r>
    </w:p>
    <w:tbl>
      <w:tblPr>
        <w:tblStyle w:val="TableGrid"/>
        <w:tblW w:w="0" w:type="auto"/>
        <w:tblLook w:val="04A0" w:firstRow="1" w:lastRow="0" w:firstColumn="1" w:lastColumn="0" w:noHBand="0" w:noVBand="1"/>
      </w:tblPr>
      <w:tblGrid>
        <w:gridCol w:w="2665"/>
        <w:gridCol w:w="1616"/>
        <w:gridCol w:w="1908"/>
        <w:gridCol w:w="1691"/>
        <w:gridCol w:w="1362"/>
      </w:tblGrid>
      <w:tr w:rsidR="00643D6C" w:rsidRPr="00643D6C" w14:paraId="7ADFC692" w14:textId="77777777" w:rsidTr="00981AA8">
        <w:tc>
          <w:tcPr>
            <w:tcW w:w="0" w:type="auto"/>
            <w:hideMark/>
          </w:tcPr>
          <w:p w14:paraId="1AD04D95"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lastRenderedPageBreak/>
              <w:t>Polymer system</w:t>
            </w:r>
          </w:p>
        </w:tc>
        <w:tc>
          <w:tcPr>
            <w:tcW w:w="0" w:type="auto"/>
            <w:hideMark/>
          </w:tcPr>
          <w:p w14:paraId="443D16DC"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Gelation trigger</w:t>
            </w:r>
          </w:p>
        </w:tc>
        <w:tc>
          <w:tcPr>
            <w:tcW w:w="0" w:type="auto"/>
            <w:hideMark/>
          </w:tcPr>
          <w:p w14:paraId="76A2C591"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advantages</w:t>
            </w:r>
          </w:p>
        </w:tc>
        <w:tc>
          <w:tcPr>
            <w:tcW w:w="0" w:type="auto"/>
            <w:hideMark/>
          </w:tcPr>
          <w:p w14:paraId="5D824F19"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limitations</w:t>
            </w:r>
          </w:p>
        </w:tc>
        <w:tc>
          <w:tcPr>
            <w:tcW w:w="0" w:type="auto"/>
            <w:hideMark/>
          </w:tcPr>
          <w:p w14:paraId="6B2162FF"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15AEF578" w14:textId="77777777" w:rsidTr="00981AA8">
        <w:tc>
          <w:tcPr>
            <w:tcW w:w="0" w:type="auto"/>
            <w:hideMark/>
          </w:tcPr>
          <w:p w14:paraId="75D1CBA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Poloxamer 407 (± poloxamer 188)</w:t>
            </w:r>
          </w:p>
        </w:tc>
        <w:tc>
          <w:tcPr>
            <w:tcW w:w="0" w:type="auto"/>
            <w:hideMark/>
          </w:tcPr>
          <w:p w14:paraId="0C7E557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Thermal (sol–gel transition near nasal temperature)</w:t>
            </w:r>
          </w:p>
        </w:tc>
        <w:tc>
          <w:tcPr>
            <w:tcW w:w="0" w:type="auto"/>
            <w:hideMark/>
          </w:tcPr>
          <w:p w14:paraId="65A20FB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Tunable gelation temperature; widely characterised; compatible with spanlastic dispersions</w:t>
            </w:r>
          </w:p>
        </w:tc>
        <w:tc>
          <w:tcPr>
            <w:tcW w:w="0" w:type="auto"/>
            <w:hideMark/>
          </w:tcPr>
          <w:p w14:paraId="1542F7D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Weak intrinsic mucoadhesion; may require mucoadhesive polymer blending</w:t>
            </w:r>
          </w:p>
        </w:tc>
        <w:tc>
          <w:tcPr>
            <w:tcW w:w="0" w:type="auto"/>
            <w:hideMark/>
          </w:tcPr>
          <w:p w14:paraId="452ACAB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Menshutina et al. (2025); Salamah et al. (2025)</w:t>
            </w:r>
          </w:p>
        </w:tc>
      </w:tr>
      <w:tr w:rsidR="00643D6C" w:rsidRPr="00643D6C" w14:paraId="332BD42F" w14:textId="77777777" w:rsidTr="00981AA8">
        <w:tc>
          <w:tcPr>
            <w:tcW w:w="0" w:type="auto"/>
            <w:hideMark/>
          </w:tcPr>
          <w:p w14:paraId="740BB82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Gellan gum (Phytagel)</w:t>
            </w:r>
          </w:p>
        </w:tc>
        <w:tc>
          <w:tcPr>
            <w:tcW w:w="0" w:type="auto"/>
            <w:hideMark/>
          </w:tcPr>
          <w:p w14:paraId="00A4E63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Ionic (cation-triggered)</w:t>
            </w:r>
          </w:p>
        </w:tc>
        <w:tc>
          <w:tcPr>
            <w:tcW w:w="0" w:type="auto"/>
            <w:hideMark/>
          </w:tcPr>
          <w:p w14:paraId="5121C15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Strong gel structure; good mucoadhesion; recognised pharmaceutical excipient</w:t>
            </w:r>
          </w:p>
        </w:tc>
        <w:tc>
          <w:tcPr>
            <w:tcW w:w="0" w:type="auto"/>
            <w:hideMark/>
          </w:tcPr>
          <w:p w14:paraId="1703519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Dense gel network can retard drug permeation</w:t>
            </w:r>
          </w:p>
        </w:tc>
        <w:tc>
          <w:tcPr>
            <w:tcW w:w="0" w:type="auto"/>
            <w:hideMark/>
          </w:tcPr>
          <w:p w14:paraId="755E067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1AB4FF50" w14:textId="77777777" w:rsidTr="00981AA8">
        <w:tc>
          <w:tcPr>
            <w:tcW w:w="0" w:type="auto"/>
            <w:hideMark/>
          </w:tcPr>
          <w:p w14:paraId="3377E2C5"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Chitosan</w:t>
            </w:r>
          </w:p>
        </w:tc>
        <w:tc>
          <w:tcPr>
            <w:tcW w:w="0" w:type="auto"/>
            <w:hideMark/>
          </w:tcPr>
          <w:p w14:paraId="1943754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pH- and ion-responsive</w:t>
            </w:r>
          </w:p>
        </w:tc>
        <w:tc>
          <w:tcPr>
            <w:tcW w:w="0" w:type="auto"/>
            <w:hideMark/>
          </w:tcPr>
          <w:p w14:paraId="4BF7439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Intrinsic cationic mucoadhesion; biodegradable; enhances paracellular permeability</w:t>
            </w:r>
          </w:p>
        </w:tc>
        <w:tc>
          <w:tcPr>
            <w:tcW w:w="0" w:type="auto"/>
            <w:hideMark/>
          </w:tcPr>
          <w:p w14:paraId="67E7E78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Requires acidic dissolution conditions; variable gel strength</w:t>
            </w:r>
          </w:p>
        </w:tc>
        <w:tc>
          <w:tcPr>
            <w:tcW w:w="0" w:type="auto"/>
            <w:hideMark/>
          </w:tcPr>
          <w:p w14:paraId="46AA9F7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 Omidian et al. (2024)</w:t>
            </w:r>
          </w:p>
        </w:tc>
      </w:tr>
      <w:tr w:rsidR="00643D6C" w:rsidRPr="00643D6C" w14:paraId="358EF8EB" w14:textId="77777777" w:rsidTr="00981AA8">
        <w:tc>
          <w:tcPr>
            <w:tcW w:w="0" w:type="auto"/>
            <w:hideMark/>
          </w:tcPr>
          <w:p w14:paraId="2CB35A6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Poloxamer/polycarbophil blends</w:t>
            </w:r>
          </w:p>
        </w:tc>
        <w:tc>
          <w:tcPr>
            <w:tcW w:w="0" w:type="auto"/>
            <w:hideMark/>
          </w:tcPr>
          <w:p w14:paraId="77A11AE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Thermal, with enhanced mucoadhesion</w:t>
            </w:r>
          </w:p>
        </w:tc>
        <w:tc>
          <w:tcPr>
            <w:tcW w:w="0" w:type="auto"/>
            <w:hideMark/>
          </w:tcPr>
          <w:p w14:paraId="7A92142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Combines thermosensitivity with strong bioadhesion</w:t>
            </w:r>
          </w:p>
        </w:tc>
        <w:tc>
          <w:tcPr>
            <w:tcW w:w="0" w:type="auto"/>
            <w:hideMark/>
          </w:tcPr>
          <w:p w14:paraId="511C800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More complex formulation optimisation required</w:t>
            </w:r>
          </w:p>
        </w:tc>
        <w:tc>
          <w:tcPr>
            <w:tcW w:w="0" w:type="auto"/>
            <w:hideMark/>
          </w:tcPr>
          <w:p w14:paraId="4D684E4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Menshutina et al. (2025)</w:t>
            </w:r>
          </w:p>
        </w:tc>
      </w:tr>
      <w:tr w:rsidR="00643D6C" w:rsidRPr="00643D6C" w14:paraId="64615034" w14:textId="77777777" w:rsidTr="00981AA8">
        <w:tc>
          <w:tcPr>
            <w:tcW w:w="0" w:type="auto"/>
            <w:hideMark/>
          </w:tcPr>
          <w:p w14:paraId="48F0190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Mucoadhesive cellulose derivatives (e.g., HPMC)</w:t>
            </w:r>
          </w:p>
        </w:tc>
        <w:tc>
          <w:tcPr>
            <w:tcW w:w="0" w:type="auto"/>
            <w:hideMark/>
          </w:tcPr>
          <w:p w14:paraId="3DFCEA3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Viscosity-modifying adjunct</w:t>
            </w:r>
          </w:p>
        </w:tc>
        <w:tc>
          <w:tcPr>
            <w:tcW w:w="0" w:type="auto"/>
            <w:hideMark/>
          </w:tcPr>
          <w:p w14:paraId="2AB26DE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Extends residence time; adjustable viscosity</w:t>
            </w:r>
          </w:p>
        </w:tc>
        <w:tc>
          <w:tcPr>
            <w:tcW w:w="0" w:type="auto"/>
            <w:hideMark/>
          </w:tcPr>
          <w:p w14:paraId="1A2E8DD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Not independently gel-forming; used as an additive</w:t>
            </w:r>
          </w:p>
        </w:tc>
        <w:tc>
          <w:tcPr>
            <w:tcW w:w="0" w:type="auto"/>
            <w:hideMark/>
          </w:tcPr>
          <w:p w14:paraId="0704F61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Menshutina et al. (2025)</w:t>
            </w:r>
          </w:p>
        </w:tc>
      </w:tr>
    </w:tbl>
    <w:p w14:paraId="044ECD29"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5E215172"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7. Design and Optimisation Strategies for Nanospanlastic In Situ Gels</w:t>
      </w:r>
    </w:p>
    <w:p w14:paraId="3F3E5B0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multicomponent nature of nasal nanospanlastic in situ gels, in which vesicle size, entrapment efficiency, zeta potential, gelation temperature, viscosity and mucoadhesive force must all be simultaneously controlled, has made statistical design-of-experiments (DoE) methodology a near-universal feature of the recent formulation literature. Response surface methods, and the Box–Behnken design in particular, are favoured because they permit efficient exploration of the interaction between several formulation variables using a comparatively small number of experimental runs, while still allowing construction of a quadratic model capable of identifying an optimal formulation region rather than a single best run among those tested (Rampado &amp; Peer, 2023). This approach has been applied directly to spanlastic vesicle optimisation for several of the drugs discussed in this review, including flibanserin, piperine and cubosome-based granisetron in situ gels, in each case using surfactant-to-edge-activator ratio, sonication parameters or penetration enhancer concentration as independent variables against vesicle size, polydispersity index, entrapment efficiency and zeta potential as dependent responses (Alharbi et al., 2022; Gupta et al., 2023; Eissa et al., 2022).</w:t>
      </w:r>
    </w:p>
    <w:p w14:paraId="5637FD5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Beyond spanlastic-specific applications, Box–Behnken and related factorial designs have been used extensively across nanoparticulate drug delivery more broadly, including for lipid nanoparticle systems intended for brain targeting, where the approach has similarly proved effective in identifying formulations that jointly minimise particle size and maximise entrapment efficiency and physical stability (Spandana et al., 2024; Mahmoud &amp; McConville, 2023). The broader methodological literature on design-of-experiments in nanomedicine formulation emphasises that, despite the demonstrated efficiency gains, the approach remains only partially adopted across the field, and that its correct application requires careful a priori definition of critical quality attributes and critical process parameters rather than post hoc statistical fitting (Rampado &amp; Peer, 2023). Within the nasal nanospanlastic literature specifically, this discipline is reflected in the consistent reporting of desirability functions or overlay contour plots used to select a single optimal formulation from the modelled design space, which is then typically subjected to independent physicochemical confirmation before progression to gel incorporation and in vivo evaluation (Salamah et al., 2025; Ali et al., 2023).</w:t>
      </w:r>
    </w:p>
    <w:p w14:paraId="3CFF5AA9"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An important, and still underexplored, methodological question concerns whether optimisation should be conducted on the spanlastic dispersion alone, with the gelling matrix regarded as a fixed downstream step, or whether vesicle and gel parameters should be co-optimised. The available evidence suggests that gel incorporation can measurably alter vesicle size and zeta potential relative to the unincorporated dispersion, implying that sequential rather than integrated optimisation risks selecting a vesicle composition that is not, in fact, optimal once embedded in its final gelling vehicle (Salamah et al., 2025).</w:t>
      </w:r>
    </w:p>
    <w:p w14:paraId="2B45CDA1"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2FEE50DD"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8. Nose-to-Systemic and Nose-to-Brain Applications: Evidence from Preclinical Studies</w:t>
      </w:r>
    </w:p>
    <w:p w14:paraId="64A0EAAD"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preclinical literature on nasal nanospanlastic and related spanlastic-gel systems spans a range of therapeutic indications united by a common formulation logic: a drug substance with poor aqueous solubility, extensive first-pass metabolism, or restricted BBB penetration is reformulated as a deformable nanovesicle and delivered within a mucoadhesive or thermosensitive gel to exploit direct nose-to-brain or enhanced nose-to-systemic transport. Cilostazol, an antiplatelet and vasodilator agent used in cerebrovascular disease, was formulated as spanlastic vesicles incorporated into gellan gum, poloxamer 407 and chitosan in situ gels, with all three gel bases achieving substantially higher in vitro cumulative permeation across an artificial nasal membrane and across a blood–brain barrier parallel artificial membrane permeability assay than the free drug (Salamah et al., 2025).</w:t>
      </w:r>
    </w:p>
    <w:p w14:paraId="0C57D820"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Spanlastic vesicles have also been evaluated for a range of antiepileptic and other neurological indications. Carbamazepine-loaded vesicular structures optimised by a 2³ factorial design demonstrated improved brain targeting following intranasal administration relative to an oral suspension comparator, with histopathological assessment suggesting preserved neuronal integrity in optimised formulations (Yassin et al., 2019). Rasagiline mesylate, a monoamine oxidase-B inhibitor used in Parkinson's disease, was formulated by both thin-film hydration and a modified spraying technique, with statistical optimisation and in vivo pharmacokinetic evaluation confirming enhanced brain delivery via the intranasal spanlastic route relative to conventional administration (Ali et al., 2023). Piperine, a naturally occurring alkaloid with anticonvulsant activity limited by poor solubility and permeability, </w:t>
      </w:r>
      <w:r w:rsidRPr="00643D6C">
        <w:rPr>
          <w:rFonts w:ascii="Times New Roman" w:eastAsia="Times New Roman" w:hAnsi="Times New Roman" w:cs="Times New Roman"/>
          <w:sz w:val="24"/>
          <w:szCs w:val="24"/>
          <w:lang w:eastAsia="en-GB"/>
        </w:rPr>
        <w:lastRenderedPageBreak/>
        <w:t>was formulated as spanlastics optimised by Box–Behnken design and demonstrated greater nasal mucosal permeation, higher brain concentration and area under the curve, and superior therapeutic efficacy in an in vivo epilepsy model relative to a piperine suspension (Gupta et al., 2023). Lamotrigine has been formulated as a nasal insert incorporating vesicular carriers targeted at brain delivery for enhanced epilepsy treatment, reflecting a parallel solid-dosage-form strategy for prolonging nasal residence (Abdelmonem et al., 2023).</w:t>
      </w:r>
    </w:p>
    <w:p w14:paraId="210AFEF8"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Flibanserin, a centrally acting agent used in hypoactive sexual desire disorder and characterised by extensive hepatic metabolism when administered orally, was formulated as spanlastic vesicles optimised through in vitro response-surface methodology and evaluated pharmacokinetically in vivo, with the optimised intranasal spanlastic formulation demonstrating enhanced brain delivery relative to both oral and intranasal solution comparators (Alharbi et al., 2022). Granisetron, an antiemetic agent relevant to the management of chemotherapy-induced emesis, has been formulated within a related nanostructured cubosome-based in situ gel system optimised by Box–Behnken design, illustrating that the broader design logic of combining a deformable or highly curved nanocarrier with a nasal in situ gelling vehicle extends beyond spanlastics narrowly defined to encompass a family of structurally related lipid-based nanovesicular platforms (Eissa et al., 2022). An earlier bioadhesive granisetron spanlastic gel and insert formulation similarly demonstrated enhanced brain targeting in a rat model, providing an important precedent for the solid-insert variant of the nasal spanlastic gel concept (Abdelmonem et al., 2018).</w:t>
      </w:r>
    </w:p>
    <w:p w14:paraId="3DE4448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Table 3 consolidates the principal drug-specific studies discussed above, summarising the therapeutic rationale, formulation approach and key preclinical outcome for each.</w:t>
      </w:r>
    </w:p>
    <w:p w14:paraId="792630C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Table 3. Summary of preclinical studies evaluating spanlastic or closely related nanovesicular in situ gel systems for nasal delivery</w:t>
      </w:r>
    </w:p>
    <w:tbl>
      <w:tblPr>
        <w:tblStyle w:val="TableGrid"/>
        <w:tblW w:w="0" w:type="auto"/>
        <w:tblLook w:val="04A0" w:firstRow="1" w:lastRow="0" w:firstColumn="1" w:lastColumn="0" w:noHBand="0" w:noVBand="1"/>
      </w:tblPr>
      <w:tblGrid>
        <w:gridCol w:w="1920"/>
        <w:gridCol w:w="1734"/>
        <w:gridCol w:w="1872"/>
        <w:gridCol w:w="2149"/>
        <w:gridCol w:w="1567"/>
      </w:tblGrid>
      <w:tr w:rsidR="00643D6C" w:rsidRPr="00643D6C" w14:paraId="093333EC" w14:textId="77777777" w:rsidTr="00981AA8">
        <w:tc>
          <w:tcPr>
            <w:tcW w:w="0" w:type="auto"/>
            <w:hideMark/>
          </w:tcPr>
          <w:p w14:paraId="492B4466"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Drug (indication)</w:t>
            </w:r>
          </w:p>
        </w:tc>
        <w:tc>
          <w:tcPr>
            <w:tcW w:w="0" w:type="auto"/>
            <w:hideMark/>
          </w:tcPr>
          <w:p w14:paraId="1BEBD6BF"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Formulation approach</w:t>
            </w:r>
          </w:p>
        </w:tc>
        <w:tc>
          <w:tcPr>
            <w:tcW w:w="0" w:type="auto"/>
            <w:hideMark/>
          </w:tcPr>
          <w:p w14:paraId="419A211F"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Optimisation method</w:t>
            </w:r>
          </w:p>
        </w:tc>
        <w:tc>
          <w:tcPr>
            <w:tcW w:w="0" w:type="auto"/>
            <w:hideMark/>
          </w:tcPr>
          <w:p w14:paraId="50F583E4"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Key reported outcome</w:t>
            </w:r>
          </w:p>
        </w:tc>
        <w:tc>
          <w:tcPr>
            <w:tcW w:w="0" w:type="auto"/>
            <w:hideMark/>
          </w:tcPr>
          <w:p w14:paraId="75D1B5AA"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72515EA7" w14:textId="77777777" w:rsidTr="00981AA8">
        <w:tc>
          <w:tcPr>
            <w:tcW w:w="0" w:type="auto"/>
            <w:hideMark/>
          </w:tcPr>
          <w:p w14:paraId="0C5B8D4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Cilostazol (cerebrovascular disease)</w:t>
            </w:r>
          </w:p>
        </w:tc>
        <w:tc>
          <w:tcPr>
            <w:tcW w:w="0" w:type="auto"/>
            <w:hideMark/>
          </w:tcPr>
          <w:p w14:paraId="2F47742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Spanlastics in gellan gum, poloxamer 407 and chitosan in situ gels</w:t>
            </w:r>
          </w:p>
        </w:tc>
        <w:tc>
          <w:tcPr>
            <w:tcW w:w="0" w:type="auto"/>
            <w:hideMark/>
          </w:tcPr>
          <w:p w14:paraId="6340893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Preliminary screening; systematic gel-base comparison</w:t>
            </w:r>
          </w:p>
        </w:tc>
        <w:tc>
          <w:tcPr>
            <w:tcW w:w="0" w:type="auto"/>
            <w:hideMark/>
          </w:tcPr>
          <w:p w14:paraId="3DDDA70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Higher permeation and BBB-PAMPA flux than free drug across all gel bases</w:t>
            </w:r>
          </w:p>
        </w:tc>
        <w:tc>
          <w:tcPr>
            <w:tcW w:w="0" w:type="auto"/>
            <w:hideMark/>
          </w:tcPr>
          <w:p w14:paraId="7B5E78E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45506C34" w14:textId="77777777" w:rsidTr="00981AA8">
        <w:tc>
          <w:tcPr>
            <w:tcW w:w="0" w:type="auto"/>
            <w:hideMark/>
          </w:tcPr>
          <w:p w14:paraId="36A92EF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Carbamazepine (epilepsy)</w:t>
            </w:r>
          </w:p>
        </w:tc>
        <w:tc>
          <w:tcPr>
            <w:tcW w:w="0" w:type="auto"/>
            <w:hideMark/>
          </w:tcPr>
          <w:p w14:paraId="137BB52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 vesicular structures, intranasal</w:t>
            </w:r>
          </w:p>
        </w:tc>
        <w:tc>
          <w:tcPr>
            <w:tcW w:w="0" w:type="auto"/>
            <w:hideMark/>
          </w:tcPr>
          <w:p w14:paraId="0BE0DFC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2³ factorial design</w:t>
            </w:r>
          </w:p>
        </w:tc>
        <w:tc>
          <w:tcPr>
            <w:tcW w:w="0" w:type="auto"/>
            <w:hideMark/>
          </w:tcPr>
          <w:p w14:paraId="4CF5838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targeting versus oral suspension; preserved neuronal histology</w:t>
            </w:r>
          </w:p>
        </w:tc>
        <w:tc>
          <w:tcPr>
            <w:tcW w:w="0" w:type="auto"/>
            <w:hideMark/>
          </w:tcPr>
          <w:p w14:paraId="01C3884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Yassin et al. (2019)</w:t>
            </w:r>
          </w:p>
        </w:tc>
      </w:tr>
      <w:tr w:rsidR="00643D6C" w:rsidRPr="00643D6C" w14:paraId="30D470C1" w14:textId="77777777" w:rsidTr="00981AA8">
        <w:tc>
          <w:tcPr>
            <w:tcW w:w="0" w:type="auto"/>
            <w:hideMark/>
          </w:tcPr>
          <w:p w14:paraId="3953E14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Rasagiline mesylate (Parkinson's disease)</w:t>
            </w:r>
          </w:p>
        </w:tc>
        <w:tc>
          <w:tcPr>
            <w:tcW w:w="0" w:type="auto"/>
            <w:hideMark/>
          </w:tcPr>
          <w:p w14:paraId="61F56DB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 nanovesicles (thin-film hydration vs. modified spraying)</w:t>
            </w:r>
          </w:p>
        </w:tc>
        <w:tc>
          <w:tcPr>
            <w:tcW w:w="0" w:type="auto"/>
            <w:hideMark/>
          </w:tcPr>
          <w:p w14:paraId="1F7E6C3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Statistical optimisation</w:t>
            </w:r>
          </w:p>
        </w:tc>
        <w:tc>
          <w:tcPr>
            <w:tcW w:w="0" w:type="auto"/>
            <w:hideMark/>
          </w:tcPr>
          <w:p w14:paraId="500AE51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delivery confirmed by in vivo pharmacokinetics</w:t>
            </w:r>
          </w:p>
        </w:tc>
        <w:tc>
          <w:tcPr>
            <w:tcW w:w="0" w:type="auto"/>
            <w:hideMark/>
          </w:tcPr>
          <w:p w14:paraId="4D041633"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Ali et al. (2023)</w:t>
            </w:r>
          </w:p>
        </w:tc>
      </w:tr>
      <w:tr w:rsidR="00643D6C" w:rsidRPr="00643D6C" w14:paraId="14E5357D" w14:textId="77777777" w:rsidTr="00981AA8">
        <w:tc>
          <w:tcPr>
            <w:tcW w:w="0" w:type="auto"/>
            <w:hideMark/>
          </w:tcPr>
          <w:p w14:paraId="60F667D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Piperine (epilepsy)</w:t>
            </w:r>
          </w:p>
        </w:tc>
        <w:tc>
          <w:tcPr>
            <w:tcW w:w="0" w:type="auto"/>
            <w:hideMark/>
          </w:tcPr>
          <w:p w14:paraId="67FB7BA0"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Spanlastics, thin-film hydration</w:t>
            </w:r>
          </w:p>
        </w:tc>
        <w:tc>
          <w:tcPr>
            <w:tcW w:w="0" w:type="auto"/>
            <w:hideMark/>
          </w:tcPr>
          <w:p w14:paraId="35C28A0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Box–Behnken design</w:t>
            </w:r>
          </w:p>
        </w:tc>
        <w:tc>
          <w:tcPr>
            <w:tcW w:w="0" w:type="auto"/>
            <w:hideMark/>
          </w:tcPr>
          <w:p w14:paraId="03354340"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Higher brain Cmax/AUC and therapeutic efficacy versus suspension </w:t>
            </w:r>
            <w:r w:rsidRPr="00643D6C">
              <w:rPr>
                <w:rFonts w:ascii="Times New Roman" w:eastAsia="Times New Roman" w:hAnsi="Times New Roman" w:cs="Times New Roman"/>
                <w:sz w:val="24"/>
                <w:szCs w:val="24"/>
                <w:lang w:eastAsia="en-GB"/>
              </w:rPr>
              <w:lastRenderedPageBreak/>
              <w:t>in epilepsy model</w:t>
            </w:r>
          </w:p>
        </w:tc>
        <w:tc>
          <w:tcPr>
            <w:tcW w:w="0" w:type="auto"/>
            <w:hideMark/>
          </w:tcPr>
          <w:p w14:paraId="2D619D8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Gupta et al. (2023)</w:t>
            </w:r>
          </w:p>
        </w:tc>
      </w:tr>
      <w:tr w:rsidR="00643D6C" w:rsidRPr="00643D6C" w14:paraId="420F403F" w14:textId="77777777" w:rsidTr="00981AA8">
        <w:tc>
          <w:tcPr>
            <w:tcW w:w="0" w:type="auto"/>
            <w:hideMark/>
          </w:tcPr>
          <w:p w14:paraId="3841C70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Flibanserin (hypoactive sexual desire disorder)</w:t>
            </w:r>
          </w:p>
        </w:tc>
        <w:tc>
          <w:tcPr>
            <w:tcW w:w="0" w:type="auto"/>
            <w:hideMark/>
          </w:tcPr>
          <w:p w14:paraId="4E7DA12D"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Spanlastic nanovesicles, intranasal</w:t>
            </w:r>
          </w:p>
        </w:tc>
        <w:tc>
          <w:tcPr>
            <w:tcW w:w="0" w:type="auto"/>
            <w:hideMark/>
          </w:tcPr>
          <w:p w14:paraId="449D0D5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Response-surface optimisation</w:t>
            </w:r>
          </w:p>
        </w:tc>
        <w:tc>
          <w:tcPr>
            <w:tcW w:w="0" w:type="auto"/>
            <w:hideMark/>
          </w:tcPr>
          <w:p w14:paraId="5814D1B0"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delivery versus oral and intranasal solution comparators</w:t>
            </w:r>
          </w:p>
        </w:tc>
        <w:tc>
          <w:tcPr>
            <w:tcW w:w="0" w:type="auto"/>
            <w:hideMark/>
          </w:tcPr>
          <w:p w14:paraId="31BD310B"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Alharbi et al. (2022)</w:t>
            </w:r>
          </w:p>
        </w:tc>
      </w:tr>
      <w:tr w:rsidR="00643D6C" w:rsidRPr="00643D6C" w14:paraId="3B4F4F58" w14:textId="77777777" w:rsidTr="00981AA8">
        <w:tc>
          <w:tcPr>
            <w:tcW w:w="0" w:type="auto"/>
            <w:hideMark/>
          </w:tcPr>
          <w:p w14:paraId="5E20952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Lamotrigine (epilepsy)</w:t>
            </w:r>
          </w:p>
        </w:tc>
        <w:tc>
          <w:tcPr>
            <w:tcW w:w="0" w:type="auto"/>
            <w:hideMark/>
          </w:tcPr>
          <w:p w14:paraId="23066145"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Vesicular-loaded nasal insert</w:t>
            </w:r>
          </w:p>
        </w:tc>
        <w:tc>
          <w:tcPr>
            <w:tcW w:w="0" w:type="auto"/>
            <w:hideMark/>
          </w:tcPr>
          <w:p w14:paraId="46CE49B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 and characterisation study</w:t>
            </w:r>
          </w:p>
        </w:tc>
        <w:tc>
          <w:tcPr>
            <w:tcW w:w="0" w:type="auto"/>
            <w:hideMark/>
          </w:tcPr>
          <w:p w14:paraId="72EECD6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Targeted brain delivery via nasal insert platform</w:t>
            </w:r>
          </w:p>
        </w:tc>
        <w:tc>
          <w:tcPr>
            <w:tcW w:w="0" w:type="auto"/>
            <w:hideMark/>
          </w:tcPr>
          <w:p w14:paraId="4E4B56D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Abdelmonem et al. (2023)</w:t>
            </w:r>
          </w:p>
        </w:tc>
      </w:tr>
      <w:tr w:rsidR="00643D6C" w:rsidRPr="00643D6C" w14:paraId="72E6C5D8" w14:textId="77777777" w:rsidTr="00981AA8">
        <w:tc>
          <w:tcPr>
            <w:tcW w:w="0" w:type="auto"/>
            <w:hideMark/>
          </w:tcPr>
          <w:p w14:paraId="6CA3C99E"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Granisetron (chemotherapy-induced emesis)</w:t>
            </w:r>
          </w:p>
        </w:tc>
        <w:tc>
          <w:tcPr>
            <w:tcW w:w="0" w:type="auto"/>
            <w:hideMark/>
          </w:tcPr>
          <w:p w14:paraId="627AACC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Cubosome-based in situ gel (related nanovesicular platform)</w:t>
            </w:r>
          </w:p>
        </w:tc>
        <w:tc>
          <w:tcPr>
            <w:tcW w:w="0" w:type="auto"/>
            <w:hideMark/>
          </w:tcPr>
          <w:p w14:paraId="174259C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Box–Behnken design</w:t>
            </w:r>
          </w:p>
        </w:tc>
        <w:tc>
          <w:tcPr>
            <w:tcW w:w="0" w:type="auto"/>
            <w:hideMark/>
          </w:tcPr>
          <w:p w14:paraId="677B162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Improved nasal residence, permeation and in vivo biodistribution to brain</w:t>
            </w:r>
          </w:p>
        </w:tc>
        <w:tc>
          <w:tcPr>
            <w:tcW w:w="0" w:type="auto"/>
            <w:hideMark/>
          </w:tcPr>
          <w:p w14:paraId="780F02AE"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Eissa et al. (2022)</w:t>
            </w:r>
          </w:p>
        </w:tc>
      </w:tr>
      <w:tr w:rsidR="00643D6C" w:rsidRPr="00643D6C" w14:paraId="2392C52E" w14:textId="77777777" w:rsidTr="00981AA8">
        <w:tc>
          <w:tcPr>
            <w:tcW w:w="0" w:type="auto"/>
            <w:hideMark/>
          </w:tcPr>
          <w:p w14:paraId="1A40DA65"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Granisetron hydrochloride (earlier platform)</w:t>
            </w:r>
          </w:p>
        </w:tc>
        <w:tc>
          <w:tcPr>
            <w:tcW w:w="0" w:type="auto"/>
            <w:hideMark/>
          </w:tcPr>
          <w:p w14:paraId="45070FF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Bioadhesive spanlastic gel and nasal insert</w:t>
            </w:r>
          </w:p>
        </w:tc>
        <w:tc>
          <w:tcPr>
            <w:tcW w:w="0" w:type="auto"/>
            <w:hideMark/>
          </w:tcPr>
          <w:p w14:paraId="3AFC1DD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 and in vivo evaluation</w:t>
            </w:r>
          </w:p>
        </w:tc>
        <w:tc>
          <w:tcPr>
            <w:tcW w:w="0" w:type="auto"/>
            <w:hideMark/>
          </w:tcPr>
          <w:p w14:paraId="7511BA43"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targeting in rat model</w:t>
            </w:r>
          </w:p>
        </w:tc>
        <w:tc>
          <w:tcPr>
            <w:tcW w:w="0" w:type="auto"/>
            <w:hideMark/>
          </w:tcPr>
          <w:p w14:paraId="4423918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Abdelmonem et al. (2018)</w:t>
            </w:r>
          </w:p>
        </w:tc>
      </w:tr>
    </w:tbl>
    <w:p w14:paraId="50A34715"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Considered collectively, these studies exhibit a striking consistency in direction of effect: across every drug substance and gel base examined, the nanospanlastic or closely related in situ gel formulation outperformed the corresponding free drug solution or conventional oral comparator on at least one of vesicle-level permeation, systemic bioavailability, or CNS drug concentration. This consistency lends reasonable confidence to the underlying formulation principle, though it should be interpreted cautiously given that nearly all studies originate from a comparatively small number of research groups using broadly similar rodent pharmacokinetic models, a point returned to in the Limitations section.</w:t>
      </w:r>
    </w:p>
    <w:p w14:paraId="22EAD483"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25E75DF0"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9. Biopharmaceutical, Safety and Toxicological Considerations</w:t>
      </w:r>
    </w:p>
    <w:p w14:paraId="380B8A7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biopharmaceutical rationale for nasal nanospanlastic in situ gels rests on the joint contribution of enhanced permeability, afforded by vesicle deformability and, where present, penetration enhancers such as oleic acid, and prolonged residence time, afforded by the gelling matrix and any intrinsic or added mucoadhesive character. In vitro permeation studies across artificial or excised nasal membranes consistently report several-fold increases in steady-state flux and enhancement ratio for spanlastic formulations relative to free drug controls, a pattern attributed to the combined effect of increased local drug concentration at the membrane surface, improved drug solubilisation within the vesicle bilayer, and facilitated transcellular transport through vesicle fusion or endocytosis-mediated uptake (Salamah et al., 2025). Blood–brain barrier parallel artificial membrane permeability assays, used as a simplified in vitro surrogate for lipophilic passive transport across brain capillary endothelium, have similarly shown enhanced flux for spanlastic formulations, supporting the plausibility of direct nose-to-brain transport in addition to systemic absorption followed by BBB crossing (Salamah et al., 2025).</w:t>
      </w:r>
    </w:p>
    <w:p w14:paraId="2DCAEB1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Formulation excipients used in nasal spanlastic in situ gels are, for the most part, materials with established regulatory precedent and a favourable safety profile at the concentrations employed. Span and Tween surfactants, poloxamers, gellan gum and chitosan are all recognised by regulatory authorities as generally suitable for pharmaceutical use, and their </w:t>
      </w:r>
      <w:r w:rsidRPr="00643D6C">
        <w:rPr>
          <w:rFonts w:ascii="Times New Roman" w:eastAsia="Times New Roman" w:hAnsi="Times New Roman" w:cs="Times New Roman"/>
          <w:sz w:val="24"/>
          <w:szCs w:val="24"/>
          <w:lang w:eastAsia="en-GB"/>
        </w:rPr>
        <w:lastRenderedPageBreak/>
        <w:t>inclusion in already-marketed nasal, ocular or oral products provides some reassurance regarding local tolerability (Salamah et al., 2025). Nonetheless, few of the preclinical studies reviewed here report systematic nasal ciliotoxicity assessment beyond basic histopathological examination, and the chronic effects of repeated exposure to surfactant-based vesicular systems on ciliary beat frequency and mucosal integrity remain comparatively underexplored relative to the extensive characterisation devoted to physicochemical and pharmacokinetic endpoints. Where histopathological evaluation has been performed, as in the carbamazepine spanlastic study, optimised formulations were generally associated with preserved epithelial and neuronal architecture, offering preliminary reassurance without constituting a comprehensive toxicological package (Yassin et al., 2019).</w:t>
      </w:r>
    </w:p>
    <w:p w14:paraId="5CAA9E1C"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Chitosan-based components warrant particular note in this context, since chitosan simultaneously functions as a mucoadhesive gelling agent and, at sufficient concentration, as a permeation enhancer through transient opening of epithelial tight junctions; this dual action is mechanistically attractive but also implies that formulations relying heavily on chitosan-mediated permeation enhancement should be evaluated for any reversible compromise of epithelial barrier function following prolonged or repeated dosing (Omidian et al., 2024). More broadly, the enzymatic and biotransformation capacity of the nasal mucosa, while smaller in absolute terms than hepatic metabolism, is not negligible, and formulation strategies that improve local drug residence time may, in principle, also increase cumulative exposure to nasal metabolic enzymes for susceptible substrates, a consideration seldom addressed explicitly in the reviewed literature.</w:t>
      </w:r>
    </w:p>
    <w:p w14:paraId="18808B90"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1676E2AA"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10. Regulatory, Quality Control and Clinical Translation Considerations</w:t>
      </w:r>
    </w:p>
    <w:p w14:paraId="69E254F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Nasal spray and gel products intended for either local or systemic action are subject to specific in vitro performance testing requirements established by regulatory authorities, reflecting the recognition that the combination of formulation and delivery device jointly determines clinical performance. Regulatory guidance identifies several critical in vitro tests for nasal products, including droplet size distribution, spray pattern, plume geometry, single actuation content and, for suspension products, the proportion of drug present in small particles capable of reaching the lower respiratory tract (Trows et al., 2014). These tests were developed principally for conventional nasal spray solutions and suspensions, and their direct applicability to nanospanlastic in situ gel systems, whose rheological behaviour changes markedly upon nasal deposition, requires careful adaptation; nonetheless, the underlying quality attributes they assess, particularly droplet size distribution and spray pattern, remain directly relevant to ensuring that a gel-forming spanlastic dispersion is delivered appropriately to the target region of the nasal cavity before gelation occurs (Salamah et al., 2025).</w:t>
      </w:r>
    </w:p>
    <w:p w14:paraId="2AE1A2C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Table 4 summarises the principal in vitro performance tests recommended for nasal spray products, alongside their relevance to nanospanlastic in situ gel formulations specifically.</w:t>
      </w:r>
    </w:p>
    <w:p w14:paraId="2D2F78F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Table 4. Selected regulatory in vitro performance tests relevant to nasal nanospanlastic in situ gel products</w:t>
      </w:r>
    </w:p>
    <w:tbl>
      <w:tblPr>
        <w:tblStyle w:val="TableGrid"/>
        <w:tblW w:w="0" w:type="auto"/>
        <w:tblLook w:val="04A0" w:firstRow="1" w:lastRow="0" w:firstColumn="1" w:lastColumn="0" w:noHBand="0" w:noVBand="1"/>
      </w:tblPr>
      <w:tblGrid>
        <w:gridCol w:w="2649"/>
        <w:gridCol w:w="2430"/>
        <w:gridCol w:w="2502"/>
        <w:gridCol w:w="1661"/>
      </w:tblGrid>
      <w:tr w:rsidR="00643D6C" w:rsidRPr="00643D6C" w14:paraId="3FB30634" w14:textId="77777777" w:rsidTr="00981AA8">
        <w:tc>
          <w:tcPr>
            <w:tcW w:w="0" w:type="auto"/>
            <w:hideMark/>
          </w:tcPr>
          <w:p w14:paraId="1140D4E2"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Test parameter</w:t>
            </w:r>
          </w:p>
        </w:tc>
        <w:tc>
          <w:tcPr>
            <w:tcW w:w="0" w:type="auto"/>
            <w:hideMark/>
          </w:tcPr>
          <w:p w14:paraId="7F338F34"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Purpose</w:t>
            </w:r>
          </w:p>
        </w:tc>
        <w:tc>
          <w:tcPr>
            <w:tcW w:w="0" w:type="auto"/>
            <w:hideMark/>
          </w:tcPr>
          <w:p w14:paraId="7809CB6D"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 xml:space="preserve">Relevance to nanospanlastic in situ </w:t>
            </w:r>
            <w:r w:rsidRPr="00643D6C">
              <w:rPr>
                <w:rFonts w:ascii="Times New Roman" w:eastAsia="Times New Roman" w:hAnsi="Times New Roman" w:cs="Times New Roman"/>
                <w:b/>
                <w:bCs/>
                <w:sz w:val="24"/>
                <w:szCs w:val="24"/>
                <w:lang w:eastAsia="en-GB"/>
              </w:rPr>
              <w:lastRenderedPageBreak/>
              <w:t>gels</w:t>
            </w:r>
          </w:p>
        </w:tc>
        <w:tc>
          <w:tcPr>
            <w:tcW w:w="0" w:type="auto"/>
            <w:hideMark/>
          </w:tcPr>
          <w:p w14:paraId="2ACE1972" w14:textId="77777777" w:rsidR="00643D6C" w:rsidRPr="00643D6C" w:rsidRDefault="00643D6C" w:rsidP="00F454DA">
            <w:pPr>
              <w:jc w:val="both"/>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lastRenderedPageBreak/>
              <w:t>Source</w:t>
            </w:r>
          </w:p>
        </w:tc>
      </w:tr>
      <w:tr w:rsidR="00643D6C" w:rsidRPr="00643D6C" w14:paraId="0CC76CC0" w14:textId="77777777" w:rsidTr="00981AA8">
        <w:tc>
          <w:tcPr>
            <w:tcW w:w="0" w:type="auto"/>
            <w:hideMark/>
          </w:tcPr>
          <w:p w14:paraId="5201BFE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Droplet size distribution</w:t>
            </w:r>
          </w:p>
        </w:tc>
        <w:tc>
          <w:tcPr>
            <w:tcW w:w="0" w:type="auto"/>
            <w:hideMark/>
          </w:tcPr>
          <w:p w14:paraId="282CA211"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Ensures deposition within the therapeutic target region and avoids pulmonary inhalation of fine droplets</w:t>
            </w:r>
          </w:p>
        </w:tc>
        <w:tc>
          <w:tcPr>
            <w:tcW w:w="0" w:type="auto"/>
            <w:hideMark/>
          </w:tcPr>
          <w:p w14:paraId="53523E2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Must be assessed prior to in situ gelation, since gel formation occurs only after nasal deposition</w:t>
            </w:r>
          </w:p>
        </w:tc>
        <w:tc>
          <w:tcPr>
            <w:tcW w:w="0" w:type="auto"/>
            <w:hideMark/>
          </w:tcPr>
          <w:p w14:paraId="1526CE5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Trows et al. (2014); Salamah et al. (2025)</w:t>
            </w:r>
          </w:p>
        </w:tc>
      </w:tr>
      <w:tr w:rsidR="00643D6C" w:rsidRPr="00643D6C" w14:paraId="62EBA686" w14:textId="77777777" w:rsidTr="00981AA8">
        <w:tc>
          <w:tcPr>
            <w:tcW w:w="0" w:type="auto"/>
            <w:hideMark/>
          </w:tcPr>
          <w:p w14:paraId="59A3C69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Spray pattern and plume geometry</w:t>
            </w:r>
          </w:p>
        </w:tc>
        <w:tc>
          <w:tcPr>
            <w:tcW w:w="0" w:type="auto"/>
            <w:hideMark/>
          </w:tcPr>
          <w:p w14:paraId="7B0725B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appropriate spray cone shape and symmetry from the device</w:t>
            </w:r>
          </w:p>
        </w:tc>
        <w:tc>
          <w:tcPr>
            <w:tcW w:w="0" w:type="auto"/>
            <w:hideMark/>
          </w:tcPr>
          <w:p w14:paraId="5C3FA00C"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Influenced by pre-gelation viscosity of the spanlastic dispersion</w:t>
            </w:r>
          </w:p>
        </w:tc>
        <w:tc>
          <w:tcPr>
            <w:tcW w:w="0" w:type="auto"/>
            <w:hideMark/>
          </w:tcPr>
          <w:p w14:paraId="0FEBC4D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Trows et al. (2014); Menshutina et al. (2025)</w:t>
            </w:r>
          </w:p>
        </w:tc>
      </w:tr>
      <w:tr w:rsidR="00643D6C" w:rsidRPr="00643D6C" w14:paraId="3FEC5072" w14:textId="77777777" w:rsidTr="00981AA8">
        <w:tc>
          <w:tcPr>
            <w:tcW w:w="0" w:type="auto"/>
            <w:hideMark/>
          </w:tcPr>
          <w:p w14:paraId="05605FE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Gelation temperature and gelation time</w:t>
            </w:r>
          </w:p>
        </w:tc>
        <w:tc>
          <w:tcPr>
            <w:tcW w:w="0" w:type="auto"/>
            <w:hideMark/>
          </w:tcPr>
          <w:p w14:paraId="5D4B4EF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sol–gel transition occurs promptly under nasal physiological conditions</w:t>
            </w:r>
          </w:p>
        </w:tc>
        <w:tc>
          <w:tcPr>
            <w:tcW w:w="0" w:type="auto"/>
            <w:hideMark/>
          </w:tcPr>
          <w:p w14:paraId="2D207EB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Central quality attribute specific to in situ gelling systems</w:t>
            </w:r>
          </w:p>
        </w:tc>
        <w:tc>
          <w:tcPr>
            <w:tcW w:w="0" w:type="auto"/>
            <w:hideMark/>
          </w:tcPr>
          <w:p w14:paraId="52A931E7"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Menshutina et al. (2025)</w:t>
            </w:r>
          </w:p>
        </w:tc>
      </w:tr>
      <w:tr w:rsidR="00643D6C" w:rsidRPr="00643D6C" w14:paraId="29C2DA16" w14:textId="77777777" w:rsidTr="00981AA8">
        <w:tc>
          <w:tcPr>
            <w:tcW w:w="0" w:type="auto"/>
            <w:hideMark/>
          </w:tcPr>
          <w:p w14:paraId="67D703F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Rheological/viscosity profile</w:t>
            </w:r>
          </w:p>
        </w:tc>
        <w:tc>
          <w:tcPr>
            <w:tcW w:w="0" w:type="auto"/>
            <w:hideMark/>
          </w:tcPr>
          <w:p w14:paraId="3EC04A23"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Determines sprayability and post-gelation mucoadhesive behaviour</w:t>
            </w:r>
          </w:p>
        </w:tc>
        <w:tc>
          <w:tcPr>
            <w:tcW w:w="0" w:type="auto"/>
            <w:hideMark/>
          </w:tcPr>
          <w:p w14:paraId="71E90305"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Must balance sprayability (low viscosity as sol) against residence time (adequate viscosity as gel)</w:t>
            </w:r>
          </w:p>
        </w:tc>
        <w:tc>
          <w:tcPr>
            <w:tcW w:w="0" w:type="auto"/>
            <w:hideMark/>
          </w:tcPr>
          <w:p w14:paraId="1325BCA6"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Menshutina et al. (2025)</w:t>
            </w:r>
          </w:p>
        </w:tc>
      </w:tr>
      <w:tr w:rsidR="00643D6C" w:rsidRPr="00643D6C" w14:paraId="06B02446" w14:textId="77777777" w:rsidTr="00981AA8">
        <w:tc>
          <w:tcPr>
            <w:tcW w:w="0" w:type="auto"/>
            <w:hideMark/>
          </w:tcPr>
          <w:p w14:paraId="3335572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Mucoadhesive force/work of adhesion</w:t>
            </w:r>
          </w:p>
        </w:tc>
        <w:tc>
          <w:tcPr>
            <w:tcW w:w="0" w:type="auto"/>
            <w:hideMark/>
          </w:tcPr>
          <w:p w14:paraId="205D7938"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Predicts resistance to mucociliary clearance</w:t>
            </w:r>
          </w:p>
        </w:tc>
        <w:tc>
          <w:tcPr>
            <w:tcW w:w="0" w:type="auto"/>
            <w:hideMark/>
          </w:tcPr>
          <w:p w14:paraId="3D000B1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Directly determines nasal residence time achieved in vivo</w:t>
            </w:r>
          </w:p>
        </w:tc>
        <w:tc>
          <w:tcPr>
            <w:tcW w:w="0" w:type="auto"/>
            <w:hideMark/>
          </w:tcPr>
          <w:p w14:paraId="45B688EF"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2B7D7F67" w14:textId="77777777" w:rsidTr="00981AA8">
        <w:tc>
          <w:tcPr>
            <w:tcW w:w="0" w:type="auto"/>
            <w:hideMark/>
          </w:tcPr>
          <w:p w14:paraId="2E6C570A"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Entrapment efficiency and vesicle size (nanoscale-specific)</w:t>
            </w:r>
          </w:p>
        </w:tc>
        <w:tc>
          <w:tcPr>
            <w:tcW w:w="0" w:type="auto"/>
            <w:hideMark/>
          </w:tcPr>
          <w:p w14:paraId="0D53EAA9"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adequacy of drug loading and suitability for olfactory pathway transit</w:t>
            </w:r>
          </w:p>
        </w:tc>
        <w:tc>
          <w:tcPr>
            <w:tcW w:w="0" w:type="auto"/>
            <w:hideMark/>
          </w:tcPr>
          <w:p w14:paraId="675E0892"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Not addressed by conventional nasal spray guidance but essential for nanovesicular systems</w:t>
            </w:r>
          </w:p>
        </w:tc>
        <w:tc>
          <w:tcPr>
            <w:tcW w:w="0" w:type="auto"/>
            <w:hideMark/>
          </w:tcPr>
          <w:p w14:paraId="1D7BA534" w14:textId="77777777" w:rsidR="00643D6C" w:rsidRPr="00643D6C" w:rsidRDefault="00643D6C" w:rsidP="00F454DA">
            <w:pPr>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bl>
    <w:p w14:paraId="088D5F26"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Beyond product-specific performance testing, the broader regulatory environment for nanomedicine products presents translational challenges that apply to nasal nanospanlastic in situ gels as much as to other nanoparticulate delivery systems. Regulatory frameworks for nanomedicines internationally continue to evolve on a largely case-by-case basis, reflecting the absence of a single harmonised classification system for complex, multicomponent nanoscale products, and manufacturers are generally advised to engage regulators early in development to define an appropriate characterisation and quality control strategy. Scale-up from laboratory-scale ethanol injection or thin-film hydration methods to reproducible industrial manufacture represents a further, largely unaddressed challenge specific to spanlastic technology; nearly all studies reviewed here describe formulations prepared at a scale of a few millilitres to tens of millilitres, and none report data on batch-to-batch reproducibility at pilot or production scale. Given that vesicle size and entrapment efficiency are known to be highly sensitive to processing parameters such as sonication amplitude and duration, injection rate, and stirring speed, this absence of scale-up data constitutes a significant gap between the current preclinical evidence base and any realistic clinical translation pathway (Rampado &amp; Peer, 2023).</w:t>
      </w:r>
    </w:p>
    <w:p w14:paraId="3287E848"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Clinical precedent for intranasal CNS-targeted delivery more broadly is nonetheless encouraging. Several intranasally administered peptide and small-molecule therapeutics have </w:t>
      </w:r>
      <w:r w:rsidRPr="00643D6C">
        <w:rPr>
          <w:rFonts w:ascii="Times New Roman" w:eastAsia="Times New Roman" w:hAnsi="Times New Roman" w:cs="Times New Roman"/>
          <w:sz w:val="24"/>
          <w:szCs w:val="24"/>
          <w:lang w:eastAsia="en-GB"/>
        </w:rPr>
        <w:lastRenderedPageBreak/>
        <w:t>reached clinical use or advanced clinical evaluation for CNS indications, including approved products for migraine and epilepsy management delivered via the intranasal route, demonstrating that regulatory approval of nasally administered CNS-targeted products is achievable in principle (Drath et al., 2025; Meredith et al., 2015). None of these approved products, however, currently employs a spanlastic or comparably deformable nanovesicular carrier within an in situ gelling matrix, meaning that the specific combination reviewed here remains, at the time of writing, an exclusively preclinical technology awaiting its first substantive clinical evaluation.</w:t>
      </w:r>
    </w:p>
    <w:p w14:paraId="22E6E3D5"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0EBF1569"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11. Future Directions</w:t>
      </w:r>
    </w:p>
    <w:p w14:paraId="53A50501"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Progress toward clinical translation of nasal nanospanlastic in situ gels will likely depend on several concurrent developments. Comparative studies directly benchmarking spanlastic vesicles against alternative deformable or rigid nanocarriers, such as niosomes, transfersomes, cubosomes and polymeric nanoparticles, within an identical in situ gelling vehicle and drug substance would substantially strengthen the current evidence base, since the great majority of existing studies compare a spanlastic formulation only against a free-drug solution rather than against a mechanistically distinct nanocarrier alternative. Systematic investigation of manufacturing scale-up, including the reproducibility of ethanol injection and thin-film hydration methods under continuous or semi-continuous processing conditions, will be necessary before any realistic assessment of commercial feasibility can be made. Larger-animal and, eventually, early-phase human pharmacokinetic studies will be required to establish whether the substantial brain-targeting advantages observed in rodent models translate proportionally to species with a smaller relative olfactory epithelial surface area, since the rodent nasal cavity is disproportionately rich in olfactory tissue relative to the human nose. Extended and repeated-dose nasal tolerability studies, incorporating ciliary beat frequency measurement and longer observation windows than typically reported to date, would meaningfully strengthen the safety case for chronic administration. Finally, integration of co-optimisation strategies that simultaneously model vesicle- and gel-level critical quality attributes, rather than optimising the two components sequentially, represents a methodologically achievable near-term advance that could improve the consistency and predictability of formulation outcomes across future studies.</w:t>
      </w:r>
    </w:p>
    <w:p w14:paraId="7CBDE97A"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12. Conclusions</w:t>
      </w:r>
    </w:p>
    <w:p w14:paraId="1CB2DFAA"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Nasal in situ nanospanlastic gels represent a mechanistically coherent and increasingly well-characterised strategy for overcoming the two principal barriers to effective nasal drug delivery, namely limited epithelial permeability and rapid mucociliary clearance. By combining the deformable, penetration-enhancing architecture of spanlastic nanovesicles with the prolonged mucosal residence afforded by thermosensitive, ionic or pH-responsive gelling matrices, this platform has consistently demonstrated improved nasal permeation and, where evaluated, enhanced systemic or central nervous system drug delivery across a diverse range of therapeutic agents in preclinical models. The formulation science underpinning vesicle composition, preparation method and statistical optimisation is comparatively mature and methodologically consistent across independent research groups. What remains substantially less developed is the translational evidence base: manufacturing scalability, long-term physical and chemical stability, comprehensive nasal safety pharmacology, and any human clinical data are all, at present, either sparse or entirely absent. The technology </w:t>
      </w:r>
      <w:r w:rsidRPr="00643D6C">
        <w:rPr>
          <w:rFonts w:ascii="Times New Roman" w:eastAsia="Times New Roman" w:hAnsi="Times New Roman" w:cs="Times New Roman"/>
          <w:sz w:val="24"/>
          <w:szCs w:val="24"/>
          <w:lang w:eastAsia="en-GB"/>
        </w:rPr>
        <w:lastRenderedPageBreak/>
        <w:t>therefore stands as a promising but still preclinical delivery platform, whose eventual clinical relevance will depend on the field's willingness to move beyond incremental formulation optimisation toward the comparative, scale-up and safety studies necessary to support translational development.</w:t>
      </w:r>
    </w:p>
    <w:p w14:paraId="153B376E" w14:textId="77777777" w:rsidR="00643D6C" w:rsidRPr="00643D6C" w:rsidRDefault="00643D6C" w:rsidP="00F454D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13. Limitations</w:t>
      </w:r>
    </w:p>
    <w:p w14:paraId="1BCA330E" w14:textId="77777777" w:rsidR="00643D6C" w:rsidRPr="00643D6C" w:rsidRDefault="00643D6C" w:rsidP="00F454D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This review is subject to several limitations that should be considered when interpreting its conclusions. The narrative methodology, while appropriate to the heterogeneous and rapidly evolving nature of the underlying literature, does not permit the systematic risk-of-bias assessment or pooled quantitative synthesis that a formal systematic review would provide, and study selection, while conducted according to explicit criteria, necessarily retains an element of investigator judgement. The underlying evidence base itself is dominated by a relatively small number of research groups, chiefly based in Egypt, India and a small number of other countries, employing broadly similar rodent models and formulation methodologies, which limits the generalisability of the consistently positive findings reported and raises the possibility that less favourable or negative results from other laboratories remain unpublished. Nearly all primary studies reviewed here report short-term pharmacokinetic and physicochemical outcomes rather than long-term stability, chronic tolerability or clinical efficacy data, meaning that the translational relevance of the preclinical findings summarised in this review cannot yet be confirmed. During the preparation of this review, two otherwise relevant primary studies, concerning nimodipine and armodafinil spanlastic in situ gels, could not be included because their full authorship could not be independently verified against the applicable citation standard; their omission means the drug-specific evidence base presented here, while consistent, is narrower than the full body of published work on this topic. Finally, because this is a narrative rather than systematic review, the search strategy, while structured and multi-database, cannot guarantee capture of every relevant publication within the defined time window, and some recent or less widely indexed studies may not be represented in the synthesis presented here.</w:t>
      </w:r>
    </w:p>
    <w:p w14:paraId="37156D7D" w14:textId="77777777" w:rsidR="008B7631" w:rsidRPr="000839CE" w:rsidRDefault="008B7631" w:rsidP="00F454DA">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4C16203D" w14:textId="77777777" w:rsidR="008B7631" w:rsidRPr="000839CE" w:rsidRDefault="008B7631" w:rsidP="00F454DA">
      <w:pPr>
        <w:spacing w:after="0" w:line="240" w:lineRule="auto"/>
        <w:jc w:val="both"/>
        <w:rPr>
          <w:rFonts w:ascii="Times New Roman" w:hAnsi="Times New Roman" w:cs="Times New Roman"/>
        </w:rPr>
      </w:pPr>
    </w:p>
    <w:p w14:paraId="07DF971C" w14:textId="77777777" w:rsidR="008B7631" w:rsidRPr="000839CE" w:rsidRDefault="008B7631" w:rsidP="00F454D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7B4C392" w14:textId="77777777" w:rsidR="00643D6C" w:rsidRPr="00643D6C" w:rsidRDefault="00643D6C" w:rsidP="00F454DA">
      <w:pPr>
        <w:spacing w:after="0" w:line="240" w:lineRule="auto"/>
        <w:jc w:val="both"/>
        <w:rPr>
          <w:rFonts w:ascii="Times New Roman" w:eastAsia="Times New Roman" w:hAnsi="Times New Roman" w:cs="Times New Roman"/>
          <w:sz w:val="24"/>
          <w:szCs w:val="24"/>
          <w:lang w:eastAsia="en-GB"/>
        </w:rPr>
      </w:pPr>
    </w:p>
    <w:p w14:paraId="5CBF8CEE" w14:textId="77777777" w:rsidR="00643D6C" w:rsidRDefault="00643D6C" w:rsidP="00F454DA">
      <w:pPr>
        <w:pStyle w:val="Heading3"/>
        <w:jc w:val="both"/>
      </w:pPr>
      <w:r>
        <w:t>References</w:t>
      </w:r>
    </w:p>
    <w:p w14:paraId="1F3249FB"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Abdelbari, M. A., El-Mancy, S. S., Elshafeey, A. H., &amp; Abdelbary, A. A. (2021). Implementing spanlastics for improving the ocular delivery of clotrimazole: In vitro characterization, ex vivo permeability, microbiological assessment and in vivo safety study. </w:t>
      </w:r>
      <w:r w:rsidRPr="00FB4F38">
        <w:rPr>
          <w:rFonts w:ascii="Times New Roman" w:eastAsia="Times New Roman" w:hAnsi="Times New Roman" w:cs="Times New Roman"/>
          <w:i/>
          <w:iCs/>
          <w:sz w:val="24"/>
          <w:szCs w:val="24"/>
          <w:lang w:val="en-US"/>
        </w:rPr>
        <w:t>International Journal of Nanomedicine, 16</w:t>
      </w:r>
      <w:r w:rsidRPr="00FB4F38">
        <w:rPr>
          <w:rFonts w:ascii="Times New Roman" w:eastAsia="Times New Roman" w:hAnsi="Times New Roman" w:cs="Times New Roman"/>
          <w:sz w:val="24"/>
          <w:szCs w:val="24"/>
          <w:lang w:val="en-US"/>
        </w:rPr>
        <w:t xml:space="preserve">, 6249–6261. </w:t>
      </w:r>
      <w:hyperlink r:id="rId6" w:tgtFrame="_new" w:history="1">
        <w:r w:rsidRPr="00FB4F38">
          <w:rPr>
            <w:rFonts w:ascii="Times New Roman" w:eastAsia="Times New Roman" w:hAnsi="Times New Roman" w:cs="Times New Roman"/>
            <w:color w:val="0000FF"/>
            <w:sz w:val="24"/>
            <w:szCs w:val="24"/>
            <w:u w:val="single"/>
            <w:lang w:val="en-US"/>
          </w:rPr>
          <w:t>https://doi.org/10.2147/IJN.S319348</w:t>
        </w:r>
      </w:hyperlink>
    </w:p>
    <w:p w14:paraId="674CEDB6"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lastRenderedPageBreak/>
        <w:t xml:space="preserve">Abdelmonem, R., El Nabarawi, M., &amp; Attia, A. (2018). Development of novel bioadhesive granisetron hydrochloride spanlastic gel and insert for brain targeting and study their effects on rats. </w:t>
      </w:r>
      <w:r w:rsidRPr="00FB4F38">
        <w:rPr>
          <w:rFonts w:ascii="Times New Roman" w:eastAsia="Times New Roman" w:hAnsi="Times New Roman" w:cs="Times New Roman"/>
          <w:i/>
          <w:iCs/>
          <w:sz w:val="24"/>
          <w:szCs w:val="24"/>
          <w:lang w:val="en-US"/>
        </w:rPr>
        <w:t>Drug Delivery, 25</w:t>
      </w:r>
      <w:r w:rsidRPr="00FB4F38">
        <w:rPr>
          <w:rFonts w:ascii="Times New Roman" w:eastAsia="Times New Roman" w:hAnsi="Times New Roman" w:cs="Times New Roman"/>
          <w:sz w:val="24"/>
          <w:szCs w:val="24"/>
          <w:lang w:val="en-US"/>
        </w:rPr>
        <w:t xml:space="preserve">(1), 70–77. </w:t>
      </w:r>
      <w:hyperlink r:id="rId7" w:tgtFrame="_new" w:history="1">
        <w:r w:rsidRPr="00FB4F38">
          <w:rPr>
            <w:rFonts w:ascii="Times New Roman" w:eastAsia="Times New Roman" w:hAnsi="Times New Roman" w:cs="Times New Roman"/>
            <w:color w:val="0000FF"/>
            <w:sz w:val="24"/>
            <w:szCs w:val="24"/>
            <w:u w:val="single"/>
            <w:lang w:val="en-US"/>
          </w:rPr>
          <w:t>https://doi.org/10.1080/10717544.2017.1413447</w:t>
        </w:r>
      </w:hyperlink>
    </w:p>
    <w:p w14:paraId="0D483C8E"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Abdelmonem, R., Abo El-Enin, H. A., Abdelkader, G., &amp; Abdel-Hakeem, M. (2023). Formulation and characterization of lamotrigine nasal insert targeted brain for enhanced epilepsy treatment. </w:t>
      </w:r>
      <w:r w:rsidRPr="00FB4F38">
        <w:rPr>
          <w:rFonts w:ascii="Times New Roman" w:eastAsia="Times New Roman" w:hAnsi="Times New Roman" w:cs="Times New Roman"/>
          <w:i/>
          <w:iCs/>
          <w:sz w:val="24"/>
          <w:szCs w:val="24"/>
          <w:lang w:val="en-US"/>
        </w:rPr>
        <w:t>Drug Delivery, 30</w:t>
      </w:r>
      <w:r w:rsidRPr="00FB4F38">
        <w:rPr>
          <w:rFonts w:ascii="Times New Roman" w:eastAsia="Times New Roman" w:hAnsi="Times New Roman" w:cs="Times New Roman"/>
          <w:sz w:val="24"/>
          <w:szCs w:val="24"/>
          <w:lang w:val="en-US"/>
        </w:rPr>
        <w:t xml:space="preserve">(1), Article 2163321. </w:t>
      </w:r>
      <w:hyperlink r:id="rId8" w:tgtFrame="_new" w:history="1">
        <w:r w:rsidRPr="00FB4F38">
          <w:rPr>
            <w:rFonts w:ascii="Times New Roman" w:eastAsia="Times New Roman" w:hAnsi="Times New Roman" w:cs="Times New Roman"/>
            <w:color w:val="0000FF"/>
            <w:sz w:val="24"/>
            <w:szCs w:val="24"/>
            <w:u w:val="single"/>
            <w:lang w:val="en-US"/>
          </w:rPr>
          <w:t>https://doi.org/10.1080/10717544.2022.2163321</w:t>
        </w:r>
      </w:hyperlink>
    </w:p>
    <w:p w14:paraId="2747DA78"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Alharbi, W. S., Hareeri, R. H., Bazuhair, M., Alfaleh, M. A., Alhakamy, N. A., Fahmy, U. A., Alamoudi, A. A., Badr-Eldin, S. M., Ahmed, O. A., AlGhamdi, S. A., &amp; Naguib, M. J. (2022). Spanlastics as a potential platform for enhancing the brain delivery of flibanserin: In vitro response-surface optimization and in vivo pharmacokinetics assessment. </w:t>
      </w:r>
      <w:r w:rsidRPr="00FB4F38">
        <w:rPr>
          <w:rFonts w:ascii="Times New Roman" w:eastAsia="Times New Roman" w:hAnsi="Times New Roman" w:cs="Times New Roman"/>
          <w:i/>
          <w:iCs/>
          <w:sz w:val="24"/>
          <w:szCs w:val="24"/>
          <w:lang w:val="en-US"/>
        </w:rPr>
        <w:t>Pharmaceutics, 14</w:t>
      </w:r>
      <w:r w:rsidRPr="00FB4F38">
        <w:rPr>
          <w:rFonts w:ascii="Times New Roman" w:eastAsia="Times New Roman" w:hAnsi="Times New Roman" w:cs="Times New Roman"/>
          <w:sz w:val="24"/>
          <w:szCs w:val="24"/>
          <w:lang w:val="en-US"/>
        </w:rPr>
        <w:t xml:space="preserve">(12), Article 2627. </w:t>
      </w:r>
      <w:hyperlink r:id="rId9" w:tgtFrame="_new" w:history="1">
        <w:r w:rsidRPr="00FB4F38">
          <w:rPr>
            <w:rFonts w:ascii="Times New Roman" w:eastAsia="Times New Roman" w:hAnsi="Times New Roman" w:cs="Times New Roman"/>
            <w:color w:val="0000FF"/>
            <w:sz w:val="24"/>
            <w:szCs w:val="24"/>
            <w:u w:val="single"/>
            <w:lang w:val="en-US"/>
          </w:rPr>
          <w:t>https://doi.org/10.3390/pharmaceutics14122627</w:t>
        </w:r>
      </w:hyperlink>
    </w:p>
    <w:p w14:paraId="0A9500FE"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Ali, M. M., Shoukri, R. A., &amp; Yousry, C. (2023). Thin film hydration versus modified spraying technique to fabricate intranasal spanlastic nanovesicles for rasagiline mesylate brain delivery: Characterization, statistical optimization, and in vivo pharmacokinetic evaluation. </w:t>
      </w:r>
      <w:r w:rsidRPr="00FB4F38">
        <w:rPr>
          <w:rFonts w:ascii="Times New Roman" w:eastAsia="Times New Roman" w:hAnsi="Times New Roman" w:cs="Times New Roman"/>
          <w:i/>
          <w:iCs/>
          <w:sz w:val="24"/>
          <w:szCs w:val="24"/>
          <w:lang w:val="en-US"/>
        </w:rPr>
        <w:t>Drug Delivery and Translational Research, 13</w:t>
      </w:r>
      <w:r w:rsidRPr="00FB4F38">
        <w:rPr>
          <w:rFonts w:ascii="Times New Roman" w:eastAsia="Times New Roman" w:hAnsi="Times New Roman" w:cs="Times New Roman"/>
          <w:sz w:val="24"/>
          <w:szCs w:val="24"/>
          <w:lang w:val="en-US"/>
        </w:rPr>
        <w:t xml:space="preserve">(4), 1153–1168. </w:t>
      </w:r>
      <w:hyperlink r:id="rId10" w:tgtFrame="_new" w:history="1">
        <w:r w:rsidRPr="00FB4F38">
          <w:rPr>
            <w:rFonts w:ascii="Times New Roman" w:eastAsia="Times New Roman" w:hAnsi="Times New Roman" w:cs="Times New Roman"/>
            <w:color w:val="0000FF"/>
            <w:sz w:val="24"/>
            <w:szCs w:val="24"/>
            <w:u w:val="single"/>
            <w:lang w:val="en-US"/>
          </w:rPr>
          <w:t>https://doi.org/10.1007/s13346-022-01285-5</w:t>
        </w:r>
      </w:hyperlink>
    </w:p>
    <w:p w14:paraId="1153CA1F"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Chen, Y., Zhang, C., Huang, Y., Ma, Y., Song, Q., Chen, H., Jiang, G., &amp; Gao, X. (2024). Intranasal drug delivery: The interaction between nanoparticles and the nose-to-brain pathway. </w:t>
      </w:r>
      <w:r w:rsidRPr="00FB4F38">
        <w:rPr>
          <w:rFonts w:ascii="Times New Roman" w:eastAsia="Times New Roman" w:hAnsi="Times New Roman" w:cs="Times New Roman"/>
          <w:i/>
          <w:iCs/>
          <w:sz w:val="24"/>
          <w:szCs w:val="24"/>
          <w:lang w:val="en-US"/>
        </w:rPr>
        <w:t>Advanced Drug Delivery Reviews, 207</w:t>
      </w:r>
      <w:r w:rsidRPr="00FB4F38">
        <w:rPr>
          <w:rFonts w:ascii="Times New Roman" w:eastAsia="Times New Roman" w:hAnsi="Times New Roman" w:cs="Times New Roman"/>
          <w:sz w:val="24"/>
          <w:szCs w:val="24"/>
          <w:lang w:val="en-US"/>
        </w:rPr>
        <w:t xml:space="preserve">, Article 115196. </w:t>
      </w:r>
      <w:hyperlink r:id="rId11" w:tgtFrame="_new" w:history="1">
        <w:r w:rsidRPr="00FB4F38">
          <w:rPr>
            <w:rFonts w:ascii="Times New Roman" w:eastAsia="Times New Roman" w:hAnsi="Times New Roman" w:cs="Times New Roman"/>
            <w:color w:val="0000FF"/>
            <w:sz w:val="24"/>
            <w:szCs w:val="24"/>
            <w:u w:val="single"/>
            <w:lang w:val="en-US"/>
          </w:rPr>
          <w:t>https://doi.org/10.1016/j.addr.2024.115196</w:t>
        </w:r>
      </w:hyperlink>
    </w:p>
    <w:p w14:paraId="567DC36E"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Dimova, R., Aranda, S., Bezlyepkina, N., Nikolov, V., Riske, K. A., &amp; Lipowsky, R. (2006). A practical guide to giant vesicles: Probing the membrane nanoregime via optical microscopy. </w:t>
      </w:r>
      <w:r w:rsidRPr="00FB4F38">
        <w:rPr>
          <w:rFonts w:ascii="Times New Roman" w:eastAsia="Times New Roman" w:hAnsi="Times New Roman" w:cs="Times New Roman"/>
          <w:i/>
          <w:iCs/>
          <w:sz w:val="24"/>
          <w:szCs w:val="24"/>
          <w:lang w:val="en-US"/>
        </w:rPr>
        <w:t>Journal of Physics: Condensed Matter, 18</w:t>
      </w:r>
      <w:r w:rsidRPr="00FB4F38">
        <w:rPr>
          <w:rFonts w:ascii="Times New Roman" w:eastAsia="Times New Roman" w:hAnsi="Times New Roman" w:cs="Times New Roman"/>
          <w:sz w:val="24"/>
          <w:szCs w:val="24"/>
          <w:lang w:val="en-US"/>
        </w:rPr>
        <w:t xml:space="preserve">(28), S1151–S1176. </w:t>
      </w:r>
      <w:hyperlink r:id="rId12" w:tgtFrame="_new" w:history="1">
        <w:r w:rsidRPr="00FB4F38">
          <w:rPr>
            <w:rFonts w:ascii="Times New Roman" w:eastAsia="Times New Roman" w:hAnsi="Times New Roman" w:cs="Times New Roman"/>
            <w:color w:val="0000FF"/>
            <w:sz w:val="24"/>
            <w:szCs w:val="24"/>
            <w:u w:val="single"/>
            <w:lang w:val="en-US"/>
          </w:rPr>
          <w:t>https://doi.org/10.1088/0953-8984/18/28/S04</w:t>
        </w:r>
      </w:hyperlink>
    </w:p>
    <w:p w14:paraId="31BF2755"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Drath, I., Richter, F., &amp; Feja, M. (2025). Nose-to-brain drug delivery: From bench to bedside. </w:t>
      </w:r>
      <w:r w:rsidRPr="00FB4F38">
        <w:rPr>
          <w:rFonts w:ascii="Times New Roman" w:eastAsia="Times New Roman" w:hAnsi="Times New Roman" w:cs="Times New Roman"/>
          <w:i/>
          <w:iCs/>
          <w:sz w:val="24"/>
          <w:szCs w:val="24"/>
          <w:lang w:val="en-US"/>
        </w:rPr>
        <w:t>Translational Neurodegeneration, 14</w:t>
      </w:r>
      <w:r w:rsidRPr="00FB4F38">
        <w:rPr>
          <w:rFonts w:ascii="Times New Roman" w:eastAsia="Times New Roman" w:hAnsi="Times New Roman" w:cs="Times New Roman"/>
          <w:sz w:val="24"/>
          <w:szCs w:val="24"/>
          <w:lang w:val="en-US"/>
        </w:rPr>
        <w:t xml:space="preserve">, Article 23. </w:t>
      </w:r>
      <w:hyperlink r:id="rId13" w:tgtFrame="_new" w:history="1">
        <w:r w:rsidRPr="00FB4F38">
          <w:rPr>
            <w:rFonts w:ascii="Times New Roman" w:eastAsia="Times New Roman" w:hAnsi="Times New Roman" w:cs="Times New Roman"/>
            <w:color w:val="0000FF"/>
            <w:sz w:val="24"/>
            <w:szCs w:val="24"/>
            <w:u w:val="single"/>
            <w:lang w:val="en-US"/>
          </w:rPr>
          <w:t>https://doi.org/10.1186/s40035-025-00481-w</w:t>
        </w:r>
      </w:hyperlink>
    </w:p>
    <w:p w14:paraId="0D54AF97"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Eissa, E. M., Elkomy, M. H., Eid, H. M., Ali, A. A., Abourehab, M. A. S., Alsubaiyel, A. M., Naguib, I. A., Alsalahat, I., &amp; Hassan, A. H. (2022). Intranasal delivery of granisetron to the brain via nanostructured cubosomes-based in situ gel for improved management of chemotherapy-induced emesis. </w:t>
      </w:r>
      <w:r w:rsidRPr="00FB4F38">
        <w:rPr>
          <w:rFonts w:ascii="Times New Roman" w:eastAsia="Times New Roman" w:hAnsi="Times New Roman" w:cs="Times New Roman"/>
          <w:i/>
          <w:iCs/>
          <w:sz w:val="24"/>
          <w:szCs w:val="24"/>
          <w:lang w:val="en-US"/>
        </w:rPr>
        <w:t>Pharmaceutics, 14</w:t>
      </w:r>
      <w:r w:rsidRPr="00FB4F38">
        <w:rPr>
          <w:rFonts w:ascii="Times New Roman" w:eastAsia="Times New Roman" w:hAnsi="Times New Roman" w:cs="Times New Roman"/>
          <w:sz w:val="24"/>
          <w:szCs w:val="24"/>
          <w:lang w:val="en-US"/>
        </w:rPr>
        <w:t xml:space="preserve">(7), Article 1374. </w:t>
      </w:r>
      <w:hyperlink r:id="rId14" w:tgtFrame="_new" w:history="1">
        <w:r w:rsidRPr="00FB4F38">
          <w:rPr>
            <w:rFonts w:ascii="Times New Roman" w:eastAsia="Times New Roman" w:hAnsi="Times New Roman" w:cs="Times New Roman"/>
            <w:color w:val="0000FF"/>
            <w:sz w:val="24"/>
            <w:szCs w:val="24"/>
            <w:u w:val="single"/>
            <w:lang w:val="en-US"/>
          </w:rPr>
          <w:t>https://doi.org/10.3390/pharmaceutics14071374</w:t>
        </w:r>
      </w:hyperlink>
    </w:p>
    <w:p w14:paraId="04E0E0D1"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Elsaied, E. H., Dawaba, H. M., Ibrahim, E. S. A., &amp; Afouna, M. I. (2019). Effect of PEGylated edge activator on Span 60-based nanovesicles: Comparison between Myrj 52 and Myrj 59. </w:t>
      </w:r>
      <w:r w:rsidRPr="00FB4F38">
        <w:rPr>
          <w:rFonts w:ascii="Times New Roman" w:eastAsia="Times New Roman" w:hAnsi="Times New Roman" w:cs="Times New Roman"/>
          <w:i/>
          <w:iCs/>
          <w:sz w:val="24"/>
          <w:szCs w:val="24"/>
          <w:lang w:val="en-US"/>
        </w:rPr>
        <w:t>Universal Journal of Pharmaceutical Research, 4</w:t>
      </w:r>
      <w:r w:rsidRPr="00FB4F38">
        <w:rPr>
          <w:rFonts w:ascii="Times New Roman" w:eastAsia="Times New Roman" w:hAnsi="Times New Roman" w:cs="Times New Roman"/>
          <w:sz w:val="24"/>
          <w:szCs w:val="24"/>
          <w:lang w:val="en-US"/>
        </w:rPr>
        <w:t xml:space="preserve">(4), 1–8. </w:t>
      </w:r>
      <w:hyperlink r:id="rId15" w:tgtFrame="_new" w:history="1">
        <w:r w:rsidRPr="00FB4F38">
          <w:rPr>
            <w:rFonts w:ascii="Times New Roman" w:eastAsia="Times New Roman" w:hAnsi="Times New Roman" w:cs="Times New Roman"/>
            <w:color w:val="0000FF"/>
            <w:sz w:val="24"/>
            <w:szCs w:val="24"/>
            <w:u w:val="single"/>
            <w:lang w:val="en-US"/>
          </w:rPr>
          <w:t>https://doi.org/10.22270/ujpr.v4i4.290</w:t>
        </w:r>
      </w:hyperlink>
    </w:p>
    <w:p w14:paraId="421D64CD"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Fachel, F. N. S., Salatino-Oliveira, A., da Silva Carniel, W., Zimmermann, R., Matte, U., Teixeira, H. F., Baldo, G., &amp; Schuh, R. S. (2025). Recent advances in nose-to-brain gene delivery for central nervous system disorders. </w:t>
      </w:r>
      <w:r w:rsidRPr="00FB4F38">
        <w:rPr>
          <w:rFonts w:ascii="Times New Roman" w:eastAsia="Times New Roman" w:hAnsi="Times New Roman" w:cs="Times New Roman"/>
          <w:i/>
          <w:iCs/>
          <w:sz w:val="24"/>
          <w:szCs w:val="24"/>
          <w:lang w:val="en-US"/>
        </w:rPr>
        <w:t>Pharmaceutics, 17</w:t>
      </w:r>
      <w:r w:rsidRPr="00FB4F38">
        <w:rPr>
          <w:rFonts w:ascii="Times New Roman" w:eastAsia="Times New Roman" w:hAnsi="Times New Roman" w:cs="Times New Roman"/>
          <w:sz w:val="24"/>
          <w:szCs w:val="24"/>
          <w:lang w:val="en-US"/>
        </w:rPr>
        <w:t xml:space="preserve">(9), Article 1177. </w:t>
      </w:r>
      <w:hyperlink r:id="rId16" w:tgtFrame="_new" w:history="1">
        <w:r w:rsidRPr="00FB4F38">
          <w:rPr>
            <w:rFonts w:ascii="Times New Roman" w:eastAsia="Times New Roman" w:hAnsi="Times New Roman" w:cs="Times New Roman"/>
            <w:color w:val="0000FF"/>
            <w:sz w:val="24"/>
            <w:szCs w:val="24"/>
            <w:u w:val="single"/>
            <w:lang w:val="en-US"/>
          </w:rPr>
          <w:t>https://doi.org/10.3390/pharmaceutics17091177</w:t>
        </w:r>
      </w:hyperlink>
    </w:p>
    <w:p w14:paraId="7CB0F31F"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lastRenderedPageBreak/>
        <w:t xml:space="preserve">Formica, M. L., Real, D. A., Picchio, M. L., Catlin, E., Donnelly, R. F., &amp; Paredes, A. J. (2022). On a highway to the brain: A review on nose-to-brain drug delivery using nanoparticles. </w:t>
      </w:r>
      <w:r w:rsidRPr="00FB4F38">
        <w:rPr>
          <w:rFonts w:ascii="Times New Roman" w:eastAsia="Times New Roman" w:hAnsi="Times New Roman" w:cs="Times New Roman"/>
          <w:i/>
          <w:iCs/>
          <w:sz w:val="24"/>
          <w:szCs w:val="24"/>
          <w:lang w:val="en-US"/>
        </w:rPr>
        <w:t>Applied Materials Today, 29</w:t>
      </w:r>
      <w:r w:rsidRPr="00FB4F38">
        <w:rPr>
          <w:rFonts w:ascii="Times New Roman" w:eastAsia="Times New Roman" w:hAnsi="Times New Roman" w:cs="Times New Roman"/>
          <w:sz w:val="24"/>
          <w:szCs w:val="24"/>
          <w:lang w:val="en-US"/>
        </w:rPr>
        <w:t xml:space="preserve">, Article 101631. </w:t>
      </w:r>
      <w:hyperlink r:id="rId17" w:tgtFrame="_new" w:history="1">
        <w:r w:rsidRPr="00FB4F38">
          <w:rPr>
            <w:rFonts w:ascii="Times New Roman" w:eastAsia="Times New Roman" w:hAnsi="Times New Roman" w:cs="Times New Roman"/>
            <w:color w:val="0000FF"/>
            <w:sz w:val="24"/>
            <w:szCs w:val="24"/>
            <w:u w:val="single"/>
            <w:lang w:val="en-US"/>
          </w:rPr>
          <w:t>https://doi.org/10.1016/j.apmt.2022.101631</w:t>
        </w:r>
      </w:hyperlink>
    </w:p>
    <w:p w14:paraId="2B6BE69F"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Furley, P., &amp; Goldschmied, N. (2021). Systematic vs. narrative reviews in sport and exercise psychology: Is either approach superior to the other? </w:t>
      </w:r>
      <w:r w:rsidRPr="00FB4F38">
        <w:rPr>
          <w:rFonts w:ascii="Times New Roman" w:eastAsia="Times New Roman" w:hAnsi="Times New Roman" w:cs="Times New Roman"/>
          <w:i/>
          <w:iCs/>
          <w:sz w:val="24"/>
          <w:szCs w:val="24"/>
          <w:lang w:val="en-US"/>
        </w:rPr>
        <w:t>Frontiers in Psychology, 12</w:t>
      </w:r>
      <w:r w:rsidRPr="00FB4F38">
        <w:rPr>
          <w:rFonts w:ascii="Times New Roman" w:eastAsia="Times New Roman" w:hAnsi="Times New Roman" w:cs="Times New Roman"/>
          <w:sz w:val="24"/>
          <w:szCs w:val="24"/>
          <w:lang w:val="en-US"/>
        </w:rPr>
        <w:t xml:space="preserve">, Article 685082. </w:t>
      </w:r>
      <w:hyperlink r:id="rId18" w:tgtFrame="_new" w:history="1">
        <w:r w:rsidRPr="00FB4F38">
          <w:rPr>
            <w:rFonts w:ascii="Times New Roman" w:eastAsia="Times New Roman" w:hAnsi="Times New Roman" w:cs="Times New Roman"/>
            <w:color w:val="0000FF"/>
            <w:sz w:val="24"/>
            <w:szCs w:val="24"/>
            <w:u w:val="single"/>
            <w:lang w:val="en-US"/>
          </w:rPr>
          <w:t>https://doi.org/10.3389/fpsyg.2021.685082</w:t>
        </w:r>
      </w:hyperlink>
    </w:p>
    <w:p w14:paraId="657B2D10"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Garg, A., &amp; Lavania, K. (2024). Recent opportunities and application of gellan gum-based drug delivery system for intranasal route. </w:t>
      </w:r>
      <w:r w:rsidRPr="00FB4F38">
        <w:rPr>
          <w:rFonts w:ascii="Times New Roman" w:eastAsia="Times New Roman" w:hAnsi="Times New Roman" w:cs="Times New Roman"/>
          <w:i/>
          <w:iCs/>
          <w:sz w:val="24"/>
          <w:szCs w:val="24"/>
          <w:lang w:val="en-US"/>
        </w:rPr>
        <w:t>DARU Journal of Pharmaceutical Sciences, 32</w:t>
      </w:r>
      <w:r w:rsidRPr="00FB4F38">
        <w:rPr>
          <w:rFonts w:ascii="Times New Roman" w:eastAsia="Times New Roman" w:hAnsi="Times New Roman" w:cs="Times New Roman"/>
          <w:sz w:val="24"/>
          <w:szCs w:val="24"/>
          <w:lang w:val="en-US"/>
        </w:rPr>
        <w:t xml:space="preserve">, 947–965. </w:t>
      </w:r>
      <w:hyperlink r:id="rId19" w:tgtFrame="_new" w:history="1">
        <w:r w:rsidRPr="00FB4F38">
          <w:rPr>
            <w:rFonts w:ascii="Times New Roman" w:eastAsia="Times New Roman" w:hAnsi="Times New Roman" w:cs="Times New Roman"/>
            <w:color w:val="0000FF"/>
            <w:sz w:val="24"/>
            <w:szCs w:val="24"/>
            <w:u w:val="single"/>
            <w:lang w:val="en-US"/>
          </w:rPr>
          <w:t>https://doi.org/10.1007/s40199-024-00543-w</w:t>
        </w:r>
      </w:hyperlink>
    </w:p>
    <w:p w14:paraId="417CADB5"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Gupta, I., Adin, S. N., Rashid, M. A., Alhamhoom, Y., Aqil, M., &amp; Mujeeb, M. (2023). Spanlastics as a potential approach for enhancing the nose-to-brain delivery of piperine: In vitro prospect and in vivo therapeutic efficacy for the management of epilepsy. </w:t>
      </w:r>
      <w:r w:rsidRPr="00FB4F38">
        <w:rPr>
          <w:rFonts w:ascii="Times New Roman" w:eastAsia="Times New Roman" w:hAnsi="Times New Roman" w:cs="Times New Roman"/>
          <w:i/>
          <w:iCs/>
          <w:sz w:val="24"/>
          <w:szCs w:val="24"/>
          <w:lang w:val="en-US"/>
        </w:rPr>
        <w:t>Pharmaceutics, 15</w:t>
      </w:r>
      <w:r w:rsidRPr="00FB4F38">
        <w:rPr>
          <w:rFonts w:ascii="Times New Roman" w:eastAsia="Times New Roman" w:hAnsi="Times New Roman" w:cs="Times New Roman"/>
          <w:sz w:val="24"/>
          <w:szCs w:val="24"/>
          <w:lang w:val="en-US"/>
        </w:rPr>
        <w:t xml:space="preserve">(2), Article 641. </w:t>
      </w:r>
      <w:hyperlink r:id="rId20" w:tgtFrame="_new" w:history="1">
        <w:r w:rsidRPr="00FB4F38">
          <w:rPr>
            <w:rFonts w:ascii="Times New Roman" w:eastAsia="Times New Roman" w:hAnsi="Times New Roman" w:cs="Times New Roman"/>
            <w:color w:val="0000FF"/>
            <w:sz w:val="24"/>
            <w:szCs w:val="24"/>
            <w:u w:val="single"/>
            <w:lang w:val="en-US"/>
          </w:rPr>
          <w:t>https://doi.org/10.3390/pharmaceutics15020641</w:t>
        </w:r>
      </w:hyperlink>
    </w:p>
    <w:p w14:paraId="6720CBFF"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Khan, S., Patil, K., Bobade, N., Yeole, P., &amp; Gaikwad, R. (2010). Formulation of intranasal mucoadhesive temperature-mediated in situ gel containing ropinirole and evaluation of brain targeting efficiency in rats. </w:t>
      </w:r>
      <w:r w:rsidRPr="00FB4F38">
        <w:rPr>
          <w:rFonts w:ascii="Times New Roman" w:eastAsia="Times New Roman" w:hAnsi="Times New Roman" w:cs="Times New Roman"/>
          <w:i/>
          <w:iCs/>
          <w:sz w:val="24"/>
          <w:szCs w:val="24"/>
          <w:lang w:val="en-US"/>
        </w:rPr>
        <w:t>Journal of Drug Targeting, 18</w:t>
      </w:r>
      <w:r w:rsidRPr="00FB4F38">
        <w:rPr>
          <w:rFonts w:ascii="Times New Roman" w:eastAsia="Times New Roman" w:hAnsi="Times New Roman" w:cs="Times New Roman"/>
          <w:sz w:val="24"/>
          <w:szCs w:val="24"/>
          <w:lang w:val="en-US"/>
        </w:rPr>
        <w:t xml:space="preserve">(3), 223–234. </w:t>
      </w:r>
      <w:hyperlink r:id="rId21" w:tgtFrame="_new" w:history="1">
        <w:r w:rsidRPr="00FB4F38">
          <w:rPr>
            <w:rFonts w:ascii="Times New Roman" w:eastAsia="Times New Roman" w:hAnsi="Times New Roman" w:cs="Times New Roman"/>
            <w:color w:val="0000FF"/>
            <w:sz w:val="24"/>
            <w:szCs w:val="24"/>
            <w:u w:val="single"/>
            <w:lang w:val="en-US"/>
          </w:rPr>
          <w:t>https://doi.org/10.3109/10611860903386938</w:t>
        </w:r>
      </w:hyperlink>
    </w:p>
    <w:p w14:paraId="703EEE45"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Khositsuntiwong, N., Manosroi, A., Götz, F., Werner, R. G., Manosroi, W., &amp; Manosroi, J. (2012). Enhancement of gene expression and melanin production of human tyrosinase gene loaded in elastic cationic niosomes. </w:t>
      </w:r>
      <w:r w:rsidRPr="00FB4F38">
        <w:rPr>
          <w:rFonts w:ascii="Times New Roman" w:eastAsia="Times New Roman" w:hAnsi="Times New Roman" w:cs="Times New Roman"/>
          <w:i/>
          <w:iCs/>
          <w:sz w:val="24"/>
          <w:szCs w:val="24"/>
          <w:lang w:val="en-US"/>
        </w:rPr>
        <w:t>Journal of Pharmacy and Pharmacology, 64</w:t>
      </w:r>
      <w:r w:rsidRPr="00FB4F38">
        <w:rPr>
          <w:rFonts w:ascii="Times New Roman" w:eastAsia="Times New Roman" w:hAnsi="Times New Roman" w:cs="Times New Roman"/>
          <w:sz w:val="24"/>
          <w:szCs w:val="24"/>
          <w:lang w:val="en-US"/>
        </w:rPr>
        <w:t xml:space="preserve">(10), 1376–1385. </w:t>
      </w:r>
      <w:hyperlink r:id="rId22" w:tgtFrame="_new" w:history="1">
        <w:r w:rsidRPr="00FB4F38">
          <w:rPr>
            <w:rFonts w:ascii="Times New Roman" w:eastAsia="Times New Roman" w:hAnsi="Times New Roman" w:cs="Times New Roman"/>
            <w:color w:val="0000FF"/>
            <w:sz w:val="24"/>
            <w:szCs w:val="24"/>
            <w:u w:val="single"/>
            <w:lang w:val="en-US"/>
          </w:rPr>
          <w:t>https://doi.org/10.1111/j.2042-7158.2012.01509.x</w:t>
        </w:r>
      </w:hyperlink>
    </w:p>
    <w:p w14:paraId="3947B7D7"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Mahmoud, B. S., &amp; McConville, C. (2023). Box–Behnken design of experiments of polycaprolactone nanoparticles loaded with irinotecan hydrochloride. </w:t>
      </w:r>
      <w:r w:rsidRPr="00FB4F38">
        <w:rPr>
          <w:rFonts w:ascii="Times New Roman" w:eastAsia="Times New Roman" w:hAnsi="Times New Roman" w:cs="Times New Roman"/>
          <w:i/>
          <w:iCs/>
          <w:sz w:val="24"/>
          <w:szCs w:val="24"/>
          <w:lang w:val="en-US"/>
        </w:rPr>
        <w:t>Pharmaceutics, 15</w:t>
      </w:r>
      <w:r w:rsidRPr="00FB4F38">
        <w:rPr>
          <w:rFonts w:ascii="Times New Roman" w:eastAsia="Times New Roman" w:hAnsi="Times New Roman" w:cs="Times New Roman"/>
          <w:sz w:val="24"/>
          <w:szCs w:val="24"/>
          <w:lang w:val="en-US"/>
        </w:rPr>
        <w:t xml:space="preserve">(4), Article 1271. </w:t>
      </w:r>
      <w:hyperlink r:id="rId23" w:tgtFrame="_new" w:history="1">
        <w:r w:rsidRPr="00FB4F38">
          <w:rPr>
            <w:rFonts w:ascii="Times New Roman" w:eastAsia="Times New Roman" w:hAnsi="Times New Roman" w:cs="Times New Roman"/>
            <w:color w:val="0000FF"/>
            <w:sz w:val="24"/>
            <w:szCs w:val="24"/>
            <w:u w:val="single"/>
            <w:lang w:val="en-US"/>
          </w:rPr>
          <w:t>https://doi.org/10.3390/pharmaceutics15041271</w:t>
        </w:r>
      </w:hyperlink>
    </w:p>
    <w:p w14:paraId="0F6486CE"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Mazyed, E. A., Helal, D. A., Elkhoudary, M. M., Abd Elhameed, A. G., &amp; Yasser, M. (2021). Formulation and optimization of nanospanlastics for improving the bioavailability of green tea epigallocatechin gallate. </w:t>
      </w:r>
      <w:r w:rsidRPr="00FB4F38">
        <w:rPr>
          <w:rFonts w:ascii="Times New Roman" w:eastAsia="Times New Roman" w:hAnsi="Times New Roman" w:cs="Times New Roman"/>
          <w:i/>
          <w:iCs/>
          <w:sz w:val="24"/>
          <w:szCs w:val="24"/>
          <w:lang w:val="en-US"/>
        </w:rPr>
        <w:t>Pharmaceuticals, 14</w:t>
      </w:r>
      <w:r w:rsidRPr="00FB4F38">
        <w:rPr>
          <w:rFonts w:ascii="Times New Roman" w:eastAsia="Times New Roman" w:hAnsi="Times New Roman" w:cs="Times New Roman"/>
          <w:sz w:val="24"/>
          <w:szCs w:val="24"/>
          <w:lang w:val="en-US"/>
        </w:rPr>
        <w:t xml:space="preserve">(1), Article 68. </w:t>
      </w:r>
      <w:hyperlink r:id="rId24" w:tgtFrame="_new" w:history="1">
        <w:r w:rsidRPr="00FB4F38">
          <w:rPr>
            <w:rFonts w:ascii="Times New Roman" w:eastAsia="Times New Roman" w:hAnsi="Times New Roman" w:cs="Times New Roman"/>
            <w:color w:val="0000FF"/>
            <w:sz w:val="24"/>
            <w:szCs w:val="24"/>
            <w:u w:val="single"/>
            <w:lang w:val="en-US"/>
          </w:rPr>
          <w:t>https://doi.org/10.3390/ph14010068</w:t>
        </w:r>
      </w:hyperlink>
    </w:p>
    <w:p w14:paraId="1E943C31"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Menshutina, N., Derkach, V., Mokhova, E., &amp; Gordienko, M. (2025). Investigation of rheological characteristics of thermosensitive nasal in situ gels based on P407 and their effect on spray pattern. </w:t>
      </w:r>
      <w:r w:rsidRPr="00FB4F38">
        <w:rPr>
          <w:rFonts w:ascii="Times New Roman" w:eastAsia="Times New Roman" w:hAnsi="Times New Roman" w:cs="Times New Roman"/>
          <w:i/>
          <w:iCs/>
          <w:sz w:val="24"/>
          <w:szCs w:val="24"/>
          <w:lang w:val="en-US"/>
        </w:rPr>
        <w:t>Gels, 11</w:t>
      </w:r>
      <w:r w:rsidRPr="00FB4F38">
        <w:rPr>
          <w:rFonts w:ascii="Times New Roman" w:eastAsia="Times New Roman" w:hAnsi="Times New Roman" w:cs="Times New Roman"/>
          <w:sz w:val="24"/>
          <w:szCs w:val="24"/>
          <w:lang w:val="en-US"/>
        </w:rPr>
        <w:t xml:space="preserve">(10), Article 841. </w:t>
      </w:r>
      <w:hyperlink r:id="rId25" w:tgtFrame="_new" w:history="1">
        <w:r w:rsidRPr="00FB4F38">
          <w:rPr>
            <w:rFonts w:ascii="Times New Roman" w:eastAsia="Times New Roman" w:hAnsi="Times New Roman" w:cs="Times New Roman"/>
            <w:color w:val="0000FF"/>
            <w:sz w:val="24"/>
            <w:szCs w:val="24"/>
            <w:u w:val="single"/>
            <w:lang w:val="en-US"/>
          </w:rPr>
          <w:t>https://doi.org/10.3390/gels11100841</w:t>
        </w:r>
      </w:hyperlink>
    </w:p>
    <w:p w14:paraId="37D5F5D9"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Meredith, M. E., Salameh, T. S., &amp; Banks, W. A. (2015). Intranasal delivery of proteins and peptides in the treatment of neurodegenerative diseases. </w:t>
      </w:r>
      <w:r w:rsidRPr="00FB4F38">
        <w:rPr>
          <w:rFonts w:ascii="Times New Roman" w:eastAsia="Times New Roman" w:hAnsi="Times New Roman" w:cs="Times New Roman"/>
          <w:i/>
          <w:iCs/>
          <w:sz w:val="24"/>
          <w:szCs w:val="24"/>
          <w:lang w:val="en-US"/>
        </w:rPr>
        <w:t>The AAPS Journal, 17</w:t>
      </w:r>
      <w:r w:rsidRPr="00FB4F38">
        <w:rPr>
          <w:rFonts w:ascii="Times New Roman" w:eastAsia="Times New Roman" w:hAnsi="Times New Roman" w:cs="Times New Roman"/>
          <w:sz w:val="24"/>
          <w:szCs w:val="24"/>
          <w:lang w:val="en-US"/>
        </w:rPr>
        <w:t xml:space="preserve">(4), 780–787. </w:t>
      </w:r>
      <w:hyperlink r:id="rId26" w:tgtFrame="_new" w:history="1">
        <w:r w:rsidRPr="00FB4F38">
          <w:rPr>
            <w:rFonts w:ascii="Times New Roman" w:eastAsia="Times New Roman" w:hAnsi="Times New Roman" w:cs="Times New Roman"/>
            <w:color w:val="0000FF"/>
            <w:sz w:val="24"/>
            <w:szCs w:val="24"/>
            <w:u w:val="single"/>
            <w:lang w:val="en-US"/>
          </w:rPr>
          <w:t>https://doi.org/10.1208/s12248-015-9719-7</w:t>
        </w:r>
      </w:hyperlink>
    </w:p>
    <w:p w14:paraId="26455BB4"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Morim, E., Sarmento, B., &amp; Pacheco, C. (2026). Nanocarrier-based intranasal drug delivery for enhanced neurological disorders treatment. </w:t>
      </w:r>
      <w:r w:rsidRPr="00FB4F38">
        <w:rPr>
          <w:rFonts w:ascii="Times New Roman" w:eastAsia="Times New Roman" w:hAnsi="Times New Roman" w:cs="Times New Roman"/>
          <w:i/>
          <w:iCs/>
          <w:sz w:val="24"/>
          <w:szCs w:val="24"/>
          <w:lang w:val="en-US"/>
        </w:rPr>
        <w:t>Drug Delivery and Translational Research, 16</w:t>
      </w:r>
      <w:r w:rsidRPr="00FB4F38">
        <w:rPr>
          <w:rFonts w:ascii="Times New Roman" w:eastAsia="Times New Roman" w:hAnsi="Times New Roman" w:cs="Times New Roman"/>
          <w:sz w:val="24"/>
          <w:szCs w:val="24"/>
          <w:lang w:val="en-US"/>
        </w:rPr>
        <w:t xml:space="preserve">, 761–779. </w:t>
      </w:r>
      <w:hyperlink r:id="rId27" w:tgtFrame="_new" w:history="1">
        <w:r w:rsidRPr="00FB4F38">
          <w:rPr>
            <w:rFonts w:ascii="Times New Roman" w:eastAsia="Times New Roman" w:hAnsi="Times New Roman" w:cs="Times New Roman"/>
            <w:color w:val="0000FF"/>
            <w:sz w:val="24"/>
            <w:szCs w:val="24"/>
            <w:u w:val="single"/>
            <w:lang w:val="en-US"/>
          </w:rPr>
          <w:t>https://doi.org/10.1007/s13346-025-02019-z</w:t>
        </w:r>
      </w:hyperlink>
    </w:p>
    <w:p w14:paraId="4DDBC203"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lastRenderedPageBreak/>
        <w:t xml:space="preserve">Nadim, N., Khan, A. A., Khan, S., Parveen, R., &amp; Ali, J. (2025). A narrative review on potential applications of spanlastics for nose-to-brain delivery of therapeutically active agents. </w:t>
      </w:r>
      <w:r w:rsidRPr="00FB4F38">
        <w:rPr>
          <w:rFonts w:ascii="Times New Roman" w:eastAsia="Times New Roman" w:hAnsi="Times New Roman" w:cs="Times New Roman"/>
          <w:i/>
          <w:iCs/>
          <w:sz w:val="24"/>
          <w:szCs w:val="24"/>
          <w:lang w:val="en-US"/>
        </w:rPr>
        <w:t>Advances in Colloid and Interface Science, 335</w:t>
      </w:r>
      <w:r w:rsidRPr="00FB4F38">
        <w:rPr>
          <w:rFonts w:ascii="Times New Roman" w:eastAsia="Times New Roman" w:hAnsi="Times New Roman" w:cs="Times New Roman"/>
          <w:sz w:val="24"/>
          <w:szCs w:val="24"/>
          <w:lang w:val="en-US"/>
        </w:rPr>
        <w:t xml:space="preserve">, Article 103341. </w:t>
      </w:r>
      <w:hyperlink r:id="rId28" w:tgtFrame="_new" w:history="1">
        <w:r w:rsidRPr="00FB4F38">
          <w:rPr>
            <w:rFonts w:ascii="Times New Roman" w:eastAsia="Times New Roman" w:hAnsi="Times New Roman" w:cs="Times New Roman"/>
            <w:color w:val="0000FF"/>
            <w:sz w:val="24"/>
            <w:szCs w:val="24"/>
            <w:u w:val="single"/>
            <w:lang w:val="en-US"/>
          </w:rPr>
          <w:t>https://doi.org/10.1016/j.cis.2024.103341</w:t>
        </w:r>
      </w:hyperlink>
    </w:p>
    <w:p w14:paraId="02AEBAB8"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Omidian, H., Gill, E. J., Dey Chowdhury, S., &amp; Cubeddu, L. X. (2024). Chitosan nanoparticles for intranasal drug delivery. </w:t>
      </w:r>
      <w:r w:rsidRPr="00FB4F38">
        <w:rPr>
          <w:rFonts w:ascii="Times New Roman" w:eastAsia="Times New Roman" w:hAnsi="Times New Roman" w:cs="Times New Roman"/>
          <w:i/>
          <w:iCs/>
          <w:sz w:val="24"/>
          <w:szCs w:val="24"/>
          <w:lang w:val="en-US"/>
        </w:rPr>
        <w:t>Pharmaceutics, 16</w:t>
      </w:r>
      <w:r w:rsidRPr="00FB4F38">
        <w:rPr>
          <w:rFonts w:ascii="Times New Roman" w:eastAsia="Times New Roman" w:hAnsi="Times New Roman" w:cs="Times New Roman"/>
          <w:sz w:val="24"/>
          <w:szCs w:val="24"/>
          <w:lang w:val="en-US"/>
        </w:rPr>
        <w:t xml:space="preserve">(6), Article 746. </w:t>
      </w:r>
      <w:hyperlink r:id="rId29" w:tgtFrame="_new" w:history="1">
        <w:r w:rsidRPr="00FB4F38">
          <w:rPr>
            <w:rFonts w:ascii="Times New Roman" w:eastAsia="Times New Roman" w:hAnsi="Times New Roman" w:cs="Times New Roman"/>
            <w:color w:val="0000FF"/>
            <w:sz w:val="24"/>
            <w:szCs w:val="24"/>
            <w:u w:val="single"/>
            <w:lang w:val="en-US"/>
          </w:rPr>
          <w:t>https://doi.org/10.3390/pharmaceutics16060746</w:t>
        </w:r>
      </w:hyperlink>
    </w:p>
    <w:p w14:paraId="043DDF38"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Rampado, R., &amp; Peer, D. (2023). Design of experiments in the optimization of nanoparticle-based drug delivery systems. </w:t>
      </w:r>
      <w:r w:rsidRPr="00FB4F38">
        <w:rPr>
          <w:rFonts w:ascii="Times New Roman" w:eastAsia="Times New Roman" w:hAnsi="Times New Roman" w:cs="Times New Roman"/>
          <w:i/>
          <w:iCs/>
          <w:sz w:val="24"/>
          <w:szCs w:val="24"/>
          <w:lang w:val="en-US"/>
        </w:rPr>
        <w:t>Journal of Controlled Release, 358</w:t>
      </w:r>
      <w:r w:rsidRPr="00FB4F38">
        <w:rPr>
          <w:rFonts w:ascii="Times New Roman" w:eastAsia="Times New Roman" w:hAnsi="Times New Roman" w:cs="Times New Roman"/>
          <w:sz w:val="24"/>
          <w:szCs w:val="24"/>
          <w:lang w:val="en-US"/>
        </w:rPr>
        <w:t xml:space="preserve">, 398–419. </w:t>
      </w:r>
      <w:hyperlink r:id="rId30" w:tgtFrame="_new" w:history="1">
        <w:r w:rsidRPr="00FB4F38">
          <w:rPr>
            <w:rFonts w:ascii="Times New Roman" w:eastAsia="Times New Roman" w:hAnsi="Times New Roman" w:cs="Times New Roman"/>
            <w:color w:val="0000FF"/>
            <w:sz w:val="24"/>
            <w:szCs w:val="24"/>
            <w:u w:val="single"/>
            <w:lang w:val="en-US"/>
          </w:rPr>
          <w:t>https://doi.org/10.1016/j.jconrel.2023.05.001</w:t>
        </w:r>
      </w:hyperlink>
    </w:p>
    <w:p w14:paraId="54A90790"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Ren, Y., Nie, L., Zhu, S., &amp; Zhang, X. (2022). Nanovesicles-mediated drug delivery for oral bioavailability enhancement. </w:t>
      </w:r>
      <w:r w:rsidRPr="00FB4F38">
        <w:rPr>
          <w:rFonts w:ascii="Times New Roman" w:eastAsia="Times New Roman" w:hAnsi="Times New Roman" w:cs="Times New Roman"/>
          <w:i/>
          <w:iCs/>
          <w:sz w:val="24"/>
          <w:szCs w:val="24"/>
          <w:lang w:val="en-US"/>
        </w:rPr>
        <w:t>International Journal of Nanomedicine, 17</w:t>
      </w:r>
      <w:r w:rsidRPr="00FB4F38">
        <w:rPr>
          <w:rFonts w:ascii="Times New Roman" w:eastAsia="Times New Roman" w:hAnsi="Times New Roman" w:cs="Times New Roman"/>
          <w:sz w:val="24"/>
          <w:szCs w:val="24"/>
          <w:lang w:val="en-US"/>
        </w:rPr>
        <w:t xml:space="preserve">, 4861–4877. </w:t>
      </w:r>
      <w:hyperlink r:id="rId31" w:tgtFrame="_new" w:history="1">
        <w:r w:rsidRPr="00FB4F38">
          <w:rPr>
            <w:rFonts w:ascii="Times New Roman" w:eastAsia="Times New Roman" w:hAnsi="Times New Roman" w:cs="Times New Roman"/>
            <w:color w:val="0000FF"/>
            <w:sz w:val="24"/>
            <w:szCs w:val="24"/>
            <w:u w:val="single"/>
            <w:lang w:val="en-US"/>
          </w:rPr>
          <w:t>https://doi.org/10.2147/IJN.S382192</w:t>
        </w:r>
      </w:hyperlink>
    </w:p>
    <w:p w14:paraId="73941430"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Salamah, M., Budai-Szűcs, M., Sipos, B., Volk, B., Katona, G., Balogh, G. T., &amp; Csóka, I. (2025). Development and characterization of in situ gelling nasal cilostazol spanlastics. </w:t>
      </w:r>
      <w:r w:rsidRPr="00FB4F38">
        <w:rPr>
          <w:rFonts w:ascii="Times New Roman" w:eastAsia="Times New Roman" w:hAnsi="Times New Roman" w:cs="Times New Roman"/>
          <w:i/>
          <w:iCs/>
          <w:sz w:val="24"/>
          <w:szCs w:val="24"/>
          <w:lang w:val="en-US"/>
        </w:rPr>
        <w:t>Gels, 11</w:t>
      </w:r>
      <w:r w:rsidRPr="00FB4F38">
        <w:rPr>
          <w:rFonts w:ascii="Times New Roman" w:eastAsia="Times New Roman" w:hAnsi="Times New Roman" w:cs="Times New Roman"/>
          <w:sz w:val="24"/>
          <w:szCs w:val="24"/>
          <w:lang w:val="en-US"/>
        </w:rPr>
        <w:t xml:space="preserve">(2), Article 82. </w:t>
      </w:r>
      <w:hyperlink r:id="rId32" w:tgtFrame="_new" w:history="1">
        <w:r w:rsidRPr="00FB4F38">
          <w:rPr>
            <w:rFonts w:ascii="Times New Roman" w:eastAsia="Times New Roman" w:hAnsi="Times New Roman" w:cs="Times New Roman"/>
            <w:color w:val="0000FF"/>
            <w:sz w:val="24"/>
            <w:szCs w:val="24"/>
            <w:u w:val="single"/>
            <w:lang w:val="en-US"/>
          </w:rPr>
          <w:t>https://doi.org/10.3390/gels11020082</w:t>
        </w:r>
      </w:hyperlink>
    </w:p>
    <w:p w14:paraId="12D77425"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Spandana, K. M. A., Angolkar, M., Rahamathulla, M., Thajudeen, K. Y., Ahmed, M. M., Farhana, S. A., Shivanandappa, T. B., Paramshetti, S., Osmani, R. A. M., &amp; Natarajan, J. (2024). Box–Behnken design-based optimization and evaluation of lipid-based nano drug delivery system for brain targeting of bromocriptine. </w:t>
      </w:r>
      <w:r w:rsidRPr="00FB4F38">
        <w:rPr>
          <w:rFonts w:ascii="Times New Roman" w:eastAsia="Times New Roman" w:hAnsi="Times New Roman" w:cs="Times New Roman"/>
          <w:i/>
          <w:iCs/>
          <w:sz w:val="24"/>
          <w:szCs w:val="24"/>
          <w:lang w:val="en-US"/>
        </w:rPr>
        <w:t>Pharmaceuticals, 17</w:t>
      </w:r>
      <w:r w:rsidRPr="00FB4F38">
        <w:rPr>
          <w:rFonts w:ascii="Times New Roman" w:eastAsia="Times New Roman" w:hAnsi="Times New Roman" w:cs="Times New Roman"/>
          <w:sz w:val="24"/>
          <w:szCs w:val="24"/>
          <w:lang w:val="en-US"/>
        </w:rPr>
        <w:t xml:space="preserve">(6), Article 720. </w:t>
      </w:r>
      <w:hyperlink r:id="rId33" w:tgtFrame="_new" w:history="1">
        <w:r w:rsidRPr="00FB4F38">
          <w:rPr>
            <w:rFonts w:ascii="Times New Roman" w:eastAsia="Times New Roman" w:hAnsi="Times New Roman" w:cs="Times New Roman"/>
            <w:color w:val="0000FF"/>
            <w:sz w:val="24"/>
            <w:szCs w:val="24"/>
            <w:u w:val="single"/>
            <w:lang w:val="en-US"/>
          </w:rPr>
          <w:t>https://doi.org/10.3390/ph17060720</w:t>
        </w:r>
      </w:hyperlink>
    </w:p>
    <w:p w14:paraId="6E8F68E9"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Sukhera, J. (2022). Narrative reviews: Flexible, rigorous, and practical. </w:t>
      </w:r>
      <w:r w:rsidRPr="00FB4F38">
        <w:rPr>
          <w:rFonts w:ascii="Times New Roman" w:eastAsia="Times New Roman" w:hAnsi="Times New Roman" w:cs="Times New Roman"/>
          <w:i/>
          <w:iCs/>
          <w:sz w:val="24"/>
          <w:szCs w:val="24"/>
          <w:lang w:val="en-US"/>
        </w:rPr>
        <w:t>Journal of Graduate Medical Education, 14</w:t>
      </w:r>
      <w:r w:rsidRPr="00FB4F38">
        <w:rPr>
          <w:rFonts w:ascii="Times New Roman" w:eastAsia="Times New Roman" w:hAnsi="Times New Roman" w:cs="Times New Roman"/>
          <w:sz w:val="24"/>
          <w:szCs w:val="24"/>
          <w:lang w:val="en-US"/>
        </w:rPr>
        <w:t xml:space="preserve">(4), 414–417. </w:t>
      </w:r>
      <w:hyperlink r:id="rId34" w:tgtFrame="_new" w:history="1">
        <w:r w:rsidRPr="00FB4F38">
          <w:rPr>
            <w:rFonts w:ascii="Times New Roman" w:eastAsia="Times New Roman" w:hAnsi="Times New Roman" w:cs="Times New Roman"/>
            <w:color w:val="0000FF"/>
            <w:sz w:val="24"/>
            <w:szCs w:val="24"/>
            <w:u w:val="single"/>
            <w:lang w:val="en-US"/>
          </w:rPr>
          <w:t>https://doi.org/10.4300/JGME-D-22-00480.1</w:t>
        </w:r>
      </w:hyperlink>
    </w:p>
    <w:p w14:paraId="0EB898B3"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Trows, S., Wuchner, K., Spycher, R., &amp; Steckel, H. (2014). Analytical challenges and regulatory requirements for nasal drug products in Europe and the U.S. </w:t>
      </w:r>
      <w:r w:rsidRPr="00FB4F38">
        <w:rPr>
          <w:rFonts w:ascii="Times New Roman" w:eastAsia="Times New Roman" w:hAnsi="Times New Roman" w:cs="Times New Roman"/>
          <w:i/>
          <w:iCs/>
          <w:sz w:val="24"/>
          <w:szCs w:val="24"/>
          <w:lang w:val="en-US"/>
        </w:rPr>
        <w:t>Pharmaceutics, 6</w:t>
      </w:r>
      <w:r w:rsidRPr="00FB4F38">
        <w:rPr>
          <w:rFonts w:ascii="Times New Roman" w:eastAsia="Times New Roman" w:hAnsi="Times New Roman" w:cs="Times New Roman"/>
          <w:sz w:val="24"/>
          <w:szCs w:val="24"/>
          <w:lang w:val="en-US"/>
        </w:rPr>
        <w:t xml:space="preserve">(2), 195–219. </w:t>
      </w:r>
      <w:hyperlink r:id="rId35" w:tgtFrame="_new" w:history="1">
        <w:r w:rsidRPr="00FB4F38">
          <w:rPr>
            <w:rFonts w:ascii="Times New Roman" w:eastAsia="Times New Roman" w:hAnsi="Times New Roman" w:cs="Times New Roman"/>
            <w:color w:val="0000FF"/>
            <w:sz w:val="24"/>
            <w:szCs w:val="24"/>
            <w:u w:val="single"/>
            <w:lang w:val="en-US"/>
          </w:rPr>
          <w:t>https://doi.org/10.3390/pharmaceutics6020195</w:t>
        </w:r>
      </w:hyperlink>
    </w:p>
    <w:p w14:paraId="5AC6CDCA"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Weyers, M., Peterson, B., Hamman, J. H., &amp; Steenekamp, J. H. (2022). Formulation of chitosan microparticles for enhanced intranasal macromolecular compound delivery: Factors that influence particle size during ionic gelation. </w:t>
      </w:r>
      <w:r w:rsidRPr="00FB4F38">
        <w:rPr>
          <w:rFonts w:ascii="Times New Roman" w:eastAsia="Times New Roman" w:hAnsi="Times New Roman" w:cs="Times New Roman"/>
          <w:i/>
          <w:iCs/>
          <w:sz w:val="24"/>
          <w:szCs w:val="24"/>
          <w:lang w:val="en-US"/>
        </w:rPr>
        <w:t>Gels, 8</w:t>
      </w:r>
      <w:r w:rsidRPr="00FB4F38">
        <w:rPr>
          <w:rFonts w:ascii="Times New Roman" w:eastAsia="Times New Roman" w:hAnsi="Times New Roman" w:cs="Times New Roman"/>
          <w:sz w:val="24"/>
          <w:szCs w:val="24"/>
          <w:lang w:val="en-US"/>
        </w:rPr>
        <w:t xml:space="preserve">(11), Article 686. </w:t>
      </w:r>
      <w:hyperlink r:id="rId36" w:tgtFrame="_new" w:history="1">
        <w:r w:rsidRPr="00FB4F38">
          <w:rPr>
            <w:rFonts w:ascii="Times New Roman" w:eastAsia="Times New Roman" w:hAnsi="Times New Roman" w:cs="Times New Roman"/>
            <w:color w:val="0000FF"/>
            <w:sz w:val="24"/>
            <w:szCs w:val="24"/>
            <w:u w:val="single"/>
            <w:lang w:val="en-US"/>
          </w:rPr>
          <w:t>https://doi.org/10.3390/gels8110686</w:t>
        </w:r>
      </w:hyperlink>
    </w:p>
    <w:p w14:paraId="17D19228"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Xu, D., Song, X.-J., Chen, X., Wang, J.-W., &amp; Cui, Y.-L. (2024). Advances and future perspectives of intranasal drug delivery: A scientometric review. </w:t>
      </w:r>
      <w:r w:rsidRPr="00FB4F38">
        <w:rPr>
          <w:rFonts w:ascii="Times New Roman" w:eastAsia="Times New Roman" w:hAnsi="Times New Roman" w:cs="Times New Roman"/>
          <w:i/>
          <w:iCs/>
          <w:sz w:val="24"/>
          <w:szCs w:val="24"/>
          <w:lang w:val="en-US"/>
        </w:rPr>
        <w:t>Journal of Controlled Release, 367</w:t>
      </w:r>
      <w:r w:rsidRPr="00FB4F38">
        <w:rPr>
          <w:rFonts w:ascii="Times New Roman" w:eastAsia="Times New Roman" w:hAnsi="Times New Roman" w:cs="Times New Roman"/>
          <w:sz w:val="24"/>
          <w:szCs w:val="24"/>
          <w:lang w:val="en-US"/>
        </w:rPr>
        <w:t xml:space="preserve">, 366–384. </w:t>
      </w:r>
      <w:hyperlink r:id="rId37" w:tgtFrame="_new" w:history="1">
        <w:r w:rsidRPr="00FB4F38">
          <w:rPr>
            <w:rFonts w:ascii="Times New Roman" w:eastAsia="Times New Roman" w:hAnsi="Times New Roman" w:cs="Times New Roman"/>
            <w:color w:val="0000FF"/>
            <w:sz w:val="24"/>
            <w:szCs w:val="24"/>
            <w:u w:val="single"/>
            <w:lang w:val="en-US"/>
          </w:rPr>
          <w:t>https://doi.org/10.1016/j.jconrel.2024.01.053</w:t>
        </w:r>
      </w:hyperlink>
    </w:p>
    <w:p w14:paraId="5DE0BEDA" w14:textId="77777777" w:rsidR="00FB4F38" w:rsidRPr="00FB4F38" w:rsidRDefault="00FB4F38" w:rsidP="00FB4F38">
      <w:pPr>
        <w:spacing w:before="100" w:beforeAutospacing="1" w:after="100" w:afterAutospacing="1" w:line="240" w:lineRule="auto"/>
        <w:rPr>
          <w:rFonts w:ascii="Times New Roman" w:eastAsia="Times New Roman" w:hAnsi="Times New Roman" w:cs="Times New Roman"/>
          <w:sz w:val="24"/>
          <w:szCs w:val="24"/>
          <w:lang w:val="en-US"/>
        </w:rPr>
      </w:pPr>
      <w:r w:rsidRPr="00FB4F38">
        <w:rPr>
          <w:rFonts w:ascii="Times New Roman" w:eastAsia="Times New Roman" w:hAnsi="Times New Roman" w:cs="Times New Roman"/>
          <w:sz w:val="24"/>
          <w:szCs w:val="24"/>
          <w:lang w:val="en-US"/>
        </w:rPr>
        <w:t xml:space="preserve">Yassin, G. E., Amer, R. I., &amp; Fayez, A. M. (2019). Carbamazepine-loaded vesicular structures for enhanced brain targeting via intranasal route: Optimization, in vitro evaluation, and in vivo study. </w:t>
      </w:r>
      <w:r w:rsidRPr="00FB4F38">
        <w:rPr>
          <w:rFonts w:ascii="Times New Roman" w:eastAsia="Times New Roman" w:hAnsi="Times New Roman" w:cs="Times New Roman"/>
          <w:i/>
          <w:iCs/>
          <w:sz w:val="24"/>
          <w:szCs w:val="24"/>
          <w:lang w:val="en-US"/>
        </w:rPr>
        <w:t>International Journal of Applied Pharmaceutics, 11</w:t>
      </w:r>
      <w:r w:rsidRPr="00FB4F38">
        <w:rPr>
          <w:rFonts w:ascii="Times New Roman" w:eastAsia="Times New Roman" w:hAnsi="Times New Roman" w:cs="Times New Roman"/>
          <w:sz w:val="24"/>
          <w:szCs w:val="24"/>
          <w:lang w:val="en-US"/>
        </w:rPr>
        <w:t xml:space="preserve">(4), 264–274. </w:t>
      </w:r>
      <w:hyperlink r:id="rId38" w:tgtFrame="_new" w:history="1">
        <w:r w:rsidRPr="00FB4F38">
          <w:rPr>
            <w:rFonts w:ascii="Times New Roman" w:eastAsia="Times New Roman" w:hAnsi="Times New Roman" w:cs="Times New Roman"/>
            <w:color w:val="0000FF"/>
            <w:sz w:val="24"/>
            <w:szCs w:val="24"/>
            <w:u w:val="single"/>
            <w:lang w:val="en-US"/>
          </w:rPr>
          <w:t>https://doi.org/10.22159/ijap.2019v11i4.33474</w:t>
        </w:r>
      </w:hyperlink>
    </w:p>
    <w:p w14:paraId="78428296" w14:textId="77777777" w:rsidR="004841B3" w:rsidRDefault="004841B3" w:rsidP="00F454DA">
      <w:pPr>
        <w:jc w:val="both"/>
      </w:pPr>
    </w:p>
    <w:sectPr w:rsidR="004841B3" w:rsidSect="004841B3">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D759D" w14:textId="77777777" w:rsidR="00680EA2" w:rsidRDefault="00680EA2" w:rsidP="009B1C44">
      <w:pPr>
        <w:spacing w:after="0" w:line="240" w:lineRule="auto"/>
      </w:pPr>
      <w:r>
        <w:separator/>
      </w:r>
    </w:p>
  </w:endnote>
  <w:endnote w:type="continuationSeparator" w:id="0">
    <w:p w14:paraId="4B763C18" w14:textId="77777777" w:rsidR="00680EA2" w:rsidRDefault="00680EA2" w:rsidP="009B1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FE7A" w14:textId="77777777" w:rsidR="009B1C44" w:rsidRDefault="009B1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E5E2" w14:textId="77777777" w:rsidR="009B1C44" w:rsidRDefault="009B1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0B67" w14:textId="77777777" w:rsidR="009B1C44" w:rsidRDefault="009B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FCB6" w14:textId="77777777" w:rsidR="00680EA2" w:rsidRDefault="00680EA2" w:rsidP="009B1C44">
      <w:pPr>
        <w:spacing w:after="0" w:line="240" w:lineRule="auto"/>
      </w:pPr>
      <w:r>
        <w:separator/>
      </w:r>
    </w:p>
  </w:footnote>
  <w:footnote w:type="continuationSeparator" w:id="0">
    <w:p w14:paraId="33C88251" w14:textId="77777777" w:rsidR="00680EA2" w:rsidRDefault="00680EA2" w:rsidP="009B1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D510" w14:textId="77777777" w:rsidR="009B1C44" w:rsidRDefault="00000000">
    <w:pPr>
      <w:pStyle w:val="Header"/>
    </w:pPr>
    <w:r>
      <w:rPr>
        <w:noProof/>
      </w:rPr>
      <w:pict w14:anchorId="02EEF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C681" w14:textId="77777777" w:rsidR="009B1C44" w:rsidRDefault="00000000">
    <w:pPr>
      <w:pStyle w:val="Header"/>
    </w:pPr>
    <w:r>
      <w:rPr>
        <w:noProof/>
      </w:rPr>
      <w:pict w14:anchorId="0266D0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0EC3" w14:textId="77777777" w:rsidR="009B1C44" w:rsidRDefault="00000000">
    <w:pPr>
      <w:pStyle w:val="Header"/>
    </w:pPr>
    <w:r>
      <w:rPr>
        <w:noProof/>
      </w:rPr>
      <w:pict w14:anchorId="7F71C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A0NbI0MjEyNAfyTJV0lIJTi4sz8/NACgxrARCD8v8sAAAA"/>
  </w:docVars>
  <w:rsids>
    <w:rsidRoot w:val="00643D6C"/>
    <w:rsid w:val="00345F3B"/>
    <w:rsid w:val="004841B3"/>
    <w:rsid w:val="004875E9"/>
    <w:rsid w:val="004A2D0E"/>
    <w:rsid w:val="005565C6"/>
    <w:rsid w:val="00643D6C"/>
    <w:rsid w:val="00680EA2"/>
    <w:rsid w:val="00731813"/>
    <w:rsid w:val="007B0F69"/>
    <w:rsid w:val="00824882"/>
    <w:rsid w:val="008A419F"/>
    <w:rsid w:val="008B7631"/>
    <w:rsid w:val="008E36B5"/>
    <w:rsid w:val="00981AA8"/>
    <w:rsid w:val="009B1C44"/>
    <w:rsid w:val="00C5662A"/>
    <w:rsid w:val="00EC6F05"/>
    <w:rsid w:val="00F454DA"/>
    <w:rsid w:val="00FB4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90046"/>
  <w15:docId w15:val="{A4E0E363-56E2-40D3-B9EE-55C08067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43D6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43D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43D6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643D6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43D6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43D6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43D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3D6C"/>
    <w:rPr>
      <w:b/>
      <w:bCs/>
    </w:rPr>
  </w:style>
  <w:style w:type="character" w:styleId="Emphasis">
    <w:name w:val="Emphasis"/>
    <w:basedOn w:val="DefaultParagraphFont"/>
    <w:uiPriority w:val="20"/>
    <w:qFormat/>
    <w:rsid w:val="00643D6C"/>
    <w:rPr>
      <w:i/>
      <w:iCs/>
    </w:rPr>
  </w:style>
  <w:style w:type="character" w:styleId="Hyperlink">
    <w:name w:val="Hyperlink"/>
    <w:basedOn w:val="DefaultParagraphFont"/>
    <w:uiPriority w:val="99"/>
    <w:semiHidden/>
    <w:unhideWhenUsed/>
    <w:rsid w:val="00643D6C"/>
    <w:rPr>
      <w:color w:val="0000FF"/>
      <w:u w:val="single"/>
    </w:rPr>
  </w:style>
  <w:style w:type="table" w:styleId="TableGrid">
    <w:name w:val="Table Grid"/>
    <w:basedOn w:val="TableNormal"/>
    <w:uiPriority w:val="59"/>
    <w:rsid w:val="00981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C44"/>
  </w:style>
  <w:style w:type="paragraph" w:styleId="Footer">
    <w:name w:val="footer"/>
    <w:basedOn w:val="Normal"/>
    <w:link w:val="FooterChar"/>
    <w:uiPriority w:val="99"/>
    <w:unhideWhenUsed/>
    <w:rsid w:val="009B1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27513">
      <w:bodyDiv w:val="1"/>
      <w:marLeft w:val="0"/>
      <w:marRight w:val="0"/>
      <w:marTop w:val="0"/>
      <w:marBottom w:val="0"/>
      <w:divBdr>
        <w:top w:val="none" w:sz="0" w:space="0" w:color="auto"/>
        <w:left w:val="none" w:sz="0" w:space="0" w:color="auto"/>
        <w:bottom w:val="none" w:sz="0" w:space="0" w:color="auto"/>
        <w:right w:val="none" w:sz="0" w:space="0" w:color="auto"/>
      </w:divBdr>
      <w:divsChild>
        <w:div w:id="339699543">
          <w:marLeft w:val="0"/>
          <w:marRight w:val="0"/>
          <w:marTop w:val="0"/>
          <w:marBottom w:val="0"/>
          <w:divBdr>
            <w:top w:val="none" w:sz="0" w:space="0" w:color="auto"/>
            <w:left w:val="none" w:sz="0" w:space="0" w:color="auto"/>
            <w:bottom w:val="none" w:sz="0" w:space="0" w:color="auto"/>
            <w:right w:val="none" w:sz="0" w:space="0" w:color="auto"/>
          </w:divBdr>
        </w:div>
        <w:div w:id="547424278">
          <w:marLeft w:val="0"/>
          <w:marRight w:val="0"/>
          <w:marTop w:val="0"/>
          <w:marBottom w:val="0"/>
          <w:divBdr>
            <w:top w:val="none" w:sz="0" w:space="0" w:color="auto"/>
            <w:left w:val="none" w:sz="0" w:space="0" w:color="auto"/>
            <w:bottom w:val="none" w:sz="0" w:space="0" w:color="auto"/>
            <w:right w:val="none" w:sz="0" w:space="0" w:color="auto"/>
          </w:divBdr>
        </w:div>
        <w:div w:id="1026248509">
          <w:marLeft w:val="0"/>
          <w:marRight w:val="0"/>
          <w:marTop w:val="0"/>
          <w:marBottom w:val="0"/>
          <w:divBdr>
            <w:top w:val="none" w:sz="0" w:space="0" w:color="auto"/>
            <w:left w:val="none" w:sz="0" w:space="0" w:color="auto"/>
            <w:bottom w:val="none" w:sz="0" w:space="0" w:color="auto"/>
            <w:right w:val="none" w:sz="0" w:space="0" w:color="auto"/>
          </w:divBdr>
        </w:div>
        <w:div w:id="1750156924">
          <w:marLeft w:val="0"/>
          <w:marRight w:val="0"/>
          <w:marTop w:val="0"/>
          <w:marBottom w:val="0"/>
          <w:divBdr>
            <w:top w:val="none" w:sz="0" w:space="0" w:color="auto"/>
            <w:left w:val="none" w:sz="0" w:space="0" w:color="auto"/>
            <w:bottom w:val="none" w:sz="0" w:space="0" w:color="auto"/>
            <w:right w:val="none" w:sz="0" w:space="0" w:color="auto"/>
          </w:divBdr>
        </w:div>
      </w:divsChild>
    </w:div>
    <w:div w:id="170301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40035-025-00481-w" TargetMode="External"/><Relationship Id="rId18" Type="http://schemas.openxmlformats.org/officeDocument/2006/relationships/hyperlink" Target="https://doi.org/10.3389/fpsyg.2021.685082" TargetMode="External"/><Relationship Id="rId26" Type="http://schemas.openxmlformats.org/officeDocument/2006/relationships/hyperlink" Target="https://doi.org/10.1208/s12248-015-9719-7" TargetMode="External"/><Relationship Id="rId39" Type="http://schemas.openxmlformats.org/officeDocument/2006/relationships/header" Target="header1.xml"/><Relationship Id="rId21" Type="http://schemas.openxmlformats.org/officeDocument/2006/relationships/hyperlink" Target="https://doi.org/10.3109/10611860903386938" TargetMode="External"/><Relationship Id="rId34" Type="http://schemas.openxmlformats.org/officeDocument/2006/relationships/hyperlink" Target="https://doi.org/10.4300/JGME-D-22-00480.1" TargetMode="External"/><Relationship Id="rId42" Type="http://schemas.openxmlformats.org/officeDocument/2006/relationships/footer" Target="footer2.xml"/><Relationship Id="rId7" Type="http://schemas.openxmlformats.org/officeDocument/2006/relationships/hyperlink" Target="https://doi.org/10.1080/10717544.2017.1413447" TargetMode="External"/><Relationship Id="rId2" Type="http://schemas.openxmlformats.org/officeDocument/2006/relationships/settings" Target="settings.xml"/><Relationship Id="rId16" Type="http://schemas.openxmlformats.org/officeDocument/2006/relationships/hyperlink" Target="https://doi.org/10.3390/pharmaceutics17091177" TargetMode="External"/><Relationship Id="rId29" Type="http://schemas.openxmlformats.org/officeDocument/2006/relationships/hyperlink" Target="https://doi.org/10.3390/pharmaceutics16060746" TargetMode="External"/><Relationship Id="rId1" Type="http://schemas.openxmlformats.org/officeDocument/2006/relationships/styles" Target="styles.xml"/><Relationship Id="rId6" Type="http://schemas.openxmlformats.org/officeDocument/2006/relationships/hyperlink" Target="https://doi.org/10.2147/IJN.S319348" TargetMode="External"/><Relationship Id="rId11" Type="http://schemas.openxmlformats.org/officeDocument/2006/relationships/hyperlink" Target="https://doi.org/10.1016/j.addr.2024.115196" TargetMode="External"/><Relationship Id="rId24" Type="http://schemas.openxmlformats.org/officeDocument/2006/relationships/hyperlink" Target="https://doi.org/10.3390/ph14010068" TargetMode="External"/><Relationship Id="rId32" Type="http://schemas.openxmlformats.org/officeDocument/2006/relationships/hyperlink" Target="https://doi.org/10.3390/gels11020082" TargetMode="External"/><Relationship Id="rId37" Type="http://schemas.openxmlformats.org/officeDocument/2006/relationships/hyperlink" Target="https://doi.org/10.1016/j.jconrel.2024.01.053"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22270/ujpr.v4i4.290" TargetMode="External"/><Relationship Id="rId23" Type="http://schemas.openxmlformats.org/officeDocument/2006/relationships/hyperlink" Target="https://doi.org/10.3390/pharmaceutics15041271" TargetMode="External"/><Relationship Id="rId28" Type="http://schemas.openxmlformats.org/officeDocument/2006/relationships/hyperlink" Target="https://doi.org/10.1016/j.cis.2024.103341" TargetMode="External"/><Relationship Id="rId36" Type="http://schemas.openxmlformats.org/officeDocument/2006/relationships/hyperlink" Target="https://doi.org/10.3390/gels8110686" TargetMode="External"/><Relationship Id="rId10" Type="http://schemas.openxmlformats.org/officeDocument/2006/relationships/hyperlink" Target="https://doi.org/10.1007/s13346-022-01285-5" TargetMode="External"/><Relationship Id="rId19" Type="http://schemas.openxmlformats.org/officeDocument/2006/relationships/hyperlink" Target="https://doi.org/10.1007/s40199-024-00543-w" TargetMode="External"/><Relationship Id="rId31" Type="http://schemas.openxmlformats.org/officeDocument/2006/relationships/hyperlink" Target="https://doi.org/10.2147/IJN.S382192"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i.org/10.3390/pharmaceutics14122627" TargetMode="External"/><Relationship Id="rId14" Type="http://schemas.openxmlformats.org/officeDocument/2006/relationships/hyperlink" Target="https://doi.org/10.3390/pharmaceutics14071374" TargetMode="External"/><Relationship Id="rId22" Type="http://schemas.openxmlformats.org/officeDocument/2006/relationships/hyperlink" Target="https://doi.org/10.1111/j.2042-7158.2012.01509.x" TargetMode="External"/><Relationship Id="rId27" Type="http://schemas.openxmlformats.org/officeDocument/2006/relationships/hyperlink" Target="https://doi.org/10.1007/s13346-025-02019-z" TargetMode="External"/><Relationship Id="rId30" Type="http://schemas.openxmlformats.org/officeDocument/2006/relationships/hyperlink" Target="https://doi.org/10.1016/j.jconrel.2023.05.001" TargetMode="External"/><Relationship Id="rId35" Type="http://schemas.openxmlformats.org/officeDocument/2006/relationships/hyperlink" Target="https://doi.org/10.3390/pharmaceutics6020195" TargetMode="External"/><Relationship Id="rId43" Type="http://schemas.openxmlformats.org/officeDocument/2006/relationships/header" Target="header3.xml"/><Relationship Id="rId8" Type="http://schemas.openxmlformats.org/officeDocument/2006/relationships/hyperlink" Target="https://doi.org/10.1080/10717544.2022.2163321" TargetMode="External"/><Relationship Id="rId3" Type="http://schemas.openxmlformats.org/officeDocument/2006/relationships/webSettings" Target="webSettings.xml"/><Relationship Id="rId12" Type="http://schemas.openxmlformats.org/officeDocument/2006/relationships/hyperlink" Target="https://doi.org/10.1088/0953-8984/18/28/S04" TargetMode="External"/><Relationship Id="rId17" Type="http://schemas.openxmlformats.org/officeDocument/2006/relationships/hyperlink" Target="https://doi.org/10.1016/j.apmt.2022.101631" TargetMode="External"/><Relationship Id="rId25" Type="http://schemas.openxmlformats.org/officeDocument/2006/relationships/hyperlink" Target="https://doi.org/10.3390/gels11100841" TargetMode="External"/><Relationship Id="rId33" Type="http://schemas.openxmlformats.org/officeDocument/2006/relationships/hyperlink" Target="https://doi.org/10.3390/ph17060720" TargetMode="External"/><Relationship Id="rId38" Type="http://schemas.openxmlformats.org/officeDocument/2006/relationships/hyperlink" Target="https://doi.org/10.22159/ijap.2019v11i4.33474" TargetMode="External"/><Relationship Id="rId46" Type="http://schemas.openxmlformats.org/officeDocument/2006/relationships/theme" Target="theme/theme1.xml"/><Relationship Id="rId20" Type="http://schemas.openxmlformats.org/officeDocument/2006/relationships/hyperlink" Target="https://doi.org/10.3390/pharmaceutics15020641"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10227</Words>
  <Characters>58298</Characters>
  <Application>Microsoft Office Word</Application>
  <DocSecurity>0</DocSecurity>
  <Lines>485</Lines>
  <Paragraphs>136</Paragraphs>
  <ScaleCrop>false</ScaleCrop>
  <Company>HP</Company>
  <LinksUpToDate>false</LinksUpToDate>
  <CharactersWithSpaces>68389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9</cp:revision>
  <dcterms:created xsi:type="dcterms:W3CDTF">2026-07-08T18:59:00Z</dcterms:created>
  <dcterms:modified xsi:type="dcterms:W3CDTF">2026-07-11T10:36:00Z</dcterms:modified>
</cp:coreProperties>
</file>