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4920" w14:textId="77777777" w:rsidR="00A96435" w:rsidRPr="00E33AAE" w:rsidRDefault="00A96435" w:rsidP="00A96435">
      <w:pPr>
        <w:tabs>
          <w:tab w:val="left" w:pos="3705"/>
        </w:tabs>
        <w:jc w:val="right"/>
        <w:rPr>
          <w:rFonts w:ascii="Arial" w:hAnsi="Arial" w:cs="Arial"/>
          <w:b/>
          <w:bCs/>
          <w:i/>
          <w:iCs/>
          <w:sz w:val="24"/>
          <w:szCs w:val="24"/>
          <w:u w:val="single"/>
        </w:rPr>
      </w:pPr>
      <w:bookmarkStart w:id="0" w:name="_Hlk180752176"/>
      <w:r w:rsidRPr="00E33AAE">
        <w:rPr>
          <w:rFonts w:ascii="Arial" w:hAnsi="Arial" w:cs="Arial"/>
          <w:b/>
          <w:bCs/>
          <w:i/>
          <w:iCs/>
          <w:sz w:val="24"/>
          <w:szCs w:val="24"/>
          <w:u w:val="single"/>
        </w:rPr>
        <w:t>Original Research Article</w:t>
      </w:r>
    </w:p>
    <w:p w14:paraId="0F213F86" w14:textId="77777777" w:rsidR="00DD6AD8" w:rsidRPr="00E33AAE" w:rsidRDefault="00DD6AD8" w:rsidP="00DD6AD8">
      <w:pPr>
        <w:tabs>
          <w:tab w:val="left" w:pos="3705"/>
        </w:tabs>
        <w:jc w:val="right"/>
        <w:rPr>
          <w:rFonts w:ascii="Arial" w:hAnsi="Arial" w:cs="Arial"/>
          <w:b/>
          <w:sz w:val="24"/>
          <w:szCs w:val="24"/>
        </w:rPr>
      </w:pPr>
    </w:p>
    <w:p w14:paraId="098EA491" w14:textId="77777777" w:rsidR="00DD6AD8" w:rsidRPr="00E33AAE" w:rsidRDefault="00DD6AD8" w:rsidP="00DD6AD8">
      <w:pPr>
        <w:tabs>
          <w:tab w:val="left" w:pos="3705"/>
        </w:tabs>
        <w:jc w:val="right"/>
        <w:rPr>
          <w:rFonts w:ascii="Arial" w:hAnsi="Arial" w:cs="Arial"/>
          <w:b/>
          <w:sz w:val="24"/>
          <w:szCs w:val="24"/>
        </w:rPr>
      </w:pPr>
      <w:r w:rsidRPr="00E33AAE">
        <w:rPr>
          <w:rFonts w:ascii="Arial" w:hAnsi="Arial" w:cs="Arial"/>
          <w:b/>
          <w:sz w:val="24"/>
          <w:szCs w:val="24"/>
        </w:rPr>
        <w:t xml:space="preserve">Bioactive Compound Profiling and Antimicrobial Potential of </w:t>
      </w:r>
      <w:r w:rsidRPr="00E33AAE">
        <w:rPr>
          <w:rStyle w:val="Emphasis"/>
          <w:rFonts w:ascii="Arial" w:hAnsi="Arial" w:cs="Arial"/>
          <w:b/>
          <w:sz w:val="24"/>
          <w:szCs w:val="24"/>
        </w:rPr>
        <w:t xml:space="preserve">Ritchiea </w:t>
      </w:r>
      <w:proofErr w:type="spellStart"/>
      <w:r w:rsidRPr="00E33AAE">
        <w:rPr>
          <w:rStyle w:val="Emphasis"/>
          <w:rFonts w:ascii="Arial" w:hAnsi="Arial" w:cs="Arial"/>
          <w:b/>
          <w:sz w:val="24"/>
          <w:szCs w:val="24"/>
        </w:rPr>
        <w:t>longipedicellata</w:t>
      </w:r>
      <w:proofErr w:type="spellEnd"/>
      <w:r w:rsidRPr="00E33AAE">
        <w:rPr>
          <w:rFonts w:ascii="Arial" w:hAnsi="Arial" w:cs="Arial"/>
          <w:b/>
          <w:sz w:val="24"/>
          <w:szCs w:val="24"/>
        </w:rPr>
        <w:t xml:space="preserve"> Gilg Root: A Bioassay-Guided GC–MS Investigation</w:t>
      </w:r>
    </w:p>
    <w:bookmarkEnd w:id="0"/>
    <w:p w14:paraId="404BFA96" w14:textId="77777777" w:rsidR="00AF0CC5" w:rsidRPr="00E33AAE" w:rsidRDefault="00AF0CC5" w:rsidP="00F86B33">
      <w:pPr>
        <w:jc w:val="right"/>
        <w:rPr>
          <w:rFonts w:ascii="Arial" w:hAnsi="Arial" w:cs="Arial"/>
          <w:b/>
          <w:sz w:val="24"/>
          <w:szCs w:val="24"/>
        </w:rPr>
      </w:pPr>
    </w:p>
    <w:p w14:paraId="3DD910E7" w14:textId="77777777" w:rsidR="00AF0CC5" w:rsidRPr="00E33AAE" w:rsidRDefault="00AF0CC5" w:rsidP="00AF0CC5">
      <w:pPr>
        <w:jc w:val="center"/>
        <w:rPr>
          <w:rFonts w:ascii="Arial" w:hAnsi="Arial" w:cs="Arial"/>
          <w:sz w:val="24"/>
          <w:szCs w:val="24"/>
        </w:rPr>
      </w:pPr>
    </w:p>
    <w:p w14:paraId="4B6A418A" w14:textId="77777777" w:rsidR="00EA7356" w:rsidRPr="00E33AAE" w:rsidRDefault="00EA7356" w:rsidP="00EA7356">
      <w:pPr>
        <w:jc w:val="both"/>
        <w:rPr>
          <w:rFonts w:ascii="Arial" w:hAnsi="Arial" w:cs="Arial"/>
          <w:b/>
        </w:rPr>
      </w:pPr>
      <w:r w:rsidRPr="00E33AAE">
        <w:rPr>
          <w:rFonts w:ascii="Arial" w:hAnsi="Arial" w:cs="Arial"/>
          <w:b/>
        </w:rPr>
        <w:t>ABSTRACT</w:t>
      </w:r>
    </w:p>
    <w:p w14:paraId="466119E2" w14:textId="77777777" w:rsidR="00EA7356" w:rsidRPr="00E33AAE" w:rsidRDefault="00EA7356" w:rsidP="00EA7356">
      <w:pPr>
        <w:spacing w:after="0"/>
        <w:jc w:val="both"/>
        <w:rPr>
          <w:rFonts w:ascii="Arial" w:hAnsi="Arial" w:cs="Arial"/>
          <w:b/>
          <w:sz w:val="20"/>
          <w:szCs w:val="20"/>
        </w:rPr>
      </w:pPr>
      <w:r w:rsidRPr="00E33AAE">
        <w:rPr>
          <w:rFonts w:ascii="Arial" w:hAnsi="Arial" w:cs="Arial"/>
          <w:b/>
          <w:sz w:val="20"/>
          <w:szCs w:val="20"/>
        </w:rPr>
        <w:t>Aims</w:t>
      </w:r>
    </w:p>
    <w:p w14:paraId="162AC946" w14:textId="77777777" w:rsidR="00EA7356" w:rsidRPr="00E33AAE" w:rsidRDefault="00EA7356" w:rsidP="00EA7356">
      <w:pPr>
        <w:spacing w:after="0"/>
        <w:jc w:val="both"/>
        <w:rPr>
          <w:rFonts w:ascii="Arial" w:hAnsi="Arial" w:cs="Arial"/>
          <w:sz w:val="20"/>
          <w:szCs w:val="20"/>
        </w:rPr>
      </w:pPr>
      <w:r w:rsidRPr="00E33AAE">
        <w:t xml:space="preserve">This study investigated the phytochemical composition, antimicrobial activities and bioactive constituents of </w:t>
      </w:r>
      <w:r w:rsidRPr="00E33AAE">
        <w:rPr>
          <w:i/>
        </w:rPr>
        <w:t>Ritchiea longipedicellata</w:t>
      </w:r>
      <w:r w:rsidRPr="00E33AAE">
        <w:t xml:space="preserve"> Gilg root extracts using bioassay-guided fractionation and gas chromatography-mass spectrometry (GC-MS) to identify potential therapeutic agents against multidrug-resistant (MDR) pathogens.</w:t>
      </w:r>
    </w:p>
    <w:p w14:paraId="02783190" w14:textId="77777777" w:rsidR="00EA7356" w:rsidRPr="00E33AAE" w:rsidRDefault="00EA7356" w:rsidP="00EA7356">
      <w:pPr>
        <w:spacing w:after="0"/>
        <w:jc w:val="both"/>
        <w:rPr>
          <w:rFonts w:ascii="Arial" w:hAnsi="Arial" w:cs="Arial"/>
          <w:b/>
          <w:sz w:val="20"/>
          <w:szCs w:val="20"/>
        </w:rPr>
      </w:pPr>
      <w:r w:rsidRPr="00E33AAE">
        <w:rPr>
          <w:rFonts w:ascii="Arial" w:hAnsi="Arial" w:cs="Arial"/>
          <w:b/>
          <w:sz w:val="20"/>
          <w:szCs w:val="20"/>
        </w:rPr>
        <w:t>Study Design</w:t>
      </w:r>
    </w:p>
    <w:p w14:paraId="58121E74" w14:textId="77777777" w:rsidR="00EA7356" w:rsidRPr="00E33AAE" w:rsidRDefault="00EA7356" w:rsidP="00EA7356">
      <w:pPr>
        <w:spacing w:after="0"/>
        <w:jc w:val="both"/>
        <w:rPr>
          <w:rFonts w:ascii="Arial" w:hAnsi="Arial" w:cs="Arial"/>
          <w:sz w:val="20"/>
          <w:szCs w:val="20"/>
        </w:rPr>
      </w:pPr>
      <w:r w:rsidRPr="00E33AAE">
        <w:rPr>
          <w:rFonts w:ascii="Arial" w:hAnsi="Arial" w:cs="Arial"/>
          <w:sz w:val="20"/>
          <w:szCs w:val="20"/>
        </w:rPr>
        <w:t>Experimental laboratory-based investigation involving phytochemical screening, antimicrobial bioassays, chromatographic purification, and GC–MS characterization.</w:t>
      </w:r>
    </w:p>
    <w:p w14:paraId="4A272A60" w14:textId="77777777" w:rsidR="00EA7356" w:rsidRPr="00E33AAE" w:rsidRDefault="00EA7356" w:rsidP="00EA7356">
      <w:pPr>
        <w:spacing w:after="0"/>
        <w:jc w:val="both"/>
        <w:rPr>
          <w:rFonts w:ascii="Arial" w:hAnsi="Arial" w:cs="Arial"/>
          <w:b/>
          <w:sz w:val="20"/>
          <w:szCs w:val="20"/>
        </w:rPr>
      </w:pPr>
      <w:r w:rsidRPr="00E33AAE">
        <w:rPr>
          <w:rFonts w:ascii="Arial" w:hAnsi="Arial" w:cs="Arial"/>
          <w:b/>
          <w:sz w:val="20"/>
          <w:szCs w:val="20"/>
        </w:rPr>
        <w:t>Place and Duration of the Study</w:t>
      </w:r>
    </w:p>
    <w:p w14:paraId="5B91745F" w14:textId="77777777" w:rsidR="00EA7356" w:rsidRPr="00E33AAE" w:rsidRDefault="00EA7356" w:rsidP="00EA7356">
      <w:pPr>
        <w:spacing w:after="0"/>
        <w:jc w:val="both"/>
        <w:rPr>
          <w:rFonts w:ascii="Arial" w:hAnsi="Arial" w:cs="Arial"/>
          <w:sz w:val="20"/>
          <w:szCs w:val="20"/>
        </w:rPr>
      </w:pPr>
      <w:r w:rsidRPr="00E33AAE">
        <w:rPr>
          <w:rFonts w:ascii="Arial" w:hAnsi="Arial" w:cs="Arial"/>
          <w:sz w:val="20"/>
          <w:szCs w:val="20"/>
        </w:rPr>
        <w:t xml:space="preserve">The study was conducted at the Departments of Pure and Industrial Chemistry and Microbiology, University of Port Harcourt, Rivers State, Nigeria. Root samples were collected from </w:t>
      </w:r>
      <w:proofErr w:type="spellStart"/>
      <w:r w:rsidRPr="00E33AAE">
        <w:rPr>
          <w:rFonts w:ascii="Arial" w:hAnsi="Arial" w:cs="Arial"/>
          <w:sz w:val="20"/>
          <w:szCs w:val="20"/>
        </w:rPr>
        <w:t>Okigwe</w:t>
      </w:r>
      <w:proofErr w:type="spellEnd"/>
      <w:r w:rsidRPr="00E33AAE">
        <w:rPr>
          <w:rFonts w:ascii="Arial" w:hAnsi="Arial" w:cs="Arial"/>
          <w:sz w:val="20"/>
          <w:szCs w:val="20"/>
        </w:rPr>
        <w:t>, Imo State, Nigeria, in July 2016, and laboratory analyses were subsequently performed.</w:t>
      </w:r>
    </w:p>
    <w:p w14:paraId="762A55FF" w14:textId="77777777" w:rsidR="00EA7356" w:rsidRPr="00E33AAE" w:rsidRDefault="00EA7356" w:rsidP="00EA7356">
      <w:pPr>
        <w:spacing w:after="0"/>
        <w:jc w:val="both"/>
        <w:rPr>
          <w:rFonts w:ascii="Arial" w:hAnsi="Arial" w:cs="Arial"/>
          <w:b/>
          <w:sz w:val="20"/>
          <w:szCs w:val="20"/>
        </w:rPr>
      </w:pPr>
      <w:r w:rsidRPr="00E33AAE">
        <w:rPr>
          <w:rFonts w:ascii="Arial" w:hAnsi="Arial" w:cs="Arial"/>
          <w:b/>
          <w:sz w:val="20"/>
          <w:szCs w:val="20"/>
        </w:rPr>
        <w:t>Methodology</w:t>
      </w:r>
    </w:p>
    <w:p w14:paraId="513210A5" w14:textId="77777777" w:rsidR="00EA7356" w:rsidRPr="00E33AAE" w:rsidRDefault="00EA7356" w:rsidP="00EA7356">
      <w:pPr>
        <w:spacing w:after="0"/>
        <w:jc w:val="both"/>
        <w:rPr>
          <w:rFonts w:ascii="Arial" w:hAnsi="Arial" w:cs="Arial"/>
          <w:sz w:val="20"/>
          <w:szCs w:val="20"/>
        </w:rPr>
      </w:pPr>
      <w:r w:rsidRPr="00E33AAE">
        <w:rPr>
          <w:rFonts w:ascii="Arial" w:hAnsi="Arial" w:cs="Arial"/>
          <w:sz w:val="20"/>
          <w:szCs w:val="20"/>
        </w:rPr>
        <w:t>Powdered roots were serially extracted with n-hexane, dichloromethane, ethyl acetate, methanol, and water. Methanol and aqueous extracts were screened for phytochemicals, while antibacterial and antifungal activities were evaluated against selected Gram-positive, Gram-negative, and fungal pathogens using the agar well diffusion method. The most active extract was purified by thin-layer and column chromatography, and the bioactive fraction was characterized by GC–MS.</w:t>
      </w:r>
    </w:p>
    <w:p w14:paraId="08B57145" w14:textId="77777777" w:rsidR="00EA7356" w:rsidRPr="00E33AAE" w:rsidRDefault="00EA7356" w:rsidP="00EA7356">
      <w:pPr>
        <w:spacing w:after="0"/>
        <w:jc w:val="both"/>
        <w:rPr>
          <w:rFonts w:ascii="Arial" w:hAnsi="Arial" w:cs="Arial"/>
          <w:b/>
          <w:sz w:val="20"/>
          <w:szCs w:val="20"/>
        </w:rPr>
      </w:pPr>
      <w:r w:rsidRPr="00E33AAE">
        <w:rPr>
          <w:rFonts w:ascii="Arial" w:hAnsi="Arial" w:cs="Arial"/>
          <w:b/>
          <w:sz w:val="20"/>
          <w:szCs w:val="20"/>
        </w:rPr>
        <w:t>Results</w:t>
      </w:r>
    </w:p>
    <w:p w14:paraId="33C72A0D" w14:textId="77777777" w:rsidR="00EA7356" w:rsidRPr="00E33AAE" w:rsidRDefault="00EA7356" w:rsidP="00EA7356">
      <w:pPr>
        <w:spacing w:after="0"/>
        <w:jc w:val="both"/>
        <w:rPr>
          <w:rFonts w:ascii="Arial" w:hAnsi="Arial" w:cs="Arial"/>
          <w:sz w:val="20"/>
          <w:szCs w:val="20"/>
        </w:rPr>
      </w:pPr>
      <w:r w:rsidRPr="00E33AAE">
        <w:rPr>
          <w:rFonts w:ascii="Arial" w:hAnsi="Arial" w:cs="Arial"/>
          <w:sz w:val="20"/>
          <w:szCs w:val="20"/>
        </w:rPr>
        <w:t>The aqueous extract recorded the highest yield (12.71%), followed by the methanol extract (4.20%). Alkaloids and saponins were detected in both extracts, whereas flavonoids were confined to the methanol extract and phenolic compounds and cardiac glycosides to the aqueous extract. All extracts exhibited concentration-dependent antimicrobial activity, with Gram-positive bacteria generally more susceptible than Gram-negative bacteria. Fraction C displayed the greatest antimicrobial activity. GC–MS identified nine compounds, dominated by 5-(hydroxymethyl)-2-furancarboxaldehyde (71.95%) and 3,5-dihydroxy-6-methyl-2,3-dihydro-4H-pyran-4-one (14.65%).</w:t>
      </w:r>
    </w:p>
    <w:p w14:paraId="7AA50139" w14:textId="77777777" w:rsidR="00EA7356" w:rsidRPr="00E33AAE" w:rsidRDefault="00EA7356" w:rsidP="00EA7356">
      <w:pPr>
        <w:spacing w:after="0"/>
        <w:jc w:val="both"/>
        <w:rPr>
          <w:rFonts w:ascii="Arial" w:hAnsi="Arial" w:cs="Arial"/>
          <w:b/>
          <w:sz w:val="20"/>
          <w:szCs w:val="20"/>
        </w:rPr>
      </w:pPr>
      <w:r w:rsidRPr="00E33AAE">
        <w:rPr>
          <w:rFonts w:ascii="Arial" w:hAnsi="Arial" w:cs="Arial"/>
          <w:b/>
          <w:sz w:val="20"/>
          <w:szCs w:val="20"/>
        </w:rPr>
        <w:t>Conclusion</w:t>
      </w:r>
    </w:p>
    <w:p w14:paraId="272CD302" w14:textId="77777777" w:rsidR="00EA7356" w:rsidRPr="00E33AAE" w:rsidRDefault="00EA7356" w:rsidP="00EA7356">
      <w:pPr>
        <w:spacing w:after="0"/>
        <w:jc w:val="both"/>
        <w:rPr>
          <w:rFonts w:ascii="Arial" w:hAnsi="Arial" w:cs="Arial"/>
          <w:b/>
          <w:sz w:val="20"/>
          <w:szCs w:val="20"/>
        </w:rPr>
      </w:pPr>
      <w:r w:rsidRPr="00E33AAE">
        <w:rPr>
          <w:i/>
        </w:rPr>
        <w:t>Ritchiea longipedicellata</w:t>
      </w:r>
      <w:r w:rsidRPr="00E33AAE">
        <w:t xml:space="preserve"> roots are a promising source of bioactive metabolites with broad-spectrum antimicrobial activity. The identified compounds provide potential lead molecules for developing affordable plant-derived therapeutics against MDR pathogens, thereby supporting Sustainable Development Goal 3 (Good Health and Well-being).</w:t>
      </w:r>
    </w:p>
    <w:p w14:paraId="7DA7AB65" w14:textId="77777777" w:rsidR="00EA7356" w:rsidRPr="00E33AAE" w:rsidRDefault="00EA7356" w:rsidP="00EA7356">
      <w:pPr>
        <w:spacing w:after="0"/>
        <w:jc w:val="both"/>
        <w:rPr>
          <w:rFonts w:ascii="Arial" w:hAnsi="Arial" w:cs="Arial"/>
          <w:sz w:val="20"/>
          <w:szCs w:val="20"/>
        </w:rPr>
      </w:pPr>
    </w:p>
    <w:p w14:paraId="24674052" w14:textId="77777777" w:rsidR="00EA7356" w:rsidRPr="00E33AAE" w:rsidRDefault="00EA7356" w:rsidP="00EA7356">
      <w:pPr>
        <w:spacing w:after="0"/>
        <w:jc w:val="both"/>
        <w:rPr>
          <w:rFonts w:ascii="Arial" w:hAnsi="Arial" w:cs="Arial"/>
          <w:sz w:val="20"/>
          <w:szCs w:val="20"/>
        </w:rPr>
      </w:pPr>
      <w:r w:rsidRPr="00E33AAE">
        <w:t xml:space="preserve">Keywords: </w:t>
      </w:r>
      <w:r w:rsidRPr="00E33AAE">
        <w:rPr>
          <w:i/>
        </w:rPr>
        <w:t>Ritchiea longipedicellata</w:t>
      </w:r>
      <w:r w:rsidRPr="00E33AAE">
        <w:t>; antimicrobial activity; phytochemicals; bioassay-guided fractionation; GC-MS; multidrug-resistant pathogens.</w:t>
      </w:r>
    </w:p>
    <w:p w14:paraId="281B62BB" w14:textId="77777777" w:rsidR="00D4381E" w:rsidRPr="00E33AAE" w:rsidRDefault="00D4381E" w:rsidP="00AF0CC5">
      <w:pPr>
        <w:pStyle w:val="Mabstract"/>
        <w:spacing w:before="0" w:line="240" w:lineRule="auto"/>
        <w:ind w:left="0" w:right="0"/>
        <w:rPr>
          <w:rFonts w:ascii="Arial" w:hAnsi="Arial" w:cs="Arial"/>
          <w:b/>
          <w:color w:val="auto"/>
          <w:szCs w:val="24"/>
          <w:lang w:eastAsia="en-US"/>
        </w:rPr>
      </w:pPr>
    </w:p>
    <w:p w14:paraId="3DA76AB6" w14:textId="77777777" w:rsidR="00D4381E" w:rsidRPr="00E33AAE" w:rsidRDefault="00D4381E" w:rsidP="00AF0CC5">
      <w:pPr>
        <w:pStyle w:val="Mabstract"/>
        <w:spacing w:before="0" w:line="240" w:lineRule="auto"/>
        <w:ind w:left="0" w:right="0"/>
        <w:rPr>
          <w:rFonts w:ascii="Arial" w:hAnsi="Arial" w:cs="Arial"/>
          <w:b/>
          <w:color w:val="auto"/>
          <w:szCs w:val="24"/>
          <w:lang w:eastAsia="en-US"/>
        </w:rPr>
      </w:pPr>
    </w:p>
    <w:p w14:paraId="5AB5AC98" w14:textId="77777777" w:rsidR="00AF0CC5" w:rsidRPr="00E33AAE" w:rsidRDefault="00D4381E" w:rsidP="009147B7">
      <w:pPr>
        <w:pStyle w:val="Mabstract"/>
        <w:numPr>
          <w:ilvl w:val="0"/>
          <w:numId w:val="8"/>
        </w:numPr>
        <w:spacing w:before="0" w:line="240" w:lineRule="auto"/>
        <w:ind w:right="0"/>
        <w:jc w:val="left"/>
        <w:rPr>
          <w:rFonts w:ascii="Arial" w:hAnsi="Arial" w:cs="Arial"/>
          <w:color w:val="auto"/>
          <w:sz w:val="22"/>
          <w:szCs w:val="22"/>
          <w:lang w:eastAsia="en-US"/>
        </w:rPr>
      </w:pPr>
      <w:r w:rsidRPr="00E33AAE">
        <w:rPr>
          <w:rFonts w:ascii="Arial" w:hAnsi="Arial" w:cs="Arial"/>
          <w:b/>
          <w:color w:val="auto"/>
          <w:sz w:val="22"/>
          <w:szCs w:val="22"/>
          <w:lang w:eastAsia="en-US"/>
        </w:rPr>
        <w:t>INTRODUCTION</w:t>
      </w:r>
      <w:r w:rsidR="00AF0CC5" w:rsidRPr="00E33AAE">
        <w:rPr>
          <w:rFonts w:ascii="Arial" w:hAnsi="Arial" w:cs="Arial"/>
          <w:color w:val="auto"/>
          <w:sz w:val="22"/>
          <w:szCs w:val="22"/>
          <w:lang w:eastAsia="en-US"/>
        </w:rPr>
        <w:t xml:space="preserve">  </w:t>
      </w:r>
    </w:p>
    <w:p w14:paraId="06AB3351" w14:textId="77777777" w:rsidR="00AF0CC5" w:rsidRPr="00E33AAE" w:rsidRDefault="00AF0CC5" w:rsidP="00AF0CC5">
      <w:pPr>
        <w:pStyle w:val="MHeading1"/>
        <w:spacing w:before="0" w:after="0" w:line="240" w:lineRule="auto"/>
        <w:rPr>
          <w:rFonts w:ascii="Arial" w:hAnsi="Arial" w:cs="Arial"/>
          <w:color w:val="auto"/>
          <w:szCs w:val="24"/>
          <w:lang w:eastAsia="en-US"/>
        </w:rPr>
      </w:pPr>
    </w:p>
    <w:p w14:paraId="4F844A2D" w14:textId="1BA86FAE" w:rsidR="001846C0" w:rsidRPr="00E33AAE" w:rsidRDefault="00AF0CC5" w:rsidP="00D445B2">
      <w:pPr>
        <w:autoSpaceDE w:val="0"/>
        <w:autoSpaceDN w:val="0"/>
        <w:adjustRightInd w:val="0"/>
        <w:jc w:val="both"/>
        <w:rPr>
          <w:rFonts w:ascii="Arial" w:hAnsi="Arial" w:cs="Arial"/>
          <w:bCs/>
          <w:sz w:val="20"/>
          <w:szCs w:val="20"/>
        </w:rPr>
      </w:pPr>
      <w:r w:rsidRPr="00E33AAE">
        <w:lastRenderedPageBreak/>
        <w:t xml:space="preserve">For thousands of years, medicinal plants have been used to treat human diseases and have been important in international trade. Beneficial biological activities, including antimalarial, anti-inflammatory, antisickling, antimicrobial, antioxidant, anticancer, analgesic, wound-healing and immunostimulatory activities, have been reported for herbs or medicinal plants by different researchers (Ejele et al., 2012; Colpo et al., 2014; Akpan et al., 2016; Akpan et al., 2017; Akpan et al., 2021; Erik et al., 2021; Oladejobi et al., 2022). Studies are ongoing to further develop and recognise the clinical, pharmaceutical and economic values of many herbal medicines. Plants can generally synthesise or produce a wide variety of chemical compounds that perform important biological functions and defend them against infection or attack by predators, such as bacteria, fungi, insects and herbivorous animals. At least 12,000 such bioactive compounds have been investigated and isolated so far, and this number is estimated to represent less than 10% of the total (Erik et al., 2021; Tapsell et al., 2006). These chemical compounds, otherwise referred to as phytochemicals, can be found in any part of the plant, including the leaf, stem bark, root, root bark, fruit and seed. Plants produce or synthesise phytochemicals as part of their normal metabolic activities; therefore, these chemicals are critical to their existence. Thousands of plant phytochemicals have been reported to be safe and broadly effective alternatives with fewer adverse effects than synthetic drugs (Gobalakrishnan et al., 2013; </w:t>
      </w:r>
      <w:r w:rsidR="002C4A90" w:rsidRPr="002C4A90">
        <w:t>Barbosa Filho</w:t>
      </w:r>
      <w:r w:rsidRPr="00E33AAE">
        <w:t xml:space="preserve"> et al., 2014; Poojary et al., 2015). Phytochemicals may be primary or secondary metabolites. Primary metabolites include proteins, carbohydrates and fats, which occur in all plants. They serve plants and the animals that feed on them in many indispensable ways, including reproduction and sustenance. Secondary metabolites, however, are found in a smaller range or in low quantities in plants and serve specific functions. They are low-molecular-weight compounds regarded as non-essential for sustaining the life of the producing plant or organism but crucial for its survival (Hadacek, 2002). Most secondary metabolites are toxins and antibiotics used to protect the plant against bacteria, fungi, insects and animals. Some are pheromones used to attract insects for pollination, while others perform additional vital biological functions in the plant. However, in animals that feed on them, or in humans who extract and use them as herbal preparations for healing purposes, these phytochemicals may perform different biological functions. This does not necessarily mean that the same compounds present in the plant are as toxic or medicinal when extracted or isolated, because synergistic interactions can occur among different compounds in the plant (Gobalakrishnan et al., 2013). Secondary metabolites are produced through specific pathways, and their sites of synthesis may differ among compound types and plant species. Many therapeutic actions, including the antimicrobial activities of medicinal plants in humans, can be attributed to secondary metabolites such as alkaloids, terpenoids, flavonoids, iridoids and tannins (Ejele et al., 2012; Akpan et al., 2016; Akpan et al., 2017; Akpan et al., 2021; Oladejobi et al., 2022; Uniyal et al., 2006; de Lima et al., 2021; Uwanta &amp; Akpan, 2024), and these can be refined to produce, or chemically synthesise, drugs such as codeine, morphine, digoxin and quinine. Extraction, purification and characterisation of secondary metabolites remain major challenges in the drug discovery process. Several factors can affect phytochemical accumulation in plants, including water, soil, light, nutrients and temperature. Medicinal plants are either cultivated and harvested or sourced from wild populations. Plants from wild populations have been, and continue to be, widely exploited by traditional medicine practitioners for the preparation of herbal medicines. Some of these plants have become extinct or are at high risk of extinction because of overcollection. These activities may raise additional local, regional and global concerns. Regulation of the exploitation and export of these plants, especially endangered species, is therefore essential to ensure their continued availability. In Nigeria, </w:t>
      </w:r>
      <w:r w:rsidRPr="00E33AAE">
        <w:rPr>
          <w:i/>
        </w:rPr>
        <w:t>Ritchiea longipedicellata</w:t>
      </w:r>
      <w:r w:rsidRPr="00E33AAE">
        <w:t xml:space="preserve"> has traditionally been collected from wild populations. Considering its current rate of use, extinction is imminent if exploitation is not regulated and if users, particularly traditional users, </w:t>
      </w:r>
      <w:r w:rsidRPr="00E33AAE">
        <w:lastRenderedPageBreak/>
        <w:t xml:space="preserve">do not begin to cultivate the plant. There are several hundred thousand plant species worldwide, but only a small proportion has been investigated pharmacologically and phytochemically. To date, more than 50,000 structures have been identified in plants by nuclear magnetic resonance (NMR), mass spectrometry (MS) and X-ray analysis. However, the actual number of bioactive compounds in the plant kingdom is likely to exceed 100,000 structures (Wink, 1988). In recent times, many studies have been conducted, and others are ongoing, in the search for new lead structures from natural products that may be used directly for healing or to rationally design or synthesise analogous drugs based on molecular structure. Taiwo et al. (2013) reported the successful isolation of a quaternary ammonium compound, stachydrine, which was reported to have both antibacterial and antiplasmodial activities and was isolated from the leaf, stem and root bark of </w:t>
      </w:r>
      <w:r w:rsidRPr="00E33AAE">
        <w:rPr>
          <w:i/>
        </w:rPr>
        <w:t>Ritchiea longipedicellata</w:t>
      </w:r>
      <w:r w:rsidRPr="00E33AAE">
        <w:t xml:space="preserve">. However, roots of plants that grow in the tropics and near water bodies often possess antimicrobial agents that protect them from destruction by soil microbes. Some of these antimicrobial agents are also effective against human microbes, hence the need to isolate and identify them, test their efficacy and toxicity and possibly synthesise them further or conduct structure-activity relationship (SAR) studies to determine whether analogous structures of the antimicrobial agent may show better activity. Therefore, the possibility of finding other antimicrobial agents in the root of </w:t>
      </w:r>
      <w:r w:rsidRPr="00E33AAE">
        <w:rPr>
          <w:i/>
        </w:rPr>
        <w:t>Ritchiea longipedicellata</w:t>
      </w:r>
      <w:r w:rsidRPr="00E33AAE">
        <w:t xml:space="preserve"> exists, because it grows in the tropics. In practice, traditional medicine practitioners usually chop the entire root of the plant into small pieces and macerate it in ethanol for several days before administering the extracts to patients; they also claim that the whole root gives better activity than the bark alone. Hence, the entire root, rather than only the root bark, was chosen for this study to obtain a more complete collection of bioactive components. Thus, this work investigated, isolated and characterised antimicrobial compounds or components in the root of </w:t>
      </w:r>
      <w:r w:rsidRPr="00E33AAE">
        <w:rPr>
          <w:i/>
        </w:rPr>
        <w:t>Ritchiea longipedicellata</w:t>
      </w:r>
      <w:r w:rsidRPr="00E33AAE">
        <w:t xml:space="preserve"> using the research method recommended by Brusotti et al. (2014), which is a different scientific approach from that used by Taiwo et al. (2013). The emergence of multidrug-resistant (MDR) pathogens is a major global health concern because it increases morbidity, mortality and healthcare costs (World Health Organization, 2021). The development of novel therapeutic agents that can address antibiotic resistance is necessary. </w:t>
      </w:r>
      <w:r w:rsidRPr="00E33AAE">
        <w:rPr>
          <w:i/>
        </w:rPr>
        <w:t>Ritchiea longipedicellata</w:t>
      </w:r>
      <w:r w:rsidRPr="00E33AAE">
        <w:t xml:space="preserve">, a medicinal plant used in traditional African medicine, has been reported to have a range of pharmacological effects, which may be related to its broad profile of bioactive compounds (Taiwo et al., 2013). To identify molecules with antimicrobial properties that may contribute to the fight against MDR infections, this study examined the bioactive chemicals in </w:t>
      </w:r>
      <w:r w:rsidRPr="00E33AAE">
        <w:rPr>
          <w:i/>
        </w:rPr>
        <w:t>R. longipedicellata</w:t>
      </w:r>
      <w:r w:rsidRPr="00E33AAE">
        <w:t xml:space="preserve"> root extracts. This study sought to provide insight into accessible and sustainable plant-based alternatives, particularly for regions with limited access to conventional therapies, in line with Sustainable Development Goal 3 (SDG 3), which promotes good health and well-being (United Nations, 2015). By investigating the therapeutic potential of native medicinal plants, this study contributes to the global effort to reduce dependence on synthetic medicines, combat drug resistance and improve health equity by expanding access to safe and effective treatments. Recent studies of medicinal plant extracts have continued to associate phytochemical classes such as alkaloids, flavonoids, saponins and phenolic compounds with concentration-dependent antimicrobial activity, supporting the need for compound-level evaluation of crude botanical preparations (Terngu et al., 2024; Ikyaator et al., 2026).</w:t>
      </w:r>
    </w:p>
    <w:p w14:paraId="211E9144" w14:textId="77777777" w:rsidR="001846C0" w:rsidRPr="00E33AAE" w:rsidRDefault="00000000">
      <w:pPr>
        <w:spacing w:after="0" w:line="240" w:lineRule="auto"/>
      </w:pPr>
      <w:r w:rsidRPr="00E33AAE">
        <w:rPr>
          <w:rFonts w:ascii="Arial" w:hAnsi="Arial"/>
          <w:b/>
          <w:sz w:val="20"/>
        </w:rPr>
        <w:t>Research Gap</w:t>
      </w:r>
    </w:p>
    <w:p w14:paraId="2CB7AD47" w14:textId="77777777" w:rsidR="001846C0" w:rsidRPr="00E33AAE" w:rsidRDefault="00000000">
      <w:pPr>
        <w:spacing w:after="0" w:line="240" w:lineRule="auto"/>
        <w:jc w:val="both"/>
        <w:rPr>
          <w:rFonts w:ascii="Arial" w:hAnsi="Arial"/>
          <w:bCs/>
          <w:sz w:val="20"/>
        </w:rPr>
      </w:pPr>
      <w:r w:rsidRPr="00E33AAE">
        <w:t xml:space="preserve">Although earlier work on </w:t>
      </w:r>
      <w:r w:rsidRPr="00E33AAE">
        <w:rPr>
          <w:i/>
        </w:rPr>
        <w:t>Ritchiea longipedicellata</w:t>
      </w:r>
      <w:r w:rsidRPr="00E33AAE">
        <w:t xml:space="preserve"> reported antimicrobial and antiplasmodial activity (Taiwo et al., 2013), evidence remains limited on the whole-root extract using bioassay-guided fractionation combined with GC-MS characterisation. This gap is important because recent natural-product reviews emphasise that plant-derived antimicrobials require isolation, chemical characterisation </w:t>
      </w:r>
      <w:r w:rsidRPr="00E33AAE">
        <w:lastRenderedPageBreak/>
        <w:t>and cautious biological validation before therapeutic relevance can be inferred (Woo et al., 2023; Berida et al., 2024).</w:t>
      </w:r>
    </w:p>
    <w:p w14:paraId="6ED0EFA0" w14:textId="77777777" w:rsidR="00687499" w:rsidRPr="00E33AAE" w:rsidRDefault="00687499">
      <w:pPr>
        <w:spacing w:after="0" w:line="240" w:lineRule="auto"/>
        <w:jc w:val="both"/>
        <w:rPr>
          <w:bCs/>
        </w:rPr>
      </w:pPr>
    </w:p>
    <w:p w14:paraId="1D7F52E3" w14:textId="77777777" w:rsidR="001846C0" w:rsidRPr="00E33AAE" w:rsidRDefault="00000000">
      <w:pPr>
        <w:spacing w:after="0" w:line="240" w:lineRule="auto"/>
        <w:rPr>
          <w:b/>
        </w:rPr>
      </w:pPr>
      <w:r w:rsidRPr="00E33AAE">
        <w:rPr>
          <w:rFonts w:ascii="Arial" w:hAnsi="Arial"/>
          <w:b/>
          <w:sz w:val="20"/>
        </w:rPr>
        <w:t>Objective</w:t>
      </w:r>
    </w:p>
    <w:p w14:paraId="389B9CFE" w14:textId="77777777" w:rsidR="001846C0" w:rsidRPr="00E33AAE" w:rsidRDefault="00000000">
      <w:pPr>
        <w:spacing w:after="0" w:line="240" w:lineRule="auto"/>
        <w:jc w:val="both"/>
        <w:rPr>
          <w:rFonts w:ascii="Arial" w:hAnsi="Arial"/>
          <w:bCs/>
          <w:sz w:val="20"/>
        </w:rPr>
      </w:pPr>
      <w:r w:rsidRPr="00E33AAE">
        <w:t xml:space="preserve">The objective of this study was to investigate the phytochemical constituents, antimicrobial activity and bioactive components of </w:t>
      </w:r>
      <w:r w:rsidRPr="00E33AAE">
        <w:rPr>
          <w:i/>
        </w:rPr>
        <w:t>Ritchiea longipedicellata</w:t>
      </w:r>
      <w:r w:rsidRPr="00E33AAE">
        <w:t xml:space="preserve"> whole-root extracts through solvent extraction, bioassay-guided fractionation and GC-MS analysis.</w:t>
      </w:r>
    </w:p>
    <w:p w14:paraId="20559723" w14:textId="77777777" w:rsidR="00FD2AD0" w:rsidRPr="00E33AAE" w:rsidRDefault="00FD2AD0">
      <w:pPr>
        <w:spacing w:after="0" w:line="240" w:lineRule="auto"/>
        <w:jc w:val="both"/>
        <w:rPr>
          <w:bCs/>
        </w:rPr>
      </w:pPr>
    </w:p>
    <w:p w14:paraId="44E27D89" w14:textId="77777777" w:rsidR="00C715F6" w:rsidRPr="00E33AAE" w:rsidRDefault="00272D43">
      <w:pPr>
        <w:rPr>
          <w:rFonts w:ascii="Arial" w:hAnsi="Arial" w:cs="Arial"/>
          <w:b/>
        </w:rPr>
      </w:pPr>
      <w:r w:rsidRPr="00E33AAE">
        <w:rPr>
          <w:rFonts w:ascii="Arial" w:hAnsi="Arial" w:cs="Arial"/>
          <w:b/>
        </w:rPr>
        <w:t>2.</w:t>
      </w:r>
      <w:r w:rsidR="005717F5" w:rsidRPr="00E33AAE">
        <w:rPr>
          <w:rFonts w:ascii="Arial" w:hAnsi="Arial" w:cs="Arial"/>
          <w:b/>
        </w:rPr>
        <w:t>0</w:t>
      </w:r>
      <w:r w:rsidRPr="00E33AAE">
        <w:rPr>
          <w:rFonts w:ascii="Arial" w:hAnsi="Arial" w:cs="Arial"/>
          <w:b/>
        </w:rPr>
        <w:t xml:space="preserve"> MATERIAL AND METHODS</w:t>
      </w:r>
    </w:p>
    <w:p w14:paraId="3FF6D2A0" w14:textId="77777777" w:rsidR="00272D43" w:rsidRPr="00E33AAE" w:rsidRDefault="005717F5" w:rsidP="00272D43">
      <w:pPr>
        <w:jc w:val="both"/>
        <w:rPr>
          <w:rFonts w:ascii="Arial" w:hAnsi="Arial" w:cs="Arial"/>
          <w:b/>
        </w:rPr>
      </w:pPr>
      <w:r w:rsidRPr="00E33AAE">
        <w:rPr>
          <w:rFonts w:ascii="Arial" w:hAnsi="Arial" w:cs="Arial"/>
          <w:b/>
        </w:rPr>
        <w:t xml:space="preserve">2.1 </w:t>
      </w:r>
      <w:r w:rsidR="00272D43" w:rsidRPr="00E33AAE">
        <w:rPr>
          <w:rFonts w:ascii="Arial" w:hAnsi="Arial" w:cs="Arial"/>
          <w:b/>
        </w:rPr>
        <w:t>Sample collection and preparation</w:t>
      </w:r>
    </w:p>
    <w:p w14:paraId="7AFB2681" w14:textId="77777777" w:rsidR="00272D43" w:rsidRPr="00E33AAE" w:rsidRDefault="00272D43" w:rsidP="00272D43">
      <w:pPr>
        <w:jc w:val="both"/>
        <w:rPr>
          <w:rFonts w:ascii="Arial" w:hAnsi="Arial" w:cs="Arial"/>
          <w:sz w:val="20"/>
          <w:szCs w:val="20"/>
        </w:rPr>
      </w:pPr>
      <w:r w:rsidRPr="00E33AAE">
        <w:t xml:space="preserve">Root samples of </w:t>
      </w:r>
      <w:r w:rsidRPr="00E33AAE">
        <w:rPr>
          <w:i/>
        </w:rPr>
        <w:t>Ritchiea longipedicellata</w:t>
      </w:r>
      <w:r w:rsidRPr="00E33AAE">
        <w:t xml:space="preserve"> were collected from different areas around Okigwe in Imo State, Nigeria, in July 2016 and deposited in the herbarium of the Department of Plant Science and Biotechnology, University of Port Harcourt, Rivers State, where they were identified. The roots were washed thoroughly, cut into smaller pieces and dried at ambient temperature. The air-dried roots were then pulverised into a fine powder, packed in airtight containers and stored at room temperature for further work.</w:t>
      </w:r>
    </w:p>
    <w:p w14:paraId="10010FAA" w14:textId="77777777" w:rsidR="00272D43" w:rsidRPr="00E33AAE" w:rsidRDefault="005717F5" w:rsidP="00272D43">
      <w:pPr>
        <w:jc w:val="both"/>
        <w:rPr>
          <w:rFonts w:ascii="Arial" w:hAnsi="Arial" w:cs="Arial"/>
          <w:b/>
        </w:rPr>
      </w:pPr>
      <w:r w:rsidRPr="00E33AAE">
        <w:rPr>
          <w:rFonts w:ascii="Arial" w:hAnsi="Arial" w:cs="Arial"/>
          <w:b/>
        </w:rPr>
        <w:t xml:space="preserve">2.2 </w:t>
      </w:r>
      <w:r w:rsidR="00272D43" w:rsidRPr="00E33AAE">
        <w:rPr>
          <w:rFonts w:ascii="Arial" w:hAnsi="Arial" w:cs="Arial"/>
          <w:b/>
        </w:rPr>
        <w:t>Extraction procedure</w:t>
      </w:r>
    </w:p>
    <w:p w14:paraId="13C29659" w14:textId="77777777" w:rsidR="005717F5" w:rsidRPr="00E33AAE" w:rsidRDefault="00272D43" w:rsidP="00272D43">
      <w:pPr>
        <w:jc w:val="both"/>
        <w:rPr>
          <w:rFonts w:ascii="Arial" w:hAnsi="Arial" w:cs="Arial"/>
          <w:sz w:val="20"/>
          <w:szCs w:val="20"/>
        </w:rPr>
      </w:pPr>
      <w:r w:rsidRPr="00E33AAE">
        <w:t>The extraction procedure employed in this study was as recommended by Brusotti et al. (2014) and was carried out in order of increasing polarity, as follows.</w:t>
      </w:r>
    </w:p>
    <w:p w14:paraId="2B0E808B" w14:textId="77777777" w:rsidR="005717F5" w:rsidRPr="00E33AAE" w:rsidRDefault="005717F5" w:rsidP="00272D43">
      <w:pPr>
        <w:jc w:val="both"/>
        <w:rPr>
          <w:rFonts w:ascii="Arial" w:hAnsi="Arial" w:cs="Arial"/>
          <w:sz w:val="20"/>
          <w:szCs w:val="20"/>
          <w:u w:val="single"/>
        </w:rPr>
      </w:pPr>
      <w:r w:rsidRPr="00E33AAE">
        <w:rPr>
          <w:rFonts w:ascii="Arial" w:hAnsi="Arial" w:cs="Arial"/>
          <w:b/>
          <w:sz w:val="20"/>
          <w:szCs w:val="20"/>
          <w:u w:val="single"/>
        </w:rPr>
        <w:t xml:space="preserve">2.2.1 </w:t>
      </w:r>
      <w:r w:rsidR="00272D43" w:rsidRPr="00E33AAE">
        <w:rPr>
          <w:rFonts w:ascii="Arial" w:hAnsi="Arial" w:cs="Arial"/>
          <w:b/>
          <w:sz w:val="20"/>
          <w:szCs w:val="20"/>
          <w:u w:val="single"/>
        </w:rPr>
        <w:t>N-hexane extract:</w:t>
      </w:r>
      <w:r w:rsidR="00272D43" w:rsidRPr="00E33AAE">
        <w:rPr>
          <w:rFonts w:ascii="Arial" w:hAnsi="Arial" w:cs="Arial"/>
          <w:sz w:val="20"/>
          <w:szCs w:val="20"/>
          <w:u w:val="single"/>
        </w:rPr>
        <w:t xml:space="preserve"> </w:t>
      </w:r>
    </w:p>
    <w:p w14:paraId="66660E6A" w14:textId="77777777" w:rsidR="00272D43" w:rsidRPr="00E33AAE" w:rsidRDefault="00272D43" w:rsidP="00272D43">
      <w:pPr>
        <w:jc w:val="both"/>
        <w:rPr>
          <w:rFonts w:ascii="Arial" w:hAnsi="Arial" w:cs="Arial"/>
          <w:sz w:val="20"/>
          <w:szCs w:val="20"/>
        </w:rPr>
      </w:pPr>
      <w:r w:rsidRPr="00E33AAE">
        <w:t xml:space="preserve">Dried powdered root sample of </w:t>
      </w:r>
      <w:r w:rsidRPr="00E33AAE">
        <w:rPr>
          <w:i/>
        </w:rPr>
        <w:t>Ritchiea longipedicellata</w:t>
      </w:r>
      <w:r w:rsidRPr="00E33AAE">
        <w:t xml:space="preserve"> (300 g) was macerated in 1500 mL of n-hexane (1:5) for 48 hours with occasional stirring and shaking. The content was filtered and, with the aid of a HH-6 Techmel digital water bath at a temperature of 60 °C and a rotary evaporator (SENCO Technology Co. Ltd.; W2-1005) under reduced pressure, the resulting filtrate was concentrated. A yellow oily substance was obtained. The extract was stored in a refrigerator for further studies. The residue was air-dried in preparation for the next serial extraction.</w:t>
      </w:r>
    </w:p>
    <w:p w14:paraId="7443E201" w14:textId="77777777" w:rsidR="005717F5" w:rsidRPr="00E33AAE" w:rsidRDefault="005717F5" w:rsidP="00272D43">
      <w:pPr>
        <w:jc w:val="both"/>
        <w:rPr>
          <w:rFonts w:ascii="Arial" w:hAnsi="Arial" w:cs="Arial"/>
          <w:sz w:val="20"/>
          <w:szCs w:val="20"/>
          <w:u w:val="single"/>
        </w:rPr>
      </w:pPr>
      <w:r w:rsidRPr="00E33AAE">
        <w:rPr>
          <w:rFonts w:ascii="Arial" w:hAnsi="Arial" w:cs="Arial"/>
          <w:b/>
          <w:sz w:val="20"/>
          <w:szCs w:val="20"/>
          <w:u w:val="single"/>
        </w:rPr>
        <w:t xml:space="preserve">2.2.2 </w:t>
      </w:r>
      <w:r w:rsidR="00272D43" w:rsidRPr="00E33AAE">
        <w:rPr>
          <w:rFonts w:ascii="Arial" w:hAnsi="Arial" w:cs="Arial"/>
          <w:b/>
          <w:sz w:val="20"/>
          <w:szCs w:val="20"/>
          <w:u w:val="single"/>
        </w:rPr>
        <w:t>Dichloromethane extract</w:t>
      </w:r>
      <w:r w:rsidR="00272D43" w:rsidRPr="00E33AAE">
        <w:rPr>
          <w:rFonts w:ascii="Arial" w:hAnsi="Arial" w:cs="Arial"/>
          <w:sz w:val="20"/>
          <w:szCs w:val="20"/>
          <w:u w:val="single"/>
        </w:rPr>
        <w:t xml:space="preserve"> </w:t>
      </w:r>
    </w:p>
    <w:p w14:paraId="6B4236F9" w14:textId="77777777" w:rsidR="00272D43" w:rsidRPr="00E33AAE" w:rsidRDefault="00272D43" w:rsidP="00272D43">
      <w:pPr>
        <w:jc w:val="both"/>
        <w:rPr>
          <w:rFonts w:ascii="Arial" w:hAnsi="Arial" w:cs="Arial"/>
          <w:sz w:val="20"/>
          <w:szCs w:val="20"/>
        </w:rPr>
      </w:pPr>
      <w:r w:rsidRPr="00E33AAE">
        <w:t>The air-dried residue from the n-hexane extract (296 g) was macerated in 1500 mL of dichloromethane for 48 hours with occasional stirring and shaking. The content was filtered and, using a HH-6 Techmel digital water bath at a temperature of 60 °C and a rotary evaporator under reduced pressure, the filtrate was concentrated to a paste, while the resulting residue was air-dried for the next serial extraction. The brown paste obtained was stored in a refrigerator for further studies. Ethyl acetate, methanol and aqueous extracts were obtained using the same procedure as that used for the dichloromethane extract.</w:t>
      </w:r>
    </w:p>
    <w:p w14:paraId="6643DCF9" w14:textId="77777777" w:rsidR="005717F5" w:rsidRPr="00E33AAE" w:rsidRDefault="005717F5" w:rsidP="00272D43">
      <w:pPr>
        <w:jc w:val="both"/>
        <w:rPr>
          <w:rFonts w:ascii="Arial" w:hAnsi="Arial" w:cs="Arial"/>
          <w:sz w:val="20"/>
          <w:szCs w:val="20"/>
          <w:u w:val="single"/>
        </w:rPr>
      </w:pPr>
      <w:r w:rsidRPr="00E33AAE">
        <w:rPr>
          <w:rFonts w:ascii="Arial" w:hAnsi="Arial" w:cs="Arial"/>
          <w:b/>
          <w:sz w:val="20"/>
          <w:szCs w:val="20"/>
          <w:u w:val="single"/>
        </w:rPr>
        <w:t xml:space="preserve">2.2.3 </w:t>
      </w:r>
      <w:r w:rsidR="00272D43" w:rsidRPr="00E33AAE">
        <w:rPr>
          <w:rFonts w:ascii="Arial" w:hAnsi="Arial" w:cs="Arial"/>
          <w:b/>
          <w:sz w:val="20"/>
          <w:szCs w:val="20"/>
          <w:u w:val="single"/>
        </w:rPr>
        <w:t>Aqueous extract</w:t>
      </w:r>
      <w:r w:rsidR="00272D43" w:rsidRPr="00E33AAE">
        <w:rPr>
          <w:rFonts w:ascii="Arial" w:hAnsi="Arial" w:cs="Arial"/>
          <w:sz w:val="20"/>
          <w:szCs w:val="20"/>
          <w:u w:val="single"/>
        </w:rPr>
        <w:t xml:space="preserve">: </w:t>
      </w:r>
    </w:p>
    <w:p w14:paraId="548139A9" w14:textId="77777777" w:rsidR="00272D43" w:rsidRPr="00E33AAE" w:rsidRDefault="00272D43" w:rsidP="00272D43">
      <w:pPr>
        <w:jc w:val="both"/>
        <w:rPr>
          <w:rFonts w:ascii="Arial" w:hAnsi="Arial" w:cs="Arial"/>
          <w:sz w:val="20"/>
          <w:szCs w:val="20"/>
        </w:rPr>
      </w:pPr>
      <w:r w:rsidRPr="00E33AAE">
        <w:t xml:space="preserve">Dried powdered plant sample of </w:t>
      </w:r>
      <w:r w:rsidRPr="00E33AAE">
        <w:rPr>
          <w:i/>
        </w:rPr>
        <w:t>Ritchiea longipedicellata</w:t>
      </w:r>
      <w:r w:rsidRPr="00E33AAE">
        <w:t xml:space="preserve"> (200 g) was macerated in one litre (1.0 L) of distilled water for 48 hours with occasional stirring and shaking. It was filtered with the aid of a suction pump because filtration with filter paper was time-consuming. Under reduced pressure, the filtrate was concentrated using a rotary evaporator and HH-6 Techmel digital water bath at 50 °C to obtain a brown paste.</w:t>
      </w:r>
    </w:p>
    <w:p w14:paraId="7C8DF63C" w14:textId="77777777" w:rsidR="00272D43" w:rsidRPr="00E33AAE" w:rsidRDefault="00272D43" w:rsidP="00272D43">
      <w:pPr>
        <w:jc w:val="both"/>
        <w:rPr>
          <w:rFonts w:ascii="Arial" w:hAnsi="Arial" w:cs="Arial"/>
          <w:sz w:val="20"/>
          <w:szCs w:val="20"/>
        </w:rPr>
      </w:pPr>
      <w:r w:rsidRPr="00E33AAE">
        <w:rPr>
          <w:rFonts w:ascii="Arial" w:hAnsi="Arial" w:cs="Arial"/>
          <w:sz w:val="20"/>
          <w:szCs w:val="20"/>
        </w:rPr>
        <w:t>The percentage yield of each extract was calculated as:</w:t>
      </w:r>
    </w:p>
    <w:p w14:paraId="6D2C66F0" w14:textId="77777777" w:rsidR="00272D43" w:rsidRPr="00E33AAE" w:rsidRDefault="00272D43" w:rsidP="00272D43">
      <w:pPr>
        <w:jc w:val="both"/>
        <w:rPr>
          <w:rFonts w:ascii="Arial" w:eastAsiaTheme="minorEastAsia" w:hAnsi="Arial" w:cs="Arial"/>
          <w:sz w:val="20"/>
          <w:szCs w:val="20"/>
        </w:rPr>
      </w:pPr>
      <m:oMathPara>
        <m:oMath>
          <m:r>
            <w:rPr>
              <w:rFonts w:ascii="Cambria Math" w:hAnsi="Cambria Math" w:cs="Arial"/>
              <w:sz w:val="20"/>
              <w:szCs w:val="20"/>
            </w:rPr>
            <w:lastRenderedPageBreak/>
            <m:t xml:space="preserve">% Yield of Extract= </m:t>
          </m:r>
          <m:f>
            <m:fPr>
              <m:ctrlPr>
                <w:rPr>
                  <w:rFonts w:ascii="Cambria Math" w:hAnsi="Cambria Math" w:cs="Arial"/>
                  <w:i/>
                  <w:sz w:val="20"/>
                  <w:szCs w:val="20"/>
                </w:rPr>
              </m:ctrlPr>
            </m:fPr>
            <m:num>
              <m:r>
                <w:rPr>
                  <w:rFonts w:ascii="Cambria Math" w:hAnsi="Cambria Math" w:cs="Arial"/>
                  <w:sz w:val="20"/>
                  <w:szCs w:val="20"/>
                </w:rPr>
                <m:t>Weight of extract</m:t>
              </m:r>
            </m:num>
            <m:den>
              <m:r>
                <w:rPr>
                  <w:rFonts w:ascii="Cambria Math" w:hAnsi="Cambria Math" w:cs="Arial"/>
                  <w:sz w:val="20"/>
                  <w:szCs w:val="20"/>
                </w:rPr>
                <m:t>Weight of sample used</m:t>
              </m:r>
            </m:den>
          </m:f>
          <m:r>
            <w:rPr>
              <w:rFonts w:ascii="Cambria Math" w:hAnsi="Cambria Math" w:cs="Arial"/>
              <w:sz w:val="20"/>
              <w:szCs w:val="20"/>
            </w:rPr>
            <m:t xml:space="preserve"> x 100</m:t>
          </m:r>
        </m:oMath>
      </m:oMathPara>
    </w:p>
    <w:p w14:paraId="5B75EADD" w14:textId="77777777" w:rsidR="00272D43" w:rsidRPr="00E33AAE" w:rsidRDefault="000165CB" w:rsidP="00272D43">
      <w:pPr>
        <w:jc w:val="both"/>
        <w:rPr>
          <w:rFonts w:ascii="Arial" w:hAnsi="Arial" w:cs="Arial"/>
          <w:b/>
        </w:rPr>
      </w:pPr>
      <w:r w:rsidRPr="00E33AAE">
        <w:rPr>
          <w:rFonts w:ascii="Arial" w:hAnsi="Arial" w:cs="Arial"/>
          <w:b/>
        </w:rPr>
        <w:t xml:space="preserve">2.3 </w:t>
      </w:r>
      <w:r w:rsidR="00272D43" w:rsidRPr="00E33AAE">
        <w:rPr>
          <w:rFonts w:ascii="Arial" w:hAnsi="Arial" w:cs="Arial"/>
          <w:b/>
        </w:rPr>
        <w:t>Phytochemical screening</w:t>
      </w:r>
    </w:p>
    <w:p w14:paraId="55C00CDB" w14:textId="77777777" w:rsidR="00272D43" w:rsidRPr="00E33AAE" w:rsidRDefault="00272D43" w:rsidP="00272D43">
      <w:pPr>
        <w:jc w:val="both"/>
        <w:rPr>
          <w:rFonts w:ascii="Arial" w:hAnsi="Arial" w:cs="Arial"/>
          <w:sz w:val="20"/>
          <w:szCs w:val="20"/>
        </w:rPr>
      </w:pPr>
      <w:r w:rsidRPr="00E33AAE">
        <w:t>Qualitative phytochemical evaluation was carried out to determine the presence of phenolic groups, alkaloids, cardiac glycosides, flavonoids, saponins, terpenoids, tannins and steroids in the aqueous and methanol extracts using standard procedures adopted by Uwanta and Akpan (2024).</w:t>
      </w:r>
    </w:p>
    <w:p w14:paraId="43BA0EF7" w14:textId="77777777" w:rsidR="00272D43" w:rsidRPr="00E33AAE" w:rsidRDefault="000165CB" w:rsidP="00272D43">
      <w:pPr>
        <w:jc w:val="both"/>
        <w:rPr>
          <w:rFonts w:ascii="Arial" w:hAnsi="Arial" w:cs="Arial"/>
          <w:b/>
          <w:sz w:val="20"/>
          <w:szCs w:val="20"/>
          <w:u w:val="single"/>
        </w:rPr>
      </w:pPr>
      <w:r w:rsidRPr="00E33AAE">
        <w:rPr>
          <w:rFonts w:ascii="Arial" w:hAnsi="Arial" w:cs="Arial"/>
          <w:b/>
          <w:sz w:val="20"/>
          <w:szCs w:val="20"/>
          <w:u w:val="single"/>
        </w:rPr>
        <w:t>2.3.1</w:t>
      </w:r>
      <w:r w:rsidR="008B6E2B" w:rsidRPr="00E33AAE">
        <w:rPr>
          <w:rFonts w:ascii="Arial" w:hAnsi="Arial" w:cs="Arial"/>
          <w:b/>
          <w:sz w:val="20"/>
          <w:szCs w:val="20"/>
          <w:u w:val="single"/>
        </w:rPr>
        <w:t xml:space="preserve"> </w:t>
      </w:r>
      <w:r w:rsidR="00272D43" w:rsidRPr="00E33AAE">
        <w:rPr>
          <w:rFonts w:ascii="Arial" w:hAnsi="Arial" w:cs="Arial"/>
          <w:b/>
          <w:sz w:val="20"/>
          <w:szCs w:val="20"/>
          <w:u w:val="single"/>
        </w:rPr>
        <w:t>Test for Alkaloids</w:t>
      </w:r>
    </w:p>
    <w:p w14:paraId="53DCF8AA" w14:textId="77777777" w:rsidR="00272D43" w:rsidRPr="00E33AAE" w:rsidRDefault="00272D43" w:rsidP="00272D43">
      <w:pPr>
        <w:jc w:val="both"/>
        <w:rPr>
          <w:rFonts w:ascii="Arial" w:hAnsi="Arial" w:cs="Arial"/>
        </w:rPr>
      </w:pPr>
      <w:r w:rsidRPr="00E33AAE">
        <w:rPr>
          <w:rFonts w:ascii="Arial" w:hAnsi="Arial" w:cs="Arial"/>
          <w:sz w:val="20"/>
          <w:szCs w:val="20"/>
        </w:rPr>
        <w:t>The extract (0.5 g) was stirred with 3</w:t>
      </w:r>
      <w:r w:rsidR="000165CB" w:rsidRPr="00E33AAE">
        <w:rPr>
          <w:rFonts w:ascii="Arial" w:hAnsi="Arial" w:cs="Arial"/>
          <w:sz w:val="20"/>
          <w:szCs w:val="20"/>
        </w:rPr>
        <w:t>.0</w:t>
      </w:r>
      <w:r w:rsidRPr="00E33AAE">
        <w:rPr>
          <w:rFonts w:ascii="Arial" w:hAnsi="Arial" w:cs="Arial"/>
          <w:sz w:val="20"/>
          <w:szCs w:val="20"/>
        </w:rPr>
        <w:t xml:space="preserve"> m</w:t>
      </w:r>
      <w:r w:rsidR="000165CB" w:rsidRPr="00E33AAE">
        <w:rPr>
          <w:rFonts w:ascii="Arial" w:hAnsi="Arial" w:cs="Arial"/>
          <w:sz w:val="20"/>
          <w:szCs w:val="20"/>
        </w:rPr>
        <w:t>L</w:t>
      </w:r>
      <w:r w:rsidRPr="00E33AAE">
        <w:rPr>
          <w:rFonts w:ascii="Arial" w:hAnsi="Arial" w:cs="Arial"/>
          <w:sz w:val="20"/>
          <w:szCs w:val="20"/>
        </w:rPr>
        <w:t xml:space="preserve"> of 1</w:t>
      </w:r>
      <w:r w:rsidR="000165CB" w:rsidRPr="00E33AAE">
        <w:rPr>
          <w:rFonts w:ascii="Arial" w:hAnsi="Arial" w:cs="Arial"/>
          <w:sz w:val="20"/>
          <w:szCs w:val="20"/>
        </w:rPr>
        <w:t xml:space="preserve"> </w:t>
      </w:r>
      <w:r w:rsidRPr="00E33AAE">
        <w:rPr>
          <w:rFonts w:ascii="Arial" w:hAnsi="Arial" w:cs="Arial"/>
          <w:sz w:val="20"/>
          <w:szCs w:val="20"/>
        </w:rPr>
        <w:t>% aqueous hydrochloric acid on a steam bath and filtered</w:t>
      </w:r>
      <w:r w:rsidRPr="00E33AAE">
        <w:rPr>
          <w:rFonts w:ascii="Arial" w:hAnsi="Arial" w:cs="Arial"/>
        </w:rPr>
        <w:t>.</w:t>
      </w:r>
    </w:p>
    <w:p w14:paraId="5F3C70EA" w14:textId="77777777" w:rsidR="00272D43" w:rsidRPr="00E33AAE" w:rsidRDefault="00272D43" w:rsidP="000165CB">
      <w:pPr>
        <w:pStyle w:val="ListParagraph"/>
        <w:numPr>
          <w:ilvl w:val="3"/>
          <w:numId w:val="1"/>
        </w:numPr>
        <w:jc w:val="both"/>
        <w:rPr>
          <w:rFonts w:ascii="Arial" w:hAnsi="Arial" w:cs="Arial"/>
          <w:b/>
          <w:sz w:val="20"/>
          <w:szCs w:val="20"/>
        </w:rPr>
      </w:pPr>
      <w:r w:rsidRPr="00E33AAE">
        <w:rPr>
          <w:rFonts w:ascii="Arial" w:hAnsi="Arial" w:cs="Arial"/>
          <w:b/>
          <w:sz w:val="20"/>
          <w:szCs w:val="20"/>
        </w:rPr>
        <w:t>Dragendoff’s reagent test</w:t>
      </w:r>
    </w:p>
    <w:p w14:paraId="2CC4B513" w14:textId="77777777" w:rsidR="00272D43" w:rsidRPr="00E33AAE" w:rsidRDefault="00272D43" w:rsidP="00272D43">
      <w:pPr>
        <w:pStyle w:val="ListParagraph"/>
        <w:ind w:left="1080"/>
        <w:jc w:val="both"/>
        <w:rPr>
          <w:rFonts w:ascii="Arial" w:hAnsi="Arial" w:cs="Arial"/>
          <w:sz w:val="20"/>
          <w:szCs w:val="20"/>
        </w:rPr>
      </w:pPr>
      <w:r w:rsidRPr="00E33AAE">
        <w:t>A few drops of Dragendorff's reagent were added to 1.0 mL of the filtrate and shaken. The orange precipitate observed with this reagent was taken as evidence for the presence of alkaloids in the extract.</w:t>
      </w:r>
    </w:p>
    <w:p w14:paraId="11635B3E" w14:textId="77777777" w:rsidR="00272D43" w:rsidRPr="00E33AAE" w:rsidRDefault="00272D43" w:rsidP="000165CB">
      <w:pPr>
        <w:pStyle w:val="ListParagraph"/>
        <w:numPr>
          <w:ilvl w:val="3"/>
          <w:numId w:val="1"/>
        </w:numPr>
        <w:jc w:val="both"/>
        <w:rPr>
          <w:rFonts w:ascii="Arial" w:hAnsi="Arial" w:cs="Arial"/>
          <w:b/>
          <w:sz w:val="20"/>
          <w:szCs w:val="20"/>
        </w:rPr>
      </w:pPr>
      <w:r w:rsidRPr="00E33AAE">
        <w:rPr>
          <w:rFonts w:ascii="Arial" w:hAnsi="Arial" w:cs="Arial"/>
          <w:b/>
          <w:sz w:val="20"/>
          <w:szCs w:val="20"/>
        </w:rPr>
        <w:t>Wagner’s reagent test</w:t>
      </w:r>
    </w:p>
    <w:p w14:paraId="2BB01BFD" w14:textId="77777777" w:rsidR="00272D43" w:rsidRPr="00E33AAE" w:rsidRDefault="00272D43" w:rsidP="00272D43">
      <w:pPr>
        <w:pStyle w:val="ListParagraph"/>
        <w:ind w:left="1080"/>
        <w:jc w:val="both"/>
        <w:rPr>
          <w:rFonts w:ascii="Arial" w:hAnsi="Arial" w:cs="Arial"/>
          <w:sz w:val="20"/>
          <w:szCs w:val="20"/>
        </w:rPr>
      </w:pPr>
      <w:r w:rsidRPr="00E33AAE">
        <w:t>Another 1.0 mL of the filtrate was treated with a few drops of Wagner's reagent. The brown precipitate observed with this reagent was taken as preliminary evidence for the presence of alkaloids in the extract.</w:t>
      </w:r>
    </w:p>
    <w:p w14:paraId="1E2E70CF" w14:textId="77777777" w:rsidR="00272D43" w:rsidRPr="00E33AAE" w:rsidRDefault="00272D43" w:rsidP="000165CB">
      <w:pPr>
        <w:pStyle w:val="ListParagraph"/>
        <w:numPr>
          <w:ilvl w:val="3"/>
          <w:numId w:val="1"/>
        </w:numPr>
        <w:jc w:val="both"/>
        <w:rPr>
          <w:rFonts w:ascii="Arial" w:hAnsi="Arial" w:cs="Arial"/>
          <w:b/>
          <w:sz w:val="20"/>
          <w:szCs w:val="20"/>
        </w:rPr>
      </w:pPr>
      <w:r w:rsidRPr="00E33AAE">
        <w:rPr>
          <w:rFonts w:ascii="Arial" w:hAnsi="Arial" w:cs="Arial"/>
          <w:b/>
          <w:sz w:val="20"/>
          <w:szCs w:val="20"/>
        </w:rPr>
        <w:t>Mayer’s reagent test</w:t>
      </w:r>
    </w:p>
    <w:p w14:paraId="76AA7C01" w14:textId="77777777" w:rsidR="00272D43" w:rsidRPr="00E33AAE" w:rsidRDefault="00272D43" w:rsidP="00272D43">
      <w:pPr>
        <w:pStyle w:val="ListParagraph"/>
        <w:ind w:left="1080"/>
        <w:jc w:val="both"/>
        <w:rPr>
          <w:rFonts w:ascii="Arial" w:hAnsi="Arial" w:cs="Arial"/>
          <w:sz w:val="20"/>
          <w:szCs w:val="20"/>
        </w:rPr>
      </w:pPr>
      <w:r w:rsidRPr="00E33AAE">
        <w:t>Another 1.0 mL aliquot of each filtrate was treated with a few drops of Mayer's reagent. The cream-coloured precipitate observed with this reagent was taken as preliminary evidence for the presence of alkaloids in the extract.</w:t>
      </w:r>
    </w:p>
    <w:p w14:paraId="05642528" w14:textId="77777777" w:rsidR="00272D43" w:rsidRPr="00E33AAE" w:rsidRDefault="008B6E2B" w:rsidP="00272D43">
      <w:pPr>
        <w:jc w:val="both"/>
        <w:rPr>
          <w:rFonts w:ascii="Arial" w:hAnsi="Arial" w:cs="Arial"/>
          <w:b/>
          <w:sz w:val="20"/>
          <w:szCs w:val="20"/>
          <w:u w:val="single"/>
        </w:rPr>
      </w:pPr>
      <w:r w:rsidRPr="00E33AAE">
        <w:rPr>
          <w:rFonts w:ascii="Arial" w:hAnsi="Arial" w:cs="Arial"/>
          <w:b/>
          <w:sz w:val="20"/>
          <w:szCs w:val="20"/>
          <w:u w:val="single"/>
        </w:rPr>
        <w:t xml:space="preserve">2.3.2 </w:t>
      </w:r>
      <w:r w:rsidR="00272D43" w:rsidRPr="00E33AAE">
        <w:rPr>
          <w:rFonts w:ascii="Arial" w:hAnsi="Arial" w:cs="Arial"/>
          <w:b/>
          <w:sz w:val="20"/>
          <w:szCs w:val="20"/>
          <w:u w:val="single"/>
        </w:rPr>
        <w:t>Test for tannins</w:t>
      </w:r>
    </w:p>
    <w:p w14:paraId="6DF22D7F" w14:textId="77777777" w:rsidR="00272D43" w:rsidRPr="00E33AAE" w:rsidRDefault="00272D43" w:rsidP="00272D43">
      <w:pPr>
        <w:jc w:val="both"/>
        <w:rPr>
          <w:rFonts w:ascii="Arial" w:hAnsi="Arial" w:cs="Arial"/>
          <w:sz w:val="20"/>
          <w:szCs w:val="20"/>
        </w:rPr>
      </w:pPr>
      <w:r w:rsidRPr="00E33AAE">
        <w:rPr>
          <w:rFonts w:ascii="Arial" w:hAnsi="Arial" w:cs="Arial"/>
          <w:sz w:val="20"/>
          <w:szCs w:val="20"/>
        </w:rPr>
        <w:t>The extract (0.5 g) was dissolved in 1.0 mL of distilled water, stirred and filtered. To the filtrate, ferric chloride reagent was added. A blue-black, green, or blue-green precipitate was taken as evidence for the presence of tannins.</w:t>
      </w:r>
    </w:p>
    <w:p w14:paraId="7EC8434A" w14:textId="77777777" w:rsidR="00272D43" w:rsidRPr="00E33AAE" w:rsidRDefault="00D326FA" w:rsidP="00272D43">
      <w:pPr>
        <w:jc w:val="both"/>
        <w:rPr>
          <w:rFonts w:ascii="Arial" w:hAnsi="Arial" w:cs="Arial"/>
          <w:b/>
          <w:sz w:val="20"/>
          <w:szCs w:val="20"/>
          <w:u w:val="single"/>
        </w:rPr>
      </w:pPr>
      <w:r w:rsidRPr="00E33AAE">
        <w:rPr>
          <w:rFonts w:ascii="Arial" w:hAnsi="Arial" w:cs="Arial"/>
          <w:b/>
          <w:sz w:val="20"/>
          <w:szCs w:val="20"/>
          <w:u w:val="single"/>
        </w:rPr>
        <w:t xml:space="preserve">2.3.3 </w:t>
      </w:r>
      <w:r w:rsidR="00272D43" w:rsidRPr="00E33AAE">
        <w:rPr>
          <w:rFonts w:ascii="Arial" w:hAnsi="Arial" w:cs="Arial"/>
          <w:b/>
          <w:sz w:val="20"/>
          <w:szCs w:val="20"/>
          <w:u w:val="single"/>
        </w:rPr>
        <w:t>Test for saponins</w:t>
      </w:r>
    </w:p>
    <w:p w14:paraId="63CA6C49" w14:textId="77777777" w:rsidR="00272D43" w:rsidRPr="00E33AAE" w:rsidRDefault="00272D43" w:rsidP="00272D43">
      <w:pPr>
        <w:jc w:val="both"/>
        <w:rPr>
          <w:rFonts w:ascii="Arial" w:hAnsi="Arial" w:cs="Arial"/>
          <w:sz w:val="20"/>
          <w:szCs w:val="20"/>
        </w:rPr>
      </w:pPr>
      <w:r w:rsidRPr="00E33AAE">
        <w:t>To 20 mL of water, 0.25 g of extract was added and boiled gently in a hot water bath for 20 minutes. Persistent frothing on heating was taken as preliminary evidence for the presence of saponins in the plant sample. However, the solution was filtered, and the filtrate was used to carry out the following confirmatory test. To the frothing solution, two drops of olive oil were added and shaken vigorously. The content was observed for the formation of an emulsion as confirmatory evidence for the presence of saponins.</w:t>
      </w:r>
    </w:p>
    <w:p w14:paraId="67A916D7" w14:textId="77777777" w:rsidR="00272D43" w:rsidRPr="00E33AAE" w:rsidRDefault="000653EF" w:rsidP="00272D43">
      <w:pPr>
        <w:jc w:val="both"/>
        <w:rPr>
          <w:rFonts w:ascii="Arial" w:hAnsi="Arial" w:cs="Arial"/>
          <w:b/>
          <w:sz w:val="20"/>
          <w:szCs w:val="20"/>
          <w:u w:val="single"/>
        </w:rPr>
      </w:pPr>
      <w:r w:rsidRPr="00E33AAE">
        <w:rPr>
          <w:rFonts w:ascii="Arial" w:hAnsi="Arial" w:cs="Arial"/>
          <w:b/>
          <w:sz w:val="20"/>
          <w:szCs w:val="20"/>
          <w:u w:val="single"/>
        </w:rPr>
        <w:t xml:space="preserve">2.3.4 </w:t>
      </w:r>
      <w:r w:rsidR="00272D43" w:rsidRPr="00E33AAE">
        <w:rPr>
          <w:rFonts w:ascii="Arial" w:hAnsi="Arial" w:cs="Arial"/>
          <w:b/>
          <w:sz w:val="20"/>
          <w:szCs w:val="20"/>
          <w:u w:val="single"/>
        </w:rPr>
        <w:t>Test for cardiac glycosides</w:t>
      </w:r>
    </w:p>
    <w:p w14:paraId="5CDE2CA4" w14:textId="77777777" w:rsidR="00272D43" w:rsidRPr="00E33AAE" w:rsidRDefault="00272D43" w:rsidP="00272D43">
      <w:pPr>
        <w:jc w:val="both"/>
        <w:rPr>
          <w:rFonts w:ascii="Arial" w:hAnsi="Arial" w:cs="Arial"/>
          <w:sz w:val="20"/>
          <w:szCs w:val="20"/>
        </w:rPr>
      </w:pPr>
      <w:r w:rsidRPr="00E33AAE">
        <w:t>The extract (0.1 g) was first dissolved in 50 mL of 70% alcohol and filtered. Then, about three drops of lead acetate were added to the filtrate, and the mixture was filtered. The filtrate was extracted with 10 mL of chloroform in a separating funnel and concentrated to dryness. The resulting residue was treated with 1.0 mL of ferric chloride/acetic acid reagent (containing 99 volumes of glacial acetic acid and 1 volume of ferric chloride, FeCl3 solution). A brown ring observed at the interface was taken as an indication of the presence of cardenolides or cardiac glycosides.</w:t>
      </w:r>
    </w:p>
    <w:p w14:paraId="5263770E" w14:textId="77777777" w:rsidR="00272D43" w:rsidRPr="00E33AAE" w:rsidRDefault="000653EF" w:rsidP="00272D43">
      <w:pPr>
        <w:jc w:val="both"/>
        <w:rPr>
          <w:rFonts w:ascii="Arial" w:hAnsi="Arial" w:cs="Arial"/>
          <w:b/>
          <w:sz w:val="20"/>
          <w:szCs w:val="20"/>
          <w:u w:val="single"/>
        </w:rPr>
      </w:pPr>
      <w:r w:rsidRPr="00E33AAE">
        <w:rPr>
          <w:rFonts w:ascii="Arial" w:hAnsi="Arial" w:cs="Arial"/>
          <w:b/>
          <w:sz w:val="20"/>
          <w:szCs w:val="20"/>
          <w:u w:val="single"/>
        </w:rPr>
        <w:t xml:space="preserve">2.3.5 </w:t>
      </w:r>
      <w:r w:rsidR="00272D43" w:rsidRPr="00E33AAE">
        <w:rPr>
          <w:rFonts w:ascii="Arial" w:hAnsi="Arial" w:cs="Arial"/>
          <w:b/>
          <w:sz w:val="20"/>
          <w:szCs w:val="20"/>
          <w:u w:val="single"/>
        </w:rPr>
        <w:t>Test for steroids</w:t>
      </w:r>
    </w:p>
    <w:p w14:paraId="4CDB2801" w14:textId="77777777" w:rsidR="00272D43" w:rsidRPr="00E33AAE" w:rsidRDefault="00272D43" w:rsidP="00272D43">
      <w:pPr>
        <w:jc w:val="both"/>
        <w:rPr>
          <w:rFonts w:ascii="Arial" w:hAnsi="Arial" w:cs="Arial"/>
          <w:sz w:val="20"/>
          <w:szCs w:val="20"/>
        </w:rPr>
      </w:pPr>
      <w:r w:rsidRPr="00E33AAE">
        <w:lastRenderedPageBreak/>
        <w:t>The extract (0.2 g) was added to 2.0 mL of chloroform (CHCl3) and properly dissolved. Then, 1.0 mL of acetic anhydride and two drops of concentrated H2SO4 were added. A pink colour that changed to bluish green on standing indicated the presence of steroids.</w:t>
      </w:r>
    </w:p>
    <w:p w14:paraId="0E9A98FD" w14:textId="77777777" w:rsidR="00272D43" w:rsidRPr="00E33AAE" w:rsidRDefault="000653EF" w:rsidP="00272D43">
      <w:pPr>
        <w:jc w:val="both"/>
        <w:rPr>
          <w:rFonts w:ascii="Arial" w:hAnsi="Arial" w:cs="Arial"/>
          <w:b/>
          <w:sz w:val="20"/>
          <w:szCs w:val="20"/>
          <w:u w:val="single"/>
        </w:rPr>
      </w:pPr>
      <w:r w:rsidRPr="00E33AAE">
        <w:rPr>
          <w:rFonts w:ascii="Arial" w:hAnsi="Arial" w:cs="Arial"/>
          <w:b/>
          <w:sz w:val="20"/>
          <w:szCs w:val="20"/>
          <w:u w:val="single"/>
        </w:rPr>
        <w:t xml:space="preserve">2.3.6 </w:t>
      </w:r>
      <w:r w:rsidR="00272D43" w:rsidRPr="00E33AAE">
        <w:rPr>
          <w:rFonts w:ascii="Arial" w:hAnsi="Arial" w:cs="Arial"/>
          <w:b/>
          <w:sz w:val="20"/>
          <w:szCs w:val="20"/>
          <w:u w:val="single"/>
        </w:rPr>
        <w:t>Test for terpenoids</w:t>
      </w:r>
    </w:p>
    <w:p w14:paraId="5BEBE798" w14:textId="77777777" w:rsidR="00272D43" w:rsidRPr="00E33AAE" w:rsidRDefault="00272D43" w:rsidP="00272D43">
      <w:pPr>
        <w:jc w:val="both"/>
        <w:rPr>
          <w:rFonts w:ascii="Arial" w:hAnsi="Arial" w:cs="Arial"/>
          <w:sz w:val="20"/>
          <w:szCs w:val="20"/>
        </w:rPr>
      </w:pPr>
      <w:r w:rsidRPr="00E33AAE">
        <w:t>The extract (0.2 g) was mixed with 2.0 mL of chloroform (CHCl3) in a test tube. Then, 3.0 mL of concentrated H2SO4 was carefully added to the mixture to form a layer. If terpenoids were present, a reddish-brown colour would form at the interface.</w:t>
      </w:r>
    </w:p>
    <w:p w14:paraId="04208937" w14:textId="77777777" w:rsidR="00272D43" w:rsidRPr="00E33AAE" w:rsidRDefault="000653EF" w:rsidP="00272D43">
      <w:pPr>
        <w:jc w:val="both"/>
        <w:rPr>
          <w:rFonts w:ascii="Arial" w:hAnsi="Arial" w:cs="Arial"/>
          <w:b/>
          <w:sz w:val="20"/>
          <w:szCs w:val="20"/>
          <w:u w:val="single"/>
        </w:rPr>
      </w:pPr>
      <w:r w:rsidRPr="00E33AAE">
        <w:rPr>
          <w:rFonts w:ascii="Arial" w:hAnsi="Arial" w:cs="Arial"/>
          <w:b/>
          <w:sz w:val="20"/>
          <w:szCs w:val="20"/>
          <w:u w:val="single"/>
        </w:rPr>
        <w:t xml:space="preserve">2.3.7 </w:t>
      </w:r>
      <w:r w:rsidR="00272D43" w:rsidRPr="00E33AAE">
        <w:rPr>
          <w:rFonts w:ascii="Arial" w:hAnsi="Arial" w:cs="Arial"/>
          <w:b/>
          <w:sz w:val="20"/>
          <w:szCs w:val="20"/>
          <w:u w:val="single"/>
        </w:rPr>
        <w:t>Test for flavonoids</w:t>
      </w:r>
    </w:p>
    <w:p w14:paraId="6F3CB208" w14:textId="77777777" w:rsidR="00272D43" w:rsidRPr="00E33AAE" w:rsidRDefault="00272D43" w:rsidP="00272D43">
      <w:pPr>
        <w:jc w:val="both"/>
        <w:rPr>
          <w:rFonts w:ascii="Arial" w:hAnsi="Arial" w:cs="Arial"/>
          <w:sz w:val="20"/>
          <w:szCs w:val="20"/>
        </w:rPr>
      </w:pPr>
      <w:r w:rsidRPr="00E33AAE">
        <w:t>The extract (0.2 g) was dissolved in acetone. After evaporating the acetone, the residue was extracted in warm water. The mixture was then filtered while hot, and the filtrate was cooled and used for the sodium hydroxide and ammonium tests for flavonoids, as shown below.</w:t>
      </w:r>
    </w:p>
    <w:p w14:paraId="0686DFCF" w14:textId="77777777" w:rsidR="00272D43" w:rsidRPr="00E33AAE" w:rsidRDefault="00272D43" w:rsidP="00272D43">
      <w:pPr>
        <w:jc w:val="both"/>
        <w:rPr>
          <w:rFonts w:ascii="Arial" w:hAnsi="Arial" w:cs="Arial"/>
          <w:sz w:val="20"/>
          <w:szCs w:val="20"/>
        </w:rPr>
      </w:pPr>
      <w:r w:rsidRPr="00E33AAE">
        <w:t>For the sodium hydroxide test, 5.0 mL of 20% sodium hydroxide (NaOH) was added to an equal volume of the dissolved extract. A yellow solution indicated the presence of flavonoids.</w:t>
      </w:r>
    </w:p>
    <w:p w14:paraId="7F44C842" w14:textId="77777777" w:rsidR="00272D43" w:rsidRPr="00E33AAE" w:rsidRDefault="00272D43" w:rsidP="00272D43">
      <w:pPr>
        <w:jc w:val="both"/>
        <w:rPr>
          <w:rFonts w:ascii="Arial" w:hAnsi="Arial" w:cs="Arial"/>
          <w:sz w:val="20"/>
          <w:szCs w:val="20"/>
        </w:rPr>
      </w:pPr>
      <w:r w:rsidRPr="00E33AAE">
        <w:t>For the ammonium test, 4.0 mL of the filtrate was mixed with 1.0 mL of dilute ammonium solution and shaken. A yellow solution indicated the presence of flavonoids.</w:t>
      </w:r>
    </w:p>
    <w:p w14:paraId="0CC397CC" w14:textId="77777777" w:rsidR="00272D43" w:rsidRPr="00E33AAE" w:rsidRDefault="000653EF" w:rsidP="00272D43">
      <w:pPr>
        <w:jc w:val="both"/>
        <w:rPr>
          <w:rFonts w:ascii="Arial" w:hAnsi="Arial" w:cs="Arial"/>
          <w:b/>
          <w:sz w:val="20"/>
          <w:szCs w:val="20"/>
          <w:u w:val="single"/>
        </w:rPr>
      </w:pPr>
      <w:r w:rsidRPr="00E33AAE">
        <w:rPr>
          <w:rFonts w:ascii="Arial" w:hAnsi="Arial" w:cs="Arial"/>
          <w:b/>
          <w:sz w:val="20"/>
          <w:szCs w:val="20"/>
          <w:u w:val="single"/>
        </w:rPr>
        <w:t xml:space="preserve">2.3.8 </w:t>
      </w:r>
      <w:r w:rsidR="00272D43" w:rsidRPr="00E33AAE">
        <w:rPr>
          <w:rFonts w:ascii="Arial" w:hAnsi="Arial" w:cs="Arial"/>
          <w:b/>
          <w:sz w:val="20"/>
          <w:szCs w:val="20"/>
          <w:u w:val="single"/>
        </w:rPr>
        <w:t>Test for phenolic group</w:t>
      </w:r>
    </w:p>
    <w:p w14:paraId="46A31E7D" w14:textId="77777777" w:rsidR="00C97F12" w:rsidRPr="00E33AAE" w:rsidRDefault="00272D43" w:rsidP="00C97F12">
      <w:pPr>
        <w:jc w:val="both"/>
        <w:rPr>
          <w:rFonts w:ascii="Arial" w:hAnsi="Arial" w:cs="Arial"/>
          <w:sz w:val="20"/>
          <w:szCs w:val="20"/>
        </w:rPr>
      </w:pPr>
      <w:r w:rsidRPr="00E33AAE">
        <w:t>The extract was dissolved in methanol, and 0.5 mL was collected in a test tube. Two drops of 1 M ferric chloride (FeCl3) were then added. The presence of phenolic groups was indicated by the appearance of an intense colour.</w:t>
      </w:r>
    </w:p>
    <w:p w14:paraId="7AD56FC8" w14:textId="77777777" w:rsidR="00C97F12" w:rsidRPr="00E33AAE" w:rsidRDefault="00C97F12" w:rsidP="0024429C">
      <w:pPr>
        <w:pStyle w:val="ListParagraph"/>
        <w:numPr>
          <w:ilvl w:val="1"/>
          <w:numId w:val="7"/>
        </w:numPr>
        <w:jc w:val="both"/>
        <w:rPr>
          <w:rFonts w:ascii="Arial" w:hAnsi="Arial" w:cs="Arial"/>
          <w:b/>
        </w:rPr>
      </w:pPr>
      <w:r w:rsidRPr="00E33AAE">
        <w:t>2.4 Antimicrobial assay</w:t>
      </w:r>
    </w:p>
    <w:p w14:paraId="692E4BB5" w14:textId="77777777" w:rsidR="00FA6471" w:rsidRPr="00E33AAE" w:rsidRDefault="00FA6471" w:rsidP="00A77D78">
      <w:pPr>
        <w:jc w:val="both"/>
        <w:rPr>
          <w:rFonts w:ascii="Arial" w:hAnsi="Arial" w:cs="Arial"/>
          <w:b/>
          <w:sz w:val="20"/>
          <w:szCs w:val="20"/>
        </w:rPr>
      </w:pPr>
      <w:r w:rsidRPr="00E33AAE">
        <w:t>Antimicrobial assays (antibacterial and antifungal) were carried out by adopting the methods previously described by Akpan et al. (2017, 2021).</w:t>
      </w:r>
    </w:p>
    <w:p w14:paraId="301B48EE" w14:textId="77777777" w:rsidR="00C97F12" w:rsidRPr="00E33AAE" w:rsidRDefault="00C97F12" w:rsidP="00C97F12">
      <w:pPr>
        <w:jc w:val="both"/>
        <w:rPr>
          <w:rFonts w:ascii="Arial" w:hAnsi="Arial" w:cs="Arial"/>
          <w:b/>
          <w:sz w:val="20"/>
          <w:szCs w:val="20"/>
          <w:u w:val="single"/>
        </w:rPr>
      </w:pPr>
      <w:r w:rsidRPr="00E33AAE">
        <w:rPr>
          <w:rFonts w:ascii="Arial" w:hAnsi="Arial" w:cs="Arial"/>
          <w:b/>
          <w:sz w:val="20"/>
          <w:szCs w:val="20"/>
          <w:u w:val="single"/>
        </w:rPr>
        <w:t>2.4.1 Microorganisms</w:t>
      </w:r>
    </w:p>
    <w:p w14:paraId="21C994B3" w14:textId="77777777" w:rsidR="00C97F12" w:rsidRPr="00E33AAE" w:rsidRDefault="00C97F12" w:rsidP="00A95F8F">
      <w:pPr>
        <w:jc w:val="both"/>
        <w:rPr>
          <w:rFonts w:ascii="Arial" w:hAnsi="Arial" w:cs="Arial"/>
          <w:sz w:val="20"/>
          <w:szCs w:val="20"/>
        </w:rPr>
      </w:pPr>
      <w:r w:rsidRPr="00E33AAE">
        <w:t>A 24-hour culture of four human bacterial pathogens, comprising two Gram-positive bacteria (</w:t>
      </w:r>
      <w:r w:rsidRPr="00E33AAE">
        <w:rPr>
          <w:i/>
        </w:rPr>
        <w:t>Staphylococcus</w:t>
      </w:r>
      <w:r w:rsidRPr="00E33AAE">
        <w:t xml:space="preserve"> spp. and </w:t>
      </w:r>
      <w:r w:rsidRPr="00E33AAE">
        <w:rPr>
          <w:i/>
        </w:rPr>
        <w:t>Bacillus</w:t>
      </w:r>
      <w:r w:rsidRPr="00E33AAE">
        <w:t xml:space="preserve"> spp.) and two Gram-negative bacteria (</w:t>
      </w:r>
      <w:r w:rsidRPr="00E33AAE">
        <w:rPr>
          <w:i/>
        </w:rPr>
        <w:t>Pseudomonas</w:t>
      </w:r>
      <w:r w:rsidRPr="00E33AAE">
        <w:t xml:space="preserve"> spp. and </w:t>
      </w:r>
      <w:r w:rsidRPr="00E33AAE">
        <w:rPr>
          <w:i/>
        </w:rPr>
        <w:t>Salmonella</w:t>
      </w:r>
      <w:r w:rsidRPr="00E33AAE">
        <w:t xml:space="preserve"> spp.), was employed for the in vitro antibacterial assay. The antifungal assay was also performed using two fungi (</w:t>
      </w:r>
      <w:r w:rsidRPr="00E33AAE">
        <w:rPr>
          <w:i/>
        </w:rPr>
        <w:t>Candida albicans</w:t>
      </w:r>
      <w:r w:rsidRPr="00E33AAE">
        <w:t xml:space="preserve"> and </w:t>
      </w:r>
      <w:r w:rsidRPr="00E33AAE">
        <w:rPr>
          <w:i/>
        </w:rPr>
        <w:t>Acremonium</w:t>
      </w:r>
      <w:r w:rsidRPr="00E33AAE">
        <w:t xml:space="preserve"> spp.). The microorganisms were sourced from the laboratory stock of the Department of Microbiology, Faculty of Science, University of Port Harcourt, Port Harcourt, Rivers State, Nigeria.</w:t>
      </w:r>
    </w:p>
    <w:p w14:paraId="4D5A6062" w14:textId="77777777" w:rsidR="00C97F12" w:rsidRPr="00E33AAE" w:rsidRDefault="00A95F8F" w:rsidP="00A95F8F">
      <w:pPr>
        <w:jc w:val="both"/>
        <w:rPr>
          <w:rFonts w:ascii="Arial" w:hAnsi="Arial" w:cs="Arial"/>
          <w:b/>
          <w:sz w:val="20"/>
          <w:szCs w:val="20"/>
          <w:u w:val="single"/>
        </w:rPr>
      </w:pPr>
      <w:r w:rsidRPr="00E33AAE">
        <w:rPr>
          <w:rFonts w:ascii="Arial" w:hAnsi="Arial" w:cs="Arial"/>
          <w:b/>
          <w:sz w:val="20"/>
          <w:szCs w:val="20"/>
          <w:u w:val="single"/>
        </w:rPr>
        <w:t xml:space="preserve">2.4.2 </w:t>
      </w:r>
      <w:r w:rsidR="00C97F12" w:rsidRPr="00E33AAE">
        <w:rPr>
          <w:rFonts w:ascii="Arial" w:hAnsi="Arial" w:cs="Arial"/>
          <w:b/>
          <w:sz w:val="20"/>
          <w:szCs w:val="20"/>
          <w:u w:val="single"/>
        </w:rPr>
        <w:t>Preparation of the media</w:t>
      </w:r>
    </w:p>
    <w:p w14:paraId="1F3062C6" w14:textId="77777777" w:rsidR="00C97F12" w:rsidRPr="00E33AAE" w:rsidRDefault="00C97F12" w:rsidP="00795644">
      <w:pPr>
        <w:jc w:val="both"/>
        <w:rPr>
          <w:rFonts w:ascii="Arial" w:hAnsi="Arial" w:cs="Arial"/>
          <w:sz w:val="20"/>
          <w:szCs w:val="20"/>
        </w:rPr>
      </w:pPr>
      <w:r w:rsidRPr="00E33AAE">
        <w:t>The glassware used was thoroughly washed and then sterilised in a hot-air oven at 160 °C for one hour. Mueller-Hinton agar (MHA) was used for the antimicrobial sensitivity test on bacterial isolates, whereas potato dextrose agar (PDA) was used for the fungal isolates. The media were prepared as directed by the manufacturer, poured into sterile Petri dishes and allowed to solidify.</w:t>
      </w:r>
    </w:p>
    <w:p w14:paraId="1E4A113C" w14:textId="77777777" w:rsidR="00C97F12" w:rsidRPr="00E33AAE" w:rsidRDefault="00795644" w:rsidP="00795644">
      <w:pPr>
        <w:jc w:val="both"/>
        <w:rPr>
          <w:rFonts w:ascii="Arial" w:hAnsi="Arial" w:cs="Arial"/>
          <w:b/>
          <w:sz w:val="20"/>
          <w:szCs w:val="20"/>
          <w:u w:val="single"/>
        </w:rPr>
      </w:pPr>
      <w:r w:rsidRPr="00E33AAE">
        <w:rPr>
          <w:rFonts w:ascii="Arial" w:hAnsi="Arial" w:cs="Arial"/>
          <w:b/>
          <w:sz w:val="20"/>
          <w:szCs w:val="20"/>
          <w:u w:val="single"/>
        </w:rPr>
        <w:t xml:space="preserve">2.4.3 </w:t>
      </w:r>
      <w:r w:rsidR="00C97F12" w:rsidRPr="00E33AAE">
        <w:rPr>
          <w:rFonts w:ascii="Arial" w:hAnsi="Arial" w:cs="Arial"/>
          <w:b/>
          <w:sz w:val="20"/>
          <w:szCs w:val="20"/>
          <w:u w:val="single"/>
        </w:rPr>
        <w:t>Anti-microbial activity determination</w:t>
      </w:r>
    </w:p>
    <w:p w14:paraId="1A83F354" w14:textId="77777777" w:rsidR="00C97F12" w:rsidRPr="00E33AAE" w:rsidRDefault="00C97F12" w:rsidP="00795644">
      <w:pPr>
        <w:jc w:val="both"/>
        <w:rPr>
          <w:rFonts w:ascii="Arial" w:hAnsi="Arial" w:cs="Arial"/>
          <w:sz w:val="20"/>
          <w:szCs w:val="20"/>
        </w:rPr>
      </w:pPr>
      <w:r w:rsidRPr="00E33AAE">
        <w:lastRenderedPageBreak/>
        <w:t>The microorganisms used were revived by suspension in broth medium for 24 hours. Thereafter, the broth culture was diluted with sterile distilled water to a turbidity level matching the 0.5 McFarland standard turbidity solution. The diluted culture was seeded on the agar plate using a sterile swab stick. The plates were allowed to stand for some time so that the organisms could adapt to the medium environment. Then, using the agar well diffusion method, an aseptic cork borer was used to bore wells in the agar (five wells per plate). Different dilutions or concentrations of the plant extract (25 mg/mL, 50 mg/mL, 100 mg/mL, 200 mg/mL and 400 mg/mL) were prepared in dimethyl sulfoxide (DMSO) by twofold dilution with the aid of a syringe. The wells were filled with three drops of the different dilutions of the extract. Wells filled with 1.0 mg/mL ciprofloxacin and 1.0 mg/mL ketoconazole for bacteria and fungi, respectively, were also prepared. The plates were incubated at 37 °C for 24 hours for bacteria and at room temperature (25 °C) for 72 hours for fungi. Finally, the plates were observed for sensitivity. The diameters of the zones of inhibition were measured across the well for each extract. The diameter of the well was 5.0 mm.</w:t>
      </w:r>
    </w:p>
    <w:p w14:paraId="531AB0C3" w14:textId="77777777" w:rsidR="007747D1" w:rsidRPr="00E33AAE" w:rsidRDefault="007747D1" w:rsidP="007747D1">
      <w:pPr>
        <w:pStyle w:val="Default"/>
        <w:rPr>
          <w:rFonts w:ascii="Arial" w:hAnsi="Arial" w:cs="Arial"/>
          <w:b/>
          <w:color w:val="auto"/>
          <w:sz w:val="20"/>
          <w:szCs w:val="20"/>
          <w:u w:val="single"/>
        </w:rPr>
      </w:pPr>
      <w:r w:rsidRPr="00E33AAE">
        <w:rPr>
          <w:rFonts w:ascii="Arial" w:hAnsi="Arial" w:cs="Arial"/>
          <w:b/>
          <w:iCs/>
          <w:color w:val="auto"/>
          <w:sz w:val="20"/>
          <w:szCs w:val="20"/>
          <w:u w:val="single"/>
        </w:rPr>
        <w:t xml:space="preserve">2.4.4 Assay of Antifungal Activity </w:t>
      </w:r>
    </w:p>
    <w:p w14:paraId="41FBFB1C" w14:textId="77777777" w:rsidR="007747D1" w:rsidRPr="00E33AAE" w:rsidRDefault="007747D1" w:rsidP="007747D1">
      <w:pPr>
        <w:jc w:val="both"/>
        <w:rPr>
          <w:rFonts w:ascii="Arial" w:hAnsi="Arial" w:cs="Arial"/>
          <w:sz w:val="20"/>
          <w:szCs w:val="20"/>
        </w:rPr>
      </w:pPr>
      <w:r w:rsidRPr="00E33AAE">
        <w:t>Antifungal activities of the samples were studied using the agar well diffusion method. Suspensions of fungal pathogens were prepared by transferring a loopful of fungi from Sabouraud dextrose agar slants into Sabouraud dextrose broth. Lawn cultures of the test pathogens were prepared by swabbing sterile Sabouraud dextrose agar plates with the fungal suspensions. Wells were punched with a sterile cork borer (6 mm internal diameter), and 400 mg/mL, 200 mg/mL, 100 mg/mL, 50 mg/mL and 25 mg/mL of the samples were added to the wells. Following incubation at 27 °C for 48 hours, the diameters of the inhibitory zones were measured to the nearest millimetre.</w:t>
      </w:r>
    </w:p>
    <w:p w14:paraId="7ADD4BF1" w14:textId="77777777" w:rsidR="00C97F12" w:rsidRPr="00E33AAE" w:rsidRDefault="00795644" w:rsidP="00C97F12">
      <w:pPr>
        <w:jc w:val="both"/>
        <w:rPr>
          <w:rFonts w:ascii="Arial" w:hAnsi="Arial" w:cs="Arial"/>
          <w:b/>
        </w:rPr>
      </w:pPr>
      <w:r w:rsidRPr="00E33AAE">
        <w:rPr>
          <w:rFonts w:ascii="Arial" w:hAnsi="Arial" w:cs="Arial"/>
          <w:b/>
        </w:rPr>
        <w:t xml:space="preserve">2.5 </w:t>
      </w:r>
      <w:r w:rsidR="00C97F12" w:rsidRPr="00E33AAE">
        <w:rPr>
          <w:rFonts w:ascii="Arial" w:hAnsi="Arial" w:cs="Arial"/>
          <w:b/>
        </w:rPr>
        <w:t>Thin Layer Chromatography (TLC)</w:t>
      </w:r>
    </w:p>
    <w:p w14:paraId="16B75689" w14:textId="77777777" w:rsidR="00C97F12" w:rsidRPr="00E33AAE" w:rsidRDefault="00C97F12" w:rsidP="00C97F12">
      <w:pPr>
        <w:jc w:val="both"/>
        <w:rPr>
          <w:rFonts w:ascii="Arial" w:hAnsi="Arial" w:cs="Arial"/>
          <w:sz w:val="20"/>
          <w:szCs w:val="20"/>
        </w:rPr>
      </w:pPr>
      <w:r w:rsidRPr="00E33AAE">
        <w:t>Thin-layer chromatography (TLC) was conducted on the methanol extract to separate the individual components and ascertain which solvent system or solvent combination would give the best resolution and would be used further for column chromatography on the extract. The stationary phase was pre-coated silica gel plates, while the mobile phases were chloroform:methanol (90:10, 80:20, 70:30, 60:40 and 50:50). The n-hexane:ethyl acetate solvent system was also introduced to check whether all components that should have been extracted by the previous solvents used during serial extraction before methanol had been removed, since this study centred on the methanol extract. The pre-coated TLC plates were activated at 100 °C for about 45 minutes, allowed to cool, removed from the oven and then used. The extract was dissolved in methanol and applied to the plate using a micropipette as a spot, 2.0 cm above the base of the plate. The plate was allowed to dry before being introduced into the chromatographic tank. Elution was allowed to continue up to about 15 cm from the sample spot. The plates were removed, allowed to dry and then visualised using UV light and iodine vapour. The process was repeated several times with different solvent systems to obtain the best resolution of components.</w:t>
      </w:r>
    </w:p>
    <w:p w14:paraId="127F9486" w14:textId="77777777" w:rsidR="00C97F12" w:rsidRPr="00E33AAE" w:rsidRDefault="001A349C" w:rsidP="00C97F12">
      <w:pPr>
        <w:jc w:val="both"/>
        <w:rPr>
          <w:rFonts w:ascii="Arial" w:hAnsi="Arial" w:cs="Arial"/>
          <w:b/>
        </w:rPr>
      </w:pPr>
      <w:r w:rsidRPr="00E33AAE">
        <w:rPr>
          <w:rFonts w:ascii="Arial" w:hAnsi="Arial" w:cs="Arial"/>
          <w:b/>
        </w:rPr>
        <w:t xml:space="preserve">2.6 </w:t>
      </w:r>
      <w:r w:rsidR="00C97F12" w:rsidRPr="00E33AAE">
        <w:rPr>
          <w:rFonts w:ascii="Arial" w:hAnsi="Arial" w:cs="Arial"/>
          <w:b/>
        </w:rPr>
        <w:t>Column Chromatography</w:t>
      </w:r>
    </w:p>
    <w:p w14:paraId="4371887C" w14:textId="77777777" w:rsidR="00C97F12" w:rsidRPr="00E33AAE" w:rsidRDefault="00C97F12" w:rsidP="00C97F12">
      <w:pPr>
        <w:jc w:val="both"/>
        <w:rPr>
          <w:rFonts w:ascii="Arial" w:hAnsi="Arial" w:cs="Arial"/>
          <w:sz w:val="20"/>
          <w:szCs w:val="20"/>
        </w:rPr>
      </w:pPr>
      <w:r w:rsidRPr="00E33AAE">
        <w:t>The serial methanol root extract was subjected to column chromatography using a 150 mm by 200 mm open glass column. Silica gel slurry was prepared by mixing dry silica gel in 100% n-hexane. The glass column was packed with silica gel (60-120 mesh) as the adsorbent. Then, about 1.0 g of alumina was placed on top of the silica gel. The ratio of silica gel to extract was 30:1. The extract (about 3.0 g) was dissolved in methanol and carefully loaded onto the column. The column was eluted using the step-elution method involving solvent changes. Three solvent systems were used, as shown in Table 1.</w:t>
      </w:r>
    </w:p>
    <w:p w14:paraId="758DD28A" w14:textId="77777777" w:rsidR="009C7FD4" w:rsidRPr="00E33AAE" w:rsidRDefault="009C7FD4" w:rsidP="00C97F12">
      <w:pPr>
        <w:jc w:val="both"/>
        <w:rPr>
          <w:rFonts w:ascii="Arial" w:hAnsi="Arial" w:cs="Arial"/>
          <w:b/>
          <w:sz w:val="20"/>
          <w:szCs w:val="20"/>
        </w:rPr>
      </w:pPr>
    </w:p>
    <w:p w14:paraId="5CD2DBA3" w14:textId="77777777" w:rsidR="009C7FD4" w:rsidRPr="00E33AAE" w:rsidRDefault="009C7FD4" w:rsidP="00C97F12">
      <w:pPr>
        <w:jc w:val="both"/>
        <w:rPr>
          <w:rFonts w:ascii="Arial" w:hAnsi="Arial" w:cs="Arial"/>
          <w:b/>
          <w:sz w:val="20"/>
          <w:szCs w:val="20"/>
        </w:rPr>
      </w:pPr>
    </w:p>
    <w:p w14:paraId="2040DE73" w14:textId="77777777" w:rsidR="009C7FD4" w:rsidRPr="00E33AAE" w:rsidRDefault="009C7FD4" w:rsidP="00C97F12">
      <w:pPr>
        <w:jc w:val="both"/>
        <w:rPr>
          <w:rFonts w:ascii="Arial" w:hAnsi="Arial" w:cs="Arial"/>
          <w:b/>
          <w:sz w:val="20"/>
          <w:szCs w:val="20"/>
        </w:rPr>
      </w:pPr>
    </w:p>
    <w:p w14:paraId="73A29A45" w14:textId="77777777" w:rsidR="00C97F12" w:rsidRPr="00E33AAE" w:rsidRDefault="00C97F12" w:rsidP="00C97F12">
      <w:pPr>
        <w:jc w:val="both"/>
        <w:rPr>
          <w:rFonts w:ascii="Arial" w:hAnsi="Arial" w:cs="Arial"/>
          <w:b/>
          <w:sz w:val="20"/>
          <w:szCs w:val="20"/>
        </w:rPr>
      </w:pPr>
      <w:r w:rsidRPr="00E33AAE">
        <w:rPr>
          <w:rFonts w:ascii="Arial" w:hAnsi="Arial" w:cs="Arial"/>
          <w:b/>
          <w:sz w:val="20"/>
          <w:szCs w:val="20"/>
        </w:rPr>
        <w:t>Table 1: Solvent systems</w:t>
      </w:r>
    </w:p>
    <w:tbl>
      <w:tblPr>
        <w:tblStyle w:val="ListTable6Colorful"/>
        <w:tblW w:w="0" w:type="auto"/>
        <w:tblLook w:val="04A0" w:firstRow="1" w:lastRow="0" w:firstColumn="1" w:lastColumn="0" w:noHBand="0" w:noVBand="1"/>
      </w:tblPr>
      <w:tblGrid>
        <w:gridCol w:w="2640"/>
        <w:gridCol w:w="3205"/>
        <w:gridCol w:w="3505"/>
      </w:tblGrid>
      <w:tr w:rsidR="00C97F12" w:rsidRPr="00E33AAE" w14:paraId="7D1C1760" w14:textId="77777777" w:rsidTr="001A34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0" w:type="dxa"/>
          </w:tcPr>
          <w:p w14:paraId="4005479F" w14:textId="77777777" w:rsidR="00C97F12" w:rsidRPr="00E33AAE" w:rsidRDefault="00C97F12" w:rsidP="004354E1">
            <w:pPr>
              <w:jc w:val="both"/>
              <w:rPr>
                <w:rFonts w:ascii="Arial" w:hAnsi="Arial" w:cs="Arial"/>
                <w:color w:val="auto"/>
                <w:sz w:val="20"/>
                <w:szCs w:val="20"/>
              </w:rPr>
            </w:pPr>
            <w:r w:rsidRPr="00E33AAE">
              <w:rPr>
                <w:rFonts w:ascii="Arial" w:hAnsi="Arial" w:cs="Arial"/>
                <w:color w:val="auto"/>
                <w:sz w:val="20"/>
                <w:szCs w:val="20"/>
              </w:rPr>
              <w:t>Solvent system A</w:t>
            </w:r>
          </w:p>
        </w:tc>
        <w:tc>
          <w:tcPr>
            <w:tcW w:w="3205" w:type="dxa"/>
          </w:tcPr>
          <w:p w14:paraId="259970A9" w14:textId="77777777" w:rsidR="00C97F12" w:rsidRPr="00E33AAE" w:rsidRDefault="00C97F12"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Solvent system B</w:t>
            </w:r>
          </w:p>
        </w:tc>
        <w:tc>
          <w:tcPr>
            <w:tcW w:w="3505" w:type="dxa"/>
          </w:tcPr>
          <w:p w14:paraId="0A83CB54" w14:textId="77777777" w:rsidR="00C97F12" w:rsidRPr="00E33AAE" w:rsidRDefault="00C97F12"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Solvent system C</w:t>
            </w:r>
          </w:p>
        </w:tc>
      </w:tr>
      <w:tr w:rsidR="00C97F12" w:rsidRPr="00E33AAE" w14:paraId="1B291532" w14:textId="77777777" w:rsidTr="001A349C">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640" w:type="dxa"/>
            <w:shd w:val="clear" w:color="auto" w:fill="auto"/>
          </w:tcPr>
          <w:p w14:paraId="39B9B11E" w14:textId="77777777" w:rsidR="00C97F12" w:rsidRPr="00E33AAE" w:rsidRDefault="00C97F12" w:rsidP="004354E1">
            <w:pPr>
              <w:jc w:val="both"/>
              <w:rPr>
                <w:rFonts w:ascii="Arial" w:hAnsi="Arial" w:cs="Arial"/>
                <w:b w:val="0"/>
                <w:color w:val="auto"/>
                <w:sz w:val="20"/>
                <w:szCs w:val="20"/>
              </w:rPr>
            </w:pPr>
            <w:r w:rsidRPr="00E33AAE">
              <w:rPr>
                <w:rFonts w:ascii="Arial" w:hAnsi="Arial" w:cs="Arial"/>
                <w:b w:val="0"/>
                <w:color w:val="auto"/>
                <w:sz w:val="20"/>
                <w:szCs w:val="20"/>
              </w:rPr>
              <w:t xml:space="preserve">n-hexane: ethyl acetate </w:t>
            </w:r>
          </w:p>
          <w:p w14:paraId="23CC8D76" w14:textId="77777777" w:rsidR="001A349C" w:rsidRPr="00E33AAE" w:rsidRDefault="00C97F12" w:rsidP="004354E1">
            <w:pPr>
              <w:jc w:val="both"/>
              <w:rPr>
                <w:rFonts w:ascii="Arial" w:hAnsi="Arial" w:cs="Arial"/>
                <w:bCs w:val="0"/>
                <w:color w:val="auto"/>
                <w:sz w:val="20"/>
                <w:szCs w:val="20"/>
              </w:rPr>
            </w:pPr>
            <w:r w:rsidRPr="00E33AAE">
              <w:rPr>
                <w:rFonts w:ascii="Arial" w:hAnsi="Arial" w:cs="Arial"/>
                <w:b w:val="0"/>
                <w:color w:val="auto"/>
                <w:sz w:val="20"/>
                <w:szCs w:val="20"/>
              </w:rPr>
              <w:t>80: 20 and 70: 30</w:t>
            </w:r>
          </w:p>
        </w:tc>
        <w:tc>
          <w:tcPr>
            <w:tcW w:w="3205" w:type="dxa"/>
            <w:shd w:val="clear" w:color="auto" w:fill="auto"/>
          </w:tcPr>
          <w:p w14:paraId="795BBF3B" w14:textId="77777777" w:rsidR="00C97F12" w:rsidRPr="00E33AAE" w:rsidRDefault="00C97F12" w:rsidP="004354E1">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Dichloromethane (DCM) 100%</w:t>
            </w:r>
          </w:p>
          <w:p w14:paraId="4FC432B1" w14:textId="77777777" w:rsidR="00C97F12" w:rsidRPr="00E33AAE" w:rsidRDefault="00C97F12"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c>
          <w:tcPr>
            <w:tcW w:w="3505" w:type="dxa"/>
            <w:shd w:val="clear" w:color="auto" w:fill="auto"/>
          </w:tcPr>
          <w:p w14:paraId="34D99EAC" w14:textId="77777777" w:rsidR="00C97F12" w:rsidRPr="00E33AAE" w:rsidRDefault="00C97F12"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Chloroform: methanol</w:t>
            </w:r>
          </w:p>
          <w:p w14:paraId="1BA8F551" w14:textId="77777777" w:rsidR="00C97F12" w:rsidRPr="00E33AAE" w:rsidRDefault="00C97F12"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 xml:space="preserve">90: 10, 70: 30, and 50: 50 </w:t>
            </w:r>
          </w:p>
          <w:p w14:paraId="3BD7ED2F" w14:textId="77777777" w:rsidR="00C97F12" w:rsidRPr="00E33AAE" w:rsidRDefault="00C97F12"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p w14:paraId="65B2E5DC" w14:textId="77777777" w:rsidR="00C97F12" w:rsidRPr="00E33AAE" w:rsidRDefault="00C97F12"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p>
        </w:tc>
      </w:tr>
    </w:tbl>
    <w:p w14:paraId="121EE4B3" w14:textId="77777777" w:rsidR="00C97F12" w:rsidRPr="00E33AAE" w:rsidRDefault="00000000" w:rsidP="00C97F12">
      <w:pPr>
        <w:jc w:val="both"/>
        <w:rPr>
          <w:rFonts w:ascii="Arial" w:hAnsi="Arial" w:cs="Arial"/>
          <w:b/>
          <w:sz w:val="20"/>
          <w:szCs w:val="20"/>
        </w:rPr>
      </w:pPr>
      <w:r>
        <w:rPr>
          <w:rFonts w:ascii="Arial" w:hAnsi="Arial" w:cs="Arial"/>
          <w:noProof/>
          <w:sz w:val="20"/>
          <w:szCs w:val="20"/>
        </w:rPr>
        <w:object w:dxaOrig="3840" w:dyaOrig="128" w14:anchorId="235036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10.7pt;width:453.75pt;height:6.15pt;z-index:251659264;mso-position-horizontal-relative:text;mso-position-vertical-relative:text;mso-width-relative:page;mso-height-relative:page">
            <v:imagedata r:id="rId8" o:title=""/>
          </v:shape>
          <o:OLEObject Type="Embed" ProgID="ACD.ChemSketch.20" ShapeID="_x0000_s2051" DrawAspect="Content" ObjectID="_1844689092" r:id="rId9">
            <o:FieldCodes>\s</o:FieldCodes>
          </o:OLEObject>
        </w:object>
      </w:r>
      <w:r w:rsidR="00C97F12" w:rsidRPr="00E33AAE">
        <w:rPr>
          <w:rFonts w:ascii="Arial" w:hAnsi="Arial" w:cs="Arial"/>
          <w:sz w:val="20"/>
          <w:szCs w:val="20"/>
        </w:rPr>
        <w:t xml:space="preserve">                                                  </w:t>
      </w:r>
      <w:r w:rsidR="00C97F12" w:rsidRPr="00E33AAE">
        <w:rPr>
          <w:rFonts w:ascii="Arial" w:hAnsi="Arial" w:cs="Arial"/>
          <w:b/>
          <w:sz w:val="20"/>
          <w:szCs w:val="20"/>
        </w:rPr>
        <w:t>Order of increasing polarity</w:t>
      </w:r>
    </w:p>
    <w:p w14:paraId="46387015" w14:textId="77777777" w:rsidR="00C97F12" w:rsidRPr="00E33AAE" w:rsidRDefault="00C97F12" w:rsidP="00C97F12">
      <w:pPr>
        <w:jc w:val="both"/>
        <w:rPr>
          <w:rFonts w:ascii="Arial" w:hAnsi="Arial" w:cs="Arial"/>
          <w:sz w:val="20"/>
          <w:szCs w:val="20"/>
        </w:rPr>
      </w:pPr>
      <w:r w:rsidRPr="00E33AAE">
        <w:t>TLC analysis using n-hexane:ethyl acetate (70:30) separated three clear spots, which were not isolated and analysed further in the course of this work because the study was centred on the methanol extract from serial extraction. Hence, solvent system A was introduced to remove these compounds. A volume of 50 to 100 mL of each proportion was prepared. Starting with n-hexane:ethyl acetate 80:20, followed by 70:30 and then 100% dichloromethane (solvent system B), solvent system A was used to elute the column until it appeared clear. Solvent system C (chloroform:methanol) was introduced starting with 90:10, then 70:30 and finally 50:50. Fifteen fractions of 20-25 mL were collected. The fractions were concentrated and monitored using TLC analysis with chloroform:methanol 90:10, 80:20 and 70:30. Fractions with close Rf values were combined, while fractions with irregular spots were discarded. At the end, a total of five fractions remained, and they were all concentrated. Using chloroform:methanol (90:10), fractions A, B, C and D had Rf values of 0.10, 0.31, 0.33 and 0.63, respectively, while fraction E had an Rf value of 0.188 using chloroform:methanol (70:30).</w:t>
      </w:r>
    </w:p>
    <w:p w14:paraId="7E30B349" w14:textId="77777777" w:rsidR="00C97F12" w:rsidRPr="00E33AAE" w:rsidRDefault="00EB4ADD" w:rsidP="00C97F12">
      <w:pPr>
        <w:jc w:val="both"/>
        <w:rPr>
          <w:rFonts w:ascii="Arial" w:hAnsi="Arial" w:cs="Arial"/>
          <w:b/>
        </w:rPr>
      </w:pPr>
      <w:r w:rsidRPr="00E33AAE">
        <w:rPr>
          <w:rFonts w:ascii="Arial" w:hAnsi="Arial" w:cs="Arial"/>
          <w:b/>
        </w:rPr>
        <w:t xml:space="preserve">2.7 </w:t>
      </w:r>
      <w:r w:rsidR="00C97F12" w:rsidRPr="00E33AAE">
        <w:rPr>
          <w:rFonts w:ascii="Arial" w:hAnsi="Arial" w:cs="Arial"/>
          <w:b/>
        </w:rPr>
        <w:t>Anti-microbial test on the five fractions</w:t>
      </w:r>
    </w:p>
    <w:p w14:paraId="2D5AF9AC" w14:textId="77777777" w:rsidR="00C97F12" w:rsidRPr="00E33AAE" w:rsidRDefault="00C97F12" w:rsidP="00C97F12">
      <w:pPr>
        <w:jc w:val="both"/>
        <w:rPr>
          <w:rFonts w:ascii="Arial" w:hAnsi="Arial" w:cs="Arial"/>
          <w:sz w:val="20"/>
          <w:szCs w:val="20"/>
        </w:rPr>
      </w:pPr>
      <w:r w:rsidRPr="00E33AAE">
        <w:t xml:space="preserve">A preliminary antimicrobial test was carried out on the five fractions to determine their antifungal and antibacterial activities. Because the quantities of these fractions obtained from column separation were insufficient for testing at higher concentrations such as 50 mg/mL, 100 mg/mL, 200 mg/mL and 400 mg/mL, fractions A, B and D were tested only up to 25 mg/mL, and none showed activity up to that concentration. However, fractions C and E were tested at concentrations of 100 mg/mL, 50 mg/mL, 25 mg/mL and 6.25 mg/mL. Fraction C was the only fraction that showed activity against </w:t>
      </w:r>
      <w:r w:rsidRPr="00E33AAE">
        <w:rPr>
          <w:i/>
        </w:rPr>
        <w:t>Bacillus</w:t>
      </w:r>
      <w:r w:rsidRPr="00E33AAE">
        <w:t xml:space="preserve"> spp. and </w:t>
      </w:r>
      <w:r w:rsidRPr="00E33AAE">
        <w:rPr>
          <w:i/>
        </w:rPr>
        <w:t>Pseudomonas</w:t>
      </w:r>
      <w:r w:rsidRPr="00E33AAE">
        <w:t xml:space="preserve"> spp. and was further subjected to GC-MS analysis.</w:t>
      </w:r>
    </w:p>
    <w:p w14:paraId="16290298" w14:textId="77777777" w:rsidR="00C97F12" w:rsidRPr="00E33AAE" w:rsidRDefault="00EB4ADD" w:rsidP="00C97F12">
      <w:pPr>
        <w:jc w:val="both"/>
        <w:rPr>
          <w:rFonts w:ascii="Arial" w:hAnsi="Arial" w:cs="Arial"/>
          <w:b/>
        </w:rPr>
      </w:pPr>
      <w:r w:rsidRPr="00E33AAE">
        <w:rPr>
          <w:rFonts w:ascii="Arial" w:hAnsi="Arial" w:cs="Arial"/>
          <w:b/>
        </w:rPr>
        <w:t xml:space="preserve">2.8 </w:t>
      </w:r>
      <w:r w:rsidR="00C97F12" w:rsidRPr="00E33AAE">
        <w:rPr>
          <w:rFonts w:ascii="Arial" w:hAnsi="Arial" w:cs="Arial"/>
          <w:b/>
        </w:rPr>
        <w:t>Gas chromatography-Mass spectrometry analysis of bioactive fraction</w:t>
      </w:r>
    </w:p>
    <w:p w14:paraId="3E554328" w14:textId="77777777" w:rsidR="00C97F12" w:rsidRPr="00E33AAE" w:rsidRDefault="00C97F12" w:rsidP="00C97F12">
      <w:pPr>
        <w:jc w:val="both"/>
        <w:rPr>
          <w:rFonts w:ascii="Arial" w:hAnsi="Arial" w:cs="Arial"/>
          <w:sz w:val="20"/>
          <w:szCs w:val="20"/>
        </w:rPr>
      </w:pPr>
      <w:r w:rsidRPr="00E33AAE">
        <w:t xml:space="preserve">The identification of compounds was performed using GC-MS analysis. The analysis was carried out with an Agilent 7890A/5975C gas chromatograph equipped with an Agilent mass spectrometric detector, a DB-5 fused silica capillary column (length 30.0 mm, diameter 0.25 mm and film thickness 0.25 μm) and a direct capillary interface. The carrier gas used was helium (99.99%) at a constant flow rate of approximately 1.0 mL/min. The GC column oven temperature was initially set at 60 °C and then increased to 280 °C at a rate of 20 °C/min. The detector temperature was set at 280 °C, and the injector temperature was set at 250 °C. The detector was operated in electron ionisation mode with an ionising energy of 70 eV, scanning from m/z 50 to 500. The sample was prepared by dissolving it in 1.0 mL of methanol and was introduced using a 10 μL Hamilton syringe. The solvent delay time was 3 minutes, and the injection volume was 1.0 μL. The components present in the sample were identified using the National Institute of </w:t>
      </w:r>
      <w:r w:rsidRPr="00E33AAE">
        <w:lastRenderedPageBreak/>
        <w:t>Standards and Technology (NIST) database as reference standards and by comparing the retention times with those of authentic compounds. The relative percentage of each component was calculated by comparing the average peak area with the total area.</w:t>
      </w:r>
    </w:p>
    <w:p w14:paraId="67FE2960" w14:textId="77777777" w:rsidR="00EB4ADD" w:rsidRPr="00E33AAE" w:rsidRDefault="00D15B51" w:rsidP="00D15B51">
      <w:pPr>
        <w:pStyle w:val="MHeading1"/>
        <w:spacing w:before="0" w:after="0" w:line="240" w:lineRule="auto"/>
        <w:rPr>
          <w:rFonts w:ascii="Arial" w:hAnsi="Arial" w:cs="Arial"/>
          <w:color w:val="auto"/>
          <w:sz w:val="22"/>
          <w:szCs w:val="22"/>
          <w:lang w:eastAsia="en-US"/>
        </w:rPr>
      </w:pPr>
      <w:r w:rsidRPr="00E33AAE">
        <w:rPr>
          <w:rFonts w:ascii="Arial" w:hAnsi="Arial" w:cs="Arial"/>
          <w:color w:val="auto"/>
          <w:sz w:val="22"/>
          <w:szCs w:val="22"/>
          <w:lang w:eastAsia="en-US"/>
        </w:rPr>
        <w:t xml:space="preserve">3. RESULTS AND DISCUSSION </w:t>
      </w:r>
    </w:p>
    <w:p w14:paraId="1C862B88" w14:textId="77777777" w:rsidR="00EB4ADD" w:rsidRPr="00E33AAE" w:rsidRDefault="00EB4ADD" w:rsidP="00EB4ADD">
      <w:pPr>
        <w:pStyle w:val="MHeading1"/>
        <w:spacing w:before="0" w:after="0" w:line="240" w:lineRule="auto"/>
        <w:rPr>
          <w:rFonts w:ascii="Arial" w:hAnsi="Arial" w:cs="Arial"/>
          <w:color w:val="auto"/>
          <w:sz w:val="20"/>
          <w:lang w:eastAsia="en-US"/>
        </w:rPr>
      </w:pPr>
    </w:p>
    <w:p w14:paraId="6240CA35" w14:textId="77777777" w:rsidR="00EB4ADD" w:rsidRPr="00E33AAE" w:rsidRDefault="00EB4ADD" w:rsidP="00EB4ADD">
      <w:pPr>
        <w:jc w:val="both"/>
        <w:rPr>
          <w:rFonts w:ascii="Arial" w:hAnsi="Arial" w:cs="Arial"/>
          <w:b/>
          <w:i/>
          <w:sz w:val="20"/>
          <w:szCs w:val="20"/>
        </w:rPr>
      </w:pPr>
      <w:r w:rsidRPr="00E33AAE">
        <w:rPr>
          <w:rFonts w:ascii="Arial" w:hAnsi="Arial" w:cs="Arial"/>
          <w:b/>
          <w:sz w:val="20"/>
          <w:szCs w:val="20"/>
        </w:rPr>
        <w:t xml:space="preserve">Table 2: Percentage yield of root extracts of </w:t>
      </w:r>
      <w:r w:rsidRPr="00E33AAE">
        <w:rPr>
          <w:rFonts w:ascii="Arial" w:hAnsi="Arial" w:cs="Arial"/>
          <w:b/>
          <w:i/>
          <w:sz w:val="20"/>
          <w:szCs w:val="20"/>
        </w:rPr>
        <w:t xml:space="preserve">Ritchiea </w:t>
      </w:r>
      <w:proofErr w:type="spellStart"/>
      <w:r w:rsidRPr="00E33AAE">
        <w:rPr>
          <w:rFonts w:ascii="Arial" w:hAnsi="Arial" w:cs="Arial"/>
          <w:b/>
          <w:i/>
          <w:sz w:val="20"/>
          <w:szCs w:val="20"/>
        </w:rPr>
        <w:t>longipedicellata</w:t>
      </w:r>
      <w:proofErr w:type="spellEnd"/>
    </w:p>
    <w:tbl>
      <w:tblPr>
        <w:tblStyle w:val="ListTable6Colorful"/>
        <w:tblW w:w="0" w:type="auto"/>
        <w:tblLook w:val="04A0" w:firstRow="1" w:lastRow="0" w:firstColumn="1" w:lastColumn="0" w:noHBand="0" w:noVBand="1"/>
      </w:tblPr>
      <w:tblGrid>
        <w:gridCol w:w="1728"/>
        <w:gridCol w:w="2137"/>
        <w:gridCol w:w="2880"/>
        <w:gridCol w:w="2605"/>
      </w:tblGrid>
      <w:tr w:rsidR="00D15B51" w:rsidRPr="00E33AAE" w14:paraId="4402575A" w14:textId="77777777" w:rsidTr="00D15B51">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728" w:type="dxa"/>
          </w:tcPr>
          <w:p w14:paraId="6A9A503B" w14:textId="77777777" w:rsidR="00EB4ADD" w:rsidRPr="00E33AAE" w:rsidRDefault="00EB4ADD" w:rsidP="004354E1">
            <w:pPr>
              <w:jc w:val="both"/>
              <w:rPr>
                <w:rFonts w:ascii="Arial" w:hAnsi="Arial" w:cs="Arial"/>
                <w:color w:val="auto"/>
                <w:sz w:val="20"/>
                <w:szCs w:val="20"/>
              </w:rPr>
            </w:pPr>
            <w:r w:rsidRPr="00E33AAE">
              <w:rPr>
                <w:rFonts w:ascii="Arial" w:hAnsi="Arial" w:cs="Arial"/>
                <w:color w:val="auto"/>
                <w:sz w:val="20"/>
                <w:szCs w:val="20"/>
              </w:rPr>
              <w:t>Solvents</w:t>
            </w:r>
          </w:p>
        </w:tc>
        <w:tc>
          <w:tcPr>
            <w:tcW w:w="2137" w:type="dxa"/>
          </w:tcPr>
          <w:p w14:paraId="3D04E6BD" w14:textId="77777777" w:rsidR="00EB4ADD" w:rsidRPr="00E33AAE" w:rsidRDefault="00EB4ADD"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Weight of sample used in (g)</w:t>
            </w:r>
          </w:p>
        </w:tc>
        <w:tc>
          <w:tcPr>
            <w:tcW w:w="2880" w:type="dxa"/>
          </w:tcPr>
          <w:p w14:paraId="0014AB71" w14:textId="77777777" w:rsidR="00EB4ADD" w:rsidRPr="00E33AAE" w:rsidRDefault="00EB4ADD"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Weight of extract obtained in (g)</w:t>
            </w:r>
          </w:p>
        </w:tc>
        <w:tc>
          <w:tcPr>
            <w:tcW w:w="2605" w:type="dxa"/>
          </w:tcPr>
          <w:p w14:paraId="3401CC2B" w14:textId="77777777" w:rsidR="00EB4ADD" w:rsidRPr="00E33AAE" w:rsidRDefault="00EB4ADD"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Percentage (%) yield of extract</w:t>
            </w:r>
          </w:p>
        </w:tc>
      </w:tr>
      <w:tr w:rsidR="00D15B51" w:rsidRPr="00E33AAE" w14:paraId="483B51AB" w14:textId="77777777" w:rsidTr="00D15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tcPr>
          <w:p w14:paraId="28DDF4FC" w14:textId="77777777" w:rsidR="00EB4ADD" w:rsidRPr="00E33AAE" w:rsidRDefault="00EB4ADD" w:rsidP="004354E1">
            <w:pPr>
              <w:jc w:val="both"/>
              <w:rPr>
                <w:rFonts w:ascii="Arial" w:hAnsi="Arial" w:cs="Arial"/>
                <w:b w:val="0"/>
                <w:color w:val="auto"/>
                <w:sz w:val="20"/>
                <w:szCs w:val="20"/>
              </w:rPr>
            </w:pPr>
            <w:r w:rsidRPr="00E33AAE">
              <w:rPr>
                <w:rFonts w:ascii="Arial" w:hAnsi="Arial" w:cs="Arial"/>
                <w:b w:val="0"/>
                <w:color w:val="auto"/>
                <w:sz w:val="20"/>
                <w:szCs w:val="20"/>
              </w:rPr>
              <w:t>n-hexane</w:t>
            </w:r>
          </w:p>
        </w:tc>
        <w:tc>
          <w:tcPr>
            <w:tcW w:w="2137" w:type="dxa"/>
            <w:shd w:val="clear" w:color="auto" w:fill="auto"/>
          </w:tcPr>
          <w:p w14:paraId="660C207E" w14:textId="77777777" w:rsidR="00EB4ADD" w:rsidRPr="00E33AAE"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300</w:t>
            </w:r>
          </w:p>
        </w:tc>
        <w:tc>
          <w:tcPr>
            <w:tcW w:w="2880" w:type="dxa"/>
            <w:shd w:val="clear" w:color="auto" w:fill="auto"/>
          </w:tcPr>
          <w:p w14:paraId="7A475D68" w14:textId="77777777" w:rsidR="00EB4ADD" w:rsidRPr="00E33AAE"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1.07</w:t>
            </w:r>
          </w:p>
        </w:tc>
        <w:tc>
          <w:tcPr>
            <w:tcW w:w="2605" w:type="dxa"/>
            <w:shd w:val="clear" w:color="auto" w:fill="auto"/>
          </w:tcPr>
          <w:p w14:paraId="1ED7649B" w14:textId="77777777" w:rsidR="00EB4ADD" w:rsidRPr="00E33AAE"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0.36</w:t>
            </w:r>
          </w:p>
        </w:tc>
      </w:tr>
      <w:tr w:rsidR="00D15B51" w:rsidRPr="00E33AAE" w14:paraId="74D4E040" w14:textId="77777777" w:rsidTr="00D15B51">
        <w:tc>
          <w:tcPr>
            <w:cnfStyle w:val="001000000000" w:firstRow="0" w:lastRow="0" w:firstColumn="1" w:lastColumn="0" w:oddVBand="0" w:evenVBand="0" w:oddHBand="0" w:evenHBand="0" w:firstRowFirstColumn="0" w:firstRowLastColumn="0" w:lastRowFirstColumn="0" w:lastRowLastColumn="0"/>
            <w:tcW w:w="1728" w:type="dxa"/>
          </w:tcPr>
          <w:p w14:paraId="26B8F247" w14:textId="77777777" w:rsidR="00EB4ADD" w:rsidRPr="00E33AAE" w:rsidRDefault="00EB4ADD" w:rsidP="004354E1">
            <w:pPr>
              <w:jc w:val="both"/>
              <w:rPr>
                <w:rFonts w:ascii="Arial" w:hAnsi="Arial" w:cs="Arial"/>
                <w:b w:val="0"/>
                <w:color w:val="auto"/>
                <w:sz w:val="20"/>
                <w:szCs w:val="20"/>
              </w:rPr>
            </w:pPr>
            <w:r w:rsidRPr="00E33AAE">
              <w:rPr>
                <w:rFonts w:ascii="Arial" w:hAnsi="Arial" w:cs="Arial"/>
                <w:b w:val="0"/>
                <w:color w:val="auto"/>
                <w:sz w:val="20"/>
                <w:szCs w:val="20"/>
              </w:rPr>
              <w:t>Dichloromethane</w:t>
            </w:r>
          </w:p>
        </w:tc>
        <w:tc>
          <w:tcPr>
            <w:tcW w:w="2137" w:type="dxa"/>
          </w:tcPr>
          <w:p w14:paraId="20334983" w14:textId="77777777" w:rsidR="00EB4ADD" w:rsidRPr="00E33AAE"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296</w:t>
            </w:r>
          </w:p>
        </w:tc>
        <w:tc>
          <w:tcPr>
            <w:tcW w:w="2880" w:type="dxa"/>
          </w:tcPr>
          <w:p w14:paraId="6A97F783" w14:textId="77777777" w:rsidR="00EB4ADD" w:rsidRPr="00E33AAE"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0.58</w:t>
            </w:r>
          </w:p>
        </w:tc>
        <w:tc>
          <w:tcPr>
            <w:tcW w:w="2605" w:type="dxa"/>
          </w:tcPr>
          <w:p w14:paraId="62FF3D05" w14:textId="77777777" w:rsidR="00EB4ADD" w:rsidRPr="00E33AAE"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0.19</w:t>
            </w:r>
          </w:p>
        </w:tc>
      </w:tr>
      <w:tr w:rsidR="00D15B51" w:rsidRPr="00E33AAE" w14:paraId="748D16C8" w14:textId="77777777" w:rsidTr="00D15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tcPr>
          <w:p w14:paraId="25ABE59F" w14:textId="77777777" w:rsidR="00EB4ADD" w:rsidRPr="00E33AAE" w:rsidRDefault="00EB4ADD" w:rsidP="004354E1">
            <w:pPr>
              <w:jc w:val="both"/>
              <w:rPr>
                <w:rFonts w:ascii="Arial" w:hAnsi="Arial" w:cs="Arial"/>
                <w:b w:val="0"/>
                <w:color w:val="auto"/>
                <w:sz w:val="20"/>
                <w:szCs w:val="20"/>
              </w:rPr>
            </w:pPr>
            <w:r w:rsidRPr="00E33AAE">
              <w:rPr>
                <w:rFonts w:ascii="Arial" w:hAnsi="Arial" w:cs="Arial"/>
                <w:b w:val="0"/>
                <w:color w:val="auto"/>
                <w:sz w:val="20"/>
                <w:szCs w:val="20"/>
              </w:rPr>
              <w:t>Ethyl acetate</w:t>
            </w:r>
          </w:p>
        </w:tc>
        <w:tc>
          <w:tcPr>
            <w:tcW w:w="2137" w:type="dxa"/>
            <w:shd w:val="clear" w:color="auto" w:fill="auto"/>
          </w:tcPr>
          <w:p w14:paraId="4E94CDAB" w14:textId="77777777" w:rsidR="00EB4ADD" w:rsidRPr="00E33AAE"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294</w:t>
            </w:r>
          </w:p>
        </w:tc>
        <w:tc>
          <w:tcPr>
            <w:tcW w:w="2880" w:type="dxa"/>
            <w:shd w:val="clear" w:color="auto" w:fill="auto"/>
          </w:tcPr>
          <w:p w14:paraId="3DA2E8D8" w14:textId="77777777" w:rsidR="00EB4ADD" w:rsidRPr="00E33AAE"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1.80</w:t>
            </w:r>
          </w:p>
        </w:tc>
        <w:tc>
          <w:tcPr>
            <w:tcW w:w="2605" w:type="dxa"/>
            <w:shd w:val="clear" w:color="auto" w:fill="auto"/>
          </w:tcPr>
          <w:p w14:paraId="2DCB8A80" w14:textId="77777777" w:rsidR="00EB4ADD" w:rsidRPr="00E33AAE"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0.61</w:t>
            </w:r>
          </w:p>
        </w:tc>
      </w:tr>
      <w:tr w:rsidR="00D15B51" w:rsidRPr="00E33AAE" w14:paraId="0050252D" w14:textId="77777777" w:rsidTr="00D15B51">
        <w:tc>
          <w:tcPr>
            <w:cnfStyle w:val="001000000000" w:firstRow="0" w:lastRow="0" w:firstColumn="1" w:lastColumn="0" w:oddVBand="0" w:evenVBand="0" w:oddHBand="0" w:evenHBand="0" w:firstRowFirstColumn="0" w:firstRowLastColumn="0" w:lastRowFirstColumn="0" w:lastRowLastColumn="0"/>
            <w:tcW w:w="1728" w:type="dxa"/>
          </w:tcPr>
          <w:p w14:paraId="63AFDF08" w14:textId="77777777" w:rsidR="00EB4ADD" w:rsidRPr="00E33AAE" w:rsidRDefault="00EB4ADD" w:rsidP="004354E1">
            <w:pPr>
              <w:jc w:val="both"/>
              <w:rPr>
                <w:rFonts w:ascii="Arial" w:hAnsi="Arial" w:cs="Arial"/>
                <w:b w:val="0"/>
                <w:color w:val="auto"/>
                <w:sz w:val="20"/>
                <w:szCs w:val="20"/>
              </w:rPr>
            </w:pPr>
            <w:r w:rsidRPr="00E33AAE">
              <w:rPr>
                <w:rFonts w:ascii="Arial" w:hAnsi="Arial" w:cs="Arial"/>
                <w:b w:val="0"/>
                <w:color w:val="auto"/>
                <w:sz w:val="20"/>
                <w:szCs w:val="20"/>
              </w:rPr>
              <w:t>Methanol</w:t>
            </w:r>
          </w:p>
        </w:tc>
        <w:tc>
          <w:tcPr>
            <w:tcW w:w="2137" w:type="dxa"/>
          </w:tcPr>
          <w:p w14:paraId="6D0C10CB" w14:textId="77777777" w:rsidR="00EB4ADD" w:rsidRPr="00E33AAE"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290</w:t>
            </w:r>
          </w:p>
        </w:tc>
        <w:tc>
          <w:tcPr>
            <w:tcW w:w="2880" w:type="dxa"/>
          </w:tcPr>
          <w:p w14:paraId="02ED2241" w14:textId="77777777" w:rsidR="00EB4ADD" w:rsidRPr="00E33AAE"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12.18</w:t>
            </w:r>
          </w:p>
        </w:tc>
        <w:tc>
          <w:tcPr>
            <w:tcW w:w="2605" w:type="dxa"/>
          </w:tcPr>
          <w:p w14:paraId="5E47B74E" w14:textId="77777777" w:rsidR="00EB4ADD" w:rsidRPr="00E33AAE" w:rsidRDefault="00EB4ADD"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4.20</w:t>
            </w:r>
          </w:p>
        </w:tc>
      </w:tr>
      <w:tr w:rsidR="00D15B51" w:rsidRPr="00E33AAE" w14:paraId="47171614" w14:textId="77777777" w:rsidTr="00D15B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auto"/>
          </w:tcPr>
          <w:p w14:paraId="1DAEE0CE" w14:textId="77777777" w:rsidR="00EB4ADD" w:rsidRPr="00E33AAE" w:rsidRDefault="00EB4ADD" w:rsidP="004354E1">
            <w:pPr>
              <w:jc w:val="both"/>
              <w:rPr>
                <w:rFonts w:ascii="Arial" w:hAnsi="Arial" w:cs="Arial"/>
                <w:b w:val="0"/>
                <w:color w:val="auto"/>
                <w:sz w:val="20"/>
                <w:szCs w:val="20"/>
              </w:rPr>
            </w:pPr>
            <w:r w:rsidRPr="00E33AAE">
              <w:rPr>
                <w:rFonts w:ascii="Arial" w:hAnsi="Arial" w:cs="Arial"/>
                <w:b w:val="0"/>
                <w:color w:val="auto"/>
                <w:sz w:val="20"/>
                <w:szCs w:val="20"/>
              </w:rPr>
              <w:t>Water</w:t>
            </w:r>
          </w:p>
        </w:tc>
        <w:tc>
          <w:tcPr>
            <w:tcW w:w="2137" w:type="dxa"/>
            <w:shd w:val="clear" w:color="auto" w:fill="auto"/>
          </w:tcPr>
          <w:p w14:paraId="58F2EDD1" w14:textId="77777777" w:rsidR="00EB4ADD" w:rsidRPr="00E33AAE"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200</w:t>
            </w:r>
          </w:p>
        </w:tc>
        <w:tc>
          <w:tcPr>
            <w:tcW w:w="2880" w:type="dxa"/>
            <w:shd w:val="clear" w:color="auto" w:fill="auto"/>
          </w:tcPr>
          <w:p w14:paraId="7A9A4EE0" w14:textId="77777777" w:rsidR="00EB4ADD" w:rsidRPr="00E33AAE"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25.42</w:t>
            </w:r>
          </w:p>
        </w:tc>
        <w:tc>
          <w:tcPr>
            <w:tcW w:w="2605" w:type="dxa"/>
            <w:shd w:val="clear" w:color="auto" w:fill="auto"/>
          </w:tcPr>
          <w:p w14:paraId="0CD0F36B" w14:textId="77777777" w:rsidR="00EB4ADD" w:rsidRPr="00E33AAE" w:rsidRDefault="00EB4ADD"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12.71</w:t>
            </w:r>
          </w:p>
        </w:tc>
      </w:tr>
    </w:tbl>
    <w:p w14:paraId="5BB6DEAC" w14:textId="77777777" w:rsidR="00EB4ADD" w:rsidRPr="00E33AAE" w:rsidRDefault="00EB4ADD" w:rsidP="00EB4ADD">
      <w:pPr>
        <w:jc w:val="both"/>
        <w:rPr>
          <w:rFonts w:ascii="Arial" w:hAnsi="Arial" w:cs="Arial"/>
          <w:b/>
          <w:sz w:val="20"/>
          <w:szCs w:val="20"/>
        </w:rPr>
      </w:pPr>
    </w:p>
    <w:p w14:paraId="11894B6C" w14:textId="0AE00F03" w:rsidR="00BB1A1F" w:rsidRPr="00E33AAE" w:rsidRDefault="00BB1A1F" w:rsidP="00BB1A1F">
      <w:pPr>
        <w:spacing w:before="100" w:beforeAutospacing="1" w:after="100" w:afterAutospacing="1" w:line="240" w:lineRule="auto"/>
        <w:jc w:val="both"/>
        <w:rPr>
          <w:rFonts w:ascii="Arial" w:eastAsia="Times New Roman" w:hAnsi="Arial" w:cs="Arial"/>
          <w:sz w:val="20"/>
          <w:szCs w:val="20"/>
        </w:rPr>
      </w:pPr>
      <w:r w:rsidRPr="00E33AAE">
        <w:t xml:space="preserve">The study demonstrates that the extraction efficiency and antimicrobial potential of </w:t>
      </w:r>
      <w:r w:rsidRPr="00E33AAE">
        <w:rPr>
          <w:i/>
        </w:rPr>
        <w:t>Ritchiea longipedicellata</w:t>
      </w:r>
      <w:r w:rsidRPr="00E33AAE">
        <w:t xml:space="preserve"> root are strongly influenced by solvent polarity and the distribution of phytochemicals within the plant. A polarity-controlled serial extraction technique was employed following the method of Brusotti et al. (2014), allowing the successive separation of compounds according to their chemical polarity. As presented in Table 2 and Figure 1, the aqueous extract produced the highest extraction yield (12.71%), followed by the methanol extract (4.20%), while ethyl acetate (0.61%), n-hexane (0.36%) and dichloromethane (0.19%) yielded considerably lower amounts. The superior performance of water and methanol indicates that the root contains predominantly polar bioactive constituents. Similar findings have been reported for several medicinal plants, where polar solvents were more efficient in extracting phenolics, alkaloids, flavonoids, glycosides and other oxygenated metabolites because of their ability to establish hydrogen bonds with plant constituents (Akpan et al., 2021; Oladejobi et al., 2022; Tapsell et al., 2006; </w:t>
      </w:r>
      <w:r w:rsidR="002C4A90" w:rsidRPr="002C4A90">
        <w:t>Barbosa Filho</w:t>
      </w:r>
      <w:r w:rsidRPr="00E33AAE">
        <w:t xml:space="preserve"> et al., 2014; Poojary et al., 2015; Hadacek, 2002; de Lima et al., 2021; Wink, 1988; Brusotti et al., 2014). Nevertheless, extraction yield alone does not necessarily reflect biological activity because crude extracts often contain inactive compounds that contribute to total mass without possessing antimicrobial properties (Poojary et al., 2015; Brusotti et al., 2014).</w:t>
      </w:r>
    </w:p>
    <w:p w14:paraId="5B1F2707" w14:textId="77777777" w:rsidR="00D15B51" w:rsidRPr="00E33AAE" w:rsidRDefault="00D15B51">
      <w:pPr>
        <w:rPr>
          <w:rFonts w:ascii="Arial" w:hAnsi="Arial" w:cs="Arial"/>
          <w:b/>
          <w:sz w:val="20"/>
          <w:szCs w:val="20"/>
        </w:rPr>
      </w:pPr>
    </w:p>
    <w:p w14:paraId="55292B9B" w14:textId="77777777" w:rsidR="00272D43" w:rsidRPr="00E33AAE" w:rsidRDefault="00272D43">
      <w:pPr>
        <w:rPr>
          <w:rFonts w:ascii="Arial" w:hAnsi="Arial" w:cs="Arial"/>
          <w:b/>
          <w:sz w:val="20"/>
          <w:szCs w:val="20"/>
        </w:rPr>
      </w:pPr>
    </w:p>
    <w:p w14:paraId="277AC103" w14:textId="77777777" w:rsidR="00D15B51" w:rsidRPr="00E33AAE" w:rsidRDefault="00D55E28">
      <w:pPr>
        <w:rPr>
          <w:rFonts w:ascii="Arial" w:hAnsi="Arial" w:cs="Arial"/>
          <w:b/>
          <w:sz w:val="20"/>
          <w:szCs w:val="20"/>
        </w:rPr>
      </w:pPr>
      <w:r w:rsidRPr="00E33AAE">
        <w:rPr>
          <w:rFonts w:ascii="Arial" w:hAnsi="Arial" w:cs="Arial"/>
          <w:noProof/>
          <w:sz w:val="20"/>
          <w:szCs w:val="20"/>
        </w:rPr>
        <w:drawing>
          <wp:anchor distT="0" distB="0" distL="114300" distR="114300" simplePos="0" relativeHeight="251661312" behindDoc="0" locked="0" layoutInCell="1" allowOverlap="1" wp14:anchorId="0BAC3827" wp14:editId="1DBB3DBB">
            <wp:simplePos x="0" y="0"/>
            <wp:positionH relativeFrom="margin">
              <wp:posOffset>721538</wp:posOffset>
            </wp:positionH>
            <wp:positionV relativeFrom="paragraph">
              <wp:posOffset>-419329</wp:posOffset>
            </wp:positionV>
            <wp:extent cx="4191000" cy="1609725"/>
            <wp:effectExtent l="57150" t="0" r="57150" b="1238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191000" cy="1609725"/>
                    </a:xfrm>
                    <a:prstGeom prst="rect">
                      <a:avLst/>
                    </a:prstGeom>
                    <a:solidFill>
                      <a:schemeClr val="bg1"/>
                    </a:solidFill>
                    <a:effectLst>
                      <a:outerShdw blurRad="50800" dist="50800" dir="5400000" algn="ctr" rotWithShape="0">
                        <a:schemeClr val="bg1">
                          <a:alpha val="38000"/>
                        </a:schemeClr>
                      </a:outerShdw>
                    </a:effectLst>
                  </pic:spPr>
                </pic:pic>
              </a:graphicData>
            </a:graphic>
            <wp14:sizeRelH relativeFrom="page">
              <wp14:pctWidth>0</wp14:pctWidth>
            </wp14:sizeRelH>
            <wp14:sizeRelV relativeFrom="page">
              <wp14:pctHeight>0</wp14:pctHeight>
            </wp14:sizeRelV>
          </wp:anchor>
        </w:drawing>
      </w:r>
    </w:p>
    <w:p w14:paraId="2B4B528E" w14:textId="77777777" w:rsidR="00D15B51" w:rsidRPr="00E33AAE" w:rsidRDefault="00D15B51">
      <w:pPr>
        <w:rPr>
          <w:rFonts w:ascii="Arial" w:hAnsi="Arial" w:cs="Arial"/>
          <w:b/>
          <w:sz w:val="20"/>
          <w:szCs w:val="20"/>
        </w:rPr>
      </w:pPr>
    </w:p>
    <w:p w14:paraId="03AAC97D" w14:textId="77777777" w:rsidR="00D15B51" w:rsidRPr="00E33AAE" w:rsidRDefault="00D15B51">
      <w:pPr>
        <w:rPr>
          <w:rFonts w:ascii="Arial" w:hAnsi="Arial" w:cs="Arial"/>
          <w:b/>
          <w:sz w:val="20"/>
          <w:szCs w:val="20"/>
        </w:rPr>
      </w:pPr>
    </w:p>
    <w:p w14:paraId="4A0060DB" w14:textId="77777777" w:rsidR="00D15B51" w:rsidRPr="00E33AAE" w:rsidRDefault="00D15B51">
      <w:pPr>
        <w:rPr>
          <w:rFonts w:ascii="Arial" w:hAnsi="Arial" w:cs="Arial"/>
          <w:b/>
          <w:sz w:val="20"/>
          <w:szCs w:val="20"/>
        </w:rPr>
      </w:pPr>
    </w:p>
    <w:p w14:paraId="0B907DFD" w14:textId="77777777" w:rsidR="00CF3C86" w:rsidRPr="00E33AAE" w:rsidRDefault="00D15B51" w:rsidP="00D15B51">
      <w:pPr>
        <w:jc w:val="both"/>
        <w:rPr>
          <w:rFonts w:ascii="Arial" w:hAnsi="Arial" w:cs="Arial"/>
          <w:b/>
          <w:sz w:val="20"/>
          <w:szCs w:val="20"/>
        </w:rPr>
      </w:pPr>
      <w:r w:rsidRPr="00E33AAE">
        <w:rPr>
          <w:rFonts w:ascii="Arial" w:hAnsi="Arial" w:cs="Arial"/>
          <w:b/>
          <w:sz w:val="20"/>
          <w:szCs w:val="20"/>
        </w:rPr>
        <w:t xml:space="preserve">         </w:t>
      </w:r>
    </w:p>
    <w:p w14:paraId="413E10E0" w14:textId="77777777" w:rsidR="00D15B51" w:rsidRPr="00E33AAE" w:rsidRDefault="00CF3C86" w:rsidP="00D15B51">
      <w:pPr>
        <w:jc w:val="both"/>
        <w:rPr>
          <w:rFonts w:ascii="Arial" w:hAnsi="Arial" w:cs="Arial"/>
          <w:b/>
          <w:sz w:val="20"/>
          <w:szCs w:val="20"/>
        </w:rPr>
      </w:pPr>
      <w:r w:rsidRPr="00E33AAE">
        <w:rPr>
          <w:rFonts w:ascii="Arial" w:hAnsi="Arial" w:cs="Arial"/>
          <w:b/>
          <w:sz w:val="20"/>
          <w:szCs w:val="20"/>
        </w:rPr>
        <w:t xml:space="preserve">                                               Fig. 1. </w:t>
      </w:r>
      <w:r w:rsidR="00D15B51" w:rsidRPr="00E33AAE">
        <w:rPr>
          <w:rFonts w:ascii="Arial" w:hAnsi="Arial" w:cs="Arial"/>
          <w:b/>
          <w:sz w:val="20"/>
          <w:szCs w:val="20"/>
        </w:rPr>
        <w:t>Extraction yield and efficiency</w:t>
      </w:r>
    </w:p>
    <w:p w14:paraId="051A4389" w14:textId="77777777" w:rsidR="00D15B51" w:rsidRPr="00E33AAE" w:rsidRDefault="00D15B51" w:rsidP="00D15B51">
      <w:pPr>
        <w:jc w:val="both"/>
        <w:rPr>
          <w:rFonts w:ascii="Arial" w:hAnsi="Arial" w:cs="Arial"/>
          <w:b/>
          <w:sz w:val="20"/>
          <w:szCs w:val="20"/>
        </w:rPr>
      </w:pPr>
    </w:p>
    <w:p w14:paraId="5B9D904C" w14:textId="77777777" w:rsidR="00D15B51" w:rsidRPr="00E33AAE" w:rsidRDefault="00D15B51" w:rsidP="00D15B51">
      <w:pPr>
        <w:jc w:val="both"/>
        <w:rPr>
          <w:rFonts w:ascii="Arial" w:hAnsi="Arial" w:cs="Arial"/>
          <w:b/>
          <w:i/>
          <w:sz w:val="20"/>
          <w:szCs w:val="20"/>
        </w:rPr>
      </w:pPr>
      <w:r w:rsidRPr="00E33AAE">
        <w:rPr>
          <w:rFonts w:ascii="Arial" w:hAnsi="Arial" w:cs="Arial"/>
          <w:b/>
          <w:sz w:val="20"/>
          <w:szCs w:val="20"/>
        </w:rPr>
        <w:t xml:space="preserve">Table 3: Phytochemicals in methanol and aqueous extracts of </w:t>
      </w:r>
      <w:r w:rsidRPr="00E33AAE">
        <w:rPr>
          <w:rFonts w:ascii="Arial" w:hAnsi="Arial" w:cs="Arial"/>
          <w:b/>
          <w:i/>
          <w:sz w:val="20"/>
          <w:szCs w:val="20"/>
        </w:rPr>
        <w:t xml:space="preserve">Ritchiea </w:t>
      </w:r>
      <w:proofErr w:type="spellStart"/>
      <w:r w:rsidRPr="00E33AAE">
        <w:rPr>
          <w:rFonts w:ascii="Arial" w:hAnsi="Arial" w:cs="Arial"/>
          <w:b/>
          <w:i/>
          <w:sz w:val="20"/>
          <w:szCs w:val="20"/>
        </w:rPr>
        <w:t>longipedicellata</w:t>
      </w:r>
      <w:proofErr w:type="spellEnd"/>
    </w:p>
    <w:tbl>
      <w:tblPr>
        <w:tblStyle w:val="ListTable6Colorful"/>
        <w:tblW w:w="0" w:type="auto"/>
        <w:tblLook w:val="04A0" w:firstRow="1" w:lastRow="0" w:firstColumn="1" w:lastColumn="0" w:noHBand="0" w:noVBand="1"/>
      </w:tblPr>
      <w:tblGrid>
        <w:gridCol w:w="730"/>
        <w:gridCol w:w="2290"/>
        <w:gridCol w:w="3995"/>
        <w:gridCol w:w="1080"/>
        <w:gridCol w:w="1255"/>
      </w:tblGrid>
      <w:tr w:rsidR="00D15B51" w:rsidRPr="00E33AAE" w14:paraId="53A8FC62" w14:textId="77777777" w:rsidTr="004354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tcPr>
          <w:p w14:paraId="46B58FEC" w14:textId="77777777" w:rsidR="00D15B51" w:rsidRPr="00E33AAE" w:rsidRDefault="00D15B51" w:rsidP="004354E1">
            <w:pPr>
              <w:jc w:val="both"/>
              <w:rPr>
                <w:rFonts w:ascii="Arial" w:hAnsi="Arial" w:cs="Arial"/>
                <w:b w:val="0"/>
                <w:color w:val="auto"/>
                <w:sz w:val="20"/>
                <w:szCs w:val="20"/>
              </w:rPr>
            </w:pPr>
            <w:r w:rsidRPr="00E33AAE">
              <w:rPr>
                <w:rFonts w:ascii="Arial" w:hAnsi="Arial" w:cs="Arial"/>
                <w:b w:val="0"/>
                <w:color w:val="auto"/>
                <w:sz w:val="20"/>
                <w:szCs w:val="20"/>
              </w:rPr>
              <w:lastRenderedPageBreak/>
              <w:t>S/NO</w:t>
            </w:r>
          </w:p>
        </w:tc>
        <w:tc>
          <w:tcPr>
            <w:tcW w:w="2290" w:type="dxa"/>
          </w:tcPr>
          <w:p w14:paraId="3E5F222F"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E33AAE">
              <w:rPr>
                <w:rFonts w:ascii="Arial" w:hAnsi="Arial" w:cs="Arial"/>
                <w:b w:val="0"/>
                <w:color w:val="auto"/>
                <w:sz w:val="20"/>
                <w:szCs w:val="20"/>
              </w:rPr>
              <w:t>Secondary metabolites</w:t>
            </w:r>
          </w:p>
        </w:tc>
        <w:tc>
          <w:tcPr>
            <w:tcW w:w="3995" w:type="dxa"/>
          </w:tcPr>
          <w:p w14:paraId="62AF298F"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E33AAE">
              <w:rPr>
                <w:rFonts w:ascii="Arial" w:hAnsi="Arial" w:cs="Arial"/>
                <w:b w:val="0"/>
                <w:color w:val="auto"/>
                <w:sz w:val="20"/>
                <w:szCs w:val="20"/>
              </w:rPr>
              <w:t>Test method</w:t>
            </w:r>
          </w:p>
        </w:tc>
        <w:tc>
          <w:tcPr>
            <w:tcW w:w="1080" w:type="dxa"/>
          </w:tcPr>
          <w:p w14:paraId="74DA2D89"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E33AAE">
              <w:rPr>
                <w:rFonts w:ascii="Arial" w:hAnsi="Arial" w:cs="Arial"/>
                <w:b w:val="0"/>
                <w:color w:val="auto"/>
                <w:sz w:val="20"/>
                <w:szCs w:val="20"/>
              </w:rPr>
              <w:t>Methanol extract</w:t>
            </w:r>
          </w:p>
        </w:tc>
        <w:tc>
          <w:tcPr>
            <w:tcW w:w="1255" w:type="dxa"/>
          </w:tcPr>
          <w:p w14:paraId="7111D1C2"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rPr>
            </w:pPr>
            <w:r w:rsidRPr="00E33AAE">
              <w:rPr>
                <w:rFonts w:ascii="Arial" w:hAnsi="Arial" w:cs="Arial"/>
                <w:b w:val="0"/>
                <w:color w:val="auto"/>
                <w:sz w:val="20"/>
                <w:szCs w:val="20"/>
              </w:rPr>
              <w:t>Aqueous extract</w:t>
            </w:r>
          </w:p>
        </w:tc>
      </w:tr>
      <w:tr w:rsidR="00D15B51" w:rsidRPr="00E33AAE" w14:paraId="4F737665"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14:paraId="14E70DA7" w14:textId="77777777" w:rsidR="00D15B51" w:rsidRPr="00E33AAE" w:rsidRDefault="00D15B51" w:rsidP="004354E1">
            <w:pPr>
              <w:jc w:val="both"/>
              <w:rPr>
                <w:rFonts w:ascii="Arial" w:hAnsi="Arial" w:cs="Arial"/>
                <w:color w:val="auto"/>
                <w:sz w:val="20"/>
                <w:szCs w:val="20"/>
              </w:rPr>
            </w:pPr>
            <w:r w:rsidRPr="00E33AAE">
              <w:rPr>
                <w:rFonts w:ascii="Arial" w:hAnsi="Arial" w:cs="Arial"/>
                <w:color w:val="auto"/>
                <w:sz w:val="20"/>
                <w:szCs w:val="20"/>
              </w:rPr>
              <w:t>1.</w:t>
            </w:r>
          </w:p>
        </w:tc>
        <w:tc>
          <w:tcPr>
            <w:tcW w:w="2290" w:type="dxa"/>
            <w:shd w:val="clear" w:color="auto" w:fill="auto"/>
          </w:tcPr>
          <w:p w14:paraId="7F036F2B"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Alkaloids</w:t>
            </w:r>
          </w:p>
        </w:tc>
        <w:tc>
          <w:tcPr>
            <w:tcW w:w="3995" w:type="dxa"/>
            <w:shd w:val="clear" w:color="auto" w:fill="auto"/>
          </w:tcPr>
          <w:p w14:paraId="41CCCAF8"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Mayer’s reagent test</w:t>
            </w:r>
          </w:p>
          <w:p w14:paraId="689359CB"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Wagner’s reagent test</w:t>
            </w:r>
          </w:p>
          <w:p w14:paraId="77E8A872"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Dragendoff’s reagent test</w:t>
            </w:r>
          </w:p>
        </w:tc>
        <w:tc>
          <w:tcPr>
            <w:tcW w:w="1080" w:type="dxa"/>
            <w:shd w:val="clear" w:color="auto" w:fill="auto"/>
          </w:tcPr>
          <w:p w14:paraId="3393063D"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Tahoma" w:hAnsi="Tahoma" w:cs="Tahoma"/>
                <w:b/>
                <w:color w:val="auto"/>
                <w:sz w:val="20"/>
                <w:szCs w:val="20"/>
              </w:rPr>
              <w:t>⁎</w:t>
            </w:r>
          </w:p>
          <w:p w14:paraId="2A63307F"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p w14:paraId="3A4845EA"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c>
          <w:tcPr>
            <w:tcW w:w="1255" w:type="dxa"/>
            <w:shd w:val="clear" w:color="auto" w:fill="auto"/>
          </w:tcPr>
          <w:p w14:paraId="01AEEA51"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p w14:paraId="2E5FE3C4"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p w14:paraId="2FB1B4D7"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r>
      <w:tr w:rsidR="00D15B51" w:rsidRPr="00E33AAE" w14:paraId="3F24ADCF" w14:textId="77777777" w:rsidTr="004354E1">
        <w:tc>
          <w:tcPr>
            <w:cnfStyle w:val="001000000000" w:firstRow="0" w:lastRow="0" w:firstColumn="1" w:lastColumn="0" w:oddVBand="0" w:evenVBand="0" w:oddHBand="0" w:evenHBand="0" w:firstRowFirstColumn="0" w:firstRowLastColumn="0" w:lastRowFirstColumn="0" w:lastRowLastColumn="0"/>
            <w:tcW w:w="730" w:type="dxa"/>
          </w:tcPr>
          <w:p w14:paraId="1B91D5D0" w14:textId="77777777" w:rsidR="00D15B51" w:rsidRPr="00E33AAE" w:rsidRDefault="00D15B51" w:rsidP="004354E1">
            <w:pPr>
              <w:jc w:val="both"/>
              <w:rPr>
                <w:rFonts w:ascii="Arial" w:hAnsi="Arial" w:cs="Arial"/>
                <w:color w:val="auto"/>
                <w:sz w:val="20"/>
                <w:szCs w:val="20"/>
              </w:rPr>
            </w:pPr>
            <w:r w:rsidRPr="00E33AAE">
              <w:rPr>
                <w:rFonts w:ascii="Arial" w:hAnsi="Arial" w:cs="Arial"/>
                <w:color w:val="auto"/>
                <w:sz w:val="20"/>
                <w:szCs w:val="20"/>
              </w:rPr>
              <w:t>2.</w:t>
            </w:r>
          </w:p>
        </w:tc>
        <w:tc>
          <w:tcPr>
            <w:tcW w:w="2290" w:type="dxa"/>
          </w:tcPr>
          <w:p w14:paraId="44C44D3A"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Tannins</w:t>
            </w:r>
          </w:p>
        </w:tc>
        <w:tc>
          <w:tcPr>
            <w:tcW w:w="3995" w:type="dxa"/>
          </w:tcPr>
          <w:p w14:paraId="39D37A8B"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Ferric chloride test</w:t>
            </w:r>
          </w:p>
        </w:tc>
        <w:tc>
          <w:tcPr>
            <w:tcW w:w="1080" w:type="dxa"/>
          </w:tcPr>
          <w:p w14:paraId="0111037C"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c>
          <w:tcPr>
            <w:tcW w:w="1255" w:type="dxa"/>
          </w:tcPr>
          <w:p w14:paraId="04BF6F7C"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r>
      <w:tr w:rsidR="00D15B51" w:rsidRPr="00E33AAE" w14:paraId="03518B90"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14:paraId="7D2CA14A" w14:textId="77777777" w:rsidR="00D15B51" w:rsidRPr="00E33AAE" w:rsidRDefault="00D15B51" w:rsidP="004354E1">
            <w:pPr>
              <w:jc w:val="both"/>
              <w:rPr>
                <w:rFonts w:ascii="Arial" w:hAnsi="Arial" w:cs="Arial"/>
                <w:color w:val="auto"/>
                <w:sz w:val="20"/>
                <w:szCs w:val="20"/>
              </w:rPr>
            </w:pPr>
            <w:r w:rsidRPr="00E33AAE">
              <w:rPr>
                <w:rFonts w:ascii="Arial" w:hAnsi="Arial" w:cs="Arial"/>
                <w:color w:val="auto"/>
                <w:sz w:val="20"/>
                <w:szCs w:val="20"/>
              </w:rPr>
              <w:t>3.</w:t>
            </w:r>
          </w:p>
        </w:tc>
        <w:tc>
          <w:tcPr>
            <w:tcW w:w="2290" w:type="dxa"/>
            <w:shd w:val="clear" w:color="auto" w:fill="auto"/>
          </w:tcPr>
          <w:p w14:paraId="34349296"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Flavonoids</w:t>
            </w:r>
          </w:p>
        </w:tc>
        <w:tc>
          <w:tcPr>
            <w:tcW w:w="3995" w:type="dxa"/>
            <w:shd w:val="clear" w:color="auto" w:fill="auto"/>
          </w:tcPr>
          <w:p w14:paraId="5FE86453"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Sodium hydroxide and ammonium test</w:t>
            </w:r>
          </w:p>
        </w:tc>
        <w:tc>
          <w:tcPr>
            <w:tcW w:w="1080" w:type="dxa"/>
            <w:shd w:val="clear" w:color="auto" w:fill="auto"/>
          </w:tcPr>
          <w:p w14:paraId="715DAA34"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c>
          <w:tcPr>
            <w:tcW w:w="1255" w:type="dxa"/>
            <w:shd w:val="clear" w:color="auto" w:fill="auto"/>
          </w:tcPr>
          <w:p w14:paraId="315775DE"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r>
      <w:tr w:rsidR="00D15B51" w:rsidRPr="00E33AAE" w14:paraId="5946B09D" w14:textId="77777777" w:rsidTr="004354E1">
        <w:tc>
          <w:tcPr>
            <w:cnfStyle w:val="001000000000" w:firstRow="0" w:lastRow="0" w:firstColumn="1" w:lastColumn="0" w:oddVBand="0" w:evenVBand="0" w:oddHBand="0" w:evenHBand="0" w:firstRowFirstColumn="0" w:firstRowLastColumn="0" w:lastRowFirstColumn="0" w:lastRowLastColumn="0"/>
            <w:tcW w:w="730" w:type="dxa"/>
          </w:tcPr>
          <w:p w14:paraId="6A63B27B" w14:textId="77777777" w:rsidR="00D15B51" w:rsidRPr="00E33AAE" w:rsidRDefault="00D15B51" w:rsidP="004354E1">
            <w:pPr>
              <w:jc w:val="both"/>
              <w:rPr>
                <w:rFonts w:ascii="Arial" w:hAnsi="Arial" w:cs="Arial"/>
                <w:color w:val="auto"/>
                <w:sz w:val="20"/>
                <w:szCs w:val="20"/>
              </w:rPr>
            </w:pPr>
            <w:r w:rsidRPr="00E33AAE">
              <w:rPr>
                <w:rFonts w:ascii="Arial" w:hAnsi="Arial" w:cs="Arial"/>
                <w:color w:val="auto"/>
                <w:sz w:val="20"/>
                <w:szCs w:val="20"/>
              </w:rPr>
              <w:t>4.</w:t>
            </w:r>
          </w:p>
        </w:tc>
        <w:tc>
          <w:tcPr>
            <w:tcW w:w="2290" w:type="dxa"/>
          </w:tcPr>
          <w:p w14:paraId="0DC3081C"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Saponins</w:t>
            </w:r>
          </w:p>
        </w:tc>
        <w:tc>
          <w:tcPr>
            <w:tcW w:w="3995" w:type="dxa"/>
          </w:tcPr>
          <w:p w14:paraId="0E1AC21D"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Frothing and Emulsion test</w:t>
            </w:r>
          </w:p>
        </w:tc>
        <w:tc>
          <w:tcPr>
            <w:tcW w:w="1080" w:type="dxa"/>
          </w:tcPr>
          <w:p w14:paraId="33957EE5"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c>
          <w:tcPr>
            <w:tcW w:w="1255" w:type="dxa"/>
          </w:tcPr>
          <w:p w14:paraId="0931DF0D"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r>
      <w:tr w:rsidR="00D15B51" w:rsidRPr="00E33AAE" w14:paraId="5FFEB768"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14:paraId="07F26E66" w14:textId="77777777" w:rsidR="00D15B51" w:rsidRPr="00E33AAE" w:rsidRDefault="00D15B51" w:rsidP="004354E1">
            <w:pPr>
              <w:jc w:val="both"/>
              <w:rPr>
                <w:rFonts w:ascii="Arial" w:hAnsi="Arial" w:cs="Arial"/>
                <w:color w:val="auto"/>
                <w:sz w:val="20"/>
                <w:szCs w:val="20"/>
              </w:rPr>
            </w:pPr>
            <w:r w:rsidRPr="00E33AAE">
              <w:rPr>
                <w:rFonts w:ascii="Arial" w:hAnsi="Arial" w:cs="Arial"/>
                <w:color w:val="auto"/>
                <w:sz w:val="20"/>
                <w:szCs w:val="20"/>
              </w:rPr>
              <w:t>5.</w:t>
            </w:r>
          </w:p>
        </w:tc>
        <w:tc>
          <w:tcPr>
            <w:tcW w:w="2290" w:type="dxa"/>
            <w:shd w:val="clear" w:color="auto" w:fill="auto"/>
          </w:tcPr>
          <w:p w14:paraId="7A820017"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Terpenoids</w:t>
            </w:r>
          </w:p>
        </w:tc>
        <w:tc>
          <w:tcPr>
            <w:tcW w:w="3995" w:type="dxa"/>
            <w:shd w:val="clear" w:color="auto" w:fill="auto"/>
          </w:tcPr>
          <w:p w14:paraId="684A65AB"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Liebermann Burchard test</w:t>
            </w:r>
          </w:p>
        </w:tc>
        <w:tc>
          <w:tcPr>
            <w:tcW w:w="1080" w:type="dxa"/>
            <w:shd w:val="clear" w:color="auto" w:fill="auto"/>
          </w:tcPr>
          <w:p w14:paraId="092B3FF2"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c>
          <w:tcPr>
            <w:tcW w:w="1255" w:type="dxa"/>
            <w:shd w:val="clear" w:color="auto" w:fill="auto"/>
          </w:tcPr>
          <w:p w14:paraId="5B40CCD4"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r>
      <w:tr w:rsidR="00D15B51" w:rsidRPr="00E33AAE" w14:paraId="7D91B086" w14:textId="77777777" w:rsidTr="004354E1">
        <w:tc>
          <w:tcPr>
            <w:cnfStyle w:val="001000000000" w:firstRow="0" w:lastRow="0" w:firstColumn="1" w:lastColumn="0" w:oddVBand="0" w:evenVBand="0" w:oddHBand="0" w:evenHBand="0" w:firstRowFirstColumn="0" w:firstRowLastColumn="0" w:lastRowFirstColumn="0" w:lastRowLastColumn="0"/>
            <w:tcW w:w="730" w:type="dxa"/>
          </w:tcPr>
          <w:p w14:paraId="49CEFB2E" w14:textId="77777777" w:rsidR="00D15B51" w:rsidRPr="00E33AAE" w:rsidRDefault="00D15B51" w:rsidP="004354E1">
            <w:pPr>
              <w:jc w:val="both"/>
              <w:rPr>
                <w:rFonts w:ascii="Arial" w:hAnsi="Arial" w:cs="Arial"/>
                <w:color w:val="auto"/>
                <w:sz w:val="20"/>
                <w:szCs w:val="20"/>
              </w:rPr>
            </w:pPr>
            <w:r w:rsidRPr="00E33AAE">
              <w:rPr>
                <w:rFonts w:ascii="Arial" w:hAnsi="Arial" w:cs="Arial"/>
                <w:color w:val="auto"/>
                <w:sz w:val="20"/>
                <w:szCs w:val="20"/>
              </w:rPr>
              <w:t>6.</w:t>
            </w:r>
          </w:p>
        </w:tc>
        <w:tc>
          <w:tcPr>
            <w:tcW w:w="2290" w:type="dxa"/>
          </w:tcPr>
          <w:p w14:paraId="2486EADB"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Cardiac glycosides</w:t>
            </w:r>
          </w:p>
        </w:tc>
        <w:tc>
          <w:tcPr>
            <w:tcW w:w="3995" w:type="dxa"/>
          </w:tcPr>
          <w:p w14:paraId="66EC908C"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Keller Killiani test</w:t>
            </w:r>
          </w:p>
        </w:tc>
        <w:tc>
          <w:tcPr>
            <w:tcW w:w="1080" w:type="dxa"/>
          </w:tcPr>
          <w:p w14:paraId="1C724585"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c>
          <w:tcPr>
            <w:tcW w:w="1255" w:type="dxa"/>
          </w:tcPr>
          <w:p w14:paraId="66E1C00D"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r>
      <w:tr w:rsidR="00D15B51" w:rsidRPr="00E33AAE" w14:paraId="4C38BB2F"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0" w:type="dxa"/>
            <w:shd w:val="clear" w:color="auto" w:fill="auto"/>
          </w:tcPr>
          <w:p w14:paraId="592E03E8" w14:textId="77777777" w:rsidR="00D15B51" w:rsidRPr="00E33AAE" w:rsidRDefault="00D15B51" w:rsidP="004354E1">
            <w:pPr>
              <w:jc w:val="both"/>
              <w:rPr>
                <w:rFonts w:ascii="Arial" w:hAnsi="Arial" w:cs="Arial"/>
                <w:color w:val="auto"/>
                <w:sz w:val="20"/>
                <w:szCs w:val="20"/>
              </w:rPr>
            </w:pPr>
            <w:r w:rsidRPr="00E33AAE">
              <w:rPr>
                <w:rFonts w:ascii="Arial" w:hAnsi="Arial" w:cs="Arial"/>
                <w:color w:val="auto"/>
                <w:sz w:val="20"/>
                <w:szCs w:val="20"/>
              </w:rPr>
              <w:t>7.</w:t>
            </w:r>
          </w:p>
        </w:tc>
        <w:tc>
          <w:tcPr>
            <w:tcW w:w="2290" w:type="dxa"/>
            <w:shd w:val="clear" w:color="auto" w:fill="auto"/>
          </w:tcPr>
          <w:p w14:paraId="5558C59B"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Steroids</w:t>
            </w:r>
          </w:p>
        </w:tc>
        <w:tc>
          <w:tcPr>
            <w:tcW w:w="3995" w:type="dxa"/>
            <w:shd w:val="clear" w:color="auto" w:fill="auto"/>
          </w:tcPr>
          <w:p w14:paraId="49A19B7B"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Liebermann Burchard test</w:t>
            </w:r>
          </w:p>
        </w:tc>
        <w:tc>
          <w:tcPr>
            <w:tcW w:w="1080" w:type="dxa"/>
            <w:shd w:val="clear" w:color="auto" w:fill="auto"/>
          </w:tcPr>
          <w:p w14:paraId="57D6A529"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c>
          <w:tcPr>
            <w:tcW w:w="1255" w:type="dxa"/>
            <w:shd w:val="clear" w:color="auto" w:fill="auto"/>
          </w:tcPr>
          <w:p w14:paraId="608AE9D0"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r>
      <w:tr w:rsidR="00D15B51" w:rsidRPr="00E33AAE" w14:paraId="757A7EE6" w14:textId="77777777" w:rsidTr="004354E1">
        <w:tc>
          <w:tcPr>
            <w:cnfStyle w:val="001000000000" w:firstRow="0" w:lastRow="0" w:firstColumn="1" w:lastColumn="0" w:oddVBand="0" w:evenVBand="0" w:oddHBand="0" w:evenHBand="0" w:firstRowFirstColumn="0" w:firstRowLastColumn="0" w:lastRowFirstColumn="0" w:lastRowLastColumn="0"/>
            <w:tcW w:w="730" w:type="dxa"/>
          </w:tcPr>
          <w:p w14:paraId="3771E61F" w14:textId="77777777" w:rsidR="00D15B51" w:rsidRPr="00E33AAE" w:rsidRDefault="00D15B51" w:rsidP="004354E1">
            <w:pPr>
              <w:jc w:val="both"/>
              <w:rPr>
                <w:rFonts w:ascii="Arial" w:hAnsi="Arial" w:cs="Arial"/>
                <w:color w:val="auto"/>
                <w:sz w:val="20"/>
                <w:szCs w:val="20"/>
              </w:rPr>
            </w:pPr>
            <w:r w:rsidRPr="00E33AAE">
              <w:rPr>
                <w:rFonts w:ascii="Arial" w:hAnsi="Arial" w:cs="Arial"/>
                <w:color w:val="auto"/>
                <w:sz w:val="20"/>
                <w:szCs w:val="20"/>
              </w:rPr>
              <w:t>8.</w:t>
            </w:r>
          </w:p>
        </w:tc>
        <w:tc>
          <w:tcPr>
            <w:tcW w:w="2290" w:type="dxa"/>
          </w:tcPr>
          <w:p w14:paraId="27960A41"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Phenolic group</w:t>
            </w:r>
          </w:p>
        </w:tc>
        <w:tc>
          <w:tcPr>
            <w:tcW w:w="3995" w:type="dxa"/>
          </w:tcPr>
          <w:p w14:paraId="42143508"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Ferric chloride test</w:t>
            </w:r>
          </w:p>
        </w:tc>
        <w:tc>
          <w:tcPr>
            <w:tcW w:w="1080" w:type="dxa"/>
          </w:tcPr>
          <w:p w14:paraId="1C435072"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E33AAE">
              <w:rPr>
                <w:rFonts w:ascii="Tahoma" w:hAnsi="Tahoma" w:cs="Tahoma"/>
                <w:b/>
                <w:color w:val="auto"/>
                <w:sz w:val="20"/>
                <w:szCs w:val="20"/>
              </w:rPr>
              <w:t>⁎</w:t>
            </w:r>
          </w:p>
        </w:tc>
        <w:tc>
          <w:tcPr>
            <w:tcW w:w="1255" w:type="dxa"/>
          </w:tcPr>
          <w:p w14:paraId="5D71E567"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E33AAE">
              <w:rPr>
                <w:rFonts w:ascii="Arial" w:hAnsi="Arial" w:cs="Arial"/>
                <w:b/>
                <w:color w:val="auto"/>
                <w:sz w:val="20"/>
                <w:szCs w:val="20"/>
              </w:rPr>
              <w:t>+</w:t>
            </w:r>
          </w:p>
        </w:tc>
      </w:tr>
    </w:tbl>
    <w:p w14:paraId="77633FA1"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Key: ‘+’ indicates ‘present’; ‘-’ indicates ‘absent’; ‘</w:t>
      </w:r>
      <w:r w:rsidRPr="00E33AAE">
        <w:rPr>
          <w:rFonts w:ascii="Tahoma" w:hAnsi="Tahoma" w:cs="Tahoma"/>
          <w:b/>
          <w:sz w:val="20"/>
          <w:szCs w:val="20"/>
        </w:rPr>
        <w:t>⁎</w:t>
      </w:r>
      <w:r w:rsidRPr="00E33AAE">
        <w:rPr>
          <w:rFonts w:ascii="Arial" w:hAnsi="Arial" w:cs="Arial"/>
          <w:b/>
          <w:sz w:val="20"/>
          <w:szCs w:val="20"/>
        </w:rPr>
        <w:t xml:space="preserve">’ indicates ‘not clear’                                                                                                                                       </w:t>
      </w:r>
    </w:p>
    <w:p w14:paraId="358CE9EB" w14:textId="77777777" w:rsidR="0060523F" w:rsidRPr="00E33AAE" w:rsidRDefault="0060523F" w:rsidP="0060523F">
      <w:pPr>
        <w:spacing w:before="100" w:beforeAutospacing="1" w:after="100" w:afterAutospacing="1" w:line="240" w:lineRule="auto"/>
        <w:jc w:val="both"/>
        <w:rPr>
          <w:rFonts w:ascii="Arial" w:eastAsia="Times New Roman" w:hAnsi="Arial" w:cs="Arial"/>
          <w:sz w:val="20"/>
          <w:szCs w:val="20"/>
        </w:rPr>
      </w:pPr>
      <w:r w:rsidRPr="00E33AAE">
        <w:rPr>
          <w:rFonts w:ascii="Arial" w:eastAsia="Times New Roman" w:hAnsi="Arial" w:cs="Arial"/>
          <w:sz w:val="20"/>
          <w:szCs w:val="20"/>
        </w:rPr>
        <w:t xml:space="preserve">The phytochemical composition of </w:t>
      </w:r>
      <w:r w:rsidRPr="00E33AAE">
        <w:rPr>
          <w:rFonts w:ascii="Arial" w:eastAsia="Times New Roman" w:hAnsi="Arial" w:cs="Arial"/>
          <w:i/>
          <w:iCs/>
          <w:sz w:val="20"/>
          <w:szCs w:val="20"/>
        </w:rPr>
        <w:t xml:space="preserve">Ritchiea </w:t>
      </w:r>
      <w:proofErr w:type="spellStart"/>
      <w:r w:rsidRPr="00E33AAE">
        <w:rPr>
          <w:rFonts w:ascii="Arial" w:eastAsia="Times New Roman" w:hAnsi="Arial" w:cs="Arial"/>
          <w:i/>
          <w:iCs/>
          <w:sz w:val="20"/>
          <w:szCs w:val="20"/>
        </w:rPr>
        <w:t>longipedicellata</w:t>
      </w:r>
      <w:proofErr w:type="spellEnd"/>
      <w:r w:rsidRPr="00E33AAE">
        <w:rPr>
          <w:rFonts w:ascii="Arial" w:eastAsia="Times New Roman" w:hAnsi="Arial" w:cs="Arial"/>
          <w:sz w:val="20"/>
          <w:szCs w:val="20"/>
        </w:rPr>
        <w:t xml:space="preserve"> root extracts (</w:t>
      </w:r>
      <w:r w:rsidRPr="00E33AAE">
        <w:rPr>
          <w:rFonts w:ascii="Arial" w:eastAsia="Times New Roman" w:hAnsi="Arial" w:cs="Arial"/>
          <w:bCs/>
          <w:sz w:val="20"/>
          <w:szCs w:val="20"/>
        </w:rPr>
        <w:t>Table 3</w:t>
      </w:r>
      <w:r w:rsidRPr="00E33AAE">
        <w:rPr>
          <w:rFonts w:ascii="Arial" w:eastAsia="Times New Roman" w:hAnsi="Arial" w:cs="Arial"/>
          <w:sz w:val="20"/>
          <w:szCs w:val="20"/>
        </w:rPr>
        <w:t xml:space="preserve"> and </w:t>
      </w:r>
      <w:r w:rsidRPr="00E33AAE">
        <w:rPr>
          <w:rFonts w:ascii="Arial" w:eastAsia="Times New Roman" w:hAnsi="Arial" w:cs="Arial"/>
          <w:bCs/>
          <w:sz w:val="20"/>
          <w:szCs w:val="20"/>
        </w:rPr>
        <w:t>Figure 2</w:t>
      </w:r>
      <w:r w:rsidRPr="00E33AAE">
        <w:rPr>
          <w:rFonts w:ascii="Arial" w:eastAsia="Times New Roman" w:hAnsi="Arial" w:cs="Arial"/>
          <w:sz w:val="20"/>
          <w:szCs w:val="20"/>
        </w:rPr>
        <w:t xml:space="preserve">) demonstrates the plant's considerable therapeutic potential and supports its traditional medicinal use. The methanol extract contained alkaloids, flavonoids and saponins, whereas the aqueous extract contained alkaloids, saponins, cardiac glycosides and phenolic compounds. These differences highlight the influence of solvent polarity on the extraction of secondary metabolites, with polar solvents such as methanol and water preferentially extracting polar bioactive compounds because of their superior hydrogen-bonding capacity and dielectric properties (Akpan et al., 2021; </w:t>
      </w:r>
      <w:proofErr w:type="spellStart"/>
      <w:r w:rsidRPr="00E33AAE">
        <w:rPr>
          <w:rFonts w:ascii="Arial" w:eastAsia="Times New Roman" w:hAnsi="Arial" w:cs="Arial"/>
          <w:sz w:val="20"/>
          <w:szCs w:val="20"/>
        </w:rPr>
        <w:t>Hadacek</w:t>
      </w:r>
      <w:proofErr w:type="spellEnd"/>
      <w:r w:rsidRPr="00E33AAE">
        <w:rPr>
          <w:rFonts w:ascii="Arial" w:eastAsia="Times New Roman" w:hAnsi="Arial" w:cs="Arial"/>
          <w:sz w:val="20"/>
          <w:szCs w:val="20"/>
        </w:rPr>
        <w:t xml:space="preserve">, 2002; Poojary et al., 2015). Similar solvent-dependent phytochemical profiles have been reported for </w:t>
      </w:r>
      <w:proofErr w:type="spellStart"/>
      <w:r w:rsidRPr="00E33AAE">
        <w:rPr>
          <w:rFonts w:ascii="Arial" w:eastAsia="Times New Roman" w:hAnsi="Arial" w:cs="Arial"/>
          <w:i/>
          <w:iCs/>
          <w:sz w:val="20"/>
          <w:szCs w:val="20"/>
        </w:rPr>
        <w:t>Enantia</w:t>
      </w:r>
      <w:proofErr w:type="spellEnd"/>
      <w:r w:rsidRPr="00E33AAE">
        <w:rPr>
          <w:rFonts w:ascii="Arial" w:eastAsia="Times New Roman" w:hAnsi="Arial" w:cs="Arial"/>
          <w:i/>
          <w:iCs/>
          <w:sz w:val="20"/>
          <w:szCs w:val="20"/>
        </w:rPr>
        <w:t xml:space="preserve"> </w:t>
      </w:r>
      <w:proofErr w:type="spellStart"/>
      <w:r w:rsidRPr="00E33AAE">
        <w:rPr>
          <w:rFonts w:ascii="Arial" w:eastAsia="Times New Roman" w:hAnsi="Arial" w:cs="Arial"/>
          <w:i/>
          <w:iCs/>
          <w:sz w:val="20"/>
          <w:szCs w:val="20"/>
        </w:rPr>
        <w:t>chlorantha</w:t>
      </w:r>
      <w:proofErr w:type="spellEnd"/>
      <w:r w:rsidRPr="00E33AAE">
        <w:rPr>
          <w:rFonts w:ascii="Arial" w:eastAsia="Times New Roman" w:hAnsi="Arial" w:cs="Arial"/>
          <w:sz w:val="20"/>
          <w:szCs w:val="20"/>
        </w:rPr>
        <w:t xml:space="preserve">, </w:t>
      </w:r>
      <w:proofErr w:type="spellStart"/>
      <w:r w:rsidRPr="00E33AAE">
        <w:rPr>
          <w:rFonts w:ascii="Arial" w:eastAsia="Times New Roman" w:hAnsi="Arial" w:cs="Arial"/>
          <w:i/>
          <w:iCs/>
          <w:sz w:val="20"/>
          <w:szCs w:val="20"/>
        </w:rPr>
        <w:t>Dacryodes</w:t>
      </w:r>
      <w:proofErr w:type="spellEnd"/>
      <w:r w:rsidRPr="00E33AAE">
        <w:rPr>
          <w:rFonts w:ascii="Arial" w:eastAsia="Times New Roman" w:hAnsi="Arial" w:cs="Arial"/>
          <w:i/>
          <w:iCs/>
          <w:sz w:val="20"/>
          <w:szCs w:val="20"/>
        </w:rPr>
        <w:t xml:space="preserve"> edulis</w:t>
      </w:r>
      <w:r w:rsidRPr="00E33AAE">
        <w:rPr>
          <w:rFonts w:ascii="Arial" w:eastAsia="Times New Roman" w:hAnsi="Arial" w:cs="Arial"/>
          <w:sz w:val="20"/>
          <w:szCs w:val="20"/>
        </w:rPr>
        <w:t xml:space="preserve">, </w:t>
      </w:r>
      <w:proofErr w:type="spellStart"/>
      <w:r w:rsidRPr="00E33AAE">
        <w:rPr>
          <w:rFonts w:ascii="Arial" w:eastAsia="Times New Roman" w:hAnsi="Arial" w:cs="Arial"/>
          <w:i/>
          <w:iCs/>
          <w:sz w:val="20"/>
          <w:szCs w:val="20"/>
        </w:rPr>
        <w:t>Mammea</w:t>
      </w:r>
      <w:proofErr w:type="spellEnd"/>
      <w:r w:rsidRPr="00E33AAE">
        <w:rPr>
          <w:rFonts w:ascii="Arial" w:eastAsia="Times New Roman" w:hAnsi="Arial" w:cs="Arial"/>
          <w:i/>
          <w:iCs/>
          <w:sz w:val="20"/>
          <w:szCs w:val="20"/>
        </w:rPr>
        <w:t xml:space="preserve"> </w:t>
      </w:r>
      <w:proofErr w:type="spellStart"/>
      <w:r w:rsidRPr="00E33AAE">
        <w:rPr>
          <w:rFonts w:ascii="Arial" w:eastAsia="Times New Roman" w:hAnsi="Arial" w:cs="Arial"/>
          <w:i/>
          <w:iCs/>
          <w:sz w:val="20"/>
          <w:szCs w:val="20"/>
        </w:rPr>
        <w:t>suriga</w:t>
      </w:r>
      <w:proofErr w:type="spellEnd"/>
      <w:r w:rsidRPr="00E33AAE">
        <w:rPr>
          <w:rFonts w:ascii="Arial" w:eastAsia="Times New Roman" w:hAnsi="Arial" w:cs="Arial"/>
          <w:sz w:val="20"/>
          <w:szCs w:val="20"/>
        </w:rPr>
        <w:t xml:space="preserve"> and </w:t>
      </w:r>
      <w:r w:rsidRPr="00E33AAE">
        <w:rPr>
          <w:rFonts w:ascii="Arial" w:eastAsia="Times New Roman" w:hAnsi="Arial" w:cs="Arial"/>
          <w:i/>
          <w:iCs/>
          <w:sz w:val="20"/>
          <w:szCs w:val="20"/>
        </w:rPr>
        <w:t xml:space="preserve">R. </w:t>
      </w:r>
      <w:proofErr w:type="spellStart"/>
      <w:r w:rsidRPr="00E33AAE">
        <w:rPr>
          <w:rFonts w:ascii="Arial" w:eastAsia="Times New Roman" w:hAnsi="Arial" w:cs="Arial"/>
          <w:i/>
          <w:iCs/>
          <w:sz w:val="20"/>
          <w:szCs w:val="20"/>
        </w:rPr>
        <w:t>longipedicellata</w:t>
      </w:r>
      <w:proofErr w:type="spellEnd"/>
      <w:r w:rsidRPr="00E33AAE">
        <w:rPr>
          <w:rFonts w:ascii="Arial" w:eastAsia="Times New Roman" w:hAnsi="Arial" w:cs="Arial"/>
          <w:sz w:val="20"/>
          <w:szCs w:val="20"/>
        </w:rPr>
        <w:t xml:space="preserve"> (Akpan et al., 2017; Akpan et al., 2021; </w:t>
      </w:r>
      <w:proofErr w:type="spellStart"/>
      <w:r w:rsidRPr="00E33AAE">
        <w:rPr>
          <w:rFonts w:ascii="Arial" w:eastAsia="Times New Roman" w:hAnsi="Arial" w:cs="Arial"/>
          <w:sz w:val="20"/>
          <w:szCs w:val="20"/>
        </w:rPr>
        <w:t>Oladejobi</w:t>
      </w:r>
      <w:proofErr w:type="spellEnd"/>
      <w:r w:rsidRPr="00E33AAE">
        <w:rPr>
          <w:rFonts w:ascii="Arial" w:eastAsia="Times New Roman" w:hAnsi="Arial" w:cs="Arial"/>
          <w:sz w:val="20"/>
          <w:szCs w:val="20"/>
        </w:rPr>
        <w:t xml:space="preserve"> et al., 2022; </w:t>
      </w:r>
      <w:proofErr w:type="spellStart"/>
      <w:r w:rsidRPr="00E33AAE">
        <w:rPr>
          <w:rFonts w:ascii="Arial" w:eastAsia="Times New Roman" w:hAnsi="Arial" w:cs="Arial"/>
          <w:sz w:val="20"/>
          <w:szCs w:val="20"/>
        </w:rPr>
        <w:t>Anowi</w:t>
      </w:r>
      <w:proofErr w:type="spellEnd"/>
      <w:r w:rsidRPr="00E33AAE">
        <w:rPr>
          <w:rFonts w:ascii="Arial" w:eastAsia="Times New Roman" w:hAnsi="Arial" w:cs="Arial"/>
          <w:sz w:val="20"/>
          <w:szCs w:val="20"/>
        </w:rPr>
        <w:t xml:space="preserve"> et al., 2013).</w:t>
      </w:r>
    </w:p>
    <w:p w14:paraId="79F69B88" w14:textId="77777777" w:rsidR="00D15B51" w:rsidRPr="00E33AAE" w:rsidRDefault="0060523F" w:rsidP="007C0013">
      <w:pPr>
        <w:spacing w:before="100" w:beforeAutospacing="1" w:after="100" w:afterAutospacing="1" w:line="240" w:lineRule="auto"/>
        <w:jc w:val="both"/>
        <w:rPr>
          <w:rFonts w:ascii="Arial" w:eastAsia="Times New Roman" w:hAnsi="Arial" w:cs="Arial"/>
          <w:sz w:val="20"/>
          <w:szCs w:val="20"/>
        </w:rPr>
      </w:pPr>
      <w:r w:rsidRPr="00E33AAE">
        <w:rPr>
          <w:rFonts w:ascii="Arial" w:eastAsia="Times New Roman" w:hAnsi="Arial" w:cs="Arial"/>
          <w:sz w:val="20"/>
          <w:szCs w:val="20"/>
        </w:rPr>
        <w:t xml:space="preserve">The presence of alkaloids in both extracts is particularly significant because these compounds possess broad-spectrum antimicrobial, antiparasitic and anti-inflammatory properties. Their antimicrobial activity has been attributed to inhibition of DNA replication, disruption of protein synthesis, alteration of membrane integrity and inhibition of essential metabolic enzymes (Hadacek, 2002; Wink, 1988). Earlier studies on </w:t>
      </w:r>
      <w:proofErr w:type="spellStart"/>
      <w:r w:rsidRPr="00E33AAE">
        <w:rPr>
          <w:rFonts w:ascii="Arial" w:eastAsia="Times New Roman" w:hAnsi="Arial" w:cs="Arial"/>
          <w:i/>
          <w:iCs/>
          <w:sz w:val="20"/>
          <w:szCs w:val="20"/>
        </w:rPr>
        <w:t>Enantia</w:t>
      </w:r>
      <w:proofErr w:type="spellEnd"/>
      <w:r w:rsidRPr="00E33AAE">
        <w:rPr>
          <w:rFonts w:ascii="Arial" w:eastAsia="Times New Roman" w:hAnsi="Arial" w:cs="Arial"/>
          <w:i/>
          <w:iCs/>
          <w:sz w:val="20"/>
          <w:szCs w:val="20"/>
        </w:rPr>
        <w:t xml:space="preserve"> </w:t>
      </w:r>
      <w:proofErr w:type="spellStart"/>
      <w:r w:rsidRPr="00E33AAE">
        <w:rPr>
          <w:rFonts w:ascii="Arial" w:eastAsia="Times New Roman" w:hAnsi="Arial" w:cs="Arial"/>
          <w:i/>
          <w:iCs/>
          <w:sz w:val="20"/>
          <w:szCs w:val="20"/>
        </w:rPr>
        <w:t>chlorantha</w:t>
      </w:r>
      <w:proofErr w:type="spellEnd"/>
      <w:r w:rsidRPr="00E33AAE">
        <w:rPr>
          <w:rFonts w:ascii="Arial" w:eastAsia="Times New Roman" w:hAnsi="Arial" w:cs="Arial"/>
          <w:sz w:val="20"/>
          <w:szCs w:val="20"/>
        </w:rPr>
        <w:t xml:space="preserve"> and </w:t>
      </w:r>
      <w:proofErr w:type="spellStart"/>
      <w:r w:rsidRPr="00E33AAE">
        <w:rPr>
          <w:rFonts w:ascii="Arial" w:eastAsia="Times New Roman" w:hAnsi="Arial" w:cs="Arial"/>
          <w:i/>
          <w:iCs/>
          <w:sz w:val="20"/>
          <w:szCs w:val="20"/>
        </w:rPr>
        <w:t>Azadirachta</w:t>
      </w:r>
      <w:proofErr w:type="spellEnd"/>
      <w:r w:rsidRPr="00E33AAE">
        <w:rPr>
          <w:rFonts w:ascii="Arial" w:eastAsia="Times New Roman" w:hAnsi="Arial" w:cs="Arial"/>
          <w:i/>
          <w:iCs/>
          <w:sz w:val="20"/>
          <w:szCs w:val="20"/>
        </w:rPr>
        <w:t xml:space="preserve"> indica</w:t>
      </w:r>
      <w:r w:rsidRPr="00E33AAE">
        <w:rPr>
          <w:rFonts w:ascii="Arial" w:eastAsia="Times New Roman" w:hAnsi="Arial" w:cs="Arial"/>
          <w:sz w:val="20"/>
          <w:szCs w:val="20"/>
        </w:rPr>
        <w:t xml:space="preserve"> similarly demonstrated remarkable antibacterial activities of alkaloid-rich fractions (</w:t>
      </w:r>
      <w:proofErr w:type="spellStart"/>
      <w:r w:rsidRPr="00E33AAE">
        <w:rPr>
          <w:rFonts w:ascii="Arial" w:eastAsia="Times New Roman" w:hAnsi="Arial" w:cs="Arial"/>
          <w:sz w:val="20"/>
          <w:szCs w:val="20"/>
        </w:rPr>
        <w:t>Ejele</w:t>
      </w:r>
      <w:proofErr w:type="spellEnd"/>
      <w:r w:rsidRPr="00E33AAE">
        <w:rPr>
          <w:rFonts w:ascii="Arial" w:eastAsia="Times New Roman" w:hAnsi="Arial" w:cs="Arial"/>
          <w:sz w:val="20"/>
          <w:szCs w:val="20"/>
        </w:rPr>
        <w:t xml:space="preserve"> et al., 2012; Akpan et al., 2016).</w:t>
      </w:r>
    </w:p>
    <w:p w14:paraId="04B9B555" w14:textId="77777777" w:rsidR="00D15B51" w:rsidRPr="00E33AAE" w:rsidRDefault="002C1842" w:rsidP="00D15B51">
      <w:pPr>
        <w:jc w:val="both"/>
        <w:rPr>
          <w:rFonts w:ascii="Arial" w:hAnsi="Arial" w:cs="Arial"/>
          <w:sz w:val="20"/>
          <w:szCs w:val="20"/>
        </w:rPr>
      </w:pPr>
      <w:r w:rsidRPr="00E33AAE">
        <w:rPr>
          <w:rFonts w:ascii="Arial" w:hAnsi="Arial" w:cs="Arial"/>
          <w:noProof/>
          <w:sz w:val="20"/>
          <w:szCs w:val="20"/>
        </w:rPr>
        <w:drawing>
          <wp:anchor distT="0" distB="0" distL="114300" distR="114300" simplePos="0" relativeHeight="251679744" behindDoc="0" locked="0" layoutInCell="1" allowOverlap="1" wp14:anchorId="10251BC6" wp14:editId="22B0BC0F">
            <wp:simplePos x="0" y="0"/>
            <wp:positionH relativeFrom="margin">
              <wp:posOffset>630258</wp:posOffset>
            </wp:positionH>
            <wp:positionV relativeFrom="paragraph">
              <wp:posOffset>157934</wp:posOffset>
            </wp:positionV>
            <wp:extent cx="4229100" cy="20002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29100" cy="2000250"/>
                    </a:xfrm>
                    <a:prstGeom prst="rect">
                      <a:avLst/>
                    </a:prstGeom>
                  </pic:spPr>
                </pic:pic>
              </a:graphicData>
            </a:graphic>
            <wp14:sizeRelH relativeFrom="page">
              <wp14:pctWidth>0</wp14:pctWidth>
            </wp14:sizeRelH>
            <wp14:sizeRelV relativeFrom="page">
              <wp14:pctHeight>0</wp14:pctHeight>
            </wp14:sizeRelV>
          </wp:anchor>
        </w:drawing>
      </w:r>
    </w:p>
    <w:p w14:paraId="636E3A58" w14:textId="77777777" w:rsidR="00D15B51" w:rsidRPr="00E33AAE" w:rsidRDefault="00D15B51" w:rsidP="00D15B51">
      <w:pPr>
        <w:jc w:val="both"/>
        <w:rPr>
          <w:rFonts w:ascii="Arial" w:hAnsi="Arial" w:cs="Arial"/>
          <w:sz w:val="20"/>
          <w:szCs w:val="20"/>
        </w:rPr>
      </w:pPr>
    </w:p>
    <w:p w14:paraId="16C13237" w14:textId="77777777" w:rsidR="00D15B51" w:rsidRPr="00E33AAE" w:rsidRDefault="00D15B51" w:rsidP="00D15B51">
      <w:pPr>
        <w:jc w:val="both"/>
        <w:rPr>
          <w:rFonts w:ascii="Arial" w:hAnsi="Arial" w:cs="Arial"/>
          <w:sz w:val="20"/>
          <w:szCs w:val="20"/>
        </w:rPr>
      </w:pPr>
    </w:p>
    <w:p w14:paraId="0CB01F35" w14:textId="77777777" w:rsidR="002C1842" w:rsidRPr="00E33AAE" w:rsidRDefault="002C1842" w:rsidP="00D15B51">
      <w:pPr>
        <w:jc w:val="both"/>
        <w:rPr>
          <w:rFonts w:ascii="Arial" w:hAnsi="Arial" w:cs="Arial"/>
          <w:sz w:val="20"/>
          <w:szCs w:val="20"/>
        </w:rPr>
      </w:pPr>
    </w:p>
    <w:p w14:paraId="5BA9E2B5" w14:textId="77777777" w:rsidR="002C1842" w:rsidRPr="00E33AAE" w:rsidRDefault="002C1842" w:rsidP="00D15B51">
      <w:pPr>
        <w:jc w:val="both"/>
        <w:rPr>
          <w:rFonts w:ascii="Arial" w:hAnsi="Arial" w:cs="Arial"/>
          <w:sz w:val="20"/>
          <w:szCs w:val="20"/>
        </w:rPr>
      </w:pPr>
    </w:p>
    <w:p w14:paraId="1F6B2B46" w14:textId="77777777" w:rsidR="002C1842" w:rsidRPr="00E33AAE" w:rsidRDefault="002C1842" w:rsidP="00D15B51">
      <w:pPr>
        <w:jc w:val="both"/>
        <w:rPr>
          <w:rFonts w:ascii="Arial" w:hAnsi="Arial" w:cs="Arial"/>
          <w:sz w:val="20"/>
          <w:szCs w:val="20"/>
        </w:rPr>
      </w:pPr>
    </w:p>
    <w:p w14:paraId="6D67D705" w14:textId="77777777" w:rsidR="002C1842" w:rsidRPr="00E33AAE" w:rsidRDefault="002C1842" w:rsidP="00D15B51">
      <w:pPr>
        <w:jc w:val="both"/>
        <w:rPr>
          <w:rFonts w:ascii="Arial" w:hAnsi="Arial" w:cs="Arial"/>
          <w:sz w:val="20"/>
          <w:szCs w:val="20"/>
        </w:rPr>
      </w:pPr>
    </w:p>
    <w:p w14:paraId="43B0DCAB" w14:textId="77777777" w:rsidR="002C1842" w:rsidRPr="00E33AAE" w:rsidRDefault="002C1842" w:rsidP="00D15B51">
      <w:pPr>
        <w:jc w:val="both"/>
        <w:rPr>
          <w:rFonts w:ascii="Arial" w:hAnsi="Arial" w:cs="Arial"/>
          <w:sz w:val="20"/>
          <w:szCs w:val="20"/>
        </w:rPr>
      </w:pPr>
    </w:p>
    <w:p w14:paraId="730E5DB7" w14:textId="77777777" w:rsidR="00636CC9" w:rsidRPr="00E33AAE" w:rsidRDefault="00636CC9" w:rsidP="00D15B51">
      <w:pPr>
        <w:jc w:val="both"/>
        <w:rPr>
          <w:rFonts w:ascii="Arial" w:hAnsi="Arial" w:cs="Arial"/>
          <w:sz w:val="20"/>
          <w:szCs w:val="20"/>
        </w:rPr>
      </w:pPr>
    </w:p>
    <w:p w14:paraId="092E2E45" w14:textId="77777777" w:rsidR="00D15B51" w:rsidRPr="00E33AAE" w:rsidRDefault="00636CC9" w:rsidP="00D15B51">
      <w:pPr>
        <w:jc w:val="both"/>
        <w:rPr>
          <w:rFonts w:ascii="Arial" w:hAnsi="Arial" w:cs="Arial"/>
          <w:b/>
          <w:sz w:val="20"/>
          <w:szCs w:val="20"/>
        </w:rPr>
      </w:pPr>
      <w:r w:rsidRPr="00E33AAE">
        <w:rPr>
          <w:rFonts w:ascii="Arial" w:hAnsi="Arial" w:cs="Arial"/>
          <w:b/>
          <w:sz w:val="20"/>
          <w:szCs w:val="20"/>
        </w:rPr>
        <w:t xml:space="preserve">                         Fig. 2. </w:t>
      </w:r>
      <w:r w:rsidR="00D15B51" w:rsidRPr="00E33AAE">
        <w:rPr>
          <w:rFonts w:ascii="Arial" w:hAnsi="Arial" w:cs="Arial"/>
          <w:b/>
          <w:sz w:val="20"/>
          <w:szCs w:val="20"/>
        </w:rPr>
        <w:t xml:space="preserve"> Chemical Profiling</w:t>
      </w:r>
    </w:p>
    <w:p w14:paraId="4BB1B90D" w14:textId="0CCE65A1" w:rsidR="0060523F" w:rsidRPr="00E33AAE" w:rsidRDefault="0060523F" w:rsidP="0060523F">
      <w:pPr>
        <w:spacing w:before="100" w:beforeAutospacing="1" w:after="100" w:afterAutospacing="1" w:line="240" w:lineRule="auto"/>
        <w:jc w:val="both"/>
        <w:rPr>
          <w:rFonts w:ascii="Arial" w:eastAsia="Times New Roman" w:hAnsi="Arial" w:cs="Arial"/>
          <w:sz w:val="20"/>
          <w:szCs w:val="20"/>
        </w:rPr>
      </w:pPr>
      <w:r w:rsidRPr="00E33AAE">
        <w:rPr>
          <w:rFonts w:ascii="Arial" w:eastAsia="Times New Roman" w:hAnsi="Arial" w:cs="Arial"/>
          <w:sz w:val="20"/>
          <w:szCs w:val="20"/>
        </w:rPr>
        <w:t xml:space="preserve">Flavonoids identified in the methanol extract further enhance the medicinal importance of the plant due to their antimicrobial, antioxidant, anti-inflammatory, antiviral and anticancer activities (Tapsell et al., 2006; </w:t>
      </w:r>
      <w:r w:rsidR="002C4A90" w:rsidRPr="002C4A90">
        <w:rPr>
          <w:rFonts w:ascii="Arial" w:hAnsi="Arial" w:cs="Arial"/>
          <w:sz w:val="20"/>
          <w:szCs w:val="20"/>
        </w:rPr>
        <w:t>Barbosa Filho</w:t>
      </w:r>
      <w:r w:rsidRPr="00E33AAE">
        <w:rPr>
          <w:rFonts w:ascii="Arial" w:eastAsia="Times New Roman" w:hAnsi="Arial" w:cs="Arial"/>
          <w:sz w:val="20"/>
          <w:szCs w:val="20"/>
        </w:rPr>
        <w:t xml:space="preserve"> et al., 2014; Erik et al., 2021). These compounds inhibit microbial growth through membrane disruption, enzyme inhibition and suppression of nucleic acid synthesis while protecting cells against oxidative stress (Colpo et al., 2014; </w:t>
      </w:r>
      <w:r w:rsidR="002C4A90" w:rsidRPr="002C4A90">
        <w:rPr>
          <w:rFonts w:ascii="Arial" w:hAnsi="Arial" w:cs="Arial"/>
          <w:sz w:val="20"/>
          <w:szCs w:val="20"/>
        </w:rPr>
        <w:t>Barbosa Filho</w:t>
      </w:r>
      <w:r w:rsidRPr="00E33AAE">
        <w:rPr>
          <w:rFonts w:ascii="Arial" w:eastAsia="Times New Roman" w:hAnsi="Arial" w:cs="Arial"/>
          <w:sz w:val="20"/>
          <w:szCs w:val="20"/>
        </w:rPr>
        <w:t xml:space="preserve"> et al., 2014). Saponins, detected in both extracts, </w:t>
      </w:r>
      <w:r w:rsidRPr="00E33AAE">
        <w:rPr>
          <w:rFonts w:ascii="Arial" w:eastAsia="Times New Roman" w:hAnsi="Arial" w:cs="Arial"/>
          <w:sz w:val="20"/>
          <w:szCs w:val="20"/>
        </w:rPr>
        <w:lastRenderedPageBreak/>
        <w:t>contribute by disrupting microbial membranes and enhancing the penetration of other bioactive compounds, thereby promoting synergistic antimicrobial effects (</w:t>
      </w:r>
      <w:proofErr w:type="spellStart"/>
      <w:r w:rsidRPr="00E33AAE">
        <w:rPr>
          <w:rFonts w:ascii="Arial" w:eastAsia="Times New Roman" w:hAnsi="Arial" w:cs="Arial"/>
          <w:sz w:val="20"/>
          <w:szCs w:val="20"/>
        </w:rPr>
        <w:t>Zablotowicz</w:t>
      </w:r>
      <w:proofErr w:type="spellEnd"/>
      <w:r w:rsidRPr="00E33AAE">
        <w:rPr>
          <w:rFonts w:ascii="Arial" w:eastAsia="Times New Roman" w:hAnsi="Arial" w:cs="Arial"/>
          <w:sz w:val="20"/>
          <w:szCs w:val="20"/>
        </w:rPr>
        <w:t xml:space="preserve"> et al., 1996; Akpan et al., 2017; de Lima et al., 2021).</w:t>
      </w:r>
    </w:p>
    <w:p w14:paraId="7C14F319" w14:textId="77777777" w:rsidR="003E52FA" w:rsidRPr="00E33AAE" w:rsidRDefault="003E52FA" w:rsidP="003E52FA">
      <w:pPr>
        <w:spacing w:before="100" w:beforeAutospacing="1" w:after="100" w:afterAutospacing="1" w:line="240" w:lineRule="auto"/>
        <w:jc w:val="both"/>
        <w:rPr>
          <w:rFonts w:ascii="Arial" w:eastAsia="Times New Roman" w:hAnsi="Arial" w:cs="Arial"/>
          <w:sz w:val="20"/>
          <w:szCs w:val="20"/>
        </w:rPr>
      </w:pPr>
      <w:r w:rsidRPr="00E33AAE">
        <w:t xml:space="preserve">The exclusive occurrence of cardiac glycosides and phenolic compounds in the aqueous extract further demonstrates the role of solvent selection in phytochemical recovery. These compounds exhibit potent antioxidant, antibacterial, antiviral and anticancer properties through membrane destabilization, enzyme inhibition and protein precipitation (Akpan et al., 2021; Gobalakrishnan et al., 2013; de Lima et al., 2021). Although tannins, steroids and terpenoids were absent (Table 3), this may reflect their extraction by less polar solvents during serial extraction rather than their absence in the plant (Brusotti et al., 2014). The phytochemical profile validates the ethnomedicinal use of </w:t>
      </w:r>
      <w:r w:rsidRPr="00E33AAE">
        <w:rPr>
          <w:i/>
        </w:rPr>
        <w:t>R. longipedicellata</w:t>
      </w:r>
      <w:r w:rsidRPr="00E33AAE">
        <w:t xml:space="preserve"> and identifies it as a promising source of bioactive compounds for future purification, structural characterization and pharmaceutical development (Uniyal et al., 2006).</w:t>
      </w:r>
    </w:p>
    <w:p w14:paraId="4ABEFBF2" w14:textId="77777777" w:rsidR="003E52FA" w:rsidRPr="00E33AAE" w:rsidRDefault="003E52FA" w:rsidP="003E52FA">
      <w:pPr>
        <w:spacing w:before="100" w:beforeAutospacing="1" w:after="100" w:afterAutospacing="1" w:line="240" w:lineRule="auto"/>
        <w:jc w:val="both"/>
        <w:rPr>
          <w:rFonts w:ascii="Arial" w:eastAsia="Times New Roman" w:hAnsi="Arial" w:cs="Arial"/>
          <w:sz w:val="20"/>
          <w:szCs w:val="20"/>
        </w:rPr>
      </w:pPr>
      <w:r w:rsidRPr="00E33AAE">
        <w:t xml:space="preserve">The antibacterial activities of </w:t>
      </w:r>
      <w:r w:rsidRPr="00E33AAE">
        <w:rPr>
          <w:i/>
        </w:rPr>
        <w:t>Ritchiea longipedicellata</w:t>
      </w:r>
      <w:r w:rsidRPr="00E33AAE">
        <w:t xml:space="preserve"> crude root extracts (Figures 3–7) demonstrate the plant's broad-spectrum antibacterial potential against both Gram-positive and Gram-negative bacteria. Variations in antibacterial activity among the different solvent extracts indicate that solvent polarity significantly influences the extraction of bioactive compounds, as different solvents selectively dissolve phytochemicals according to their chemical properties (Akpan et al., 2021; Brusotti et al., 2014). Similar solvent-dependent antimicrobial activities have been reported for </w:t>
      </w:r>
      <w:r w:rsidRPr="00E33AAE">
        <w:rPr>
          <w:i/>
        </w:rPr>
        <w:t>Enantia chlorantha</w:t>
      </w:r>
      <w:r w:rsidRPr="00E33AAE">
        <w:t xml:space="preserve">, </w:t>
      </w:r>
      <w:r w:rsidRPr="00E33AAE">
        <w:rPr>
          <w:i/>
        </w:rPr>
        <w:t>Dacryodes edulis</w:t>
      </w:r>
      <w:r w:rsidRPr="00E33AAE">
        <w:t xml:space="preserve">, </w:t>
      </w:r>
      <w:r w:rsidRPr="00E33AAE">
        <w:rPr>
          <w:i/>
        </w:rPr>
        <w:t>Croton linearis</w:t>
      </w:r>
      <w:r w:rsidRPr="00E33AAE">
        <w:t xml:space="preserve"> and </w:t>
      </w:r>
      <w:r w:rsidRPr="00E33AAE">
        <w:rPr>
          <w:i/>
        </w:rPr>
        <w:t>R. longipedicellata</w:t>
      </w:r>
      <w:r w:rsidRPr="00E33AAE">
        <w:t xml:space="preserve"> (Akpan et al., 2017; Oladejobi et al., 2022; García Díaz et al., 2019; Anowi et al., 2013).</w:t>
      </w:r>
    </w:p>
    <w:p w14:paraId="1BD4421E" w14:textId="77777777" w:rsidR="003E52FA" w:rsidRPr="00E33AAE" w:rsidRDefault="003E52FA" w:rsidP="003E52FA">
      <w:pPr>
        <w:spacing w:before="100" w:beforeAutospacing="1" w:after="100" w:afterAutospacing="1" w:line="240" w:lineRule="auto"/>
        <w:jc w:val="both"/>
        <w:rPr>
          <w:rFonts w:ascii="Arial" w:eastAsia="Times New Roman" w:hAnsi="Arial" w:cs="Arial"/>
          <w:sz w:val="20"/>
          <w:szCs w:val="20"/>
        </w:rPr>
      </w:pPr>
      <w:r w:rsidRPr="00E33AAE">
        <w:t xml:space="preserve">The antibacterial efficacy observed supports the traditional medicinal use of </w:t>
      </w:r>
      <w:r w:rsidRPr="00E33AAE">
        <w:rPr>
          <w:i/>
        </w:rPr>
        <w:t>R. longipedicellata</w:t>
      </w:r>
      <w:r w:rsidRPr="00E33AAE">
        <w:t xml:space="preserve"> in treating infectious diseases (Taiwo et al., 2013). This activity is attributed to the presence of bioactive phytochemicals, particularly alkaloids, flavonoids, phenolic compounds and saponins, which exert antimicrobial effects through membrane disruption, inhibition of nucleic acid and protein synthesis, enzyme inhibition and interference with bacterial metabolism (Akpan et al., 2016; Erik et al., 2021; de Lima et al., 2021; Taylor et al., 2005; Tillett &amp; Neilan, 2000; Zablotowicz et al., 1996). The combined action of these metabolites likely accounts for the broad-spectrum antibacterial activity of the crude extracts.</w:t>
      </w:r>
    </w:p>
    <w:p w14:paraId="38F92C26" w14:textId="77777777" w:rsidR="0060523F" w:rsidRPr="00E33AAE" w:rsidRDefault="0060523F" w:rsidP="0060523F">
      <w:pPr>
        <w:spacing w:before="100" w:beforeAutospacing="1" w:after="100" w:afterAutospacing="1" w:line="240" w:lineRule="auto"/>
        <w:jc w:val="both"/>
        <w:rPr>
          <w:rFonts w:ascii="Arial" w:eastAsia="Times New Roman" w:hAnsi="Arial" w:cs="Arial"/>
          <w:sz w:val="20"/>
          <w:szCs w:val="20"/>
        </w:rPr>
      </w:pPr>
    </w:p>
    <w:p w14:paraId="4A1F90EF" w14:textId="77777777" w:rsidR="00D15B51" w:rsidRPr="00E33AAE" w:rsidRDefault="00BD4C05" w:rsidP="00D15B51">
      <w:pPr>
        <w:jc w:val="both"/>
        <w:rPr>
          <w:rFonts w:ascii="Arial" w:hAnsi="Arial" w:cs="Arial"/>
          <w:b/>
          <w:sz w:val="20"/>
          <w:szCs w:val="20"/>
        </w:rPr>
      </w:pPr>
      <w:r w:rsidRPr="00E33AAE">
        <w:rPr>
          <w:rFonts w:ascii="Arial" w:hAnsi="Arial" w:cs="Arial"/>
          <w:noProof/>
          <w:sz w:val="20"/>
          <w:szCs w:val="20"/>
        </w:rPr>
        <w:drawing>
          <wp:anchor distT="0" distB="0" distL="114300" distR="114300" simplePos="0" relativeHeight="251674624" behindDoc="0" locked="0" layoutInCell="1" allowOverlap="1" wp14:anchorId="7A58C133" wp14:editId="14FFBCD4">
            <wp:simplePos x="0" y="0"/>
            <wp:positionH relativeFrom="margin">
              <wp:posOffset>-76200</wp:posOffset>
            </wp:positionH>
            <wp:positionV relativeFrom="paragraph">
              <wp:posOffset>73025</wp:posOffset>
            </wp:positionV>
            <wp:extent cx="4572000" cy="1847850"/>
            <wp:effectExtent l="0" t="0" r="0" b="0"/>
            <wp:wrapNone/>
            <wp:docPr id="1" name="Chart 1">
              <a:extLst xmlns:a="http://schemas.openxmlformats.org/drawingml/2006/main">
                <a:ext uri="{FF2B5EF4-FFF2-40B4-BE49-F238E27FC236}">
                  <a16:creationId xmlns:a16="http://schemas.microsoft.com/office/drawing/2014/main" id="{7FF78B3A-8AF1-4B1E-9256-FDFFB2618E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38080694" w14:textId="77777777" w:rsidR="00D15B51" w:rsidRPr="00E33AAE" w:rsidRDefault="00D15B51" w:rsidP="00D15B51">
      <w:pPr>
        <w:pStyle w:val="MHeading1"/>
        <w:spacing w:before="0" w:after="0" w:line="240" w:lineRule="auto"/>
        <w:rPr>
          <w:rFonts w:ascii="Arial" w:hAnsi="Arial" w:cs="Arial"/>
          <w:color w:val="auto"/>
          <w:sz w:val="20"/>
          <w:lang w:val="en-GB"/>
        </w:rPr>
      </w:pPr>
    </w:p>
    <w:p w14:paraId="26F128DE" w14:textId="77777777" w:rsidR="00D15B51" w:rsidRPr="00E33AAE" w:rsidRDefault="00D15B51" w:rsidP="00D15B51">
      <w:pPr>
        <w:jc w:val="both"/>
        <w:rPr>
          <w:rFonts w:ascii="Arial" w:hAnsi="Arial" w:cs="Arial"/>
          <w:b/>
          <w:sz w:val="20"/>
          <w:szCs w:val="20"/>
        </w:rPr>
      </w:pPr>
    </w:p>
    <w:p w14:paraId="0CB9A2F8" w14:textId="77777777" w:rsidR="00D15B51" w:rsidRPr="00E33AAE" w:rsidRDefault="00D15B51" w:rsidP="00D15B51">
      <w:pPr>
        <w:jc w:val="both"/>
        <w:rPr>
          <w:rFonts w:ascii="Arial" w:hAnsi="Arial" w:cs="Arial"/>
          <w:sz w:val="20"/>
          <w:szCs w:val="20"/>
        </w:rPr>
      </w:pPr>
    </w:p>
    <w:p w14:paraId="48ADC129" w14:textId="77777777" w:rsidR="00D15B51" w:rsidRPr="00E33AAE" w:rsidRDefault="00D15B51" w:rsidP="00D15B51">
      <w:pPr>
        <w:jc w:val="both"/>
        <w:rPr>
          <w:rFonts w:ascii="Arial" w:hAnsi="Arial" w:cs="Arial"/>
          <w:sz w:val="20"/>
          <w:szCs w:val="20"/>
        </w:rPr>
      </w:pPr>
    </w:p>
    <w:p w14:paraId="4CD81D28" w14:textId="77777777" w:rsidR="00D15B51" w:rsidRPr="00E33AAE" w:rsidRDefault="00D15B51" w:rsidP="00D15B51">
      <w:pPr>
        <w:jc w:val="both"/>
        <w:rPr>
          <w:rFonts w:ascii="Arial" w:hAnsi="Arial" w:cs="Arial"/>
          <w:sz w:val="20"/>
          <w:szCs w:val="20"/>
        </w:rPr>
      </w:pPr>
    </w:p>
    <w:p w14:paraId="19E36A84" w14:textId="77777777" w:rsidR="00D15B51" w:rsidRPr="00E33AAE" w:rsidRDefault="00D15B51" w:rsidP="00D15B51">
      <w:pPr>
        <w:jc w:val="both"/>
        <w:rPr>
          <w:rFonts w:ascii="Arial" w:hAnsi="Arial" w:cs="Arial"/>
          <w:sz w:val="20"/>
          <w:szCs w:val="20"/>
        </w:rPr>
      </w:pPr>
    </w:p>
    <w:p w14:paraId="4479FB68" w14:textId="77777777" w:rsidR="00BD4C05" w:rsidRPr="00E33AAE" w:rsidRDefault="00D15B51" w:rsidP="00D15B51">
      <w:pPr>
        <w:jc w:val="both"/>
        <w:rPr>
          <w:rFonts w:ascii="Arial" w:hAnsi="Arial" w:cs="Arial"/>
          <w:b/>
          <w:sz w:val="20"/>
          <w:szCs w:val="20"/>
        </w:rPr>
      </w:pPr>
      <w:r w:rsidRPr="00E33AAE">
        <w:rPr>
          <w:rFonts w:ascii="Arial" w:hAnsi="Arial" w:cs="Arial"/>
          <w:b/>
          <w:sz w:val="20"/>
          <w:szCs w:val="20"/>
        </w:rPr>
        <w:t xml:space="preserve">                                                                                                                                                  </w:t>
      </w:r>
    </w:p>
    <w:p w14:paraId="16AE9A21"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Fig</w:t>
      </w:r>
      <w:r w:rsidR="000C46C5" w:rsidRPr="00E33AAE">
        <w:rPr>
          <w:rFonts w:ascii="Arial" w:hAnsi="Arial" w:cs="Arial"/>
          <w:b/>
          <w:sz w:val="20"/>
          <w:szCs w:val="20"/>
        </w:rPr>
        <w:t>.</w:t>
      </w:r>
      <w:r w:rsidRPr="00E33AAE">
        <w:rPr>
          <w:rFonts w:ascii="Arial" w:hAnsi="Arial" w:cs="Arial"/>
          <w:b/>
          <w:sz w:val="20"/>
          <w:szCs w:val="20"/>
        </w:rPr>
        <w:t xml:space="preserve"> </w:t>
      </w:r>
      <w:r w:rsidR="00A74C2A" w:rsidRPr="00E33AAE">
        <w:rPr>
          <w:rFonts w:ascii="Arial" w:hAnsi="Arial" w:cs="Arial"/>
          <w:b/>
          <w:sz w:val="20"/>
          <w:szCs w:val="20"/>
        </w:rPr>
        <w:t>3</w:t>
      </w:r>
      <w:r w:rsidR="000C46C5" w:rsidRPr="00E33AAE">
        <w:rPr>
          <w:rFonts w:ascii="Arial" w:hAnsi="Arial" w:cs="Arial"/>
          <w:b/>
          <w:sz w:val="20"/>
          <w:szCs w:val="20"/>
        </w:rPr>
        <w:t>.</w:t>
      </w:r>
      <w:r w:rsidRPr="00E33AAE">
        <w:rPr>
          <w:rFonts w:ascii="Arial" w:hAnsi="Arial" w:cs="Arial"/>
          <w:b/>
          <w:sz w:val="20"/>
          <w:szCs w:val="20"/>
        </w:rPr>
        <w:t xml:space="preserve"> Antibacterial activity of n-hexane extract</w:t>
      </w:r>
    </w:p>
    <w:p w14:paraId="435B9331" w14:textId="77777777" w:rsidR="00A74C2A" w:rsidRPr="00E33AAE" w:rsidRDefault="00D15B51" w:rsidP="00D15B51">
      <w:pPr>
        <w:jc w:val="both"/>
        <w:rPr>
          <w:rFonts w:ascii="Arial" w:hAnsi="Arial" w:cs="Arial"/>
          <w:i/>
          <w:sz w:val="20"/>
          <w:szCs w:val="20"/>
        </w:rPr>
      </w:pPr>
      <w:r w:rsidRPr="00E33AAE">
        <w:rPr>
          <w:rFonts w:ascii="Arial" w:hAnsi="Arial" w:cs="Arial"/>
          <w:sz w:val="20"/>
          <w:szCs w:val="20"/>
        </w:rPr>
        <w:t xml:space="preserve">Key: </w:t>
      </w:r>
      <w:r w:rsidRPr="00E33AAE">
        <w:rPr>
          <w:rFonts w:ascii="Arial" w:hAnsi="Arial" w:cs="Arial"/>
          <w:i/>
          <w:sz w:val="20"/>
          <w:szCs w:val="20"/>
        </w:rPr>
        <w:t xml:space="preserve">B. </w:t>
      </w:r>
      <w:proofErr w:type="spellStart"/>
      <w:r w:rsidRPr="00E33AAE">
        <w:rPr>
          <w:rFonts w:ascii="Arial" w:hAnsi="Arial" w:cs="Arial"/>
          <w:i/>
          <w:sz w:val="20"/>
          <w:szCs w:val="20"/>
        </w:rPr>
        <w:t>spp</w:t>
      </w:r>
      <w:proofErr w:type="spellEnd"/>
      <w:r w:rsidRPr="00E33AAE">
        <w:rPr>
          <w:rFonts w:ascii="Arial" w:hAnsi="Arial" w:cs="Arial"/>
          <w:i/>
          <w:sz w:val="20"/>
          <w:szCs w:val="20"/>
        </w:rPr>
        <w:t xml:space="preserve"> = Bacillus </w:t>
      </w:r>
      <w:proofErr w:type="spellStart"/>
      <w:r w:rsidRPr="00E33AAE">
        <w:rPr>
          <w:rFonts w:ascii="Arial" w:hAnsi="Arial" w:cs="Arial"/>
          <w:i/>
          <w:sz w:val="20"/>
          <w:szCs w:val="20"/>
        </w:rPr>
        <w:t>spp</w:t>
      </w:r>
      <w:proofErr w:type="spellEnd"/>
      <w:r w:rsidRPr="00E33AAE">
        <w:rPr>
          <w:rFonts w:ascii="Arial" w:hAnsi="Arial" w:cs="Arial"/>
          <w:i/>
          <w:sz w:val="20"/>
          <w:szCs w:val="20"/>
        </w:rPr>
        <w:t xml:space="preserve">; S. </w:t>
      </w:r>
      <w:proofErr w:type="spellStart"/>
      <w:r w:rsidRPr="00E33AAE">
        <w:rPr>
          <w:rFonts w:ascii="Arial" w:hAnsi="Arial" w:cs="Arial"/>
          <w:i/>
          <w:sz w:val="20"/>
          <w:szCs w:val="20"/>
        </w:rPr>
        <w:t>spp</w:t>
      </w:r>
      <w:proofErr w:type="spellEnd"/>
      <w:r w:rsidRPr="00E33AAE">
        <w:rPr>
          <w:rFonts w:ascii="Arial" w:hAnsi="Arial" w:cs="Arial"/>
          <w:i/>
          <w:sz w:val="20"/>
          <w:szCs w:val="20"/>
        </w:rPr>
        <w:t xml:space="preserve"> = Salmonella </w:t>
      </w:r>
      <w:proofErr w:type="spellStart"/>
      <w:r w:rsidRPr="00E33AAE">
        <w:rPr>
          <w:rFonts w:ascii="Arial" w:hAnsi="Arial" w:cs="Arial"/>
          <w:i/>
          <w:sz w:val="20"/>
          <w:szCs w:val="20"/>
        </w:rPr>
        <w:t>spp</w:t>
      </w:r>
      <w:proofErr w:type="spellEnd"/>
      <w:r w:rsidRPr="00E33AAE">
        <w:rPr>
          <w:rFonts w:ascii="Arial" w:hAnsi="Arial" w:cs="Arial"/>
          <w:i/>
          <w:sz w:val="20"/>
          <w:szCs w:val="20"/>
        </w:rPr>
        <w:t xml:space="preserve">; St. </w:t>
      </w:r>
      <w:proofErr w:type="spellStart"/>
      <w:r w:rsidRPr="00E33AAE">
        <w:rPr>
          <w:rFonts w:ascii="Arial" w:hAnsi="Arial" w:cs="Arial"/>
          <w:i/>
          <w:sz w:val="20"/>
          <w:szCs w:val="20"/>
        </w:rPr>
        <w:t>spp</w:t>
      </w:r>
      <w:proofErr w:type="spellEnd"/>
      <w:r w:rsidRPr="00E33AAE">
        <w:rPr>
          <w:rFonts w:ascii="Arial" w:hAnsi="Arial" w:cs="Arial"/>
          <w:i/>
          <w:sz w:val="20"/>
          <w:szCs w:val="20"/>
        </w:rPr>
        <w:t xml:space="preserve"> = Staphylococcus </w:t>
      </w:r>
      <w:proofErr w:type="spellStart"/>
      <w:r w:rsidRPr="00E33AAE">
        <w:rPr>
          <w:rFonts w:ascii="Arial" w:hAnsi="Arial" w:cs="Arial"/>
          <w:i/>
          <w:sz w:val="20"/>
          <w:szCs w:val="20"/>
        </w:rPr>
        <w:t>spp</w:t>
      </w:r>
      <w:proofErr w:type="spellEnd"/>
      <w:r w:rsidRPr="00E33AAE">
        <w:rPr>
          <w:rFonts w:ascii="Arial" w:hAnsi="Arial" w:cs="Arial"/>
          <w:i/>
          <w:sz w:val="20"/>
          <w:szCs w:val="20"/>
        </w:rPr>
        <w:t xml:space="preserve">; P. </w:t>
      </w:r>
      <w:proofErr w:type="spellStart"/>
      <w:r w:rsidRPr="00E33AAE">
        <w:rPr>
          <w:rFonts w:ascii="Arial" w:hAnsi="Arial" w:cs="Arial"/>
          <w:i/>
          <w:sz w:val="20"/>
          <w:szCs w:val="20"/>
        </w:rPr>
        <w:t>spp</w:t>
      </w:r>
      <w:proofErr w:type="spellEnd"/>
      <w:r w:rsidRPr="00E33AAE">
        <w:rPr>
          <w:rFonts w:ascii="Arial" w:hAnsi="Arial" w:cs="Arial"/>
          <w:i/>
          <w:sz w:val="20"/>
          <w:szCs w:val="20"/>
        </w:rPr>
        <w:t xml:space="preserve"> = Pseudomonas spp.; Cipro. = Ciprofloxacin.</w:t>
      </w:r>
    </w:p>
    <w:p w14:paraId="2B2AA947" w14:textId="77777777" w:rsidR="00D15B51" w:rsidRPr="00E33AAE" w:rsidRDefault="00D15B51" w:rsidP="00D15B51">
      <w:pPr>
        <w:jc w:val="both"/>
        <w:rPr>
          <w:rFonts w:ascii="Arial" w:hAnsi="Arial" w:cs="Arial"/>
          <w:b/>
          <w:sz w:val="20"/>
          <w:szCs w:val="20"/>
        </w:rPr>
      </w:pPr>
      <w:r w:rsidRPr="00E33AAE">
        <w:rPr>
          <w:rFonts w:ascii="Arial" w:hAnsi="Arial" w:cs="Arial"/>
          <w:noProof/>
          <w:sz w:val="20"/>
          <w:szCs w:val="20"/>
        </w:rPr>
        <w:lastRenderedPageBreak/>
        <w:drawing>
          <wp:anchor distT="0" distB="0" distL="114300" distR="114300" simplePos="0" relativeHeight="251663360" behindDoc="0" locked="0" layoutInCell="1" allowOverlap="1" wp14:anchorId="17C82DB3" wp14:editId="4F4AA4FB">
            <wp:simplePos x="0" y="0"/>
            <wp:positionH relativeFrom="margin">
              <wp:align>left</wp:align>
            </wp:positionH>
            <wp:positionV relativeFrom="paragraph">
              <wp:posOffset>17145</wp:posOffset>
            </wp:positionV>
            <wp:extent cx="4486275" cy="2114550"/>
            <wp:effectExtent l="0" t="0" r="9525" b="0"/>
            <wp:wrapNone/>
            <wp:docPr id="2" name="Chart 2">
              <a:extLst xmlns:a="http://schemas.openxmlformats.org/drawingml/2006/main">
                <a:ext uri="{FF2B5EF4-FFF2-40B4-BE49-F238E27FC236}">
                  <a16:creationId xmlns:a16="http://schemas.microsoft.com/office/drawing/2014/main" id="{30397A5C-536B-43D7-B99D-8F97E4180C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1EACC08B" w14:textId="77777777" w:rsidR="00D15B51" w:rsidRPr="00E33AAE" w:rsidRDefault="00D15B51" w:rsidP="00D15B51">
      <w:pPr>
        <w:jc w:val="both"/>
        <w:rPr>
          <w:rFonts w:ascii="Arial" w:hAnsi="Arial" w:cs="Arial"/>
          <w:b/>
          <w:sz w:val="20"/>
          <w:szCs w:val="20"/>
        </w:rPr>
      </w:pPr>
    </w:p>
    <w:p w14:paraId="64634D5D" w14:textId="77777777" w:rsidR="00D15B51" w:rsidRPr="00E33AAE" w:rsidRDefault="00D15B51" w:rsidP="00D15B51">
      <w:pPr>
        <w:jc w:val="both"/>
        <w:rPr>
          <w:rFonts w:ascii="Arial" w:hAnsi="Arial" w:cs="Arial"/>
          <w:b/>
          <w:sz w:val="20"/>
          <w:szCs w:val="20"/>
        </w:rPr>
      </w:pPr>
    </w:p>
    <w:p w14:paraId="509BE3D1" w14:textId="77777777" w:rsidR="00D15B51" w:rsidRPr="00E33AAE" w:rsidRDefault="00D15B51" w:rsidP="00D15B51">
      <w:pPr>
        <w:jc w:val="both"/>
        <w:rPr>
          <w:rFonts w:ascii="Arial" w:hAnsi="Arial" w:cs="Arial"/>
          <w:b/>
          <w:sz w:val="20"/>
          <w:szCs w:val="20"/>
        </w:rPr>
      </w:pPr>
    </w:p>
    <w:p w14:paraId="077FAC82" w14:textId="77777777" w:rsidR="00D15B51" w:rsidRPr="00E33AAE" w:rsidRDefault="00D15B51" w:rsidP="00D15B51">
      <w:pPr>
        <w:jc w:val="both"/>
        <w:rPr>
          <w:rFonts w:ascii="Arial" w:hAnsi="Arial" w:cs="Arial"/>
          <w:b/>
          <w:sz w:val="20"/>
          <w:szCs w:val="20"/>
        </w:rPr>
      </w:pPr>
    </w:p>
    <w:p w14:paraId="4809BA10" w14:textId="77777777" w:rsidR="00D15B51" w:rsidRPr="00E33AAE" w:rsidRDefault="00D15B51" w:rsidP="00D15B51">
      <w:pPr>
        <w:jc w:val="both"/>
        <w:rPr>
          <w:rFonts w:ascii="Arial" w:hAnsi="Arial" w:cs="Arial"/>
          <w:b/>
          <w:sz w:val="20"/>
          <w:szCs w:val="20"/>
        </w:rPr>
      </w:pPr>
    </w:p>
    <w:p w14:paraId="3833D28D" w14:textId="77777777" w:rsidR="00D15B51" w:rsidRPr="00E33AAE" w:rsidRDefault="00D15B51" w:rsidP="00D15B51">
      <w:pPr>
        <w:jc w:val="both"/>
        <w:rPr>
          <w:rFonts w:ascii="Arial" w:hAnsi="Arial" w:cs="Arial"/>
          <w:b/>
          <w:sz w:val="20"/>
          <w:szCs w:val="20"/>
        </w:rPr>
      </w:pPr>
    </w:p>
    <w:p w14:paraId="372143CA" w14:textId="77777777" w:rsidR="00D15B51" w:rsidRPr="00E33AAE" w:rsidRDefault="00D15B51" w:rsidP="00D15B51">
      <w:pPr>
        <w:jc w:val="both"/>
        <w:rPr>
          <w:rFonts w:ascii="Arial" w:hAnsi="Arial" w:cs="Arial"/>
          <w:b/>
          <w:sz w:val="20"/>
          <w:szCs w:val="20"/>
        </w:rPr>
      </w:pPr>
    </w:p>
    <w:p w14:paraId="12326AB0" w14:textId="77777777" w:rsidR="00D15B51" w:rsidRPr="00E33AAE" w:rsidRDefault="00D15B51" w:rsidP="00D15B51">
      <w:pPr>
        <w:jc w:val="both"/>
        <w:rPr>
          <w:rFonts w:ascii="Arial" w:hAnsi="Arial" w:cs="Arial"/>
          <w:b/>
          <w:sz w:val="20"/>
          <w:szCs w:val="20"/>
        </w:rPr>
      </w:pPr>
    </w:p>
    <w:p w14:paraId="33338E4C" w14:textId="77777777" w:rsidR="00B04E6F" w:rsidRPr="00E33AAE" w:rsidRDefault="00D15B51" w:rsidP="00D15B51">
      <w:pPr>
        <w:jc w:val="both"/>
        <w:rPr>
          <w:rFonts w:ascii="Arial" w:hAnsi="Arial" w:cs="Arial"/>
          <w:b/>
          <w:sz w:val="20"/>
          <w:szCs w:val="20"/>
        </w:rPr>
      </w:pPr>
      <w:r w:rsidRPr="00E33AAE">
        <w:rPr>
          <w:rFonts w:ascii="Arial" w:hAnsi="Arial" w:cs="Arial"/>
          <w:b/>
          <w:sz w:val="20"/>
          <w:szCs w:val="20"/>
        </w:rPr>
        <w:t>Fig</w:t>
      </w:r>
      <w:r w:rsidR="00B12F3F" w:rsidRPr="00E33AAE">
        <w:rPr>
          <w:rFonts w:ascii="Arial" w:hAnsi="Arial" w:cs="Arial"/>
          <w:b/>
          <w:sz w:val="20"/>
          <w:szCs w:val="20"/>
        </w:rPr>
        <w:t>.</w:t>
      </w:r>
      <w:r w:rsidRPr="00E33AAE">
        <w:rPr>
          <w:rFonts w:ascii="Arial" w:hAnsi="Arial" w:cs="Arial"/>
          <w:b/>
          <w:sz w:val="20"/>
          <w:szCs w:val="20"/>
        </w:rPr>
        <w:t xml:space="preserve"> </w:t>
      </w:r>
      <w:r w:rsidR="00A74C2A" w:rsidRPr="00E33AAE">
        <w:rPr>
          <w:rFonts w:ascii="Arial" w:hAnsi="Arial" w:cs="Arial"/>
          <w:b/>
          <w:sz w:val="20"/>
          <w:szCs w:val="20"/>
        </w:rPr>
        <w:t>4</w:t>
      </w:r>
      <w:r w:rsidR="00B12F3F" w:rsidRPr="00E33AAE">
        <w:rPr>
          <w:rFonts w:ascii="Arial" w:hAnsi="Arial" w:cs="Arial"/>
          <w:b/>
          <w:sz w:val="20"/>
          <w:szCs w:val="20"/>
        </w:rPr>
        <w:t>.</w:t>
      </w:r>
      <w:r w:rsidRPr="00E33AAE">
        <w:rPr>
          <w:rFonts w:ascii="Arial" w:hAnsi="Arial" w:cs="Arial"/>
          <w:b/>
          <w:sz w:val="20"/>
          <w:szCs w:val="20"/>
        </w:rPr>
        <w:t xml:space="preserve"> Antibacterial activity of dichloromethane extract</w:t>
      </w:r>
    </w:p>
    <w:p w14:paraId="5BE6C177"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w:t>
      </w:r>
    </w:p>
    <w:p w14:paraId="3E98D37D" w14:textId="77777777" w:rsidR="00D15B51" w:rsidRPr="00E33AAE" w:rsidRDefault="00D15B51" w:rsidP="00D15B51">
      <w:pPr>
        <w:jc w:val="both"/>
        <w:rPr>
          <w:rFonts w:ascii="Arial" w:hAnsi="Arial" w:cs="Arial"/>
          <w:b/>
          <w:sz w:val="20"/>
          <w:szCs w:val="20"/>
        </w:rPr>
      </w:pPr>
    </w:p>
    <w:p w14:paraId="07F63369" w14:textId="77777777" w:rsidR="00D15B51" w:rsidRPr="00E33AAE" w:rsidRDefault="00D15B51" w:rsidP="00D15B51">
      <w:pPr>
        <w:jc w:val="both"/>
        <w:rPr>
          <w:rFonts w:ascii="Arial" w:hAnsi="Arial" w:cs="Arial"/>
          <w:b/>
          <w:sz w:val="20"/>
          <w:szCs w:val="20"/>
        </w:rPr>
      </w:pPr>
    </w:p>
    <w:p w14:paraId="0B1F0430" w14:textId="77777777" w:rsidR="00D15B51" w:rsidRPr="00E33AAE" w:rsidRDefault="00D55E28" w:rsidP="00D15B51">
      <w:pPr>
        <w:jc w:val="both"/>
        <w:rPr>
          <w:rFonts w:ascii="Arial" w:hAnsi="Arial" w:cs="Arial"/>
          <w:b/>
          <w:sz w:val="20"/>
          <w:szCs w:val="20"/>
        </w:rPr>
      </w:pPr>
      <w:r w:rsidRPr="00E33AAE">
        <w:rPr>
          <w:rFonts w:ascii="Arial" w:hAnsi="Arial" w:cs="Arial"/>
          <w:noProof/>
          <w:sz w:val="20"/>
          <w:szCs w:val="20"/>
        </w:rPr>
        <w:drawing>
          <wp:anchor distT="0" distB="0" distL="114300" distR="114300" simplePos="0" relativeHeight="251669504" behindDoc="0" locked="0" layoutInCell="1" allowOverlap="1" wp14:anchorId="60E37117" wp14:editId="5600D0CE">
            <wp:simplePos x="0" y="0"/>
            <wp:positionH relativeFrom="margin">
              <wp:posOffset>95097</wp:posOffset>
            </wp:positionH>
            <wp:positionV relativeFrom="paragraph">
              <wp:posOffset>-362559</wp:posOffset>
            </wp:positionV>
            <wp:extent cx="4572000" cy="2247900"/>
            <wp:effectExtent l="0" t="0" r="0" b="0"/>
            <wp:wrapNone/>
            <wp:docPr id="8" name="Chart 8">
              <a:extLst xmlns:a="http://schemas.openxmlformats.org/drawingml/2006/main">
                <a:ext uri="{FF2B5EF4-FFF2-40B4-BE49-F238E27FC236}">
                  <a16:creationId xmlns:a16="http://schemas.microsoft.com/office/drawing/2014/main" id="{66360B76-6C10-4A8F-96E5-955A1935BF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3FF04C07" w14:textId="77777777" w:rsidR="00D15B51" w:rsidRPr="00E33AAE" w:rsidRDefault="00D15B51" w:rsidP="00D15B51">
      <w:pPr>
        <w:jc w:val="both"/>
        <w:rPr>
          <w:rFonts w:ascii="Arial" w:hAnsi="Arial" w:cs="Arial"/>
          <w:b/>
          <w:sz w:val="20"/>
          <w:szCs w:val="20"/>
        </w:rPr>
      </w:pPr>
    </w:p>
    <w:p w14:paraId="00A170EE" w14:textId="77777777" w:rsidR="00D15B51" w:rsidRPr="00E33AAE" w:rsidRDefault="00D15B51" w:rsidP="00D15B51">
      <w:pPr>
        <w:jc w:val="both"/>
        <w:rPr>
          <w:rFonts w:ascii="Arial" w:hAnsi="Arial" w:cs="Arial"/>
          <w:b/>
          <w:sz w:val="20"/>
          <w:szCs w:val="20"/>
        </w:rPr>
      </w:pPr>
    </w:p>
    <w:p w14:paraId="4C75F968" w14:textId="77777777" w:rsidR="00D15B51" w:rsidRPr="00E33AAE" w:rsidRDefault="00D15B51" w:rsidP="00D15B51">
      <w:pPr>
        <w:jc w:val="both"/>
        <w:rPr>
          <w:rFonts w:ascii="Arial" w:hAnsi="Arial" w:cs="Arial"/>
          <w:b/>
          <w:sz w:val="20"/>
          <w:szCs w:val="20"/>
        </w:rPr>
      </w:pPr>
    </w:p>
    <w:p w14:paraId="64EDE54B" w14:textId="77777777" w:rsidR="00D55E28" w:rsidRPr="00E33AAE" w:rsidRDefault="00D55E28" w:rsidP="00D15B51">
      <w:pPr>
        <w:jc w:val="both"/>
        <w:rPr>
          <w:rFonts w:ascii="Arial" w:hAnsi="Arial" w:cs="Arial"/>
          <w:b/>
          <w:sz w:val="20"/>
          <w:szCs w:val="20"/>
        </w:rPr>
      </w:pPr>
    </w:p>
    <w:p w14:paraId="158263BD" w14:textId="77777777" w:rsidR="00D55E28" w:rsidRPr="00E33AAE" w:rsidRDefault="00D55E28" w:rsidP="00D15B51">
      <w:pPr>
        <w:jc w:val="both"/>
        <w:rPr>
          <w:rFonts w:ascii="Arial" w:hAnsi="Arial" w:cs="Arial"/>
          <w:b/>
          <w:sz w:val="20"/>
          <w:szCs w:val="20"/>
        </w:rPr>
      </w:pPr>
    </w:p>
    <w:p w14:paraId="4638F5F1" w14:textId="77777777" w:rsidR="00D55E28" w:rsidRPr="00E33AAE" w:rsidRDefault="00D55E28" w:rsidP="00D15B51">
      <w:pPr>
        <w:jc w:val="both"/>
        <w:rPr>
          <w:rFonts w:ascii="Arial" w:hAnsi="Arial" w:cs="Arial"/>
          <w:b/>
          <w:sz w:val="20"/>
          <w:szCs w:val="20"/>
        </w:rPr>
      </w:pPr>
    </w:p>
    <w:p w14:paraId="124005CE" w14:textId="77777777" w:rsidR="00D55E28" w:rsidRPr="00E33AAE" w:rsidRDefault="00D55E28" w:rsidP="00D15B51">
      <w:pPr>
        <w:jc w:val="both"/>
        <w:rPr>
          <w:rFonts w:ascii="Arial" w:hAnsi="Arial" w:cs="Arial"/>
          <w:b/>
          <w:sz w:val="20"/>
          <w:szCs w:val="20"/>
        </w:rPr>
      </w:pPr>
    </w:p>
    <w:p w14:paraId="3D2B6EDA" w14:textId="77777777" w:rsidR="00D55E28" w:rsidRPr="00E33AAE" w:rsidRDefault="00D55E28" w:rsidP="00D15B51">
      <w:pPr>
        <w:jc w:val="both"/>
        <w:rPr>
          <w:rFonts w:ascii="Arial" w:hAnsi="Arial" w:cs="Arial"/>
          <w:b/>
          <w:sz w:val="20"/>
          <w:szCs w:val="20"/>
        </w:rPr>
      </w:pPr>
    </w:p>
    <w:p w14:paraId="464871D1" w14:textId="77777777" w:rsidR="00D15B51" w:rsidRPr="00E33AAE" w:rsidRDefault="00D15B51" w:rsidP="00D15B51">
      <w:pPr>
        <w:jc w:val="both"/>
        <w:rPr>
          <w:rFonts w:ascii="Arial" w:hAnsi="Arial" w:cs="Arial"/>
          <w:b/>
          <w:sz w:val="20"/>
          <w:szCs w:val="20"/>
        </w:rPr>
      </w:pPr>
    </w:p>
    <w:p w14:paraId="644349D9" w14:textId="77777777" w:rsidR="00D15B51" w:rsidRPr="00E33AAE" w:rsidRDefault="00D15B51" w:rsidP="00D15B51">
      <w:pPr>
        <w:jc w:val="both"/>
        <w:rPr>
          <w:rFonts w:ascii="Arial" w:hAnsi="Arial" w:cs="Arial"/>
          <w:b/>
          <w:sz w:val="20"/>
          <w:szCs w:val="20"/>
        </w:rPr>
      </w:pPr>
    </w:p>
    <w:p w14:paraId="0474EB65" w14:textId="77777777" w:rsidR="00DC4953" w:rsidRPr="00E33AAE" w:rsidRDefault="00D15B51" w:rsidP="00D15B51">
      <w:pPr>
        <w:jc w:val="both"/>
        <w:rPr>
          <w:rFonts w:ascii="Arial" w:hAnsi="Arial" w:cs="Arial"/>
          <w:b/>
          <w:sz w:val="20"/>
          <w:szCs w:val="20"/>
        </w:rPr>
      </w:pPr>
      <w:r w:rsidRPr="00E33AAE">
        <w:rPr>
          <w:rFonts w:ascii="Arial" w:hAnsi="Arial" w:cs="Arial"/>
          <w:b/>
          <w:sz w:val="20"/>
          <w:szCs w:val="20"/>
        </w:rPr>
        <w:t>Fig</w:t>
      </w:r>
      <w:r w:rsidR="00B12F3F" w:rsidRPr="00E33AAE">
        <w:rPr>
          <w:rFonts w:ascii="Arial" w:hAnsi="Arial" w:cs="Arial"/>
          <w:b/>
          <w:sz w:val="20"/>
          <w:szCs w:val="20"/>
        </w:rPr>
        <w:t>.</w:t>
      </w:r>
      <w:r w:rsidRPr="00E33AAE">
        <w:rPr>
          <w:rFonts w:ascii="Arial" w:hAnsi="Arial" w:cs="Arial"/>
          <w:b/>
          <w:sz w:val="20"/>
          <w:szCs w:val="20"/>
        </w:rPr>
        <w:t xml:space="preserve"> </w:t>
      </w:r>
      <w:r w:rsidR="00A74C2A" w:rsidRPr="00E33AAE">
        <w:rPr>
          <w:rFonts w:ascii="Arial" w:hAnsi="Arial" w:cs="Arial"/>
          <w:b/>
          <w:sz w:val="20"/>
          <w:szCs w:val="20"/>
        </w:rPr>
        <w:t>5</w:t>
      </w:r>
      <w:r w:rsidR="00B12F3F" w:rsidRPr="00E33AAE">
        <w:rPr>
          <w:rFonts w:ascii="Arial" w:hAnsi="Arial" w:cs="Arial"/>
          <w:b/>
          <w:sz w:val="20"/>
          <w:szCs w:val="20"/>
        </w:rPr>
        <w:t>.</w:t>
      </w:r>
      <w:r w:rsidRPr="00E33AAE">
        <w:rPr>
          <w:rFonts w:ascii="Arial" w:hAnsi="Arial" w:cs="Arial"/>
          <w:b/>
          <w:sz w:val="20"/>
          <w:szCs w:val="20"/>
        </w:rPr>
        <w:t xml:space="preserve"> Antibacterial activity of ethyl acetate extract</w:t>
      </w:r>
    </w:p>
    <w:p w14:paraId="147721D7" w14:textId="77777777" w:rsidR="003E52FA" w:rsidRPr="00E33AAE" w:rsidRDefault="003E52FA" w:rsidP="00D15B51">
      <w:pPr>
        <w:jc w:val="both"/>
        <w:rPr>
          <w:rFonts w:ascii="Arial" w:hAnsi="Arial" w:cs="Arial"/>
          <w:b/>
          <w:sz w:val="20"/>
          <w:szCs w:val="20"/>
        </w:rPr>
      </w:pPr>
    </w:p>
    <w:p w14:paraId="3959E5A9" w14:textId="77777777" w:rsidR="00D15B51" w:rsidRPr="00E33AAE" w:rsidRDefault="00DC4953" w:rsidP="00D15B51">
      <w:pPr>
        <w:jc w:val="both"/>
        <w:rPr>
          <w:rFonts w:ascii="Arial" w:hAnsi="Arial" w:cs="Arial"/>
          <w:b/>
          <w:sz w:val="20"/>
          <w:szCs w:val="20"/>
        </w:rPr>
      </w:pPr>
      <w:r w:rsidRPr="00E33AAE">
        <w:rPr>
          <w:rFonts w:ascii="Arial" w:hAnsi="Arial" w:cs="Arial"/>
          <w:noProof/>
          <w:sz w:val="20"/>
          <w:szCs w:val="20"/>
        </w:rPr>
        <w:drawing>
          <wp:anchor distT="0" distB="0" distL="114300" distR="114300" simplePos="0" relativeHeight="251664384" behindDoc="0" locked="0" layoutInCell="1" allowOverlap="1" wp14:anchorId="2B3C7751" wp14:editId="0B96DDB0">
            <wp:simplePos x="0" y="0"/>
            <wp:positionH relativeFrom="column">
              <wp:posOffset>-95250</wp:posOffset>
            </wp:positionH>
            <wp:positionV relativeFrom="paragraph">
              <wp:posOffset>176530</wp:posOffset>
            </wp:positionV>
            <wp:extent cx="4838700" cy="2047875"/>
            <wp:effectExtent l="0" t="0" r="0" b="9525"/>
            <wp:wrapNone/>
            <wp:docPr id="3" name="Chart 3">
              <a:extLst xmlns:a="http://schemas.openxmlformats.org/drawingml/2006/main">
                <a:ext uri="{FF2B5EF4-FFF2-40B4-BE49-F238E27FC236}">
                  <a16:creationId xmlns:a16="http://schemas.microsoft.com/office/drawing/2014/main" id="{DF5074F9-B376-461D-8ADC-C350B4C2C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D15B51" w:rsidRPr="00E33AAE">
        <w:rPr>
          <w:rFonts w:ascii="Arial" w:hAnsi="Arial" w:cs="Arial"/>
          <w:b/>
          <w:sz w:val="20"/>
          <w:szCs w:val="20"/>
        </w:rPr>
        <w:t xml:space="preserve">          </w:t>
      </w:r>
    </w:p>
    <w:p w14:paraId="48CC52D8"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w:t>
      </w:r>
    </w:p>
    <w:p w14:paraId="61930920" w14:textId="77777777" w:rsidR="00D15B51" w:rsidRPr="00E33AAE" w:rsidRDefault="00D15B51" w:rsidP="00D15B51">
      <w:pPr>
        <w:jc w:val="both"/>
        <w:rPr>
          <w:rFonts w:ascii="Arial" w:hAnsi="Arial" w:cs="Arial"/>
          <w:b/>
          <w:sz w:val="20"/>
          <w:szCs w:val="20"/>
        </w:rPr>
      </w:pPr>
    </w:p>
    <w:p w14:paraId="60D1F69A" w14:textId="77777777" w:rsidR="00D15B51" w:rsidRPr="00E33AAE" w:rsidRDefault="00D15B51" w:rsidP="00D15B51">
      <w:pPr>
        <w:jc w:val="both"/>
        <w:rPr>
          <w:rFonts w:ascii="Arial" w:hAnsi="Arial" w:cs="Arial"/>
          <w:b/>
          <w:sz w:val="20"/>
          <w:szCs w:val="20"/>
        </w:rPr>
      </w:pPr>
    </w:p>
    <w:p w14:paraId="71EE53F3" w14:textId="77777777" w:rsidR="00D15B51" w:rsidRPr="00E33AAE" w:rsidRDefault="00D15B51" w:rsidP="00D15B51">
      <w:pPr>
        <w:jc w:val="both"/>
        <w:rPr>
          <w:rFonts w:ascii="Arial" w:hAnsi="Arial" w:cs="Arial"/>
          <w:b/>
          <w:sz w:val="20"/>
          <w:szCs w:val="20"/>
        </w:rPr>
      </w:pPr>
    </w:p>
    <w:p w14:paraId="5F178198"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w:t>
      </w:r>
    </w:p>
    <w:p w14:paraId="23D388D9" w14:textId="77777777" w:rsidR="00D15B51" w:rsidRPr="00E33AAE" w:rsidRDefault="00D15B51" w:rsidP="00D15B51">
      <w:pPr>
        <w:jc w:val="both"/>
        <w:rPr>
          <w:rFonts w:ascii="Arial" w:hAnsi="Arial" w:cs="Arial"/>
          <w:b/>
          <w:sz w:val="20"/>
          <w:szCs w:val="20"/>
        </w:rPr>
      </w:pPr>
    </w:p>
    <w:p w14:paraId="0535C481" w14:textId="77777777" w:rsidR="00D15B51" w:rsidRPr="00E33AAE" w:rsidRDefault="00D15B51" w:rsidP="00D15B51">
      <w:pPr>
        <w:jc w:val="both"/>
        <w:rPr>
          <w:rFonts w:ascii="Arial" w:hAnsi="Arial" w:cs="Arial"/>
          <w:b/>
          <w:sz w:val="20"/>
          <w:szCs w:val="20"/>
        </w:rPr>
      </w:pPr>
    </w:p>
    <w:p w14:paraId="7AC029E7" w14:textId="77777777" w:rsidR="00D15B51" w:rsidRPr="00E33AAE" w:rsidRDefault="00D15B51" w:rsidP="00D15B51">
      <w:pPr>
        <w:jc w:val="both"/>
        <w:rPr>
          <w:rFonts w:ascii="Arial" w:hAnsi="Arial" w:cs="Arial"/>
          <w:b/>
          <w:sz w:val="20"/>
          <w:szCs w:val="20"/>
        </w:rPr>
      </w:pPr>
    </w:p>
    <w:p w14:paraId="39148718"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Fig</w:t>
      </w:r>
      <w:r w:rsidR="006F5A83" w:rsidRPr="00E33AAE">
        <w:rPr>
          <w:rFonts w:ascii="Arial" w:hAnsi="Arial" w:cs="Arial"/>
          <w:b/>
          <w:sz w:val="20"/>
          <w:szCs w:val="20"/>
        </w:rPr>
        <w:t>.</w:t>
      </w:r>
      <w:r w:rsidRPr="00E33AAE">
        <w:rPr>
          <w:rFonts w:ascii="Arial" w:hAnsi="Arial" w:cs="Arial"/>
          <w:b/>
          <w:sz w:val="20"/>
          <w:szCs w:val="20"/>
        </w:rPr>
        <w:t xml:space="preserve"> </w:t>
      </w:r>
      <w:r w:rsidR="007A2304" w:rsidRPr="00E33AAE">
        <w:rPr>
          <w:rFonts w:ascii="Arial" w:hAnsi="Arial" w:cs="Arial"/>
          <w:b/>
          <w:sz w:val="20"/>
          <w:szCs w:val="20"/>
        </w:rPr>
        <w:t>6</w:t>
      </w:r>
      <w:r w:rsidR="006F5A83" w:rsidRPr="00E33AAE">
        <w:rPr>
          <w:rFonts w:ascii="Arial" w:hAnsi="Arial" w:cs="Arial"/>
          <w:b/>
          <w:sz w:val="20"/>
          <w:szCs w:val="20"/>
        </w:rPr>
        <w:t>.</w:t>
      </w:r>
      <w:r w:rsidRPr="00E33AAE">
        <w:rPr>
          <w:rFonts w:ascii="Arial" w:hAnsi="Arial" w:cs="Arial"/>
          <w:b/>
          <w:sz w:val="20"/>
          <w:szCs w:val="20"/>
        </w:rPr>
        <w:t xml:space="preserve"> Antibacterial activity of methanol extract</w:t>
      </w:r>
    </w:p>
    <w:p w14:paraId="638F6714" w14:textId="77777777" w:rsidR="006F5A83" w:rsidRPr="00E33AAE" w:rsidRDefault="006F5A83" w:rsidP="00D15B51">
      <w:pPr>
        <w:jc w:val="both"/>
        <w:rPr>
          <w:rFonts w:ascii="Arial" w:hAnsi="Arial" w:cs="Arial"/>
          <w:b/>
          <w:sz w:val="20"/>
          <w:szCs w:val="20"/>
        </w:rPr>
      </w:pPr>
    </w:p>
    <w:p w14:paraId="0F724F6C" w14:textId="77777777" w:rsidR="00D15B51" w:rsidRPr="00E33AAE" w:rsidRDefault="00D15B51" w:rsidP="00D15B51">
      <w:pPr>
        <w:jc w:val="both"/>
        <w:rPr>
          <w:rFonts w:ascii="Arial" w:hAnsi="Arial" w:cs="Arial"/>
          <w:b/>
          <w:sz w:val="20"/>
          <w:szCs w:val="20"/>
        </w:rPr>
      </w:pPr>
      <w:r w:rsidRPr="00E33AAE">
        <w:rPr>
          <w:rFonts w:ascii="Arial" w:hAnsi="Arial" w:cs="Arial"/>
          <w:noProof/>
          <w:sz w:val="20"/>
          <w:szCs w:val="20"/>
        </w:rPr>
        <w:drawing>
          <wp:anchor distT="0" distB="0" distL="114300" distR="114300" simplePos="0" relativeHeight="251665408" behindDoc="0" locked="0" layoutInCell="1" allowOverlap="1" wp14:anchorId="035050F4" wp14:editId="207EA949">
            <wp:simplePos x="0" y="0"/>
            <wp:positionH relativeFrom="margin">
              <wp:align>left</wp:align>
            </wp:positionH>
            <wp:positionV relativeFrom="paragraph">
              <wp:posOffset>171450</wp:posOffset>
            </wp:positionV>
            <wp:extent cx="4572000" cy="2076450"/>
            <wp:effectExtent l="0" t="0" r="0" b="0"/>
            <wp:wrapNone/>
            <wp:docPr id="4" name="Chart 4">
              <a:extLst xmlns:a="http://schemas.openxmlformats.org/drawingml/2006/main">
                <a:ext uri="{FF2B5EF4-FFF2-40B4-BE49-F238E27FC236}">
                  <a16:creationId xmlns:a16="http://schemas.microsoft.com/office/drawing/2014/main" id="{FE72CCE1-D1F5-4B13-AFD7-B225CC179F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2F5D9DF4"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w:t>
      </w:r>
    </w:p>
    <w:p w14:paraId="35816A90" w14:textId="77777777" w:rsidR="00D15B51" w:rsidRPr="00E33AAE" w:rsidRDefault="00D15B51" w:rsidP="00D15B51">
      <w:pPr>
        <w:jc w:val="both"/>
        <w:rPr>
          <w:rFonts w:ascii="Arial" w:hAnsi="Arial" w:cs="Arial"/>
          <w:b/>
          <w:sz w:val="20"/>
          <w:szCs w:val="20"/>
        </w:rPr>
      </w:pPr>
    </w:p>
    <w:p w14:paraId="40E1F6BF" w14:textId="77777777" w:rsidR="00D15B51" w:rsidRPr="00E33AAE" w:rsidRDefault="00D15B51" w:rsidP="00D15B51">
      <w:pPr>
        <w:jc w:val="both"/>
        <w:rPr>
          <w:rFonts w:ascii="Arial" w:hAnsi="Arial" w:cs="Arial"/>
          <w:b/>
          <w:sz w:val="20"/>
          <w:szCs w:val="20"/>
        </w:rPr>
      </w:pPr>
    </w:p>
    <w:p w14:paraId="37C3CE76" w14:textId="77777777" w:rsidR="00D15B51" w:rsidRPr="00E33AAE" w:rsidRDefault="00D15B51" w:rsidP="00D15B51">
      <w:pPr>
        <w:jc w:val="both"/>
        <w:rPr>
          <w:rFonts w:ascii="Arial" w:hAnsi="Arial" w:cs="Arial"/>
          <w:b/>
          <w:sz w:val="20"/>
          <w:szCs w:val="20"/>
        </w:rPr>
      </w:pPr>
    </w:p>
    <w:p w14:paraId="6DD44CDF" w14:textId="77777777" w:rsidR="00D15B51" w:rsidRPr="00E33AAE" w:rsidRDefault="00D15B51" w:rsidP="00D15B51">
      <w:pPr>
        <w:jc w:val="both"/>
        <w:rPr>
          <w:rFonts w:ascii="Arial" w:hAnsi="Arial" w:cs="Arial"/>
          <w:b/>
          <w:sz w:val="20"/>
          <w:szCs w:val="20"/>
        </w:rPr>
      </w:pPr>
    </w:p>
    <w:p w14:paraId="0495F636" w14:textId="77777777" w:rsidR="00D15B51" w:rsidRPr="00E33AAE" w:rsidRDefault="00D15B51" w:rsidP="00D15B51">
      <w:pPr>
        <w:jc w:val="both"/>
        <w:rPr>
          <w:rFonts w:ascii="Arial" w:hAnsi="Arial" w:cs="Arial"/>
          <w:b/>
          <w:sz w:val="20"/>
          <w:szCs w:val="20"/>
        </w:rPr>
      </w:pPr>
    </w:p>
    <w:p w14:paraId="08131803" w14:textId="77777777" w:rsidR="00D15B51" w:rsidRPr="00E33AAE" w:rsidRDefault="00D15B51" w:rsidP="00D15B51">
      <w:pPr>
        <w:jc w:val="both"/>
        <w:rPr>
          <w:rFonts w:ascii="Arial" w:hAnsi="Arial" w:cs="Arial"/>
          <w:b/>
          <w:sz w:val="20"/>
          <w:szCs w:val="20"/>
        </w:rPr>
      </w:pPr>
    </w:p>
    <w:p w14:paraId="5F8CECE0" w14:textId="77777777" w:rsidR="00D15B51" w:rsidRPr="00E33AAE" w:rsidRDefault="00D15B51" w:rsidP="00D15B51">
      <w:pPr>
        <w:jc w:val="both"/>
        <w:rPr>
          <w:rFonts w:ascii="Arial" w:hAnsi="Arial" w:cs="Arial"/>
          <w:b/>
          <w:sz w:val="20"/>
          <w:szCs w:val="20"/>
        </w:rPr>
      </w:pPr>
    </w:p>
    <w:p w14:paraId="3C6839A6"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Fig</w:t>
      </w:r>
      <w:r w:rsidR="006F5A83" w:rsidRPr="00E33AAE">
        <w:rPr>
          <w:rFonts w:ascii="Arial" w:hAnsi="Arial" w:cs="Arial"/>
          <w:b/>
          <w:sz w:val="20"/>
          <w:szCs w:val="20"/>
        </w:rPr>
        <w:t xml:space="preserve">. </w:t>
      </w:r>
      <w:r w:rsidR="007A2304" w:rsidRPr="00E33AAE">
        <w:rPr>
          <w:rFonts w:ascii="Arial" w:hAnsi="Arial" w:cs="Arial"/>
          <w:b/>
          <w:sz w:val="20"/>
          <w:szCs w:val="20"/>
        </w:rPr>
        <w:t>7</w:t>
      </w:r>
      <w:r w:rsidR="006F5A83" w:rsidRPr="00E33AAE">
        <w:rPr>
          <w:rFonts w:ascii="Arial" w:hAnsi="Arial" w:cs="Arial"/>
          <w:b/>
          <w:sz w:val="20"/>
          <w:szCs w:val="20"/>
        </w:rPr>
        <w:t>.</w:t>
      </w:r>
      <w:r w:rsidRPr="00E33AAE">
        <w:rPr>
          <w:rFonts w:ascii="Arial" w:hAnsi="Arial" w:cs="Arial"/>
          <w:b/>
          <w:sz w:val="20"/>
          <w:szCs w:val="20"/>
        </w:rPr>
        <w:t xml:space="preserve"> Antibacterial activity of aqueous extract</w:t>
      </w:r>
    </w:p>
    <w:p w14:paraId="05785AD8" w14:textId="77777777" w:rsidR="003E52FA" w:rsidRPr="00E33AAE" w:rsidRDefault="003E52FA" w:rsidP="003E52FA">
      <w:pPr>
        <w:spacing w:before="100" w:beforeAutospacing="1" w:after="100" w:afterAutospacing="1" w:line="240" w:lineRule="auto"/>
        <w:jc w:val="both"/>
        <w:rPr>
          <w:rFonts w:ascii="Arial" w:eastAsia="Times New Roman" w:hAnsi="Arial" w:cs="Arial"/>
          <w:sz w:val="20"/>
          <w:szCs w:val="20"/>
        </w:rPr>
      </w:pPr>
      <w:r w:rsidRPr="00E33AAE">
        <w:t xml:space="preserve">The inhibition zones (Figures 3–7) further revealed that Gram-positive bacteria were generally more susceptible than Gram-negative bacteria. This difference is attributed to the relatively porous peptidoglycan layer of Gram-positive bacteria, whereas Gram-negative bacteria possess an outer lipopolysaccharide membrane that restricts the penetration of antimicrobial compounds (Erik et al., 2021; García Díaz et al., 2019). However, the inhibition of </w:t>
      </w:r>
      <w:r w:rsidRPr="00E33AAE">
        <w:rPr>
          <w:i/>
        </w:rPr>
        <w:t>Pseudomonas</w:t>
      </w:r>
      <w:r w:rsidRPr="00E33AAE">
        <w:t xml:space="preserve"> species is particularly significant because of its intrinsic multidrug resistance, suggesting that </w:t>
      </w:r>
      <w:r w:rsidRPr="00E33AAE">
        <w:rPr>
          <w:i/>
        </w:rPr>
        <w:t>R. longipedicellata</w:t>
      </w:r>
      <w:r w:rsidRPr="00E33AAE">
        <w:t xml:space="preserve"> contains compounds capable of overcoming some bacterial resistance mechanisms (World Health Organization, 2021).</w:t>
      </w:r>
    </w:p>
    <w:p w14:paraId="7541B328" w14:textId="77777777" w:rsidR="003E52FA" w:rsidRPr="00E33AAE" w:rsidRDefault="003E52FA" w:rsidP="003E52FA">
      <w:pPr>
        <w:spacing w:before="100" w:beforeAutospacing="1" w:after="100" w:afterAutospacing="1" w:line="240" w:lineRule="auto"/>
        <w:jc w:val="both"/>
        <w:rPr>
          <w:rFonts w:ascii="Arial" w:eastAsia="Times New Roman" w:hAnsi="Arial" w:cs="Arial"/>
          <w:sz w:val="20"/>
          <w:szCs w:val="20"/>
        </w:rPr>
      </w:pPr>
      <w:r w:rsidRPr="00E33AAE">
        <w:t xml:space="preserve">Although the crude extracts exhibited lower antibacterial activity than ciprofloxacin, this is expected because crude extracts contain both active and inactive constituents. Previous studies have shown that bioassay-guided purification significantly enhances antimicrobial potency by concentrating active metabolites (Ejele et al., 2012; Akpan et al., 2016; Brusotti et al., 2014). The findings validate the ethnomedicinal application of </w:t>
      </w:r>
      <w:r w:rsidRPr="00E33AAE">
        <w:rPr>
          <w:i/>
        </w:rPr>
        <w:t>R. longipedicellata</w:t>
      </w:r>
      <w:r w:rsidRPr="00E33AAE">
        <w:t>, support earlier reports on medicinal plants (Gobalakrishnan et al., 2013; García Díaz et al., 2019; Oladejobi et al., 2022), and provide a strong basis for chromatographic purification and GC–MS characterization of its bioactive antibacterial compounds.</w:t>
      </w:r>
    </w:p>
    <w:p w14:paraId="7483098D" w14:textId="77777777" w:rsidR="003E52FA" w:rsidRPr="00E33AAE" w:rsidRDefault="003E52FA" w:rsidP="00D15B51">
      <w:pPr>
        <w:jc w:val="both"/>
        <w:rPr>
          <w:rFonts w:ascii="Arial" w:hAnsi="Arial" w:cs="Arial"/>
          <w:b/>
          <w:sz w:val="20"/>
          <w:szCs w:val="20"/>
        </w:rPr>
      </w:pPr>
    </w:p>
    <w:p w14:paraId="62126885" w14:textId="77777777" w:rsidR="00D15B51" w:rsidRPr="00E33AAE" w:rsidRDefault="00D15B51" w:rsidP="00D15B51">
      <w:pPr>
        <w:jc w:val="both"/>
        <w:rPr>
          <w:rFonts w:ascii="Arial" w:hAnsi="Arial" w:cs="Arial"/>
          <w:b/>
          <w:sz w:val="20"/>
          <w:szCs w:val="20"/>
        </w:rPr>
      </w:pPr>
      <w:r w:rsidRPr="00E33AAE">
        <w:rPr>
          <w:rFonts w:ascii="Arial" w:hAnsi="Arial" w:cs="Arial"/>
          <w:noProof/>
          <w:sz w:val="20"/>
          <w:szCs w:val="20"/>
        </w:rPr>
        <w:drawing>
          <wp:anchor distT="0" distB="0" distL="114300" distR="114300" simplePos="0" relativeHeight="251666432" behindDoc="0" locked="0" layoutInCell="1" allowOverlap="1" wp14:anchorId="63053F5D" wp14:editId="6F11C120">
            <wp:simplePos x="0" y="0"/>
            <wp:positionH relativeFrom="margin">
              <wp:align>left</wp:align>
            </wp:positionH>
            <wp:positionV relativeFrom="paragraph">
              <wp:posOffset>63500</wp:posOffset>
            </wp:positionV>
            <wp:extent cx="4572000" cy="1905000"/>
            <wp:effectExtent l="0" t="0" r="0" b="0"/>
            <wp:wrapNone/>
            <wp:docPr id="5" name="Chart 5">
              <a:extLst xmlns:a="http://schemas.openxmlformats.org/drawingml/2006/main">
                <a:ext uri="{FF2B5EF4-FFF2-40B4-BE49-F238E27FC236}">
                  <a16:creationId xmlns:a16="http://schemas.microsoft.com/office/drawing/2014/main" id="{8B2EED5D-F80F-480A-A376-8667513245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7740B1B8" w14:textId="77777777" w:rsidR="00D15B51" w:rsidRPr="00E33AAE" w:rsidRDefault="00D15B51" w:rsidP="00D15B51">
      <w:pPr>
        <w:jc w:val="both"/>
        <w:rPr>
          <w:rFonts w:ascii="Arial" w:hAnsi="Arial" w:cs="Arial"/>
          <w:b/>
          <w:i/>
          <w:sz w:val="20"/>
          <w:szCs w:val="20"/>
        </w:rPr>
      </w:pPr>
      <w:r w:rsidRPr="00E33AAE">
        <w:rPr>
          <w:rFonts w:ascii="Arial" w:hAnsi="Arial" w:cs="Arial"/>
          <w:b/>
          <w:sz w:val="20"/>
          <w:szCs w:val="20"/>
        </w:rPr>
        <w:t xml:space="preserve">           </w:t>
      </w:r>
    </w:p>
    <w:p w14:paraId="07EEE645" w14:textId="77777777" w:rsidR="00D15B51" w:rsidRPr="00E33AAE" w:rsidRDefault="00D15B51" w:rsidP="00D15B51">
      <w:pPr>
        <w:jc w:val="both"/>
        <w:rPr>
          <w:rFonts w:ascii="Arial" w:hAnsi="Arial" w:cs="Arial"/>
          <w:b/>
          <w:sz w:val="20"/>
          <w:szCs w:val="20"/>
        </w:rPr>
      </w:pPr>
    </w:p>
    <w:p w14:paraId="73049372"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w:t>
      </w:r>
    </w:p>
    <w:p w14:paraId="119966F7" w14:textId="77777777" w:rsidR="00D15B51" w:rsidRPr="00E33AAE" w:rsidRDefault="00D15B51" w:rsidP="00D15B51">
      <w:pPr>
        <w:jc w:val="both"/>
        <w:rPr>
          <w:rFonts w:ascii="Arial" w:hAnsi="Arial" w:cs="Arial"/>
          <w:b/>
          <w:sz w:val="20"/>
          <w:szCs w:val="20"/>
        </w:rPr>
      </w:pPr>
    </w:p>
    <w:p w14:paraId="450FD098" w14:textId="77777777" w:rsidR="00D15B51" w:rsidRPr="00E33AAE" w:rsidRDefault="00D15B51" w:rsidP="00D15B51">
      <w:pPr>
        <w:jc w:val="both"/>
        <w:rPr>
          <w:rFonts w:ascii="Arial" w:hAnsi="Arial" w:cs="Arial"/>
          <w:b/>
          <w:sz w:val="20"/>
          <w:szCs w:val="20"/>
        </w:rPr>
      </w:pPr>
    </w:p>
    <w:p w14:paraId="0AC24046" w14:textId="77777777" w:rsidR="00D15B51" w:rsidRPr="00E33AAE" w:rsidRDefault="00D15B51" w:rsidP="00D15B51">
      <w:pPr>
        <w:jc w:val="both"/>
        <w:rPr>
          <w:rFonts w:ascii="Arial" w:hAnsi="Arial" w:cs="Arial"/>
          <w:b/>
          <w:sz w:val="20"/>
          <w:szCs w:val="20"/>
        </w:rPr>
      </w:pPr>
    </w:p>
    <w:p w14:paraId="592863DE" w14:textId="77777777" w:rsidR="00D15B51" w:rsidRPr="00E33AAE" w:rsidRDefault="00D15B51" w:rsidP="00D15B51">
      <w:pPr>
        <w:jc w:val="both"/>
        <w:rPr>
          <w:rFonts w:ascii="Arial" w:hAnsi="Arial" w:cs="Arial"/>
          <w:b/>
          <w:sz w:val="20"/>
          <w:szCs w:val="20"/>
        </w:rPr>
      </w:pPr>
    </w:p>
    <w:p w14:paraId="7D8C1C74"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Fig</w:t>
      </w:r>
      <w:r w:rsidR="00124B5D" w:rsidRPr="00E33AAE">
        <w:rPr>
          <w:rFonts w:ascii="Arial" w:hAnsi="Arial" w:cs="Arial"/>
          <w:b/>
          <w:sz w:val="20"/>
          <w:szCs w:val="20"/>
        </w:rPr>
        <w:t>.</w:t>
      </w:r>
      <w:r w:rsidRPr="00E33AAE">
        <w:rPr>
          <w:rFonts w:ascii="Arial" w:hAnsi="Arial" w:cs="Arial"/>
          <w:b/>
          <w:sz w:val="20"/>
          <w:szCs w:val="20"/>
        </w:rPr>
        <w:t xml:space="preserve"> </w:t>
      </w:r>
      <w:r w:rsidR="007A2304" w:rsidRPr="00E33AAE">
        <w:rPr>
          <w:rFonts w:ascii="Arial" w:hAnsi="Arial" w:cs="Arial"/>
          <w:b/>
          <w:sz w:val="20"/>
          <w:szCs w:val="20"/>
        </w:rPr>
        <w:t>8</w:t>
      </w:r>
      <w:r w:rsidR="00124B5D" w:rsidRPr="00E33AAE">
        <w:rPr>
          <w:rFonts w:ascii="Arial" w:hAnsi="Arial" w:cs="Arial"/>
          <w:b/>
          <w:sz w:val="20"/>
          <w:szCs w:val="20"/>
        </w:rPr>
        <w:t>.</w:t>
      </w:r>
      <w:r w:rsidRPr="00E33AAE">
        <w:rPr>
          <w:rFonts w:ascii="Arial" w:hAnsi="Arial" w:cs="Arial"/>
          <w:b/>
          <w:sz w:val="20"/>
          <w:szCs w:val="20"/>
        </w:rPr>
        <w:t xml:space="preserve"> Antifungal activity of n-hexane extract</w:t>
      </w:r>
    </w:p>
    <w:p w14:paraId="032C820F" w14:textId="77777777" w:rsidR="00820540" w:rsidRPr="00E33AAE" w:rsidRDefault="00D15B51" w:rsidP="00D15B51">
      <w:pPr>
        <w:jc w:val="both"/>
        <w:rPr>
          <w:rFonts w:ascii="Arial" w:hAnsi="Arial" w:cs="Arial"/>
          <w:b/>
          <w:i/>
          <w:sz w:val="20"/>
          <w:szCs w:val="20"/>
        </w:rPr>
      </w:pPr>
      <w:r w:rsidRPr="00E33AAE">
        <w:rPr>
          <w:rFonts w:ascii="Arial" w:hAnsi="Arial" w:cs="Arial"/>
          <w:b/>
          <w:sz w:val="20"/>
          <w:szCs w:val="20"/>
        </w:rPr>
        <w:t xml:space="preserve">  Key: </w:t>
      </w:r>
      <w:r w:rsidRPr="00E33AAE">
        <w:rPr>
          <w:rFonts w:ascii="Arial" w:hAnsi="Arial" w:cs="Arial"/>
          <w:b/>
          <w:i/>
          <w:sz w:val="20"/>
          <w:szCs w:val="20"/>
        </w:rPr>
        <w:t xml:space="preserve">C. </w:t>
      </w:r>
      <w:proofErr w:type="spellStart"/>
      <w:r w:rsidRPr="00E33AAE">
        <w:rPr>
          <w:rFonts w:ascii="Arial" w:hAnsi="Arial" w:cs="Arial"/>
          <w:b/>
          <w:i/>
          <w:sz w:val="20"/>
          <w:szCs w:val="20"/>
        </w:rPr>
        <w:t>spp</w:t>
      </w:r>
      <w:proofErr w:type="spellEnd"/>
      <w:r w:rsidRPr="00E33AAE">
        <w:rPr>
          <w:rFonts w:ascii="Arial" w:hAnsi="Arial" w:cs="Arial"/>
          <w:b/>
          <w:i/>
          <w:sz w:val="20"/>
          <w:szCs w:val="20"/>
        </w:rPr>
        <w:t xml:space="preserve"> = Candida </w:t>
      </w:r>
      <w:proofErr w:type="spellStart"/>
      <w:r w:rsidRPr="00E33AAE">
        <w:rPr>
          <w:rFonts w:ascii="Arial" w:hAnsi="Arial" w:cs="Arial"/>
          <w:b/>
          <w:i/>
          <w:sz w:val="20"/>
          <w:szCs w:val="20"/>
        </w:rPr>
        <w:t>spp</w:t>
      </w:r>
      <w:proofErr w:type="spellEnd"/>
      <w:r w:rsidRPr="00E33AAE">
        <w:rPr>
          <w:rFonts w:ascii="Arial" w:hAnsi="Arial" w:cs="Arial"/>
          <w:b/>
          <w:i/>
          <w:sz w:val="20"/>
          <w:szCs w:val="20"/>
        </w:rPr>
        <w:t xml:space="preserve">; A. </w:t>
      </w:r>
      <w:proofErr w:type="spellStart"/>
      <w:r w:rsidRPr="00E33AAE">
        <w:rPr>
          <w:rFonts w:ascii="Arial" w:hAnsi="Arial" w:cs="Arial"/>
          <w:b/>
          <w:i/>
          <w:sz w:val="20"/>
          <w:szCs w:val="20"/>
        </w:rPr>
        <w:t>spp</w:t>
      </w:r>
      <w:proofErr w:type="spellEnd"/>
      <w:r w:rsidRPr="00E33AAE">
        <w:rPr>
          <w:rFonts w:ascii="Arial" w:hAnsi="Arial" w:cs="Arial"/>
          <w:b/>
          <w:i/>
          <w:sz w:val="20"/>
          <w:szCs w:val="20"/>
        </w:rPr>
        <w:t xml:space="preserve"> = Acremonium </w:t>
      </w:r>
      <w:proofErr w:type="spellStart"/>
      <w:r w:rsidRPr="00E33AAE">
        <w:rPr>
          <w:rFonts w:ascii="Arial" w:hAnsi="Arial" w:cs="Arial"/>
          <w:b/>
          <w:i/>
          <w:sz w:val="20"/>
          <w:szCs w:val="20"/>
        </w:rPr>
        <w:t>spp</w:t>
      </w:r>
      <w:proofErr w:type="spellEnd"/>
      <w:r w:rsidRPr="00E33AAE">
        <w:rPr>
          <w:rFonts w:ascii="Arial" w:hAnsi="Arial" w:cs="Arial"/>
          <w:b/>
          <w:i/>
          <w:sz w:val="20"/>
          <w:szCs w:val="20"/>
        </w:rPr>
        <w:t>; Keto. = Ketoconazole</w:t>
      </w:r>
    </w:p>
    <w:p w14:paraId="5D862CEC" w14:textId="77777777" w:rsidR="00820540" w:rsidRPr="00E33AAE" w:rsidRDefault="00820540" w:rsidP="00D15B51">
      <w:pPr>
        <w:jc w:val="both"/>
        <w:rPr>
          <w:rFonts w:ascii="Arial" w:hAnsi="Arial" w:cs="Arial"/>
          <w:b/>
          <w:sz w:val="20"/>
          <w:szCs w:val="20"/>
        </w:rPr>
      </w:pPr>
    </w:p>
    <w:p w14:paraId="7F7651C5" w14:textId="77777777" w:rsidR="00D15B51" w:rsidRPr="00E33AAE" w:rsidRDefault="00D15B51" w:rsidP="00D15B51">
      <w:pPr>
        <w:jc w:val="both"/>
        <w:rPr>
          <w:rFonts w:ascii="Arial" w:hAnsi="Arial" w:cs="Arial"/>
          <w:b/>
          <w:sz w:val="20"/>
          <w:szCs w:val="20"/>
        </w:rPr>
      </w:pPr>
      <w:r w:rsidRPr="00E33AAE">
        <w:rPr>
          <w:rFonts w:ascii="Arial" w:hAnsi="Arial" w:cs="Arial"/>
          <w:noProof/>
          <w:sz w:val="20"/>
          <w:szCs w:val="20"/>
        </w:rPr>
        <w:drawing>
          <wp:anchor distT="0" distB="0" distL="114300" distR="114300" simplePos="0" relativeHeight="251667456" behindDoc="0" locked="0" layoutInCell="1" allowOverlap="1" wp14:anchorId="0D2C29BD" wp14:editId="5E97A4A7">
            <wp:simplePos x="0" y="0"/>
            <wp:positionH relativeFrom="margin">
              <wp:align>left</wp:align>
            </wp:positionH>
            <wp:positionV relativeFrom="paragraph">
              <wp:posOffset>3175</wp:posOffset>
            </wp:positionV>
            <wp:extent cx="4572000" cy="2057400"/>
            <wp:effectExtent l="0" t="0" r="0" b="0"/>
            <wp:wrapNone/>
            <wp:docPr id="6" name="Chart 6">
              <a:extLst xmlns:a="http://schemas.openxmlformats.org/drawingml/2006/main">
                <a:ext uri="{FF2B5EF4-FFF2-40B4-BE49-F238E27FC236}">
                  <a16:creationId xmlns:a16="http://schemas.microsoft.com/office/drawing/2014/main" id="{2EEE5755-54AF-4829-B4F4-4D8CDDC38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792BE2F5" w14:textId="77777777" w:rsidR="00D15B51" w:rsidRPr="00E33AAE" w:rsidRDefault="00D15B51" w:rsidP="00D15B51">
      <w:pPr>
        <w:jc w:val="both"/>
        <w:rPr>
          <w:rFonts w:ascii="Arial" w:hAnsi="Arial" w:cs="Arial"/>
          <w:b/>
          <w:sz w:val="20"/>
          <w:szCs w:val="20"/>
        </w:rPr>
      </w:pPr>
    </w:p>
    <w:p w14:paraId="23AEBC87" w14:textId="77777777" w:rsidR="00D15B51" w:rsidRPr="00E33AAE" w:rsidRDefault="00D15B51" w:rsidP="00D15B51">
      <w:pPr>
        <w:jc w:val="both"/>
        <w:rPr>
          <w:rFonts w:ascii="Arial" w:hAnsi="Arial" w:cs="Arial"/>
          <w:b/>
          <w:sz w:val="20"/>
          <w:szCs w:val="20"/>
        </w:rPr>
      </w:pPr>
    </w:p>
    <w:p w14:paraId="018353B3" w14:textId="77777777" w:rsidR="00D15B51" w:rsidRPr="00E33AAE" w:rsidRDefault="00D15B51" w:rsidP="00D15B51">
      <w:pPr>
        <w:jc w:val="both"/>
        <w:rPr>
          <w:rFonts w:ascii="Arial" w:hAnsi="Arial" w:cs="Arial"/>
          <w:b/>
          <w:sz w:val="20"/>
          <w:szCs w:val="20"/>
        </w:rPr>
      </w:pPr>
    </w:p>
    <w:p w14:paraId="262EA689" w14:textId="77777777" w:rsidR="00D15B51" w:rsidRPr="00E33AAE" w:rsidRDefault="00D15B51" w:rsidP="00D15B51">
      <w:pPr>
        <w:jc w:val="both"/>
        <w:rPr>
          <w:rFonts w:ascii="Arial" w:hAnsi="Arial" w:cs="Arial"/>
          <w:b/>
          <w:sz w:val="20"/>
          <w:szCs w:val="20"/>
        </w:rPr>
      </w:pPr>
    </w:p>
    <w:p w14:paraId="66B7AB90" w14:textId="77777777" w:rsidR="00D15B51" w:rsidRPr="00E33AAE" w:rsidRDefault="00D15B51" w:rsidP="00D15B51">
      <w:pPr>
        <w:jc w:val="both"/>
        <w:rPr>
          <w:rFonts w:ascii="Arial" w:hAnsi="Arial" w:cs="Arial"/>
          <w:b/>
          <w:sz w:val="20"/>
          <w:szCs w:val="20"/>
        </w:rPr>
      </w:pPr>
    </w:p>
    <w:p w14:paraId="2F3D97D5" w14:textId="77777777" w:rsidR="00D15B51" w:rsidRPr="00E33AAE" w:rsidRDefault="00D15B51" w:rsidP="00D15B51">
      <w:pPr>
        <w:jc w:val="both"/>
        <w:rPr>
          <w:rFonts w:ascii="Arial" w:hAnsi="Arial" w:cs="Arial"/>
          <w:b/>
          <w:sz w:val="20"/>
          <w:szCs w:val="20"/>
        </w:rPr>
      </w:pPr>
    </w:p>
    <w:p w14:paraId="68F6805F" w14:textId="77777777" w:rsidR="00D15B51" w:rsidRPr="00E33AAE" w:rsidRDefault="00D15B51" w:rsidP="00D15B51">
      <w:pPr>
        <w:jc w:val="both"/>
        <w:rPr>
          <w:rFonts w:ascii="Arial" w:hAnsi="Arial" w:cs="Arial"/>
          <w:b/>
          <w:sz w:val="20"/>
          <w:szCs w:val="20"/>
        </w:rPr>
      </w:pPr>
    </w:p>
    <w:p w14:paraId="53A7ACFA"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Fig</w:t>
      </w:r>
      <w:r w:rsidR="00032076" w:rsidRPr="00E33AAE">
        <w:rPr>
          <w:rFonts w:ascii="Arial" w:hAnsi="Arial" w:cs="Arial"/>
          <w:b/>
          <w:sz w:val="20"/>
          <w:szCs w:val="20"/>
        </w:rPr>
        <w:t>.</w:t>
      </w:r>
      <w:r w:rsidRPr="00E33AAE">
        <w:rPr>
          <w:rFonts w:ascii="Arial" w:hAnsi="Arial" w:cs="Arial"/>
          <w:b/>
          <w:sz w:val="20"/>
          <w:szCs w:val="20"/>
        </w:rPr>
        <w:t xml:space="preserve"> </w:t>
      </w:r>
      <w:r w:rsidR="007A2304" w:rsidRPr="00E33AAE">
        <w:rPr>
          <w:rFonts w:ascii="Arial" w:hAnsi="Arial" w:cs="Arial"/>
          <w:b/>
          <w:sz w:val="20"/>
          <w:szCs w:val="20"/>
        </w:rPr>
        <w:t>9</w:t>
      </w:r>
      <w:r w:rsidR="00032076" w:rsidRPr="00E33AAE">
        <w:rPr>
          <w:rFonts w:ascii="Arial" w:hAnsi="Arial" w:cs="Arial"/>
          <w:b/>
          <w:sz w:val="20"/>
          <w:szCs w:val="20"/>
        </w:rPr>
        <w:t>.</w:t>
      </w:r>
      <w:r w:rsidRPr="00E33AAE">
        <w:rPr>
          <w:rFonts w:ascii="Arial" w:hAnsi="Arial" w:cs="Arial"/>
          <w:b/>
          <w:sz w:val="20"/>
          <w:szCs w:val="20"/>
        </w:rPr>
        <w:t xml:space="preserve"> Antifungal activity of dichloromethane extract</w:t>
      </w:r>
    </w:p>
    <w:p w14:paraId="62A3E54F" w14:textId="77777777" w:rsidR="00D15B51" w:rsidRPr="00E33AAE" w:rsidRDefault="00D15B51" w:rsidP="00D15B51">
      <w:pPr>
        <w:jc w:val="both"/>
        <w:rPr>
          <w:rFonts w:ascii="Arial" w:hAnsi="Arial" w:cs="Arial"/>
          <w:b/>
          <w:sz w:val="20"/>
          <w:szCs w:val="20"/>
        </w:rPr>
      </w:pPr>
      <w:r w:rsidRPr="00E33AAE">
        <w:rPr>
          <w:rFonts w:ascii="Arial" w:hAnsi="Arial" w:cs="Arial"/>
          <w:noProof/>
          <w:sz w:val="20"/>
          <w:szCs w:val="20"/>
        </w:rPr>
        <w:drawing>
          <wp:anchor distT="0" distB="0" distL="114300" distR="114300" simplePos="0" relativeHeight="251668480" behindDoc="0" locked="0" layoutInCell="1" allowOverlap="1" wp14:anchorId="1C40E7B0" wp14:editId="7A50259E">
            <wp:simplePos x="0" y="0"/>
            <wp:positionH relativeFrom="margin">
              <wp:align>left</wp:align>
            </wp:positionH>
            <wp:positionV relativeFrom="paragraph">
              <wp:posOffset>160020</wp:posOffset>
            </wp:positionV>
            <wp:extent cx="4572000" cy="2028825"/>
            <wp:effectExtent l="0" t="0" r="0" b="9525"/>
            <wp:wrapNone/>
            <wp:docPr id="7" name="Chart 7">
              <a:extLst xmlns:a="http://schemas.openxmlformats.org/drawingml/2006/main">
                <a:ext uri="{FF2B5EF4-FFF2-40B4-BE49-F238E27FC236}">
                  <a16:creationId xmlns:a16="http://schemas.microsoft.com/office/drawing/2014/main" id="{89E71AA3-CCF0-41AD-8E90-76F3F6124E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44A0F685" w14:textId="77777777" w:rsidR="00D15B51" w:rsidRPr="00E33AAE" w:rsidRDefault="00D15B51" w:rsidP="00D15B51">
      <w:pPr>
        <w:jc w:val="both"/>
        <w:rPr>
          <w:rFonts w:ascii="Arial" w:hAnsi="Arial" w:cs="Arial"/>
          <w:b/>
          <w:sz w:val="20"/>
          <w:szCs w:val="20"/>
        </w:rPr>
      </w:pPr>
    </w:p>
    <w:p w14:paraId="6E1E1897" w14:textId="77777777" w:rsidR="00D15B51" w:rsidRPr="00E33AAE" w:rsidRDefault="00D15B51" w:rsidP="00D15B51">
      <w:pPr>
        <w:jc w:val="both"/>
        <w:rPr>
          <w:rFonts w:ascii="Arial" w:hAnsi="Arial" w:cs="Arial"/>
          <w:b/>
          <w:sz w:val="20"/>
          <w:szCs w:val="20"/>
        </w:rPr>
      </w:pPr>
    </w:p>
    <w:p w14:paraId="13A2559D" w14:textId="77777777" w:rsidR="00D15B51" w:rsidRPr="00E33AAE" w:rsidRDefault="00D15B51" w:rsidP="00D15B51">
      <w:pPr>
        <w:jc w:val="both"/>
        <w:rPr>
          <w:rFonts w:ascii="Arial" w:hAnsi="Arial" w:cs="Arial"/>
          <w:b/>
          <w:sz w:val="20"/>
          <w:szCs w:val="20"/>
        </w:rPr>
      </w:pPr>
    </w:p>
    <w:p w14:paraId="55BB2C25" w14:textId="77777777" w:rsidR="00D15B51" w:rsidRPr="00E33AAE" w:rsidRDefault="00D15B51" w:rsidP="00D15B51">
      <w:pPr>
        <w:jc w:val="both"/>
        <w:rPr>
          <w:rFonts w:ascii="Arial" w:hAnsi="Arial" w:cs="Arial"/>
          <w:b/>
          <w:sz w:val="20"/>
          <w:szCs w:val="20"/>
        </w:rPr>
      </w:pPr>
    </w:p>
    <w:p w14:paraId="0899658E" w14:textId="77777777" w:rsidR="00D15B51" w:rsidRPr="00E33AAE" w:rsidRDefault="00D15B51" w:rsidP="00D15B51">
      <w:pPr>
        <w:jc w:val="both"/>
        <w:rPr>
          <w:rFonts w:ascii="Arial" w:hAnsi="Arial" w:cs="Arial"/>
          <w:b/>
          <w:sz w:val="20"/>
          <w:szCs w:val="20"/>
        </w:rPr>
      </w:pPr>
    </w:p>
    <w:p w14:paraId="7FD9B174" w14:textId="77777777" w:rsidR="00D15B51" w:rsidRPr="00E33AAE" w:rsidRDefault="00D15B51" w:rsidP="00D15B51">
      <w:pPr>
        <w:jc w:val="both"/>
        <w:rPr>
          <w:rFonts w:ascii="Arial" w:hAnsi="Arial" w:cs="Arial"/>
          <w:b/>
          <w:sz w:val="20"/>
          <w:szCs w:val="20"/>
        </w:rPr>
      </w:pPr>
    </w:p>
    <w:p w14:paraId="5D79AA2C" w14:textId="77777777" w:rsidR="00D15B51" w:rsidRPr="00E33AAE" w:rsidRDefault="00D15B51" w:rsidP="00D15B51">
      <w:pPr>
        <w:jc w:val="both"/>
        <w:rPr>
          <w:rFonts w:ascii="Arial" w:hAnsi="Arial" w:cs="Arial"/>
          <w:b/>
          <w:sz w:val="20"/>
          <w:szCs w:val="20"/>
        </w:rPr>
      </w:pPr>
    </w:p>
    <w:p w14:paraId="1F823DB7" w14:textId="77777777" w:rsidR="00D15B51" w:rsidRPr="00E33AAE" w:rsidRDefault="00D15B51" w:rsidP="00D15B51">
      <w:pPr>
        <w:jc w:val="both"/>
        <w:rPr>
          <w:rFonts w:ascii="Arial" w:hAnsi="Arial" w:cs="Arial"/>
          <w:b/>
          <w:sz w:val="20"/>
          <w:szCs w:val="20"/>
        </w:rPr>
      </w:pPr>
    </w:p>
    <w:p w14:paraId="62866640"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Fig</w:t>
      </w:r>
      <w:r w:rsidR="00032076" w:rsidRPr="00E33AAE">
        <w:rPr>
          <w:rFonts w:ascii="Arial" w:hAnsi="Arial" w:cs="Arial"/>
          <w:b/>
          <w:sz w:val="20"/>
          <w:szCs w:val="20"/>
        </w:rPr>
        <w:t>.</w:t>
      </w:r>
      <w:r w:rsidRPr="00E33AAE">
        <w:rPr>
          <w:rFonts w:ascii="Arial" w:hAnsi="Arial" w:cs="Arial"/>
          <w:b/>
          <w:sz w:val="20"/>
          <w:szCs w:val="20"/>
        </w:rPr>
        <w:t xml:space="preserve"> </w:t>
      </w:r>
      <w:r w:rsidR="007A2304" w:rsidRPr="00E33AAE">
        <w:rPr>
          <w:rFonts w:ascii="Arial" w:hAnsi="Arial" w:cs="Arial"/>
          <w:b/>
          <w:sz w:val="20"/>
          <w:szCs w:val="20"/>
        </w:rPr>
        <w:t>1</w:t>
      </w:r>
      <w:r w:rsidR="006446CE" w:rsidRPr="00E33AAE">
        <w:rPr>
          <w:rFonts w:ascii="Arial" w:hAnsi="Arial" w:cs="Arial"/>
          <w:b/>
          <w:sz w:val="20"/>
          <w:szCs w:val="20"/>
        </w:rPr>
        <w:t>0</w:t>
      </w:r>
      <w:r w:rsidR="00032076" w:rsidRPr="00E33AAE">
        <w:rPr>
          <w:rFonts w:ascii="Arial" w:hAnsi="Arial" w:cs="Arial"/>
          <w:b/>
          <w:sz w:val="20"/>
          <w:szCs w:val="20"/>
        </w:rPr>
        <w:t>.</w:t>
      </w:r>
      <w:r w:rsidRPr="00E33AAE">
        <w:rPr>
          <w:rFonts w:ascii="Arial" w:hAnsi="Arial" w:cs="Arial"/>
          <w:b/>
          <w:sz w:val="20"/>
          <w:szCs w:val="20"/>
        </w:rPr>
        <w:t>: Antifungal activity of ethyl acetate extract</w:t>
      </w:r>
    </w:p>
    <w:p w14:paraId="590D9E1C" w14:textId="77777777" w:rsidR="00C67120" w:rsidRPr="00E33AAE" w:rsidRDefault="00C67120" w:rsidP="00D15B51">
      <w:pPr>
        <w:jc w:val="both"/>
        <w:rPr>
          <w:rFonts w:ascii="Arial" w:hAnsi="Arial" w:cs="Arial"/>
          <w:b/>
          <w:sz w:val="20"/>
          <w:szCs w:val="20"/>
        </w:rPr>
      </w:pPr>
    </w:p>
    <w:p w14:paraId="7A77717C"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w:t>
      </w:r>
    </w:p>
    <w:p w14:paraId="53498FAB" w14:textId="77777777" w:rsidR="00D15B51" w:rsidRPr="00E33AAE" w:rsidRDefault="001854B0" w:rsidP="00D15B51">
      <w:pPr>
        <w:jc w:val="both"/>
        <w:rPr>
          <w:rFonts w:ascii="Arial" w:hAnsi="Arial" w:cs="Arial"/>
          <w:b/>
          <w:sz w:val="20"/>
          <w:szCs w:val="20"/>
        </w:rPr>
      </w:pPr>
      <w:r w:rsidRPr="00E33AAE">
        <w:rPr>
          <w:rFonts w:ascii="Arial" w:hAnsi="Arial" w:cs="Arial"/>
          <w:noProof/>
          <w:sz w:val="20"/>
          <w:szCs w:val="20"/>
        </w:rPr>
        <w:drawing>
          <wp:anchor distT="0" distB="0" distL="114300" distR="114300" simplePos="0" relativeHeight="251670528" behindDoc="0" locked="0" layoutInCell="1" allowOverlap="1" wp14:anchorId="37B23968" wp14:editId="08E04972">
            <wp:simplePos x="0" y="0"/>
            <wp:positionH relativeFrom="margin">
              <wp:posOffset>228600</wp:posOffset>
            </wp:positionH>
            <wp:positionV relativeFrom="paragraph">
              <wp:posOffset>167640</wp:posOffset>
            </wp:positionV>
            <wp:extent cx="4676775" cy="2247900"/>
            <wp:effectExtent l="0" t="0" r="9525" b="0"/>
            <wp:wrapNone/>
            <wp:docPr id="9" name="Chart 9">
              <a:extLst xmlns:a="http://schemas.openxmlformats.org/drawingml/2006/main">
                <a:ext uri="{FF2B5EF4-FFF2-40B4-BE49-F238E27FC236}">
                  <a16:creationId xmlns:a16="http://schemas.microsoft.com/office/drawing/2014/main" id="{527355F0-142D-4056-8798-639A0F382A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48196312" w14:textId="77777777" w:rsidR="00D15B51" w:rsidRPr="00E33AAE" w:rsidRDefault="00D15B51" w:rsidP="00D15B51">
      <w:pPr>
        <w:jc w:val="both"/>
        <w:rPr>
          <w:rFonts w:ascii="Arial" w:hAnsi="Arial" w:cs="Arial"/>
          <w:b/>
          <w:sz w:val="20"/>
          <w:szCs w:val="20"/>
        </w:rPr>
      </w:pPr>
    </w:p>
    <w:p w14:paraId="10FA7C1D" w14:textId="77777777" w:rsidR="00D15B51" w:rsidRPr="00E33AAE" w:rsidRDefault="00D15B51" w:rsidP="00D15B51">
      <w:pPr>
        <w:jc w:val="both"/>
        <w:rPr>
          <w:rFonts w:ascii="Arial" w:hAnsi="Arial" w:cs="Arial"/>
          <w:b/>
          <w:sz w:val="20"/>
          <w:szCs w:val="20"/>
        </w:rPr>
      </w:pPr>
    </w:p>
    <w:p w14:paraId="74781E74" w14:textId="77777777" w:rsidR="002C1842" w:rsidRPr="00E33AAE" w:rsidRDefault="002C1842" w:rsidP="00D15B51">
      <w:pPr>
        <w:jc w:val="both"/>
        <w:rPr>
          <w:rFonts w:ascii="Arial" w:hAnsi="Arial" w:cs="Arial"/>
          <w:b/>
          <w:sz w:val="20"/>
          <w:szCs w:val="20"/>
        </w:rPr>
      </w:pPr>
    </w:p>
    <w:p w14:paraId="3F3531A4" w14:textId="77777777" w:rsidR="002C1842" w:rsidRPr="00E33AAE" w:rsidRDefault="002C1842" w:rsidP="00D15B51">
      <w:pPr>
        <w:jc w:val="both"/>
        <w:rPr>
          <w:rFonts w:ascii="Arial" w:hAnsi="Arial" w:cs="Arial"/>
          <w:b/>
          <w:sz w:val="20"/>
          <w:szCs w:val="20"/>
        </w:rPr>
      </w:pPr>
    </w:p>
    <w:p w14:paraId="76BE30D3" w14:textId="77777777" w:rsidR="002C1842" w:rsidRPr="00E33AAE" w:rsidRDefault="002C1842" w:rsidP="00D15B51">
      <w:pPr>
        <w:jc w:val="both"/>
        <w:rPr>
          <w:rFonts w:ascii="Arial" w:hAnsi="Arial" w:cs="Arial"/>
          <w:b/>
          <w:sz w:val="20"/>
          <w:szCs w:val="20"/>
        </w:rPr>
      </w:pPr>
    </w:p>
    <w:p w14:paraId="7963FD18" w14:textId="77777777" w:rsidR="002C1842" w:rsidRPr="00E33AAE" w:rsidRDefault="002C1842" w:rsidP="00D15B51">
      <w:pPr>
        <w:jc w:val="both"/>
        <w:rPr>
          <w:rFonts w:ascii="Arial" w:hAnsi="Arial" w:cs="Arial"/>
          <w:b/>
          <w:sz w:val="20"/>
          <w:szCs w:val="20"/>
        </w:rPr>
      </w:pPr>
    </w:p>
    <w:p w14:paraId="0BF17809" w14:textId="77777777" w:rsidR="00D15B51" w:rsidRPr="00E33AAE" w:rsidRDefault="00D15B51" w:rsidP="00D15B51">
      <w:pPr>
        <w:jc w:val="both"/>
        <w:rPr>
          <w:rFonts w:ascii="Arial" w:hAnsi="Arial" w:cs="Arial"/>
          <w:b/>
          <w:sz w:val="20"/>
          <w:szCs w:val="20"/>
        </w:rPr>
      </w:pPr>
    </w:p>
    <w:p w14:paraId="49969D8D" w14:textId="77777777" w:rsidR="00D15B51" w:rsidRPr="00E33AAE" w:rsidRDefault="00D15B51" w:rsidP="00D15B51">
      <w:pPr>
        <w:jc w:val="both"/>
        <w:rPr>
          <w:rFonts w:ascii="Arial" w:hAnsi="Arial" w:cs="Arial"/>
          <w:b/>
          <w:sz w:val="20"/>
          <w:szCs w:val="20"/>
        </w:rPr>
      </w:pPr>
    </w:p>
    <w:p w14:paraId="3227117A" w14:textId="77777777" w:rsidR="00D15B51" w:rsidRPr="00E33AAE" w:rsidRDefault="00D15B51" w:rsidP="00D15B51">
      <w:pPr>
        <w:jc w:val="both"/>
        <w:rPr>
          <w:rFonts w:ascii="Arial" w:hAnsi="Arial" w:cs="Arial"/>
          <w:b/>
          <w:sz w:val="20"/>
          <w:szCs w:val="20"/>
        </w:rPr>
      </w:pPr>
    </w:p>
    <w:p w14:paraId="1FD63456" w14:textId="77777777" w:rsidR="00032076" w:rsidRPr="00E33AAE" w:rsidRDefault="00032076" w:rsidP="00D15B51">
      <w:pPr>
        <w:jc w:val="both"/>
        <w:rPr>
          <w:rFonts w:ascii="Arial" w:hAnsi="Arial" w:cs="Arial"/>
          <w:b/>
          <w:sz w:val="20"/>
          <w:szCs w:val="20"/>
        </w:rPr>
      </w:pPr>
    </w:p>
    <w:p w14:paraId="77A297DD" w14:textId="77777777" w:rsidR="003E52FA" w:rsidRPr="00E33AAE" w:rsidRDefault="00D15B51" w:rsidP="00D15B51">
      <w:pPr>
        <w:jc w:val="both"/>
        <w:rPr>
          <w:rFonts w:ascii="Arial" w:hAnsi="Arial" w:cs="Arial"/>
          <w:b/>
          <w:sz w:val="20"/>
          <w:szCs w:val="20"/>
        </w:rPr>
      </w:pPr>
      <w:r w:rsidRPr="00E33AAE">
        <w:rPr>
          <w:rFonts w:ascii="Arial" w:hAnsi="Arial" w:cs="Arial"/>
          <w:b/>
          <w:sz w:val="20"/>
          <w:szCs w:val="20"/>
        </w:rPr>
        <w:t>Fig</w:t>
      </w:r>
      <w:r w:rsidR="00A663C8" w:rsidRPr="00E33AAE">
        <w:rPr>
          <w:rFonts w:ascii="Arial" w:hAnsi="Arial" w:cs="Arial"/>
          <w:b/>
          <w:sz w:val="20"/>
          <w:szCs w:val="20"/>
        </w:rPr>
        <w:t>.</w:t>
      </w:r>
      <w:r w:rsidRPr="00E33AAE">
        <w:rPr>
          <w:rFonts w:ascii="Arial" w:hAnsi="Arial" w:cs="Arial"/>
          <w:b/>
          <w:sz w:val="20"/>
          <w:szCs w:val="20"/>
        </w:rPr>
        <w:t xml:space="preserve"> </w:t>
      </w:r>
      <w:r w:rsidR="007A2304" w:rsidRPr="00E33AAE">
        <w:rPr>
          <w:rFonts w:ascii="Arial" w:hAnsi="Arial" w:cs="Arial"/>
          <w:b/>
          <w:sz w:val="20"/>
          <w:szCs w:val="20"/>
        </w:rPr>
        <w:t>1</w:t>
      </w:r>
      <w:r w:rsidR="006446CE" w:rsidRPr="00E33AAE">
        <w:rPr>
          <w:rFonts w:ascii="Arial" w:hAnsi="Arial" w:cs="Arial"/>
          <w:b/>
          <w:sz w:val="20"/>
          <w:szCs w:val="20"/>
        </w:rPr>
        <w:t>1</w:t>
      </w:r>
      <w:r w:rsidR="00A663C8" w:rsidRPr="00E33AAE">
        <w:rPr>
          <w:rFonts w:ascii="Arial" w:hAnsi="Arial" w:cs="Arial"/>
          <w:b/>
          <w:sz w:val="20"/>
          <w:szCs w:val="20"/>
        </w:rPr>
        <w:t>.</w:t>
      </w:r>
      <w:r w:rsidRPr="00E33AAE">
        <w:rPr>
          <w:rFonts w:ascii="Arial" w:hAnsi="Arial" w:cs="Arial"/>
          <w:b/>
          <w:sz w:val="20"/>
          <w:szCs w:val="20"/>
        </w:rPr>
        <w:t xml:space="preserve"> Antifungal activity of methanol extract</w:t>
      </w:r>
    </w:p>
    <w:p w14:paraId="33A8E435" w14:textId="77777777" w:rsidR="00D15B51" w:rsidRPr="00E33AAE" w:rsidRDefault="00D15B51" w:rsidP="00D15B51">
      <w:pPr>
        <w:jc w:val="both"/>
        <w:rPr>
          <w:rFonts w:ascii="Arial" w:hAnsi="Arial" w:cs="Arial"/>
          <w:b/>
          <w:sz w:val="20"/>
          <w:szCs w:val="20"/>
        </w:rPr>
      </w:pPr>
    </w:p>
    <w:p w14:paraId="7147A6E2" w14:textId="77777777" w:rsidR="00D15B51" w:rsidRPr="00E33AAE" w:rsidRDefault="00D15B51" w:rsidP="00D15B51">
      <w:pPr>
        <w:jc w:val="both"/>
        <w:rPr>
          <w:rFonts w:ascii="Arial" w:hAnsi="Arial" w:cs="Arial"/>
          <w:b/>
          <w:sz w:val="20"/>
          <w:szCs w:val="20"/>
        </w:rPr>
      </w:pPr>
    </w:p>
    <w:p w14:paraId="64DA1FF0" w14:textId="77777777" w:rsidR="00D15B51" w:rsidRPr="00E33AAE" w:rsidRDefault="00D15B51" w:rsidP="00D15B51">
      <w:pPr>
        <w:jc w:val="both"/>
        <w:rPr>
          <w:rFonts w:ascii="Arial" w:hAnsi="Arial" w:cs="Arial"/>
          <w:b/>
          <w:sz w:val="20"/>
          <w:szCs w:val="20"/>
        </w:rPr>
      </w:pPr>
    </w:p>
    <w:p w14:paraId="1F083380"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w:t>
      </w:r>
    </w:p>
    <w:p w14:paraId="18AC6BE7" w14:textId="77777777" w:rsidR="00D15B51" w:rsidRPr="00E33AAE" w:rsidRDefault="00D15B51" w:rsidP="00D15B51">
      <w:pPr>
        <w:jc w:val="both"/>
        <w:rPr>
          <w:rFonts w:ascii="Arial" w:hAnsi="Arial" w:cs="Arial"/>
          <w:b/>
          <w:sz w:val="20"/>
          <w:szCs w:val="20"/>
        </w:rPr>
      </w:pPr>
    </w:p>
    <w:p w14:paraId="29B42B73" w14:textId="77777777" w:rsidR="00D15B51" w:rsidRPr="00E33AAE" w:rsidRDefault="00D55E28" w:rsidP="00D15B51">
      <w:pPr>
        <w:jc w:val="both"/>
        <w:rPr>
          <w:rFonts w:ascii="Arial" w:hAnsi="Arial" w:cs="Arial"/>
          <w:b/>
          <w:sz w:val="20"/>
          <w:szCs w:val="20"/>
        </w:rPr>
      </w:pPr>
      <w:r w:rsidRPr="00E33AAE">
        <w:rPr>
          <w:rFonts w:ascii="Arial" w:hAnsi="Arial" w:cs="Arial"/>
          <w:noProof/>
          <w:sz w:val="20"/>
          <w:szCs w:val="20"/>
        </w:rPr>
        <w:drawing>
          <wp:anchor distT="0" distB="0" distL="114300" distR="114300" simplePos="0" relativeHeight="251671552" behindDoc="0" locked="0" layoutInCell="1" allowOverlap="1" wp14:anchorId="7F30F059" wp14:editId="7B98CACA">
            <wp:simplePos x="0" y="0"/>
            <wp:positionH relativeFrom="margin">
              <wp:posOffset>-1372</wp:posOffset>
            </wp:positionH>
            <wp:positionV relativeFrom="paragraph">
              <wp:posOffset>-480568</wp:posOffset>
            </wp:positionV>
            <wp:extent cx="4572000" cy="2038350"/>
            <wp:effectExtent l="0" t="0" r="0" b="0"/>
            <wp:wrapNone/>
            <wp:docPr id="10" name="Chart 10">
              <a:extLst xmlns:a="http://schemas.openxmlformats.org/drawingml/2006/main">
                <a:ext uri="{FF2B5EF4-FFF2-40B4-BE49-F238E27FC236}">
                  <a16:creationId xmlns:a16="http://schemas.microsoft.com/office/drawing/2014/main" id="{64B686D5-3B01-4867-AC6F-404922FBEB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7FF3ACE5" w14:textId="77777777" w:rsidR="00D15B51" w:rsidRPr="00E33AAE" w:rsidRDefault="00D15B51" w:rsidP="00D15B51">
      <w:pPr>
        <w:jc w:val="both"/>
        <w:rPr>
          <w:rFonts w:ascii="Arial" w:hAnsi="Arial" w:cs="Arial"/>
          <w:b/>
          <w:sz w:val="20"/>
          <w:szCs w:val="20"/>
        </w:rPr>
      </w:pPr>
    </w:p>
    <w:p w14:paraId="423CD064" w14:textId="77777777" w:rsidR="00D55E28" w:rsidRPr="00E33AAE" w:rsidRDefault="00D55E28" w:rsidP="00D15B51">
      <w:pPr>
        <w:jc w:val="both"/>
        <w:rPr>
          <w:rFonts w:ascii="Arial" w:hAnsi="Arial" w:cs="Arial"/>
          <w:b/>
          <w:sz w:val="20"/>
          <w:szCs w:val="20"/>
        </w:rPr>
      </w:pPr>
    </w:p>
    <w:p w14:paraId="32136844" w14:textId="77777777" w:rsidR="00D55E28" w:rsidRPr="00E33AAE" w:rsidRDefault="00D55E28" w:rsidP="00D15B51">
      <w:pPr>
        <w:jc w:val="both"/>
        <w:rPr>
          <w:rFonts w:ascii="Arial" w:hAnsi="Arial" w:cs="Arial"/>
          <w:b/>
          <w:sz w:val="20"/>
          <w:szCs w:val="20"/>
        </w:rPr>
      </w:pPr>
    </w:p>
    <w:p w14:paraId="2D93CDAC" w14:textId="77777777" w:rsidR="00D55E28" w:rsidRPr="00E33AAE" w:rsidRDefault="00D55E28" w:rsidP="00D15B51">
      <w:pPr>
        <w:jc w:val="both"/>
        <w:rPr>
          <w:rFonts w:ascii="Arial" w:hAnsi="Arial" w:cs="Arial"/>
          <w:b/>
          <w:sz w:val="20"/>
          <w:szCs w:val="20"/>
        </w:rPr>
      </w:pPr>
    </w:p>
    <w:p w14:paraId="1A461894" w14:textId="77777777" w:rsidR="00D55E28" w:rsidRPr="00E33AAE" w:rsidRDefault="00D55E28" w:rsidP="00D15B51">
      <w:pPr>
        <w:jc w:val="both"/>
        <w:rPr>
          <w:rFonts w:ascii="Arial" w:hAnsi="Arial" w:cs="Arial"/>
          <w:b/>
          <w:sz w:val="20"/>
          <w:szCs w:val="20"/>
        </w:rPr>
      </w:pPr>
    </w:p>
    <w:p w14:paraId="0E29981F" w14:textId="77777777" w:rsidR="00D55E28" w:rsidRPr="00E33AAE" w:rsidRDefault="00D55E28" w:rsidP="00D15B51">
      <w:pPr>
        <w:jc w:val="both"/>
        <w:rPr>
          <w:rFonts w:ascii="Arial" w:hAnsi="Arial" w:cs="Arial"/>
          <w:b/>
          <w:sz w:val="20"/>
          <w:szCs w:val="20"/>
        </w:rPr>
      </w:pPr>
    </w:p>
    <w:p w14:paraId="6CBD9322" w14:textId="77777777" w:rsidR="00D15B51" w:rsidRPr="00E33AAE" w:rsidRDefault="00D15B51" w:rsidP="00D15B51">
      <w:pPr>
        <w:jc w:val="both"/>
        <w:rPr>
          <w:rFonts w:ascii="Arial" w:hAnsi="Arial" w:cs="Arial"/>
          <w:b/>
          <w:sz w:val="20"/>
          <w:szCs w:val="20"/>
        </w:rPr>
      </w:pPr>
    </w:p>
    <w:p w14:paraId="3FC27032" w14:textId="77777777" w:rsidR="00D15B51" w:rsidRPr="00E33AAE" w:rsidRDefault="00D15B51" w:rsidP="00D15B51">
      <w:pPr>
        <w:jc w:val="both"/>
        <w:rPr>
          <w:rFonts w:ascii="Arial" w:hAnsi="Arial" w:cs="Arial"/>
          <w:b/>
          <w:sz w:val="20"/>
          <w:szCs w:val="20"/>
        </w:rPr>
      </w:pPr>
    </w:p>
    <w:p w14:paraId="2156F6EC"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Fig</w:t>
      </w:r>
      <w:r w:rsidR="000F674F" w:rsidRPr="00E33AAE">
        <w:rPr>
          <w:rFonts w:ascii="Arial" w:hAnsi="Arial" w:cs="Arial"/>
          <w:b/>
          <w:sz w:val="20"/>
          <w:szCs w:val="20"/>
        </w:rPr>
        <w:t>.</w:t>
      </w:r>
      <w:r w:rsidRPr="00E33AAE">
        <w:rPr>
          <w:rFonts w:ascii="Arial" w:hAnsi="Arial" w:cs="Arial"/>
          <w:b/>
          <w:sz w:val="20"/>
          <w:szCs w:val="20"/>
        </w:rPr>
        <w:t xml:space="preserve"> 1</w:t>
      </w:r>
      <w:r w:rsidR="007A2304" w:rsidRPr="00E33AAE">
        <w:rPr>
          <w:rFonts w:ascii="Arial" w:hAnsi="Arial" w:cs="Arial"/>
          <w:b/>
          <w:sz w:val="20"/>
          <w:szCs w:val="20"/>
        </w:rPr>
        <w:t>2</w:t>
      </w:r>
      <w:r w:rsidR="000F674F" w:rsidRPr="00E33AAE">
        <w:rPr>
          <w:rFonts w:ascii="Arial" w:hAnsi="Arial" w:cs="Arial"/>
          <w:b/>
          <w:sz w:val="20"/>
          <w:szCs w:val="20"/>
        </w:rPr>
        <w:t>.</w:t>
      </w:r>
      <w:r w:rsidRPr="00E33AAE">
        <w:rPr>
          <w:rFonts w:ascii="Arial" w:hAnsi="Arial" w:cs="Arial"/>
          <w:b/>
          <w:sz w:val="20"/>
          <w:szCs w:val="20"/>
        </w:rPr>
        <w:t xml:space="preserve"> Antifungal activity of aqueous extract</w:t>
      </w:r>
    </w:p>
    <w:p w14:paraId="204B7D86" w14:textId="77777777" w:rsidR="00D15B51" w:rsidRPr="00E33AAE" w:rsidRDefault="00D15B51" w:rsidP="00D15B51">
      <w:pPr>
        <w:jc w:val="both"/>
        <w:rPr>
          <w:rFonts w:ascii="Arial" w:hAnsi="Arial" w:cs="Arial"/>
          <w:b/>
          <w:sz w:val="20"/>
          <w:szCs w:val="20"/>
        </w:rPr>
      </w:pPr>
    </w:p>
    <w:p w14:paraId="0B1B4397" w14:textId="77777777" w:rsidR="00D15B51" w:rsidRPr="00E33AAE" w:rsidRDefault="00D15B51" w:rsidP="00D15B51">
      <w:pPr>
        <w:jc w:val="both"/>
        <w:rPr>
          <w:rFonts w:ascii="Arial" w:hAnsi="Arial" w:cs="Arial"/>
          <w:b/>
          <w:sz w:val="20"/>
          <w:szCs w:val="20"/>
        </w:rPr>
      </w:pPr>
    </w:p>
    <w:p w14:paraId="2FFCBD64" w14:textId="77777777" w:rsidR="00D15B51" w:rsidRPr="00E33AAE" w:rsidRDefault="00D15B51" w:rsidP="00D15B51">
      <w:pPr>
        <w:jc w:val="both"/>
        <w:rPr>
          <w:rFonts w:ascii="Arial" w:hAnsi="Arial" w:cs="Arial"/>
          <w:b/>
          <w:sz w:val="20"/>
          <w:szCs w:val="20"/>
        </w:rPr>
      </w:pPr>
    </w:p>
    <w:p w14:paraId="0DFA6E63" w14:textId="77777777" w:rsidR="00D15B51" w:rsidRPr="00E33AAE" w:rsidRDefault="00D15B51" w:rsidP="00D15B51">
      <w:pPr>
        <w:jc w:val="both"/>
        <w:rPr>
          <w:rFonts w:ascii="Arial" w:hAnsi="Arial" w:cs="Arial"/>
          <w:b/>
          <w:sz w:val="20"/>
          <w:szCs w:val="20"/>
        </w:rPr>
      </w:pPr>
    </w:p>
    <w:p w14:paraId="5B698343" w14:textId="77777777" w:rsidR="00D15B51" w:rsidRPr="00E33AAE" w:rsidRDefault="00D15B51" w:rsidP="00D15B51">
      <w:pPr>
        <w:jc w:val="both"/>
        <w:rPr>
          <w:rFonts w:ascii="Arial" w:hAnsi="Arial" w:cs="Arial"/>
          <w:b/>
          <w:sz w:val="20"/>
          <w:szCs w:val="20"/>
        </w:rPr>
      </w:pPr>
    </w:p>
    <w:p w14:paraId="79DD7D20" w14:textId="77777777" w:rsidR="00D15B51" w:rsidRPr="00E33AAE" w:rsidRDefault="00D15B51" w:rsidP="00D15B51">
      <w:pPr>
        <w:jc w:val="both"/>
        <w:rPr>
          <w:rFonts w:ascii="Arial" w:hAnsi="Arial" w:cs="Arial"/>
          <w:b/>
          <w:sz w:val="20"/>
          <w:szCs w:val="20"/>
        </w:rPr>
      </w:pPr>
    </w:p>
    <w:p w14:paraId="41162205" w14:textId="77777777" w:rsidR="00D15B51" w:rsidRPr="00E33AAE" w:rsidRDefault="00CE3080" w:rsidP="00D15B51">
      <w:pPr>
        <w:jc w:val="both"/>
        <w:rPr>
          <w:rFonts w:ascii="Arial" w:hAnsi="Arial" w:cs="Arial"/>
          <w:b/>
          <w:sz w:val="20"/>
          <w:szCs w:val="20"/>
        </w:rPr>
      </w:pPr>
      <w:r w:rsidRPr="00E33AAE">
        <w:rPr>
          <w:rFonts w:ascii="Arial" w:hAnsi="Arial" w:cs="Arial"/>
          <w:noProof/>
          <w:sz w:val="20"/>
          <w:szCs w:val="20"/>
        </w:rPr>
        <w:drawing>
          <wp:anchor distT="0" distB="0" distL="114300" distR="114300" simplePos="0" relativeHeight="251673600" behindDoc="0" locked="0" layoutInCell="1" allowOverlap="1" wp14:anchorId="6A582FFF" wp14:editId="794C1C0B">
            <wp:simplePos x="0" y="0"/>
            <wp:positionH relativeFrom="margin">
              <wp:posOffset>142504</wp:posOffset>
            </wp:positionH>
            <wp:positionV relativeFrom="paragraph">
              <wp:posOffset>84546</wp:posOffset>
            </wp:positionV>
            <wp:extent cx="4572000" cy="2047875"/>
            <wp:effectExtent l="0" t="0" r="0" b="9525"/>
            <wp:wrapNone/>
            <wp:docPr id="11" name="Chart 11">
              <a:extLst xmlns:a="http://schemas.openxmlformats.org/drawingml/2006/main">
                <a:ext uri="{FF2B5EF4-FFF2-40B4-BE49-F238E27FC236}">
                  <a16:creationId xmlns:a16="http://schemas.microsoft.com/office/drawing/2014/main" id="{E5D61E9D-629E-48C8-A538-5417B6FB0A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0923FB27" w14:textId="77777777" w:rsidR="00CE3080" w:rsidRPr="00E33AAE" w:rsidRDefault="00CE3080" w:rsidP="00D15B51">
      <w:pPr>
        <w:jc w:val="both"/>
        <w:rPr>
          <w:rFonts w:ascii="Arial" w:hAnsi="Arial" w:cs="Arial"/>
          <w:b/>
          <w:sz w:val="20"/>
          <w:szCs w:val="20"/>
        </w:rPr>
      </w:pPr>
    </w:p>
    <w:p w14:paraId="4466B8C5" w14:textId="77777777" w:rsidR="00CE3080" w:rsidRPr="00E33AAE" w:rsidRDefault="00CE3080" w:rsidP="00D15B51">
      <w:pPr>
        <w:jc w:val="both"/>
        <w:rPr>
          <w:rFonts w:ascii="Arial" w:hAnsi="Arial" w:cs="Arial"/>
          <w:b/>
          <w:sz w:val="20"/>
          <w:szCs w:val="20"/>
        </w:rPr>
      </w:pPr>
    </w:p>
    <w:p w14:paraId="33CB40D9" w14:textId="77777777" w:rsidR="00CE3080" w:rsidRPr="00E33AAE" w:rsidRDefault="00CE3080" w:rsidP="00D15B51">
      <w:pPr>
        <w:jc w:val="both"/>
        <w:rPr>
          <w:rFonts w:ascii="Arial" w:hAnsi="Arial" w:cs="Arial"/>
          <w:b/>
          <w:sz w:val="20"/>
          <w:szCs w:val="20"/>
        </w:rPr>
      </w:pPr>
    </w:p>
    <w:p w14:paraId="17839229" w14:textId="77777777" w:rsidR="00CE3080" w:rsidRPr="00E33AAE" w:rsidRDefault="00CE3080" w:rsidP="00D15B51">
      <w:pPr>
        <w:jc w:val="both"/>
        <w:rPr>
          <w:rFonts w:ascii="Arial" w:hAnsi="Arial" w:cs="Arial"/>
          <w:b/>
          <w:sz w:val="20"/>
          <w:szCs w:val="20"/>
        </w:rPr>
      </w:pPr>
    </w:p>
    <w:p w14:paraId="2D8AF3C1" w14:textId="77777777" w:rsidR="00CE3080" w:rsidRPr="00E33AAE" w:rsidRDefault="00CE3080" w:rsidP="00D15B51">
      <w:pPr>
        <w:jc w:val="both"/>
        <w:rPr>
          <w:rFonts w:ascii="Arial" w:hAnsi="Arial" w:cs="Arial"/>
          <w:b/>
          <w:sz w:val="20"/>
          <w:szCs w:val="20"/>
        </w:rPr>
      </w:pPr>
    </w:p>
    <w:p w14:paraId="46B60A2E" w14:textId="77777777" w:rsidR="00D15B51" w:rsidRPr="00E33AAE" w:rsidRDefault="00D15B51" w:rsidP="00D15B51">
      <w:pPr>
        <w:jc w:val="both"/>
        <w:rPr>
          <w:rFonts w:ascii="Arial" w:hAnsi="Arial" w:cs="Arial"/>
          <w:b/>
          <w:sz w:val="20"/>
          <w:szCs w:val="20"/>
        </w:rPr>
      </w:pPr>
    </w:p>
    <w:p w14:paraId="50B16319" w14:textId="77777777" w:rsidR="00D15B51" w:rsidRPr="00E33AAE" w:rsidRDefault="00D15B51" w:rsidP="00D15B51">
      <w:pPr>
        <w:jc w:val="both"/>
        <w:rPr>
          <w:rFonts w:ascii="Arial" w:hAnsi="Arial" w:cs="Arial"/>
          <w:b/>
          <w:sz w:val="20"/>
          <w:szCs w:val="20"/>
        </w:rPr>
      </w:pPr>
    </w:p>
    <w:p w14:paraId="40338E7F" w14:textId="77777777" w:rsidR="00D55E28" w:rsidRPr="00E33AAE" w:rsidRDefault="00D55E28" w:rsidP="00D15B51">
      <w:pPr>
        <w:jc w:val="both"/>
        <w:rPr>
          <w:rFonts w:ascii="Arial" w:hAnsi="Arial" w:cs="Arial"/>
          <w:b/>
          <w:sz w:val="20"/>
          <w:szCs w:val="20"/>
        </w:rPr>
      </w:pPr>
    </w:p>
    <w:p w14:paraId="14EE84DE"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Fig</w:t>
      </w:r>
      <w:r w:rsidR="00FA0FB9" w:rsidRPr="00E33AAE">
        <w:rPr>
          <w:rFonts w:ascii="Arial" w:hAnsi="Arial" w:cs="Arial"/>
          <w:b/>
          <w:sz w:val="20"/>
          <w:szCs w:val="20"/>
        </w:rPr>
        <w:t>.</w:t>
      </w:r>
      <w:r w:rsidRPr="00E33AAE">
        <w:rPr>
          <w:rFonts w:ascii="Arial" w:hAnsi="Arial" w:cs="Arial"/>
          <w:b/>
          <w:sz w:val="20"/>
          <w:szCs w:val="20"/>
        </w:rPr>
        <w:t xml:space="preserve"> 1</w:t>
      </w:r>
      <w:r w:rsidR="007A2304" w:rsidRPr="00E33AAE">
        <w:rPr>
          <w:rFonts w:ascii="Arial" w:hAnsi="Arial" w:cs="Arial"/>
          <w:b/>
          <w:sz w:val="20"/>
          <w:szCs w:val="20"/>
        </w:rPr>
        <w:t>3</w:t>
      </w:r>
      <w:r w:rsidR="00FA0FB9" w:rsidRPr="00E33AAE">
        <w:rPr>
          <w:rFonts w:ascii="Arial" w:hAnsi="Arial" w:cs="Arial"/>
          <w:b/>
          <w:sz w:val="20"/>
          <w:szCs w:val="20"/>
        </w:rPr>
        <w:t>.</w:t>
      </w:r>
      <w:r w:rsidRPr="00E33AAE">
        <w:rPr>
          <w:rFonts w:ascii="Arial" w:hAnsi="Arial" w:cs="Arial"/>
          <w:b/>
          <w:sz w:val="20"/>
          <w:szCs w:val="20"/>
        </w:rPr>
        <w:t xml:space="preserve"> Antibacterial activity of chromatographic fraction C</w:t>
      </w:r>
    </w:p>
    <w:p w14:paraId="1D6BED40" w14:textId="77777777" w:rsidR="005E5C6A" w:rsidRPr="00E33AAE" w:rsidRDefault="005E5C6A" w:rsidP="00D15B51">
      <w:pPr>
        <w:jc w:val="both"/>
        <w:rPr>
          <w:rFonts w:ascii="Arial" w:hAnsi="Arial" w:cs="Arial"/>
          <w:b/>
          <w:sz w:val="20"/>
          <w:szCs w:val="20"/>
        </w:rPr>
      </w:pPr>
    </w:p>
    <w:p w14:paraId="5079775B" w14:textId="77777777" w:rsidR="005E5C6A" w:rsidRPr="00E33AAE" w:rsidRDefault="005E5C6A" w:rsidP="00D15B51">
      <w:pPr>
        <w:jc w:val="both"/>
        <w:rPr>
          <w:rFonts w:ascii="Arial" w:hAnsi="Arial" w:cs="Arial"/>
          <w:b/>
          <w:sz w:val="20"/>
          <w:szCs w:val="20"/>
        </w:rPr>
      </w:pPr>
    </w:p>
    <w:p w14:paraId="5EE4C65B" w14:textId="77777777" w:rsidR="005E5C6A" w:rsidRPr="00E33AAE" w:rsidRDefault="005E5C6A" w:rsidP="00D15B51">
      <w:pPr>
        <w:jc w:val="both"/>
        <w:rPr>
          <w:rFonts w:ascii="Arial" w:hAnsi="Arial" w:cs="Arial"/>
          <w:b/>
          <w:sz w:val="20"/>
          <w:szCs w:val="20"/>
        </w:rPr>
      </w:pPr>
    </w:p>
    <w:p w14:paraId="099A8B45" w14:textId="77777777" w:rsidR="005E5C6A" w:rsidRPr="00E33AAE" w:rsidRDefault="005E5C6A" w:rsidP="00D15B51">
      <w:pPr>
        <w:jc w:val="both"/>
        <w:rPr>
          <w:rFonts w:ascii="Arial" w:hAnsi="Arial" w:cs="Arial"/>
          <w:b/>
          <w:sz w:val="20"/>
          <w:szCs w:val="20"/>
        </w:rPr>
      </w:pPr>
    </w:p>
    <w:p w14:paraId="08DD935D" w14:textId="77777777" w:rsidR="005E5C6A" w:rsidRPr="00E33AAE" w:rsidRDefault="005E5C6A" w:rsidP="00D15B51">
      <w:pPr>
        <w:jc w:val="both"/>
        <w:rPr>
          <w:rFonts w:ascii="Arial" w:hAnsi="Arial" w:cs="Arial"/>
          <w:b/>
          <w:sz w:val="20"/>
          <w:szCs w:val="20"/>
        </w:rPr>
      </w:pPr>
    </w:p>
    <w:p w14:paraId="376AFA3A" w14:textId="77777777" w:rsidR="005E5C6A" w:rsidRPr="00E33AAE" w:rsidRDefault="005E5C6A" w:rsidP="00D15B51">
      <w:pPr>
        <w:jc w:val="both"/>
        <w:rPr>
          <w:rFonts w:ascii="Arial" w:hAnsi="Arial" w:cs="Arial"/>
          <w:b/>
          <w:sz w:val="20"/>
          <w:szCs w:val="20"/>
        </w:rPr>
      </w:pPr>
    </w:p>
    <w:p w14:paraId="1E0E59B1" w14:textId="77777777" w:rsidR="00D15B51" w:rsidRPr="00E33AAE" w:rsidRDefault="00D15B51" w:rsidP="00D15B51">
      <w:pPr>
        <w:jc w:val="both"/>
        <w:rPr>
          <w:rFonts w:ascii="Arial" w:hAnsi="Arial" w:cs="Arial"/>
          <w:b/>
          <w:sz w:val="20"/>
          <w:szCs w:val="20"/>
        </w:rPr>
      </w:pPr>
    </w:p>
    <w:p w14:paraId="27938DE1" w14:textId="77777777" w:rsidR="00D15B51" w:rsidRPr="00E33AAE" w:rsidRDefault="002C1842" w:rsidP="00D15B51">
      <w:pPr>
        <w:jc w:val="both"/>
        <w:rPr>
          <w:rFonts w:ascii="Arial" w:hAnsi="Arial" w:cs="Arial"/>
          <w:b/>
          <w:sz w:val="20"/>
          <w:szCs w:val="20"/>
        </w:rPr>
      </w:pPr>
      <w:r w:rsidRPr="00E33AAE">
        <w:rPr>
          <w:rFonts w:ascii="Arial" w:hAnsi="Arial" w:cs="Arial"/>
          <w:noProof/>
          <w:sz w:val="20"/>
          <w:szCs w:val="20"/>
        </w:rPr>
        <w:drawing>
          <wp:anchor distT="0" distB="0" distL="114300" distR="114300" simplePos="0" relativeHeight="251672576" behindDoc="0" locked="0" layoutInCell="1" allowOverlap="1" wp14:anchorId="3DE75AE1" wp14:editId="1CF08EDC">
            <wp:simplePos x="0" y="0"/>
            <wp:positionH relativeFrom="margin">
              <wp:posOffset>273133</wp:posOffset>
            </wp:positionH>
            <wp:positionV relativeFrom="paragraph">
              <wp:posOffset>-108272</wp:posOffset>
            </wp:positionV>
            <wp:extent cx="4572000" cy="2009775"/>
            <wp:effectExtent l="0" t="0" r="0" b="9525"/>
            <wp:wrapNone/>
            <wp:docPr id="12" name="Chart 12">
              <a:extLst xmlns:a="http://schemas.openxmlformats.org/drawingml/2006/main">
                <a:ext uri="{FF2B5EF4-FFF2-40B4-BE49-F238E27FC236}">
                  <a16:creationId xmlns:a16="http://schemas.microsoft.com/office/drawing/2014/main" id="{07FC948D-3796-4289-9E66-7160F18B61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62B6BB84" w14:textId="77777777" w:rsidR="002C1842" w:rsidRPr="00E33AAE" w:rsidRDefault="002C1842" w:rsidP="00D15B51">
      <w:pPr>
        <w:jc w:val="both"/>
        <w:rPr>
          <w:rFonts w:ascii="Arial" w:hAnsi="Arial" w:cs="Arial"/>
          <w:b/>
          <w:sz w:val="20"/>
          <w:szCs w:val="20"/>
        </w:rPr>
      </w:pPr>
    </w:p>
    <w:p w14:paraId="17449B6F" w14:textId="77777777" w:rsidR="002C1842" w:rsidRPr="00E33AAE" w:rsidRDefault="002C1842" w:rsidP="00D15B51">
      <w:pPr>
        <w:jc w:val="both"/>
        <w:rPr>
          <w:rFonts w:ascii="Arial" w:hAnsi="Arial" w:cs="Arial"/>
          <w:b/>
          <w:sz w:val="20"/>
          <w:szCs w:val="20"/>
        </w:rPr>
      </w:pPr>
    </w:p>
    <w:p w14:paraId="3E0BBB0E" w14:textId="77777777" w:rsidR="002C1842" w:rsidRPr="00E33AAE" w:rsidRDefault="002C1842" w:rsidP="00D15B51">
      <w:pPr>
        <w:jc w:val="both"/>
        <w:rPr>
          <w:rFonts w:ascii="Arial" w:hAnsi="Arial" w:cs="Arial"/>
          <w:b/>
          <w:sz w:val="20"/>
          <w:szCs w:val="20"/>
        </w:rPr>
      </w:pPr>
    </w:p>
    <w:p w14:paraId="6313D7BC" w14:textId="77777777" w:rsidR="002C1842" w:rsidRPr="00E33AAE" w:rsidRDefault="002C1842" w:rsidP="00D15B51">
      <w:pPr>
        <w:jc w:val="both"/>
        <w:rPr>
          <w:rFonts w:ascii="Arial" w:hAnsi="Arial" w:cs="Arial"/>
          <w:b/>
          <w:sz w:val="20"/>
          <w:szCs w:val="20"/>
        </w:rPr>
      </w:pPr>
    </w:p>
    <w:p w14:paraId="0B48245D" w14:textId="77777777" w:rsidR="002C1842" w:rsidRPr="00E33AAE" w:rsidRDefault="002C1842" w:rsidP="00D15B51">
      <w:pPr>
        <w:jc w:val="both"/>
        <w:rPr>
          <w:rFonts w:ascii="Arial" w:hAnsi="Arial" w:cs="Arial"/>
          <w:b/>
          <w:sz w:val="20"/>
          <w:szCs w:val="20"/>
        </w:rPr>
      </w:pPr>
    </w:p>
    <w:p w14:paraId="69A7A7D3" w14:textId="77777777" w:rsidR="00D15B51" w:rsidRPr="00E33AAE" w:rsidRDefault="00D15B51" w:rsidP="00D15B51">
      <w:pPr>
        <w:jc w:val="both"/>
        <w:rPr>
          <w:rFonts w:ascii="Arial" w:hAnsi="Arial" w:cs="Arial"/>
          <w:b/>
          <w:sz w:val="20"/>
          <w:szCs w:val="20"/>
        </w:rPr>
      </w:pPr>
    </w:p>
    <w:p w14:paraId="5FDE31A7" w14:textId="77777777" w:rsidR="00D15B51" w:rsidRPr="00E33AAE" w:rsidRDefault="00D15B51" w:rsidP="00D15B51">
      <w:pPr>
        <w:jc w:val="both"/>
        <w:rPr>
          <w:rFonts w:ascii="Arial" w:hAnsi="Arial" w:cs="Arial"/>
          <w:b/>
          <w:sz w:val="20"/>
          <w:szCs w:val="20"/>
        </w:rPr>
      </w:pPr>
    </w:p>
    <w:p w14:paraId="6A23B200"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                  </w:t>
      </w:r>
    </w:p>
    <w:p w14:paraId="76709E23"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Fig</w:t>
      </w:r>
      <w:r w:rsidR="00FA0FB9" w:rsidRPr="00E33AAE">
        <w:rPr>
          <w:rFonts w:ascii="Arial" w:hAnsi="Arial" w:cs="Arial"/>
          <w:b/>
          <w:sz w:val="20"/>
          <w:szCs w:val="20"/>
        </w:rPr>
        <w:t>.</w:t>
      </w:r>
      <w:r w:rsidRPr="00E33AAE">
        <w:rPr>
          <w:rFonts w:ascii="Arial" w:hAnsi="Arial" w:cs="Arial"/>
          <w:b/>
          <w:sz w:val="20"/>
          <w:szCs w:val="20"/>
        </w:rPr>
        <w:t xml:space="preserve"> 1</w:t>
      </w:r>
      <w:r w:rsidR="007A2304" w:rsidRPr="00E33AAE">
        <w:rPr>
          <w:rFonts w:ascii="Arial" w:hAnsi="Arial" w:cs="Arial"/>
          <w:b/>
          <w:sz w:val="20"/>
          <w:szCs w:val="20"/>
        </w:rPr>
        <w:t>4</w:t>
      </w:r>
      <w:r w:rsidR="00FA0FB9" w:rsidRPr="00E33AAE">
        <w:rPr>
          <w:rFonts w:ascii="Arial" w:hAnsi="Arial" w:cs="Arial"/>
          <w:b/>
          <w:sz w:val="20"/>
          <w:szCs w:val="20"/>
        </w:rPr>
        <w:t>.</w:t>
      </w:r>
      <w:r w:rsidRPr="00E33AAE">
        <w:rPr>
          <w:rFonts w:ascii="Arial" w:hAnsi="Arial" w:cs="Arial"/>
          <w:b/>
          <w:sz w:val="20"/>
          <w:szCs w:val="20"/>
        </w:rPr>
        <w:t xml:space="preserve"> Antifungal activity of chromatographic fraction C</w:t>
      </w:r>
    </w:p>
    <w:p w14:paraId="596F9362" w14:textId="77777777" w:rsidR="004F317E" w:rsidRPr="00E33AAE" w:rsidRDefault="004F317E" w:rsidP="004F317E">
      <w:pPr>
        <w:spacing w:before="100" w:beforeAutospacing="1" w:after="100" w:afterAutospacing="1" w:line="240" w:lineRule="auto"/>
        <w:jc w:val="both"/>
        <w:rPr>
          <w:rFonts w:ascii="Arial" w:eastAsia="Times New Roman" w:hAnsi="Arial" w:cs="Arial"/>
          <w:sz w:val="20"/>
          <w:szCs w:val="20"/>
        </w:rPr>
      </w:pPr>
      <w:r w:rsidRPr="00E33AAE">
        <w:rPr>
          <w:rFonts w:ascii="Arial" w:eastAsia="Times New Roman" w:hAnsi="Arial" w:cs="Arial"/>
          <w:sz w:val="20"/>
          <w:szCs w:val="20"/>
        </w:rPr>
        <w:t xml:space="preserve">The antifungal activities of </w:t>
      </w:r>
      <w:r w:rsidRPr="00E33AAE">
        <w:rPr>
          <w:rFonts w:ascii="Arial" w:eastAsia="Times New Roman" w:hAnsi="Arial" w:cs="Arial"/>
          <w:i/>
          <w:iCs/>
          <w:sz w:val="20"/>
          <w:szCs w:val="20"/>
        </w:rPr>
        <w:t xml:space="preserve">Ritchiea </w:t>
      </w:r>
      <w:proofErr w:type="spellStart"/>
      <w:r w:rsidRPr="00E33AAE">
        <w:rPr>
          <w:rFonts w:ascii="Arial" w:eastAsia="Times New Roman" w:hAnsi="Arial" w:cs="Arial"/>
          <w:i/>
          <w:iCs/>
          <w:sz w:val="20"/>
          <w:szCs w:val="20"/>
        </w:rPr>
        <w:t>longipedicellata</w:t>
      </w:r>
      <w:proofErr w:type="spellEnd"/>
      <w:r w:rsidRPr="00E33AAE">
        <w:rPr>
          <w:rFonts w:ascii="Arial" w:eastAsia="Times New Roman" w:hAnsi="Arial" w:cs="Arial"/>
          <w:sz w:val="20"/>
          <w:szCs w:val="20"/>
        </w:rPr>
        <w:t xml:space="preserve"> crude root extracts against the test fungal isolates (</w:t>
      </w:r>
      <w:r w:rsidRPr="00E33AAE">
        <w:rPr>
          <w:rFonts w:ascii="Arial" w:eastAsia="Times New Roman" w:hAnsi="Arial" w:cs="Arial"/>
          <w:bCs/>
          <w:sz w:val="20"/>
          <w:szCs w:val="20"/>
        </w:rPr>
        <w:t>Figures 8–12</w:t>
      </w:r>
      <w:r w:rsidRPr="00E33AAE">
        <w:rPr>
          <w:rFonts w:ascii="Arial" w:eastAsia="Times New Roman" w:hAnsi="Arial" w:cs="Arial"/>
          <w:sz w:val="20"/>
          <w:szCs w:val="20"/>
        </w:rPr>
        <w:t xml:space="preserve">) demonstrate the plant's broad-spectrum antimicrobial potential and support its traditional use in the treatment of fungal infections. Although the degree of inhibition varied among the different solvent extracts and fungal species, all extracts exhibited measurable antifungal activity, indicating that the plant contains diverse bioactive phytochemicals capable of suppressing fungal growth. These findings agree with previous reports on </w:t>
      </w:r>
      <w:proofErr w:type="spellStart"/>
      <w:r w:rsidRPr="00E33AAE">
        <w:rPr>
          <w:rFonts w:ascii="Arial" w:eastAsia="Times New Roman" w:hAnsi="Arial" w:cs="Arial"/>
          <w:i/>
          <w:iCs/>
          <w:sz w:val="20"/>
          <w:szCs w:val="20"/>
        </w:rPr>
        <w:t>Enantia</w:t>
      </w:r>
      <w:proofErr w:type="spellEnd"/>
      <w:r w:rsidRPr="00E33AAE">
        <w:rPr>
          <w:rFonts w:ascii="Arial" w:eastAsia="Times New Roman" w:hAnsi="Arial" w:cs="Arial"/>
          <w:i/>
          <w:iCs/>
          <w:sz w:val="20"/>
          <w:szCs w:val="20"/>
        </w:rPr>
        <w:t xml:space="preserve"> </w:t>
      </w:r>
      <w:proofErr w:type="spellStart"/>
      <w:r w:rsidRPr="00E33AAE">
        <w:rPr>
          <w:rFonts w:ascii="Arial" w:eastAsia="Times New Roman" w:hAnsi="Arial" w:cs="Arial"/>
          <w:i/>
          <w:iCs/>
          <w:sz w:val="20"/>
          <w:szCs w:val="20"/>
        </w:rPr>
        <w:t>chlorantha</w:t>
      </w:r>
      <w:proofErr w:type="spellEnd"/>
      <w:r w:rsidRPr="00E33AAE">
        <w:rPr>
          <w:rFonts w:ascii="Arial" w:eastAsia="Times New Roman" w:hAnsi="Arial" w:cs="Arial"/>
          <w:sz w:val="20"/>
          <w:szCs w:val="20"/>
        </w:rPr>
        <w:t xml:space="preserve">, </w:t>
      </w:r>
      <w:proofErr w:type="spellStart"/>
      <w:r w:rsidRPr="00E33AAE">
        <w:rPr>
          <w:rFonts w:ascii="Arial" w:eastAsia="Times New Roman" w:hAnsi="Arial" w:cs="Arial"/>
          <w:i/>
          <w:iCs/>
          <w:sz w:val="20"/>
          <w:szCs w:val="20"/>
        </w:rPr>
        <w:t>Dacryodes</w:t>
      </w:r>
      <w:proofErr w:type="spellEnd"/>
      <w:r w:rsidRPr="00E33AAE">
        <w:rPr>
          <w:rFonts w:ascii="Arial" w:eastAsia="Times New Roman" w:hAnsi="Arial" w:cs="Arial"/>
          <w:i/>
          <w:iCs/>
          <w:sz w:val="20"/>
          <w:szCs w:val="20"/>
        </w:rPr>
        <w:t xml:space="preserve"> edulis</w:t>
      </w:r>
      <w:r w:rsidRPr="00E33AAE">
        <w:rPr>
          <w:rFonts w:ascii="Arial" w:eastAsia="Times New Roman" w:hAnsi="Arial" w:cs="Arial"/>
          <w:sz w:val="20"/>
          <w:szCs w:val="20"/>
        </w:rPr>
        <w:t xml:space="preserve"> and </w:t>
      </w:r>
      <w:r w:rsidRPr="00E33AAE">
        <w:rPr>
          <w:rFonts w:ascii="Arial" w:eastAsia="Times New Roman" w:hAnsi="Arial" w:cs="Arial"/>
          <w:i/>
          <w:iCs/>
          <w:sz w:val="20"/>
          <w:szCs w:val="20"/>
        </w:rPr>
        <w:t>Gossypium</w:t>
      </w:r>
      <w:r w:rsidRPr="00E33AAE">
        <w:rPr>
          <w:rFonts w:ascii="Arial" w:eastAsia="Times New Roman" w:hAnsi="Arial" w:cs="Arial"/>
          <w:sz w:val="20"/>
          <w:szCs w:val="20"/>
        </w:rPr>
        <w:t xml:space="preserve"> species, which similarly attributed the antimicrobial efficacy of medicinal plants to their rich secondary metabolite composition (Akpan et al., 2017; </w:t>
      </w:r>
      <w:proofErr w:type="spellStart"/>
      <w:r w:rsidRPr="00E33AAE">
        <w:rPr>
          <w:rFonts w:ascii="Arial" w:eastAsia="Times New Roman" w:hAnsi="Arial" w:cs="Arial"/>
          <w:sz w:val="20"/>
          <w:szCs w:val="20"/>
        </w:rPr>
        <w:t>Oladejobi</w:t>
      </w:r>
      <w:proofErr w:type="spellEnd"/>
      <w:r w:rsidRPr="00E33AAE">
        <w:rPr>
          <w:rFonts w:ascii="Arial" w:eastAsia="Times New Roman" w:hAnsi="Arial" w:cs="Arial"/>
          <w:sz w:val="20"/>
          <w:szCs w:val="20"/>
        </w:rPr>
        <w:t xml:space="preserve"> et al., 2022; de Lima et al., 2021).</w:t>
      </w:r>
    </w:p>
    <w:p w14:paraId="2875FB62" w14:textId="77777777" w:rsidR="004F317E" w:rsidRPr="00E33AAE" w:rsidRDefault="004F317E" w:rsidP="004F317E">
      <w:pPr>
        <w:spacing w:before="100" w:beforeAutospacing="1" w:after="100" w:afterAutospacing="1" w:line="240" w:lineRule="auto"/>
        <w:jc w:val="both"/>
        <w:rPr>
          <w:rFonts w:ascii="Arial" w:eastAsia="Times New Roman" w:hAnsi="Arial" w:cs="Arial"/>
          <w:sz w:val="20"/>
          <w:szCs w:val="20"/>
        </w:rPr>
      </w:pPr>
      <w:r w:rsidRPr="00E33AAE">
        <w:rPr>
          <w:rFonts w:ascii="Arial" w:eastAsia="Times New Roman" w:hAnsi="Arial" w:cs="Arial"/>
          <w:sz w:val="20"/>
          <w:szCs w:val="20"/>
        </w:rPr>
        <w:t>The observed differences in antifungal activity among the solvent extracts (</w:t>
      </w:r>
      <w:r w:rsidRPr="00E33AAE">
        <w:rPr>
          <w:rFonts w:ascii="Arial" w:eastAsia="Times New Roman" w:hAnsi="Arial" w:cs="Arial"/>
          <w:bCs/>
          <w:sz w:val="20"/>
          <w:szCs w:val="20"/>
        </w:rPr>
        <w:t>Figures 8–12</w:t>
      </w:r>
      <w:r w:rsidRPr="00E33AAE">
        <w:rPr>
          <w:rFonts w:ascii="Arial" w:eastAsia="Times New Roman" w:hAnsi="Arial" w:cs="Arial"/>
          <w:sz w:val="20"/>
          <w:szCs w:val="20"/>
        </w:rPr>
        <w:t>) are largely attributable to variations in phytochemical composition resulting from solvent polarity. Polar solvents such as methanol and water preferentially extract alkaloids, flavonoids, phenolic compounds and glycosides, whereas non-polar solvents recover more lipophilic constituents (</w:t>
      </w:r>
      <w:proofErr w:type="spellStart"/>
      <w:r w:rsidRPr="00E33AAE">
        <w:rPr>
          <w:rFonts w:ascii="Arial" w:eastAsia="Times New Roman" w:hAnsi="Arial" w:cs="Arial"/>
          <w:sz w:val="20"/>
          <w:szCs w:val="20"/>
        </w:rPr>
        <w:t>Anowi</w:t>
      </w:r>
      <w:proofErr w:type="spellEnd"/>
      <w:r w:rsidRPr="00E33AAE">
        <w:rPr>
          <w:rFonts w:ascii="Arial" w:eastAsia="Times New Roman" w:hAnsi="Arial" w:cs="Arial"/>
          <w:sz w:val="20"/>
          <w:szCs w:val="20"/>
        </w:rPr>
        <w:t xml:space="preserve"> et al., 2013; Akpan et al., 2021). Consequently, the qualitative and quantitative differences in phytochemical composition influence the </w:t>
      </w:r>
      <w:r w:rsidRPr="00E33AAE">
        <w:rPr>
          <w:rFonts w:ascii="Arial" w:eastAsia="Times New Roman" w:hAnsi="Arial" w:cs="Arial"/>
          <w:sz w:val="20"/>
          <w:szCs w:val="20"/>
        </w:rPr>
        <w:lastRenderedPageBreak/>
        <w:t xml:space="preserve">biological activity of each extract. Similar solvent-dependent variations have been reported in studies on </w:t>
      </w:r>
      <w:proofErr w:type="spellStart"/>
      <w:r w:rsidRPr="00E33AAE">
        <w:rPr>
          <w:rFonts w:ascii="Arial" w:eastAsia="Times New Roman" w:hAnsi="Arial" w:cs="Arial"/>
          <w:i/>
          <w:iCs/>
          <w:sz w:val="20"/>
          <w:szCs w:val="20"/>
        </w:rPr>
        <w:t>Enantia</w:t>
      </w:r>
      <w:proofErr w:type="spellEnd"/>
      <w:r w:rsidRPr="00E33AAE">
        <w:rPr>
          <w:rFonts w:ascii="Arial" w:eastAsia="Times New Roman" w:hAnsi="Arial" w:cs="Arial"/>
          <w:i/>
          <w:iCs/>
          <w:sz w:val="20"/>
          <w:szCs w:val="20"/>
        </w:rPr>
        <w:t xml:space="preserve"> </w:t>
      </w:r>
      <w:proofErr w:type="spellStart"/>
      <w:r w:rsidRPr="00E33AAE">
        <w:rPr>
          <w:rFonts w:ascii="Arial" w:eastAsia="Times New Roman" w:hAnsi="Arial" w:cs="Arial"/>
          <w:i/>
          <w:iCs/>
          <w:sz w:val="20"/>
          <w:szCs w:val="20"/>
        </w:rPr>
        <w:t>chlorantha</w:t>
      </w:r>
      <w:proofErr w:type="spellEnd"/>
      <w:r w:rsidRPr="00E33AAE">
        <w:rPr>
          <w:rFonts w:ascii="Arial" w:eastAsia="Times New Roman" w:hAnsi="Arial" w:cs="Arial"/>
          <w:sz w:val="20"/>
          <w:szCs w:val="20"/>
        </w:rPr>
        <w:t xml:space="preserve"> and </w:t>
      </w:r>
      <w:proofErr w:type="spellStart"/>
      <w:r w:rsidRPr="00E33AAE">
        <w:rPr>
          <w:rFonts w:ascii="Arial" w:eastAsia="Times New Roman" w:hAnsi="Arial" w:cs="Arial"/>
          <w:i/>
          <w:iCs/>
          <w:sz w:val="20"/>
          <w:szCs w:val="20"/>
        </w:rPr>
        <w:t>Dacryodes</w:t>
      </w:r>
      <w:proofErr w:type="spellEnd"/>
      <w:r w:rsidRPr="00E33AAE">
        <w:rPr>
          <w:rFonts w:ascii="Arial" w:eastAsia="Times New Roman" w:hAnsi="Arial" w:cs="Arial"/>
          <w:i/>
          <w:iCs/>
          <w:sz w:val="20"/>
          <w:szCs w:val="20"/>
        </w:rPr>
        <w:t xml:space="preserve"> edulis</w:t>
      </w:r>
      <w:r w:rsidRPr="00E33AAE">
        <w:rPr>
          <w:rFonts w:ascii="Arial" w:eastAsia="Times New Roman" w:hAnsi="Arial" w:cs="Arial"/>
          <w:sz w:val="20"/>
          <w:szCs w:val="20"/>
        </w:rPr>
        <w:t xml:space="preserve">, emphasizing the importance of solvent selection in maximizing the therapeutic potential of medicinal plants (Akpan et al., 2017; </w:t>
      </w:r>
      <w:proofErr w:type="spellStart"/>
      <w:r w:rsidRPr="00E33AAE">
        <w:rPr>
          <w:rFonts w:ascii="Arial" w:eastAsia="Times New Roman" w:hAnsi="Arial" w:cs="Arial"/>
          <w:sz w:val="20"/>
          <w:szCs w:val="20"/>
        </w:rPr>
        <w:t>Oladejobi</w:t>
      </w:r>
      <w:proofErr w:type="spellEnd"/>
      <w:r w:rsidRPr="00E33AAE">
        <w:rPr>
          <w:rFonts w:ascii="Arial" w:eastAsia="Times New Roman" w:hAnsi="Arial" w:cs="Arial"/>
          <w:sz w:val="20"/>
          <w:szCs w:val="20"/>
        </w:rPr>
        <w:t xml:space="preserve"> et al., 2022).</w:t>
      </w:r>
    </w:p>
    <w:p w14:paraId="51399DD7" w14:textId="77777777" w:rsidR="004F317E" w:rsidRPr="00E33AAE" w:rsidRDefault="004F317E" w:rsidP="004F317E">
      <w:pPr>
        <w:spacing w:before="100" w:beforeAutospacing="1" w:after="100" w:afterAutospacing="1" w:line="240" w:lineRule="auto"/>
        <w:jc w:val="both"/>
        <w:rPr>
          <w:rFonts w:ascii="Arial" w:eastAsia="Times New Roman" w:hAnsi="Arial" w:cs="Arial"/>
          <w:sz w:val="20"/>
          <w:szCs w:val="20"/>
        </w:rPr>
      </w:pPr>
      <w:r w:rsidRPr="00E33AAE">
        <w:t xml:space="preserve">The antifungal activity of </w:t>
      </w:r>
      <w:r w:rsidRPr="00E33AAE">
        <w:rPr>
          <w:i/>
        </w:rPr>
        <w:t>R. longipedicellata</w:t>
      </w:r>
      <w:r w:rsidRPr="00E33AAE">
        <w:t xml:space="preserve"> is likely the result of synergistic interactions among multiple phytochemicals rather than the action of a single compound. Alkaloids, flavonoids, phenolic compounds and saponins identified during phytochemical screening possess well-documented antifungal properties and act through complementary mechanisms, including disruption of fungal membranes, inhibition of nucleic acid synthesis, suppression of enzyme activity and interference with fungal metabolism (Akpan et al., 2021; de Lima et al., 2021). Saponins, in particular, interact with membrane sterols such as ergosterol, increasing membrane permeability and causing leakage of intracellular constituents, ultimately leading to fungal cell death (Zablotowicz et al., 1996). Likewise, phenolic compounds exert antifungal effects through protein denaturation, enzyme inhibition and oxidative stress induction (Gobalakrishnan et al., 2013; García Díaz et al., 2019), while flavonoids inhibit mitochondrial respiration, membrane-bound enzymes and spore germination in addition to providing antioxidant protection (de Lima et al., 2021; Oladejobi et al., 2022).</w:t>
      </w:r>
    </w:p>
    <w:p w14:paraId="2A6926A3" w14:textId="77777777" w:rsidR="004354E1" w:rsidRPr="009F6E76" w:rsidRDefault="004354E1" w:rsidP="004354E1">
      <w:pPr>
        <w:spacing w:before="100" w:beforeAutospacing="1" w:after="100" w:afterAutospacing="1" w:line="240" w:lineRule="auto"/>
        <w:jc w:val="both"/>
        <w:rPr>
          <w:rFonts w:ascii="Arial" w:eastAsia="Times New Roman" w:hAnsi="Arial" w:cs="Arial"/>
          <w:sz w:val="20"/>
          <w:szCs w:val="20"/>
        </w:rPr>
      </w:pPr>
      <w:r w:rsidRPr="00E33AAE">
        <w:t xml:space="preserve">Variations in susceptibility among the fungal isolates (Figures 8-12) may be explained by structural differences in fungal cell walls and membranes. The presence of chitin, β-glucans and ergosterol-rich membranes confers greater resistance to antimicrobial agents than is typically observed in bacteria (Akpan et al., 2017). Consequently, higher concentrations of plant extracts are often required to achieve effective fungal growth inhibition. Although the crude extracts exhibited lower antifungal activity than ketoconazole, this is expected because crude extracts contain both active and inactive constituents, whereas standard antifungal drugs are highly purified. Previous studies have demonstrated that bioassay-guided purification significantly enhances antimicrobial potency by concentrating active metabolites </w:t>
      </w:r>
      <w:r w:rsidRPr="009F6E76">
        <w:t>(Akpan et al., 2016; Akpan et al., 2017; García Díaz et al., 2019).</w:t>
      </w:r>
    </w:p>
    <w:p w14:paraId="1EFBF36A" w14:textId="77777777" w:rsidR="00D15B51" w:rsidRPr="009F6E76" w:rsidRDefault="004354E1" w:rsidP="00D15B51">
      <w:pPr>
        <w:pStyle w:val="MHeading1"/>
        <w:spacing w:before="0" w:after="0" w:line="240" w:lineRule="auto"/>
        <w:rPr>
          <w:rFonts w:ascii="Arial" w:hAnsi="Arial" w:cs="Arial"/>
          <w:b w:val="0"/>
          <w:color w:val="auto"/>
          <w:sz w:val="20"/>
        </w:rPr>
      </w:pPr>
      <w:r w:rsidRPr="009F6E76">
        <w:rPr>
          <w:b w:val="0"/>
        </w:rPr>
        <w:t xml:space="preserve">The antifungal findings validate the ethnopharmacological significance of </w:t>
      </w:r>
      <w:r w:rsidRPr="009F6E76">
        <w:rPr>
          <w:b w:val="0"/>
          <w:i/>
        </w:rPr>
        <w:t>R. longipedicellata</w:t>
      </w:r>
      <w:r w:rsidRPr="009F6E76">
        <w:rPr>
          <w:b w:val="0"/>
        </w:rPr>
        <w:t xml:space="preserve"> and are consistent with previous studies on </w:t>
      </w:r>
      <w:r w:rsidRPr="009F6E76">
        <w:rPr>
          <w:b w:val="0"/>
          <w:i/>
        </w:rPr>
        <w:t>Enantia chlorantha</w:t>
      </w:r>
      <w:r w:rsidRPr="009F6E76">
        <w:rPr>
          <w:b w:val="0"/>
        </w:rPr>
        <w:t xml:space="preserve">, </w:t>
      </w:r>
      <w:r w:rsidRPr="009F6E76">
        <w:rPr>
          <w:b w:val="0"/>
          <w:i/>
        </w:rPr>
        <w:t>Dacryodes edulis</w:t>
      </w:r>
      <w:r w:rsidRPr="009F6E76">
        <w:rPr>
          <w:b w:val="0"/>
        </w:rPr>
        <w:t xml:space="preserve">, </w:t>
      </w:r>
      <w:r w:rsidRPr="009F6E76">
        <w:rPr>
          <w:b w:val="0"/>
          <w:i/>
        </w:rPr>
        <w:t>Croton linearis</w:t>
      </w:r>
      <w:r w:rsidRPr="009F6E76">
        <w:rPr>
          <w:b w:val="0"/>
        </w:rPr>
        <w:t xml:space="preserve">, </w:t>
      </w:r>
      <w:r w:rsidRPr="009F6E76">
        <w:rPr>
          <w:b w:val="0"/>
          <w:i/>
        </w:rPr>
        <w:t>R. longipedicellata</w:t>
      </w:r>
      <w:r w:rsidRPr="009F6E76">
        <w:rPr>
          <w:b w:val="0"/>
        </w:rPr>
        <w:t xml:space="preserve"> and </w:t>
      </w:r>
      <w:r w:rsidRPr="009F6E76">
        <w:rPr>
          <w:b w:val="0"/>
          <w:i/>
        </w:rPr>
        <w:t>Tragia involucrata</w:t>
      </w:r>
      <w:r w:rsidRPr="009F6E76">
        <w:rPr>
          <w:b w:val="0"/>
        </w:rPr>
        <w:t xml:space="preserve"> (Anowi et al., 2013; Gobalakrishnan et al., 2013; García Díaz et al., 2019; Oladejobi et al., 2022). The persistence of antifungal activity across multiple solvent extracts suggests that several classes of secondary metabolites contribute synergistically to the observed effects, thereby justifying further bioassay-guided purification and GC-MS characterisation to identify novel antifungal compounds with potential applications in combating fungal infections and antifungal resistance.</w:t>
      </w:r>
    </w:p>
    <w:p w14:paraId="42B5E5D3" w14:textId="77777777" w:rsidR="0028744E" w:rsidRPr="00E33AAE" w:rsidRDefault="006B3664" w:rsidP="00D15B51">
      <w:pPr>
        <w:pStyle w:val="MHeading1"/>
        <w:spacing w:before="0" w:after="0" w:line="240" w:lineRule="auto"/>
        <w:rPr>
          <w:rFonts w:ascii="Arial" w:hAnsi="Arial" w:cs="Arial"/>
          <w:b w:val="0"/>
          <w:color w:val="auto"/>
          <w:sz w:val="20"/>
        </w:rPr>
      </w:pPr>
      <w:r w:rsidRPr="00E33AAE">
        <w:rPr>
          <w:noProof/>
          <w:color w:val="auto"/>
        </w:rPr>
        <w:drawing>
          <wp:anchor distT="0" distB="0" distL="114300" distR="114300" simplePos="0" relativeHeight="251683840" behindDoc="0" locked="0" layoutInCell="1" allowOverlap="1" wp14:anchorId="3F3AB40C" wp14:editId="031F016C">
            <wp:simplePos x="0" y="0"/>
            <wp:positionH relativeFrom="margin">
              <wp:align>left</wp:align>
            </wp:positionH>
            <wp:positionV relativeFrom="paragraph">
              <wp:posOffset>142875</wp:posOffset>
            </wp:positionV>
            <wp:extent cx="4829175" cy="2752725"/>
            <wp:effectExtent l="0" t="0" r="9525"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829175" cy="2752725"/>
                    </a:xfrm>
                    <a:prstGeom prst="rect">
                      <a:avLst/>
                    </a:prstGeom>
                  </pic:spPr>
                </pic:pic>
              </a:graphicData>
            </a:graphic>
            <wp14:sizeRelH relativeFrom="page">
              <wp14:pctWidth>0</wp14:pctWidth>
            </wp14:sizeRelH>
            <wp14:sizeRelV relativeFrom="page">
              <wp14:pctHeight>0</wp14:pctHeight>
            </wp14:sizeRelV>
          </wp:anchor>
        </w:drawing>
      </w:r>
    </w:p>
    <w:p w14:paraId="573EB1F5" w14:textId="77777777" w:rsidR="0028744E" w:rsidRPr="00E33AAE" w:rsidRDefault="0028744E" w:rsidP="00D15B51">
      <w:pPr>
        <w:pStyle w:val="MHeading1"/>
        <w:spacing w:before="0" w:after="0" w:line="240" w:lineRule="auto"/>
        <w:rPr>
          <w:rFonts w:ascii="Arial" w:hAnsi="Arial" w:cs="Arial"/>
          <w:b w:val="0"/>
          <w:color w:val="auto"/>
          <w:sz w:val="20"/>
        </w:rPr>
      </w:pPr>
    </w:p>
    <w:p w14:paraId="1B3DE9D6" w14:textId="77777777" w:rsidR="0028744E" w:rsidRPr="00E33AAE" w:rsidRDefault="0028744E" w:rsidP="00D15B51">
      <w:pPr>
        <w:pStyle w:val="MHeading1"/>
        <w:spacing w:before="0" w:after="0" w:line="240" w:lineRule="auto"/>
        <w:rPr>
          <w:rFonts w:ascii="Arial" w:hAnsi="Arial" w:cs="Arial"/>
          <w:b w:val="0"/>
          <w:color w:val="auto"/>
          <w:sz w:val="20"/>
        </w:rPr>
      </w:pPr>
    </w:p>
    <w:p w14:paraId="31406473" w14:textId="77777777" w:rsidR="0028744E" w:rsidRPr="00E33AAE" w:rsidRDefault="0028744E" w:rsidP="00D15B51">
      <w:pPr>
        <w:pStyle w:val="MHeading1"/>
        <w:spacing w:before="0" w:after="0" w:line="240" w:lineRule="auto"/>
        <w:rPr>
          <w:rFonts w:ascii="Arial" w:hAnsi="Arial" w:cs="Arial"/>
          <w:b w:val="0"/>
          <w:color w:val="auto"/>
          <w:sz w:val="20"/>
        </w:rPr>
      </w:pPr>
    </w:p>
    <w:p w14:paraId="0E5A61FA" w14:textId="77777777" w:rsidR="0028744E" w:rsidRPr="00E33AAE" w:rsidRDefault="0028744E" w:rsidP="00D15B51">
      <w:pPr>
        <w:pStyle w:val="MHeading1"/>
        <w:spacing w:before="0" w:after="0" w:line="240" w:lineRule="auto"/>
        <w:rPr>
          <w:rFonts w:ascii="Arial" w:hAnsi="Arial" w:cs="Arial"/>
          <w:b w:val="0"/>
          <w:color w:val="auto"/>
          <w:sz w:val="20"/>
        </w:rPr>
      </w:pPr>
    </w:p>
    <w:p w14:paraId="3C6D7143" w14:textId="77777777" w:rsidR="0028744E" w:rsidRPr="00E33AAE" w:rsidRDefault="0028744E" w:rsidP="00D15B51">
      <w:pPr>
        <w:pStyle w:val="MHeading1"/>
        <w:spacing w:before="0" w:after="0" w:line="240" w:lineRule="auto"/>
        <w:rPr>
          <w:rFonts w:ascii="Arial" w:hAnsi="Arial" w:cs="Arial"/>
          <w:b w:val="0"/>
          <w:color w:val="auto"/>
          <w:sz w:val="20"/>
        </w:rPr>
      </w:pPr>
    </w:p>
    <w:p w14:paraId="4D9EEF15" w14:textId="77777777" w:rsidR="0028744E" w:rsidRPr="00E33AAE" w:rsidRDefault="0028744E" w:rsidP="00D15B51">
      <w:pPr>
        <w:pStyle w:val="MHeading1"/>
        <w:spacing w:before="0" w:after="0" w:line="240" w:lineRule="auto"/>
        <w:rPr>
          <w:rFonts w:ascii="Arial" w:hAnsi="Arial" w:cs="Arial"/>
          <w:b w:val="0"/>
          <w:color w:val="auto"/>
          <w:sz w:val="20"/>
        </w:rPr>
      </w:pPr>
    </w:p>
    <w:p w14:paraId="6546C700" w14:textId="77777777" w:rsidR="0028744E" w:rsidRPr="00E33AAE" w:rsidRDefault="0028744E" w:rsidP="00D15B51">
      <w:pPr>
        <w:pStyle w:val="MHeading1"/>
        <w:spacing w:before="0" w:after="0" w:line="240" w:lineRule="auto"/>
        <w:rPr>
          <w:rFonts w:ascii="Arial" w:hAnsi="Arial" w:cs="Arial"/>
          <w:b w:val="0"/>
          <w:color w:val="auto"/>
          <w:sz w:val="20"/>
        </w:rPr>
      </w:pPr>
    </w:p>
    <w:p w14:paraId="674D4B0D" w14:textId="77777777" w:rsidR="0028744E" w:rsidRPr="00E33AAE" w:rsidRDefault="0028744E" w:rsidP="00D15B51">
      <w:pPr>
        <w:pStyle w:val="MHeading1"/>
        <w:spacing w:before="0" w:after="0" w:line="240" w:lineRule="auto"/>
        <w:rPr>
          <w:rFonts w:ascii="Arial" w:hAnsi="Arial" w:cs="Arial"/>
          <w:b w:val="0"/>
          <w:color w:val="auto"/>
          <w:sz w:val="20"/>
        </w:rPr>
      </w:pPr>
    </w:p>
    <w:p w14:paraId="1B451BD3" w14:textId="77777777" w:rsidR="0028744E" w:rsidRPr="00E33AAE" w:rsidRDefault="0028744E" w:rsidP="00D15B51">
      <w:pPr>
        <w:pStyle w:val="MHeading1"/>
        <w:spacing w:before="0" w:after="0" w:line="240" w:lineRule="auto"/>
        <w:rPr>
          <w:rFonts w:ascii="Arial" w:hAnsi="Arial" w:cs="Arial"/>
          <w:b w:val="0"/>
          <w:color w:val="auto"/>
          <w:sz w:val="20"/>
        </w:rPr>
      </w:pPr>
    </w:p>
    <w:p w14:paraId="454928EC" w14:textId="77777777" w:rsidR="0028744E" w:rsidRPr="00E33AAE" w:rsidRDefault="0028744E" w:rsidP="00D15B51">
      <w:pPr>
        <w:pStyle w:val="MHeading1"/>
        <w:spacing w:before="0" w:after="0" w:line="240" w:lineRule="auto"/>
        <w:rPr>
          <w:rFonts w:ascii="Arial" w:hAnsi="Arial" w:cs="Arial"/>
          <w:b w:val="0"/>
          <w:color w:val="auto"/>
          <w:sz w:val="20"/>
        </w:rPr>
      </w:pPr>
    </w:p>
    <w:p w14:paraId="22B3B336" w14:textId="77777777" w:rsidR="0028744E" w:rsidRPr="00E33AAE" w:rsidRDefault="0028744E" w:rsidP="00D15B51">
      <w:pPr>
        <w:pStyle w:val="MHeading1"/>
        <w:spacing w:before="0" w:after="0" w:line="240" w:lineRule="auto"/>
        <w:rPr>
          <w:rFonts w:ascii="Arial" w:hAnsi="Arial" w:cs="Arial"/>
          <w:b w:val="0"/>
          <w:color w:val="auto"/>
          <w:sz w:val="20"/>
        </w:rPr>
      </w:pPr>
    </w:p>
    <w:p w14:paraId="62EEF169" w14:textId="77777777" w:rsidR="0028744E" w:rsidRPr="00E33AAE" w:rsidRDefault="0028744E" w:rsidP="00D15B51">
      <w:pPr>
        <w:pStyle w:val="MHeading1"/>
        <w:spacing w:before="0" w:after="0" w:line="240" w:lineRule="auto"/>
        <w:rPr>
          <w:rFonts w:ascii="Arial" w:hAnsi="Arial" w:cs="Arial"/>
          <w:b w:val="0"/>
          <w:color w:val="auto"/>
          <w:sz w:val="20"/>
        </w:rPr>
      </w:pPr>
    </w:p>
    <w:p w14:paraId="03B03E56" w14:textId="77777777" w:rsidR="00D15B51" w:rsidRPr="00E33AAE" w:rsidRDefault="00D15B51" w:rsidP="00D15B51">
      <w:pPr>
        <w:pStyle w:val="MHeading1"/>
        <w:spacing w:before="0" w:after="0" w:line="240" w:lineRule="auto"/>
        <w:rPr>
          <w:rFonts w:ascii="Arial" w:hAnsi="Arial" w:cs="Arial"/>
          <w:b w:val="0"/>
          <w:color w:val="auto"/>
          <w:sz w:val="20"/>
        </w:rPr>
      </w:pPr>
    </w:p>
    <w:p w14:paraId="1B542004" w14:textId="77777777" w:rsidR="0028744E" w:rsidRPr="00E33AAE" w:rsidRDefault="0028744E" w:rsidP="002063C8">
      <w:pPr>
        <w:tabs>
          <w:tab w:val="left" w:pos="6600"/>
        </w:tabs>
        <w:jc w:val="both"/>
        <w:rPr>
          <w:rFonts w:ascii="Arial" w:hAnsi="Arial" w:cs="Arial"/>
          <w:b/>
          <w:sz w:val="20"/>
          <w:szCs w:val="20"/>
        </w:rPr>
      </w:pPr>
    </w:p>
    <w:p w14:paraId="055D0AD4" w14:textId="77777777" w:rsidR="0028744E" w:rsidRPr="00E33AAE" w:rsidRDefault="0028744E" w:rsidP="002063C8">
      <w:pPr>
        <w:tabs>
          <w:tab w:val="left" w:pos="6600"/>
        </w:tabs>
        <w:jc w:val="both"/>
        <w:rPr>
          <w:rFonts w:ascii="Arial" w:hAnsi="Arial" w:cs="Arial"/>
          <w:b/>
          <w:sz w:val="20"/>
          <w:szCs w:val="20"/>
        </w:rPr>
      </w:pPr>
    </w:p>
    <w:p w14:paraId="5D752488" w14:textId="77777777" w:rsidR="0028744E" w:rsidRPr="00E33AAE" w:rsidRDefault="0028744E" w:rsidP="002063C8">
      <w:pPr>
        <w:tabs>
          <w:tab w:val="left" w:pos="6600"/>
        </w:tabs>
        <w:jc w:val="both"/>
        <w:rPr>
          <w:rFonts w:ascii="Arial" w:hAnsi="Arial" w:cs="Arial"/>
          <w:b/>
          <w:sz w:val="20"/>
          <w:szCs w:val="20"/>
        </w:rPr>
      </w:pPr>
    </w:p>
    <w:p w14:paraId="7207541D" w14:textId="77777777" w:rsidR="006B3664" w:rsidRPr="00E33AAE" w:rsidRDefault="006B3664" w:rsidP="002063C8">
      <w:pPr>
        <w:tabs>
          <w:tab w:val="left" w:pos="6600"/>
        </w:tabs>
        <w:jc w:val="both"/>
        <w:rPr>
          <w:rFonts w:ascii="Arial" w:hAnsi="Arial" w:cs="Arial"/>
          <w:b/>
          <w:sz w:val="20"/>
          <w:szCs w:val="20"/>
        </w:rPr>
      </w:pPr>
    </w:p>
    <w:p w14:paraId="1E32CD28" w14:textId="77777777" w:rsidR="0028744E" w:rsidRPr="00E33AAE" w:rsidRDefault="006B3664" w:rsidP="002063C8">
      <w:pPr>
        <w:tabs>
          <w:tab w:val="left" w:pos="6600"/>
        </w:tabs>
        <w:jc w:val="both"/>
        <w:rPr>
          <w:rFonts w:ascii="Arial" w:hAnsi="Arial" w:cs="Arial"/>
          <w:b/>
          <w:sz w:val="20"/>
          <w:szCs w:val="20"/>
        </w:rPr>
      </w:pPr>
      <w:r w:rsidRPr="00E33AAE">
        <w:rPr>
          <w:rFonts w:ascii="Arial" w:hAnsi="Arial" w:cs="Arial"/>
          <w:b/>
          <w:sz w:val="20"/>
          <w:szCs w:val="20"/>
        </w:rPr>
        <w:t>Fig. 1</w:t>
      </w:r>
      <w:r w:rsidR="005E5C6A" w:rsidRPr="00E33AAE">
        <w:rPr>
          <w:rFonts w:ascii="Arial" w:hAnsi="Arial" w:cs="Arial"/>
          <w:b/>
          <w:sz w:val="20"/>
          <w:szCs w:val="20"/>
        </w:rPr>
        <w:t>5</w:t>
      </w:r>
      <w:r w:rsidRPr="00E33AAE">
        <w:rPr>
          <w:rFonts w:ascii="Arial" w:hAnsi="Arial" w:cs="Arial"/>
          <w:b/>
          <w:sz w:val="20"/>
          <w:szCs w:val="20"/>
        </w:rPr>
        <w:t>. GC-MS Chromatogram of Bioactive Fraction C</w:t>
      </w:r>
    </w:p>
    <w:p w14:paraId="1DF52B4F" w14:textId="77777777" w:rsidR="00D15B51" w:rsidRPr="00E33AAE" w:rsidRDefault="00D15B51" w:rsidP="002063C8">
      <w:pPr>
        <w:tabs>
          <w:tab w:val="left" w:pos="6600"/>
        </w:tabs>
        <w:jc w:val="both"/>
        <w:rPr>
          <w:rFonts w:ascii="Arial" w:hAnsi="Arial" w:cs="Arial"/>
          <w:b/>
          <w:sz w:val="20"/>
          <w:szCs w:val="20"/>
        </w:rPr>
      </w:pPr>
      <w:r w:rsidRPr="00E33AAE">
        <w:rPr>
          <w:rFonts w:ascii="Arial" w:hAnsi="Arial" w:cs="Arial"/>
          <w:b/>
          <w:sz w:val="20"/>
          <w:szCs w:val="20"/>
        </w:rPr>
        <w:t xml:space="preserve">Table 4: GC-MS analysis of bioactive fraction C (Rf value </w:t>
      </w:r>
      <w:r w:rsidR="002063C8" w:rsidRPr="00E33AAE">
        <w:rPr>
          <w:rFonts w:ascii="Arial" w:hAnsi="Arial" w:cs="Arial"/>
          <w:b/>
          <w:sz w:val="20"/>
          <w:szCs w:val="20"/>
        </w:rPr>
        <w:t>0</w:t>
      </w:r>
      <w:r w:rsidRPr="00E33AAE">
        <w:rPr>
          <w:rFonts w:ascii="Arial" w:hAnsi="Arial" w:cs="Arial"/>
          <w:b/>
          <w:sz w:val="20"/>
          <w:szCs w:val="20"/>
        </w:rPr>
        <w:t>.33)</w:t>
      </w:r>
      <w:r w:rsidR="002063C8" w:rsidRPr="00E33AAE">
        <w:rPr>
          <w:rFonts w:ascii="Arial" w:hAnsi="Arial" w:cs="Arial"/>
          <w:b/>
          <w:sz w:val="20"/>
          <w:szCs w:val="20"/>
        </w:rPr>
        <w:tab/>
      </w:r>
    </w:p>
    <w:tbl>
      <w:tblPr>
        <w:tblStyle w:val="ListTable6Colorful"/>
        <w:tblW w:w="0" w:type="auto"/>
        <w:tblLook w:val="04A0" w:firstRow="1" w:lastRow="0" w:firstColumn="1" w:lastColumn="0" w:noHBand="0" w:noVBand="1"/>
      </w:tblPr>
      <w:tblGrid>
        <w:gridCol w:w="781"/>
        <w:gridCol w:w="1264"/>
        <w:gridCol w:w="883"/>
        <w:gridCol w:w="4902"/>
        <w:gridCol w:w="1240"/>
      </w:tblGrid>
      <w:tr w:rsidR="00D15B51" w:rsidRPr="00E33AAE" w14:paraId="2812DC0F" w14:textId="77777777" w:rsidTr="004354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tcPr>
          <w:p w14:paraId="618B3CE1" w14:textId="77777777" w:rsidR="00D15B51" w:rsidRPr="00E33AAE" w:rsidRDefault="00D15B51" w:rsidP="004354E1">
            <w:pPr>
              <w:jc w:val="both"/>
              <w:rPr>
                <w:rFonts w:ascii="Arial" w:hAnsi="Arial" w:cs="Arial"/>
                <w:color w:val="auto"/>
                <w:sz w:val="20"/>
                <w:szCs w:val="20"/>
              </w:rPr>
            </w:pPr>
            <w:r w:rsidRPr="00E33AAE">
              <w:rPr>
                <w:rFonts w:ascii="Arial" w:hAnsi="Arial" w:cs="Arial"/>
                <w:color w:val="auto"/>
                <w:sz w:val="20"/>
                <w:szCs w:val="20"/>
              </w:rPr>
              <w:t>S/NO.</w:t>
            </w:r>
          </w:p>
        </w:tc>
        <w:tc>
          <w:tcPr>
            <w:tcW w:w="1264" w:type="dxa"/>
          </w:tcPr>
          <w:p w14:paraId="35AB7302"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Retention time (min)</w:t>
            </w:r>
          </w:p>
        </w:tc>
        <w:tc>
          <w:tcPr>
            <w:tcW w:w="883" w:type="dxa"/>
          </w:tcPr>
          <w:p w14:paraId="0D67E374"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Area (%)</w:t>
            </w:r>
          </w:p>
        </w:tc>
        <w:tc>
          <w:tcPr>
            <w:tcW w:w="4902" w:type="dxa"/>
          </w:tcPr>
          <w:p w14:paraId="658D96CE"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Name of analyte</w:t>
            </w:r>
          </w:p>
        </w:tc>
        <w:tc>
          <w:tcPr>
            <w:tcW w:w="1240" w:type="dxa"/>
          </w:tcPr>
          <w:p w14:paraId="03DF497C"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Chemical formula</w:t>
            </w:r>
          </w:p>
        </w:tc>
      </w:tr>
      <w:tr w:rsidR="00D15B51" w:rsidRPr="00E33AAE" w14:paraId="344FA851"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shd w:val="clear" w:color="auto" w:fill="auto"/>
          </w:tcPr>
          <w:p w14:paraId="76910642" w14:textId="77777777" w:rsidR="00D15B51" w:rsidRPr="00E33AAE" w:rsidRDefault="00D15B51" w:rsidP="004354E1">
            <w:pPr>
              <w:jc w:val="both"/>
              <w:rPr>
                <w:rFonts w:ascii="Arial" w:hAnsi="Arial" w:cs="Arial"/>
                <w:b w:val="0"/>
                <w:color w:val="auto"/>
                <w:sz w:val="20"/>
                <w:szCs w:val="20"/>
              </w:rPr>
            </w:pPr>
            <w:r w:rsidRPr="00E33AAE">
              <w:rPr>
                <w:rFonts w:ascii="Arial" w:hAnsi="Arial" w:cs="Arial"/>
                <w:b w:val="0"/>
                <w:color w:val="auto"/>
                <w:sz w:val="20"/>
                <w:szCs w:val="20"/>
              </w:rPr>
              <w:t>1.</w:t>
            </w:r>
          </w:p>
        </w:tc>
        <w:tc>
          <w:tcPr>
            <w:tcW w:w="1264" w:type="dxa"/>
            <w:shd w:val="clear" w:color="auto" w:fill="auto"/>
          </w:tcPr>
          <w:p w14:paraId="34AA17E0"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6.440</w:t>
            </w:r>
          </w:p>
        </w:tc>
        <w:tc>
          <w:tcPr>
            <w:tcW w:w="883" w:type="dxa"/>
            <w:shd w:val="clear" w:color="auto" w:fill="auto"/>
          </w:tcPr>
          <w:p w14:paraId="7C62B6A0"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1.67</w:t>
            </w:r>
          </w:p>
        </w:tc>
        <w:tc>
          <w:tcPr>
            <w:tcW w:w="4902" w:type="dxa"/>
            <w:shd w:val="clear" w:color="auto" w:fill="auto"/>
          </w:tcPr>
          <w:p w14:paraId="7205188D"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2-chloropropane</w:t>
            </w:r>
          </w:p>
        </w:tc>
        <w:tc>
          <w:tcPr>
            <w:tcW w:w="1240" w:type="dxa"/>
            <w:shd w:val="clear" w:color="auto" w:fill="auto"/>
          </w:tcPr>
          <w:p w14:paraId="488BBFF3"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w:t>
            </w:r>
            <w:r w:rsidRPr="00E33AAE">
              <w:rPr>
                <w:rFonts w:ascii="Arial" w:hAnsi="Arial" w:cs="Arial"/>
                <w:color w:val="auto"/>
                <w:sz w:val="20"/>
                <w:szCs w:val="20"/>
                <w:vertAlign w:val="subscript"/>
              </w:rPr>
              <w:t>3</w:t>
            </w:r>
            <w:r w:rsidRPr="00E33AAE">
              <w:rPr>
                <w:rFonts w:ascii="Arial" w:hAnsi="Arial" w:cs="Arial"/>
                <w:color w:val="auto"/>
                <w:sz w:val="20"/>
                <w:szCs w:val="20"/>
              </w:rPr>
              <w:t>H</w:t>
            </w:r>
            <w:r w:rsidRPr="00E33AAE">
              <w:rPr>
                <w:rFonts w:ascii="Arial" w:hAnsi="Arial" w:cs="Arial"/>
                <w:color w:val="auto"/>
                <w:sz w:val="20"/>
                <w:szCs w:val="20"/>
                <w:vertAlign w:val="subscript"/>
              </w:rPr>
              <w:t>7</w:t>
            </w:r>
            <w:r w:rsidRPr="00E33AAE">
              <w:rPr>
                <w:rFonts w:ascii="Arial" w:hAnsi="Arial" w:cs="Arial"/>
                <w:color w:val="auto"/>
                <w:sz w:val="20"/>
                <w:szCs w:val="20"/>
              </w:rPr>
              <w:t xml:space="preserve">Cl </w:t>
            </w:r>
          </w:p>
        </w:tc>
      </w:tr>
      <w:tr w:rsidR="00D15B51" w:rsidRPr="00E33AAE" w14:paraId="6E910CD9" w14:textId="77777777" w:rsidTr="004354E1">
        <w:tc>
          <w:tcPr>
            <w:cnfStyle w:val="001000000000" w:firstRow="0" w:lastRow="0" w:firstColumn="1" w:lastColumn="0" w:oddVBand="0" w:evenVBand="0" w:oddHBand="0" w:evenHBand="0" w:firstRowFirstColumn="0" w:firstRowLastColumn="0" w:lastRowFirstColumn="0" w:lastRowLastColumn="0"/>
            <w:tcW w:w="781" w:type="dxa"/>
          </w:tcPr>
          <w:p w14:paraId="6EF8F980" w14:textId="77777777" w:rsidR="00D15B51" w:rsidRPr="00E33AAE" w:rsidRDefault="00D15B51" w:rsidP="004354E1">
            <w:pPr>
              <w:jc w:val="both"/>
              <w:rPr>
                <w:rFonts w:ascii="Arial" w:hAnsi="Arial" w:cs="Arial"/>
                <w:b w:val="0"/>
                <w:color w:val="auto"/>
                <w:sz w:val="20"/>
                <w:szCs w:val="20"/>
              </w:rPr>
            </w:pPr>
            <w:r w:rsidRPr="00E33AAE">
              <w:rPr>
                <w:rFonts w:ascii="Arial" w:hAnsi="Arial" w:cs="Arial"/>
                <w:b w:val="0"/>
                <w:color w:val="auto"/>
                <w:sz w:val="20"/>
                <w:szCs w:val="20"/>
              </w:rPr>
              <w:t>2.</w:t>
            </w:r>
          </w:p>
        </w:tc>
        <w:tc>
          <w:tcPr>
            <w:tcW w:w="1264" w:type="dxa"/>
          </w:tcPr>
          <w:p w14:paraId="608887AD"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7.934</w:t>
            </w:r>
          </w:p>
        </w:tc>
        <w:tc>
          <w:tcPr>
            <w:tcW w:w="883" w:type="dxa"/>
          </w:tcPr>
          <w:p w14:paraId="70C9F281"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1.32</w:t>
            </w:r>
          </w:p>
        </w:tc>
        <w:tc>
          <w:tcPr>
            <w:tcW w:w="4902" w:type="dxa"/>
          </w:tcPr>
          <w:p w14:paraId="0E6925F8"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5-methyl-2-furancarboxaldehyde</w:t>
            </w:r>
          </w:p>
        </w:tc>
        <w:tc>
          <w:tcPr>
            <w:tcW w:w="1240" w:type="dxa"/>
          </w:tcPr>
          <w:p w14:paraId="72E24C2B"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w:t>
            </w:r>
            <w:r w:rsidRPr="00E33AAE">
              <w:rPr>
                <w:rFonts w:ascii="Arial" w:hAnsi="Arial" w:cs="Arial"/>
                <w:color w:val="auto"/>
                <w:sz w:val="20"/>
                <w:szCs w:val="20"/>
                <w:vertAlign w:val="subscript"/>
              </w:rPr>
              <w:t>6</w:t>
            </w:r>
            <w:r w:rsidRPr="00E33AAE">
              <w:rPr>
                <w:rFonts w:ascii="Arial" w:hAnsi="Arial" w:cs="Arial"/>
                <w:color w:val="auto"/>
                <w:sz w:val="20"/>
                <w:szCs w:val="20"/>
              </w:rPr>
              <w:t>H</w:t>
            </w:r>
            <w:r w:rsidRPr="00E33AAE">
              <w:rPr>
                <w:rFonts w:ascii="Arial" w:hAnsi="Arial" w:cs="Arial"/>
                <w:color w:val="auto"/>
                <w:sz w:val="20"/>
                <w:szCs w:val="20"/>
                <w:vertAlign w:val="subscript"/>
              </w:rPr>
              <w:t>6</w:t>
            </w:r>
            <w:r w:rsidRPr="00E33AAE">
              <w:rPr>
                <w:rFonts w:ascii="Arial" w:hAnsi="Arial" w:cs="Arial"/>
                <w:color w:val="auto"/>
                <w:sz w:val="20"/>
                <w:szCs w:val="20"/>
              </w:rPr>
              <w:t>O</w:t>
            </w:r>
            <w:r w:rsidRPr="00E33AAE">
              <w:rPr>
                <w:rFonts w:ascii="Arial" w:hAnsi="Arial" w:cs="Arial"/>
                <w:color w:val="auto"/>
                <w:sz w:val="20"/>
                <w:szCs w:val="20"/>
                <w:vertAlign w:val="subscript"/>
              </w:rPr>
              <w:t>2</w:t>
            </w:r>
          </w:p>
        </w:tc>
      </w:tr>
      <w:tr w:rsidR="00D15B51" w:rsidRPr="00E33AAE" w14:paraId="7D376D06"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shd w:val="clear" w:color="auto" w:fill="auto"/>
          </w:tcPr>
          <w:p w14:paraId="4DA6CB28" w14:textId="77777777" w:rsidR="00D15B51" w:rsidRPr="00E33AAE" w:rsidRDefault="00D15B51" w:rsidP="004354E1">
            <w:pPr>
              <w:jc w:val="both"/>
              <w:rPr>
                <w:rFonts w:ascii="Arial" w:hAnsi="Arial" w:cs="Arial"/>
                <w:b w:val="0"/>
                <w:color w:val="auto"/>
                <w:sz w:val="20"/>
                <w:szCs w:val="20"/>
              </w:rPr>
            </w:pPr>
            <w:r w:rsidRPr="00E33AAE">
              <w:rPr>
                <w:rFonts w:ascii="Arial" w:hAnsi="Arial" w:cs="Arial"/>
                <w:b w:val="0"/>
                <w:color w:val="auto"/>
                <w:sz w:val="20"/>
                <w:szCs w:val="20"/>
              </w:rPr>
              <w:t>3.</w:t>
            </w:r>
          </w:p>
        </w:tc>
        <w:tc>
          <w:tcPr>
            <w:tcW w:w="1264" w:type="dxa"/>
            <w:shd w:val="clear" w:color="auto" w:fill="auto"/>
          </w:tcPr>
          <w:p w14:paraId="12CC8DC8"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8.534</w:t>
            </w:r>
          </w:p>
        </w:tc>
        <w:tc>
          <w:tcPr>
            <w:tcW w:w="883" w:type="dxa"/>
            <w:shd w:val="clear" w:color="auto" w:fill="auto"/>
          </w:tcPr>
          <w:p w14:paraId="4C67F9BD"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1.22</w:t>
            </w:r>
          </w:p>
        </w:tc>
        <w:tc>
          <w:tcPr>
            <w:tcW w:w="4902" w:type="dxa"/>
            <w:shd w:val="clear" w:color="auto" w:fill="auto"/>
          </w:tcPr>
          <w:p w14:paraId="4BE49775"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5-isoxazolecarboxylic acid-4,5-dihydro-5-methyl-ester (R)</w:t>
            </w:r>
          </w:p>
        </w:tc>
        <w:tc>
          <w:tcPr>
            <w:tcW w:w="1240" w:type="dxa"/>
            <w:shd w:val="clear" w:color="auto" w:fill="auto"/>
          </w:tcPr>
          <w:p w14:paraId="1B934E81"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w:t>
            </w:r>
            <w:r w:rsidRPr="00E33AAE">
              <w:rPr>
                <w:rFonts w:ascii="Arial" w:hAnsi="Arial" w:cs="Arial"/>
                <w:color w:val="auto"/>
                <w:sz w:val="20"/>
                <w:szCs w:val="20"/>
                <w:vertAlign w:val="subscript"/>
              </w:rPr>
              <w:t>6</w:t>
            </w:r>
            <w:r w:rsidRPr="00E33AAE">
              <w:rPr>
                <w:rFonts w:ascii="Arial" w:hAnsi="Arial" w:cs="Arial"/>
                <w:color w:val="auto"/>
                <w:sz w:val="20"/>
                <w:szCs w:val="20"/>
              </w:rPr>
              <w:t>H</w:t>
            </w:r>
            <w:r w:rsidRPr="00E33AAE">
              <w:rPr>
                <w:rFonts w:ascii="Arial" w:hAnsi="Arial" w:cs="Arial"/>
                <w:color w:val="auto"/>
                <w:sz w:val="20"/>
                <w:szCs w:val="20"/>
                <w:vertAlign w:val="subscript"/>
              </w:rPr>
              <w:t>9</w:t>
            </w:r>
            <w:r w:rsidRPr="00E33AAE">
              <w:rPr>
                <w:rFonts w:ascii="Arial" w:hAnsi="Arial" w:cs="Arial"/>
                <w:color w:val="auto"/>
                <w:sz w:val="20"/>
                <w:szCs w:val="20"/>
              </w:rPr>
              <w:t>NO</w:t>
            </w:r>
            <w:r w:rsidRPr="00E33AAE">
              <w:rPr>
                <w:rFonts w:ascii="Arial" w:hAnsi="Arial" w:cs="Arial"/>
                <w:color w:val="auto"/>
                <w:sz w:val="20"/>
                <w:szCs w:val="20"/>
                <w:vertAlign w:val="subscript"/>
              </w:rPr>
              <w:t>3</w:t>
            </w:r>
          </w:p>
        </w:tc>
      </w:tr>
      <w:tr w:rsidR="00D15B51" w:rsidRPr="00E33AAE" w14:paraId="0339BBC2" w14:textId="77777777" w:rsidTr="004354E1">
        <w:tc>
          <w:tcPr>
            <w:cnfStyle w:val="001000000000" w:firstRow="0" w:lastRow="0" w:firstColumn="1" w:lastColumn="0" w:oddVBand="0" w:evenVBand="0" w:oddHBand="0" w:evenHBand="0" w:firstRowFirstColumn="0" w:firstRowLastColumn="0" w:lastRowFirstColumn="0" w:lastRowLastColumn="0"/>
            <w:tcW w:w="781" w:type="dxa"/>
          </w:tcPr>
          <w:p w14:paraId="525E67EE" w14:textId="77777777" w:rsidR="00D15B51" w:rsidRPr="00E33AAE" w:rsidRDefault="00D15B51" w:rsidP="004354E1">
            <w:pPr>
              <w:jc w:val="both"/>
              <w:rPr>
                <w:rFonts w:ascii="Arial" w:hAnsi="Arial" w:cs="Arial"/>
                <w:b w:val="0"/>
                <w:color w:val="auto"/>
                <w:sz w:val="20"/>
                <w:szCs w:val="20"/>
              </w:rPr>
            </w:pPr>
            <w:r w:rsidRPr="00E33AAE">
              <w:rPr>
                <w:rFonts w:ascii="Arial" w:hAnsi="Arial" w:cs="Arial"/>
                <w:b w:val="0"/>
                <w:color w:val="auto"/>
                <w:sz w:val="20"/>
                <w:szCs w:val="20"/>
              </w:rPr>
              <w:t>4.</w:t>
            </w:r>
          </w:p>
        </w:tc>
        <w:tc>
          <w:tcPr>
            <w:tcW w:w="1264" w:type="dxa"/>
          </w:tcPr>
          <w:p w14:paraId="0AC5ECE8"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8.916</w:t>
            </w:r>
          </w:p>
        </w:tc>
        <w:tc>
          <w:tcPr>
            <w:tcW w:w="883" w:type="dxa"/>
          </w:tcPr>
          <w:p w14:paraId="661E32C8"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1.07</w:t>
            </w:r>
          </w:p>
        </w:tc>
        <w:tc>
          <w:tcPr>
            <w:tcW w:w="4902" w:type="dxa"/>
          </w:tcPr>
          <w:p w14:paraId="2F8F0CD5"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4-methyl-1,3-dioxane</w:t>
            </w:r>
          </w:p>
        </w:tc>
        <w:tc>
          <w:tcPr>
            <w:tcW w:w="1240" w:type="dxa"/>
          </w:tcPr>
          <w:p w14:paraId="1DEC099E"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w:t>
            </w:r>
            <w:r w:rsidRPr="00E33AAE">
              <w:rPr>
                <w:rFonts w:ascii="Arial" w:hAnsi="Arial" w:cs="Arial"/>
                <w:color w:val="auto"/>
                <w:sz w:val="20"/>
                <w:szCs w:val="20"/>
                <w:vertAlign w:val="subscript"/>
              </w:rPr>
              <w:t>5</w:t>
            </w:r>
            <w:r w:rsidRPr="00E33AAE">
              <w:rPr>
                <w:rFonts w:ascii="Arial" w:hAnsi="Arial" w:cs="Arial"/>
                <w:color w:val="auto"/>
                <w:sz w:val="20"/>
                <w:szCs w:val="20"/>
              </w:rPr>
              <w:t>H</w:t>
            </w:r>
            <w:r w:rsidRPr="00E33AAE">
              <w:rPr>
                <w:rFonts w:ascii="Arial" w:hAnsi="Arial" w:cs="Arial"/>
                <w:color w:val="auto"/>
                <w:sz w:val="20"/>
                <w:szCs w:val="20"/>
                <w:vertAlign w:val="subscript"/>
              </w:rPr>
              <w:t>10</w:t>
            </w:r>
            <w:r w:rsidRPr="00E33AAE">
              <w:rPr>
                <w:rFonts w:ascii="Arial" w:hAnsi="Arial" w:cs="Arial"/>
                <w:color w:val="auto"/>
                <w:sz w:val="20"/>
                <w:szCs w:val="20"/>
              </w:rPr>
              <w:t>O</w:t>
            </w:r>
            <w:r w:rsidRPr="00E33AAE">
              <w:rPr>
                <w:rFonts w:ascii="Arial" w:hAnsi="Arial" w:cs="Arial"/>
                <w:color w:val="auto"/>
                <w:sz w:val="20"/>
                <w:szCs w:val="20"/>
                <w:vertAlign w:val="subscript"/>
              </w:rPr>
              <w:t>2</w:t>
            </w:r>
          </w:p>
        </w:tc>
      </w:tr>
      <w:tr w:rsidR="00D15B51" w:rsidRPr="00E33AAE" w14:paraId="58C99678"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shd w:val="clear" w:color="auto" w:fill="auto"/>
          </w:tcPr>
          <w:p w14:paraId="58E4AE48" w14:textId="77777777" w:rsidR="00D15B51" w:rsidRPr="00E33AAE" w:rsidRDefault="00D15B51" w:rsidP="004354E1">
            <w:pPr>
              <w:jc w:val="both"/>
              <w:rPr>
                <w:rFonts w:ascii="Arial" w:hAnsi="Arial" w:cs="Arial"/>
                <w:b w:val="0"/>
                <w:color w:val="auto"/>
                <w:sz w:val="20"/>
                <w:szCs w:val="20"/>
              </w:rPr>
            </w:pPr>
            <w:r w:rsidRPr="00E33AAE">
              <w:rPr>
                <w:rFonts w:ascii="Arial" w:hAnsi="Arial" w:cs="Arial"/>
                <w:b w:val="0"/>
                <w:color w:val="auto"/>
                <w:sz w:val="20"/>
                <w:szCs w:val="20"/>
              </w:rPr>
              <w:t>5.</w:t>
            </w:r>
          </w:p>
        </w:tc>
        <w:tc>
          <w:tcPr>
            <w:tcW w:w="1264" w:type="dxa"/>
            <w:shd w:val="clear" w:color="auto" w:fill="auto"/>
          </w:tcPr>
          <w:p w14:paraId="57FEF1D3"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12.369</w:t>
            </w:r>
          </w:p>
        </w:tc>
        <w:tc>
          <w:tcPr>
            <w:tcW w:w="883" w:type="dxa"/>
            <w:shd w:val="clear" w:color="auto" w:fill="auto"/>
          </w:tcPr>
          <w:p w14:paraId="6A900B2F"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3.53</w:t>
            </w:r>
          </w:p>
        </w:tc>
        <w:tc>
          <w:tcPr>
            <w:tcW w:w="4902" w:type="dxa"/>
            <w:shd w:val="clear" w:color="auto" w:fill="auto"/>
          </w:tcPr>
          <w:p w14:paraId="3309FA9E"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3-(1-methyl)-</w:t>
            </w:r>
            <w:proofErr w:type="spellStart"/>
            <w:r w:rsidRPr="00E33AAE">
              <w:rPr>
                <w:rFonts w:ascii="Arial" w:hAnsi="Arial" w:cs="Arial"/>
                <w:color w:val="auto"/>
                <w:sz w:val="20"/>
                <w:szCs w:val="20"/>
              </w:rPr>
              <w:t>sydnone</w:t>
            </w:r>
            <w:proofErr w:type="spellEnd"/>
          </w:p>
        </w:tc>
        <w:tc>
          <w:tcPr>
            <w:tcW w:w="1240" w:type="dxa"/>
            <w:shd w:val="clear" w:color="auto" w:fill="auto"/>
          </w:tcPr>
          <w:p w14:paraId="20E0527F"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w:t>
            </w:r>
            <w:r w:rsidRPr="00E33AAE">
              <w:rPr>
                <w:rFonts w:ascii="Arial" w:hAnsi="Arial" w:cs="Arial"/>
                <w:color w:val="auto"/>
                <w:sz w:val="20"/>
                <w:szCs w:val="20"/>
                <w:vertAlign w:val="subscript"/>
              </w:rPr>
              <w:t>5</w:t>
            </w:r>
            <w:r w:rsidRPr="00E33AAE">
              <w:rPr>
                <w:rFonts w:ascii="Arial" w:hAnsi="Arial" w:cs="Arial"/>
                <w:color w:val="auto"/>
                <w:sz w:val="20"/>
                <w:szCs w:val="20"/>
              </w:rPr>
              <w:t>H</w:t>
            </w:r>
            <w:r w:rsidRPr="00E33AAE">
              <w:rPr>
                <w:rFonts w:ascii="Arial" w:hAnsi="Arial" w:cs="Arial"/>
                <w:color w:val="auto"/>
                <w:sz w:val="20"/>
                <w:szCs w:val="20"/>
                <w:vertAlign w:val="subscript"/>
              </w:rPr>
              <w:t>8</w:t>
            </w:r>
            <w:r w:rsidRPr="00E33AAE">
              <w:rPr>
                <w:rFonts w:ascii="Arial" w:hAnsi="Arial" w:cs="Arial"/>
                <w:color w:val="auto"/>
                <w:sz w:val="20"/>
                <w:szCs w:val="20"/>
              </w:rPr>
              <w:t>N</w:t>
            </w:r>
            <w:r w:rsidRPr="00E33AAE">
              <w:rPr>
                <w:rFonts w:ascii="Arial" w:hAnsi="Arial" w:cs="Arial"/>
                <w:color w:val="auto"/>
                <w:sz w:val="20"/>
                <w:szCs w:val="20"/>
                <w:vertAlign w:val="subscript"/>
              </w:rPr>
              <w:t>2</w:t>
            </w:r>
            <w:r w:rsidRPr="00E33AAE">
              <w:rPr>
                <w:rFonts w:ascii="Arial" w:hAnsi="Arial" w:cs="Arial"/>
                <w:color w:val="auto"/>
                <w:sz w:val="20"/>
                <w:szCs w:val="20"/>
              </w:rPr>
              <w:t>O</w:t>
            </w:r>
            <w:r w:rsidRPr="00E33AAE">
              <w:rPr>
                <w:rFonts w:ascii="Arial" w:hAnsi="Arial" w:cs="Arial"/>
                <w:color w:val="auto"/>
                <w:sz w:val="20"/>
                <w:szCs w:val="20"/>
                <w:vertAlign w:val="subscript"/>
              </w:rPr>
              <w:t>2</w:t>
            </w:r>
          </w:p>
        </w:tc>
      </w:tr>
      <w:tr w:rsidR="00D15B51" w:rsidRPr="00E33AAE" w14:paraId="4996538B" w14:textId="77777777" w:rsidTr="004354E1">
        <w:tc>
          <w:tcPr>
            <w:cnfStyle w:val="001000000000" w:firstRow="0" w:lastRow="0" w:firstColumn="1" w:lastColumn="0" w:oddVBand="0" w:evenVBand="0" w:oddHBand="0" w:evenHBand="0" w:firstRowFirstColumn="0" w:firstRowLastColumn="0" w:lastRowFirstColumn="0" w:lastRowLastColumn="0"/>
            <w:tcW w:w="781" w:type="dxa"/>
          </w:tcPr>
          <w:p w14:paraId="489E6C9C" w14:textId="77777777" w:rsidR="00D15B51" w:rsidRPr="00E33AAE" w:rsidRDefault="00D15B51" w:rsidP="004354E1">
            <w:pPr>
              <w:jc w:val="both"/>
              <w:rPr>
                <w:rFonts w:ascii="Arial" w:hAnsi="Arial" w:cs="Arial"/>
                <w:b w:val="0"/>
                <w:color w:val="auto"/>
                <w:sz w:val="20"/>
                <w:szCs w:val="20"/>
              </w:rPr>
            </w:pPr>
            <w:r w:rsidRPr="00E33AAE">
              <w:rPr>
                <w:rFonts w:ascii="Arial" w:hAnsi="Arial" w:cs="Arial"/>
                <w:b w:val="0"/>
                <w:color w:val="auto"/>
                <w:sz w:val="20"/>
                <w:szCs w:val="20"/>
              </w:rPr>
              <w:t>6.</w:t>
            </w:r>
          </w:p>
        </w:tc>
        <w:tc>
          <w:tcPr>
            <w:tcW w:w="1264" w:type="dxa"/>
          </w:tcPr>
          <w:p w14:paraId="00B96F8C"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15.480</w:t>
            </w:r>
          </w:p>
        </w:tc>
        <w:tc>
          <w:tcPr>
            <w:tcW w:w="883" w:type="dxa"/>
          </w:tcPr>
          <w:p w14:paraId="64F8FD49"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14.65</w:t>
            </w:r>
          </w:p>
        </w:tc>
        <w:tc>
          <w:tcPr>
            <w:tcW w:w="4902" w:type="dxa"/>
          </w:tcPr>
          <w:p w14:paraId="3F19D8E6"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3,5-dihydroxy-6-methyl-2,3-dihydro-4H-pyran-4-one</w:t>
            </w:r>
          </w:p>
        </w:tc>
        <w:tc>
          <w:tcPr>
            <w:tcW w:w="1240" w:type="dxa"/>
          </w:tcPr>
          <w:p w14:paraId="5DA2CCC4"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w:t>
            </w:r>
            <w:r w:rsidRPr="00E33AAE">
              <w:rPr>
                <w:rFonts w:ascii="Arial" w:hAnsi="Arial" w:cs="Arial"/>
                <w:color w:val="auto"/>
                <w:sz w:val="20"/>
                <w:szCs w:val="20"/>
                <w:vertAlign w:val="subscript"/>
              </w:rPr>
              <w:t>6</w:t>
            </w:r>
            <w:r w:rsidRPr="00E33AAE">
              <w:rPr>
                <w:rFonts w:ascii="Arial" w:hAnsi="Arial" w:cs="Arial"/>
                <w:color w:val="auto"/>
                <w:sz w:val="20"/>
                <w:szCs w:val="20"/>
              </w:rPr>
              <w:t>H</w:t>
            </w:r>
            <w:r w:rsidRPr="00E33AAE">
              <w:rPr>
                <w:rFonts w:ascii="Arial" w:hAnsi="Arial" w:cs="Arial"/>
                <w:color w:val="auto"/>
                <w:sz w:val="20"/>
                <w:szCs w:val="20"/>
                <w:vertAlign w:val="subscript"/>
              </w:rPr>
              <w:t>8</w:t>
            </w:r>
            <w:r w:rsidRPr="00E33AAE">
              <w:rPr>
                <w:rFonts w:ascii="Arial" w:hAnsi="Arial" w:cs="Arial"/>
                <w:color w:val="auto"/>
                <w:sz w:val="20"/>
                <w:szCs w:val="20"/>
              </w:rPr>
              <w:t>O</w:t>
            </w:r>
            <w:r w:rsidRPr="00E33AAE">
              <w:rPr>
                <w:rFonts w:ascii="Arial" w:hAnsi="Arial" w:cs="Arial"/>
                <w:color w:val="auto"/>
                <w:sz w:val="20"/>
                <w:szCs w:val="20"/>
                <w:vertAlign w:val="subscript"/>
              </w:rPr>
              <w:t>4</w:t>
            </w:r>
          </w:p>
        </w:tc>
      </w:tr>
      <w:tr w:rsidR="00D15B51" w:rsidRPr="00E33AAE" w14:paraId="55B2433B"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shd w:val="clear" w:color="auto" w:fill="auto"/>
          </w:tcPr>
          <w:p w14:paraId="270FDB42" w14:textId="77777777" w:rsidR="00D15B51" w:rsidRPr="00E33AAE" w:rsidRDefault="00D15B51" w:rsidP="004354E1">
            <w:pPr>
              <w:jc w:val="both"/>
              <w:rPr>
                <w:rFonts w:ascii="Arial" w:hAnsi="Arial" w:cs="Arial"/>
                <w:b w:val="0"/>
                <w:color w:val="auto"/>
                <w:sz w:val="20"/>
                <w:szCs w:val="20"/>
              </w:rPr>
            </w:pPr>
            <w:r w:rsidRPr="00E33AAE">
              <w:rPr>
                <w:rFonts w:ascii="Arial" w:hAnsi="Arial" w:cs="Arial"/>
                <w:b w:val="0"/>
                <w:color w:val="auto"/>
                <w:sz w:val="20"/>
                <w:szCs w:val="20"/>
              </w:rPr>
              <w:t>7.</w:t>
            </w:r>
          </w:p>
        </w:tc>
        <w:tc>
          <w:tcPr>
            <w:tcW w:w="1264" w:type="dxa"/>
            <w:shd w:val="clear" w:color="auto" w:fill="auto"/>
          </w:tcPr>
          <w:p w14:paraId="265B2BB3"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17.427</w:t>
            </w:r>
          </w:p>
        </w:tc>
        <w:tc>
          <w:tcPr>
            <w:tcW w:w="883" w:type="dxa"/>
            <w:shd w:val="clear" w:color="auto" w:fill="auto"/>
          </w:tcPr>
          <w:p w14:paraId="12A838C3"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1.03</w:t>
            </w:r>
          </w:p>
        </w:tc>
        <w:tc>
          <w:tcPr>
            <w:tcW w:w="4902" w:type="dxa"/>
            <w:shd w:val="clear" w:color="auto" w:fill="auto"/>
          </w:tcPr>
          <w:p w14:paraId="5A96564C"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5-ethyl-1,4-dimethyl-delta, 2-tetrazaboroline</w:t>
            </w:r>
          </w:p>
        </w:tc>
        <w:tc>
          <w:tcPr>
            <w:tcW w:w="1240" w:type="dxa"/>
            <w:shd w:val="clear" w:color="auto" w:fill="auto"/>
          </w:tcPr>
          <w:p w14:paraId="54798A0F"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w:t>
            </w:r>
            <w:r w:rsidRPr="00E33AAE">
              <w:rPr>
                <w:rFonts w:ascii="Arial" w:hAnsi="Arial" w:cs="Arial"/>
                <w:color w:val="auto"/>
                <w:sz w:val="20"/>
                <w:szCs w:val="20"/>
                <w:vertAlign w:val="subscript"/>
              </w:rPr>
              <w:t>4</w:t>
            </w:r>
            <w:r w:rsidRPr="00E33AAE">
              <w:rPr>
                <w:rFonts w:ascii="Arial" w:hAnsi="Arial" w:cs="Arial"/>
                <w:color w:val="auto"/>
                <w:sz w:val="20"/>
                <w:szCs w:val="20"/>
              </w:rPr>
              <w:t>H</w:t>
            </w:r>
            <w:r w:rsidRPr="00E33AAE">
              <w:rPr>
                <w:rFonts w:ascii="Arial" w:hAnsi="Arial" w:cs="Arial"/>
                <w:color w:val="auto"/>
                <w:sz w:val="20"/>
                <w:szCs w:val="20"/>
                <w:vertAlign w:val="subscript"/>
              </w:rPr>
              <w:t>11</w:t>
            </w:r>
            <w:r w:rsidRPr="00E33AAE">
              <w:rPr>
                <w:rFonts w:ascii="Arial" w:hAnsi="Arial" w:cs="Arial"/>
                <w:color w:val="auto"/>
                <w:sz w:val="20"/>
                <w:szCs w:val="20"/>
              </w:rPr>
              <w:t>BH</w:t>
            </w:r>
            <w:r w:rsidRPr="00E33AAE">
              <w:rPr>
                <w:rFonts w:ascii="Arial" w:hAnsi="Arial" w:cs="Arial"/>
                <w:color w:val="auto"/>
                <w:sz w:val="20"/>
                <w:szCs w:val="20"/>
                <w:vertAlign w:val="subscript"/>
              </w:rPr>
              <w:t>4</w:t>
            </w:r>
          </w:p>
        </w:tc>
      </w:tr>
      <w:tr w:rsidR="00D15B51" w:rsidRPr="00E33AAE" w14:paraId="167362B8" w14:textId="77777777" w:rsidTr="004354E1">
        <w:tc>
          <w:tcPr>
            <w:cnfStyle w:val="001000000000" w:firstRow="0" w:lastRow="0" w:firstColumn="1" w:lastColumn="0" w:oddVBand="0" w:evenVBand="0" w:oddHBand="0" w:evenHBand="0" w:firstRowFirstColumn="0" w:firstRowLastColumn="0" w:lastRowFirstColumn="0" w:lastRowLastColumn="0"/>
            <w:tcW w:w="781" w:type="dxa"/>
          </w:tcPr>
          <w:p w14:paraId="32CA09D9" w14:textId="77777777" w:rsidR="00D15B51" w:rsidRPr="00E33AAE" w:rsidRDefault="00D15B51" w:rsidP="004354E1">
            <w:pPr>
              <w:jc w:val="both"/>
              <w:rPr>
                <w:rFonts w:ascii="Arial" w:hAnsi="Arial" w:cs="Arial"/>
                <w:b w:val="0"/>
                <w:color w:val="auto"/>
                <w:sz w:val="20"/>
                <w:szCs w:val="20"/>
              </w:rPr>
            </w:pPr>
            <w:r w:rsidRPr="00E33AAE">
              <w:rPr>
                <w:rFonts w:ascii="Arial" w:hAnsi="Arial" w:cs="Arial"/>
                <w:b w:val="0"/>
                <w:color w:val="auto"/>
                <w:sz w:val="20"/>
                <w:szCs w:val="20"/>
              </w:rPr>
              <w:t>8.</w:t>
            </w:r>
          </w:p>
        </w:tc>
        <w:tc>
          <w:tcPr>
            <w:tcW w:w="1264" w:type="dxa"/>
          </w:tcPr>
          <w:p w14:paraId="0BE89464"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19.409</w:t>
            </w:r>
          </w:p>
        </w:tc>
        <w:tc>
          <w:tcPr>
            <w:tcW w:w="883" w:type="dxa"/>
          </w:tcPr>
          <w:p w14:paraId="74916989"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71.95</w:t>
            </w:r>
          </w:p>
        </w:tc>
        <w:tc>
          <w:tcPr>
            <w:tcW w:w="4902" w:type="dxa"/>
          </w:tcPr>
          <w:p w14:paraId="098AA93B"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5-(hydroxymethyl)-2-furancarboxaldehyde</w:t>
            </w:r>
          </w:p>
        </w:tc>
        <w:tc>
          <w:tcPr>
            <w:tcW w:w="1240" w:type="dxa"/>
          </w:tcPr>
          <w:p w14:paraId="278AE4AC"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w:t>
            </w:r>
            <w:r w:rsidRPr="00E33AAE">
              <w:rPr>
                <w:rFonts w:ascii="Arial" w:hAnsi="Arial" w:cs="Arial"/>
                <w:color w:val="auto"/>
                <w:sz w:val="20"/>
                <w:szCs w:val="20"/>
                <w:vertAlign w:val="subscript"/>
              </w:rPr>
              <w:t>6</w:t>
            </w:r>
            <w:r w:rsidRPr="00E33AAE">
              <w:rPr>
                <w:rFonts w:ascii="Arial" w:hAnsi="Arial" w:cs="Arial"/>
                <w:color w:val="auto"/>
                <w:sz w:val="20"/>
                <w:szCs w:val="20"/>
              </w:rPr>
              <w:t>H</w:t>
            </w:r>
            <w:r w:rsidRPr="00E33AAE">
              <w:rPr>
                <w:rFonts w:ascii="Arial" w:hAnsi="Arial" w:cs="Arial"/>
                <w:color w:val="auto"/>
                <w:sz w:val="20"/>
                <w:szCs w:val="20"/>
                <w:vertAlign w:val="subscript"/>
              </w:rPr>
              <w:t>6</w:t>
            </w:r>
            <w:r w:rsidRPr="00E33AAE">
              <w:rPr>
                <w:rFonts w:ascii="Arial" w:hAnsi="Arial" w:cs="Arial"/>
                <w:color w:val="auto"/>
                <w:sz w:val="20"/>
                <w:szCs w:val="20"/>
              </w:rPr>
              <w:t>O</w:t>
            </w:r>
            <w:r w:rsidRPr="00E33AAE">
              <w:rPr>
                <w:rFonts w:ascii="Arial" w:hAnsi="Arial" w:cs="Arial"/>
                <w:color w:val="auto"/>
                <w:sz w:val="20"/>
                <w:szCs w:val="20"/>
                <w:vertAlign w:val="subscript"/>
              </w:rPr>
              <w:t>3</w:t>
            </w:r>
          </w:p>
        </w:tc>
      </w:tr>
      <w:tr w:rsidR="00D15B51" w:rsidRPr="00E33AAE" w14:paraId="42AF700E" w14:textId="77777777" w:rsidTr="004354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 w:type="dxa"/>
            <w:shd w:val="clear" w:color="auto" w:fill="auto"/>
          </w:tcPr>
          <w:p w14:paraId="639EE437" w14:textId="77777777" w:rsidR="00D15B51" w:rsidRPr="00E33AAE" w:rsidRDefault="00D15B51" w:rsidP="004354E1">
            <w:pPr>
              <w:jc w:val="both"/>
              <w:rPr>
                <w:rFonts w:ascii="Arial" w:hAnsi="Arial" w:cs="Arial"/>
                <w:b w:val="0"/>
                <w:color w:val="auto"/>
                <w:sz w:val="20"/>
                <w:szCs w:val="20"/>
              </w:rPr>
            </w:pPr>
            <w:r w:rsidRPr="00E33AAE">
              <w:rPr>
                <w:rFonts w:ascii="Arial" w:hAnsi="Arial" w:cs="Arial"/>
                <w:b w:val="0"/>
                <w:color w:val="auto"/>
                <w:sz w:val="20"/>
                <w:szCs w:val="20"/>
              </w:rPr>
              <w:t>9.</w:t>
            </w:r>
          </w:p>
        </w:tc>
        <w:tc>
          <w:tcPr>
            <w:tcW w:w="1264" w:type="dxa"/>
            <w:shd w:val="clear" w:color="auto" w:fill="auto"/>
          </w:tcPr>
          <w:p w14:paraId="61A5F4BC"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40.455</w:t>
            </w:r>
          </w:p>
        </w:tc>
        <w:tc>
          <w:tcPr>
            <w:tcW w:w="883" w:type="dxa"/>
            <w:shd w:val="clear" w:color="auto" w:fill="auto"/>
          </w:tcPr>
          <w:p w14:paraId="36AAB992"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3.54</w:t>
            </w:r>
          </w:p>
        </w:tc>
        <w:tc>
          <w:tcPr>
            <w:tcW w:w="4902" w:type="dxa"/>
            <w:shd w:val="clear" w:color="auto" w:fill="auto"/>
          </w:tcPr>
          <w:p w14:paraId="4E9DF7BF"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3-ethylcyclopent-2-en-1-one</w:t>
            </w:r>
          </w:p>
        </w:tc>
        <w:tc>
          <w:tcPr>
            <w:tcW w:w="1240" w:type="dxa"/>
            <w:shd w:val="clear" w:color="auto" w:fill="auto"/>
          </w:tcPr>
          <w:p w14:paraId="1D362ED5"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C</w:t>
            </w:r>
            <w:r w:rsidRPr="00E33AAE">
              <w:rPr>
                <w:rFonts w:ascii="Arial" w:hAnsi="Arial" w:cs="Arial"/>
                <w:color w:val="auto"/>
                <w:sz w:val="20"/>
                <w:szCs w:val="20"/>
                <w:vertAlign w:val="subscript"/>
              </w:rPr>
              <w:t>7</w:t>
            </w:r>
            <w:r w:rsidRPr="00E33AAE">
              <w:rPr>
                <w:rFonts w:ascii="Arial" w:hAnsi="Arial" w:cs="Arial"/>
                <w:color w:val="auto"/>
                <w:sz w:val="20"/>
                <w:szCs w:val="20"/>
              </w:rPr>
              <w:t>H</w:t>
            </w:r>
            <w:r w:rsidRPr="00E33AAE">
              <w:rPr>
                <w:rFonts w:ascii="Arial" w:hAnsi="Arial" w:cs="Arial"/>
                <w:color w:val="auto"/>
                <w:sz w:val="20"/>
                <w:szCs w:val="20"/>
                <w:vertAlign w:val="subscript"/>
              </w:rPr>
              <w:t>10</w:t>
            </w:r>
            <w:r w:rsidRPr="00E33AAE">
              <w:rPr>
                <w:rFonts w:ascii="Arial" w:hAnsi="Arial" w:cs="Arial"/>
                <w:color w:val="auto"/>
                <w:sz w:val="20"/>
                <w:szCs w:val="20"/>
              </w:rPr>
              <w:t>O</w:t>
            </w:r>
          </w:p>
        </w:tc>
      </w:tr>
    </w:tbl>
    <w:p w14:paraId="5F6A9849" w14:textId="77777777" w:rsidR="00D15B51" w:rsidRPr="00E33AAE" w:rsidRDefault="00D15B51" w:rsidP="00D15B51">
      <w:pPr>
        <w:jc w:val="both"/>
        <w:rPr>
          <w:rFonts w:ascii="Arial" w:hAnsi="Arial" w:cs="Arial"/>
          <w:b/>
          <w:sz w:val="20"/>
          <w:szCs w:val="20"/>
        </w:rPr>
      </w:pPr>
    </w:p>
    <w:p w14:paraId="17610223" w14:textId="77777777" w:rsidR="00C67120" w:rsidRPr="00E33AAE" w:rsidRDefault="004354E1" w:rsidP="004354E1">
      <w:pPr>
        <w:spacing w:before="100" w:beforeAutospacing="1" w:after="100" w:afterAutospacing="1" w:line="240" w:lineRule="auto"/>
        <w:jc w:val="both"/>
        <w:rPr>
          <w:rFonts w:ascii="Arial" w:eastAsia="Times New Roman" w:hAnsi="Arial" w:cs="Arial"/>
          <w:sz w:val="20"/>
          <w:szCs w:val="20"/>
        </w:rPr>
      </w:pPr>
      <w:r w:rsidRPr="00E33AAE">
        <w:t xml:space="preserve">The chromatographic purification of </w:t>
      </w:r>
      <w:r w:rsidRPr="00E33AAE">
        <w:rPr>
          <w:i/>
        </w:rPr>
        <w:t>Ritchiea longipedicellata</w:t>
      </w:r>
      <w:r w:rsidRPr="00E33AAE">
        <w:t xml:space="preserve"> crude extracts was carried out to isolate and concentrate the bioactive constituents responsible for the antimicrobial activities observed during preliminary screening. Bioassay-guided fractionation is widely recognized as an effective strategy in natural product drug discovery because it combines biological evaluation with progressive chemical separation, thereby facilitating the identification of pharmacologically active compounds from complex plant matrices (Ejele et al., 2012; Akpan et al., 2016; Brusotti et al., 2014). In the present study, chromatographic purification was guided by antimicrobial activity, ensuring that biologically active constituents were selectively enriched.</w:t>
      </w:r>
    </w:p>
    <w:p w14:paraId="7F9BB57A" w14:textId="77777777" w:rsidR="00D15B51" w:rsidRPr="00E33AAE" w:rsidRDefault="00D15B51" w:rsidP="00D15B51">
      <w:pPr>
        <w:jc w:val="both"/>
        <w:rPr>
          <w:rFonts w:ascii="Arial" w:hAnsi="Arial" w:cs="Arial"/>
          <w:b/>
          <w:sz w:val="20"/>
          <w:szCs w:val="20"/>
        </w:rPr>
      </w:pPr>
      <w:r w:rsidRPr="00E33AAE">
        <w:rPr>
          <w:rFonts w:ascii="Arial" w:hAnsi="Arial" w:cs="Arial"/>
          <w:b/>
          <w:sz w:val="20"/>
          <w:szCs w:val="20"/>
        </w:rPr>
        <w:t xml:space="preserve">Table 5: Most abundant compounds in bioactive fraction C (Rf value </w:t>
      </w:r>
      <w:r w:rsidR="004C5184" w:rsidRPr="00E33AAE">
        <w:rPr>
          <w:rFonts w:ascii="Arial" w:hAnsi="Arial" w:cs="Arial"/>
          <w:b/>
          <w:sz w:val="20"/>
          <w:szCs w:val="20"/>
        </w:rPr>
        <w:t>0</w:t>
      </w:r>
      <w:r w:rsidRPr="00E33AAE">
        <w:rPr>
          <w:rFonts w:ascii="Arial" w:hAnsi="Arial" w:cs="Arial"/>
          <w:b/>
          <w:sz w:val="20"/>
          <w:szCs w:val="20"/>
        </w:rPr>
        <w:t>.33)</w:t>
      </w:r>
    </w:p>
    <w:tbl>
      <w:tblPr>
        <w:tblStyle w:val="ListTable6Colorful"/>
        <w:tblW w:w="9175" w:type="dxa"/>
        <w:tblLook w:val="04A0" w:firstRow="1" w:lastRow="0" w:firstColumn="1" w:lastColumn="0" w:noHBand="0" w:noVBand="1"/>
      </w:tblPr>
      <w:tblGrid>
        <w:gridCol w:w="2239"/>
        <w:gridCol w:w="1479"/>
        <w:gridCol w:w="1165"/>
        <w:gridCol w:w="1350"/>
        <w:gridCol w:w="2942"/>
      </w:tblGrid>
      <w:tr w:rsidR="00D15B51" w:rsidRPr="00E33AAE" w14:paraId="4AB26AEC" w14:textId="77777777" w:rsidTr="00435C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tcPr>
          <w:p w14:paraId="138E1570" w14:textId="77777777" w:rsidR="00D15B51" w:rsidRPr="00E33AAE" w:rsidRDefault="00D15B51" w:rsidP="004354E1">
            <w:pPr>
              <w:jc w:val="both"/>
              <w:rPr>
                <w:rFonts w:ascii="Arial" w:hAnsi="Arial" w:cs="Arial"/>
                <w:color w:val="auto"/>
                <w:sz w:val="20"/>
                <w:szCs w:val="20"/>
              </w:rPr>
            </w:pPr>
            <w:r w:rsidRPr="00E33AAE">
              <w:rPr>
                <w:rFonts w:ascii="Arial" w:hAnsi="Arial" w:cs="Arial"/>
                <w:color w:val="auto"/>
                <w:sz w:val="20"/>
                <w:szCs w:val="20"/>
              </w:rPr>
              <w:t>Name of compounds</w:t>
            </w:r>
          </w:p>
        </w:tc>
        <w:tc>
          <w:tcPr>
            <w:tcW w:w="1535" w:type="dxa"/>
          </w:tcPr>
          <w:p w14:paraId="4CD936F0"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Structural formula</w:t>
            </w:r>
          </w:p>
        </w:tc>
        <w:tc>
          <w:tcPr>
            <w:tcW w:w="1168" w:type="dxa"/>
          </w:tcPr>
          <w:p w14:paraId="441D7971"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Molecular weight (g/mol)</w:t>
            </w:r>
          </w:p>
        </w:tc>
        <w:tc>
          <w:tcPr>
            <w:tcW w:w="1195" w:type="dxa"/>
          </w:tcPr>
          <w:p w14:paraId="39C8BF3D"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Nature of compounds</w:t>
            </w:r>
          </w:p>
        </w:tc>
        <w:tc>
          <w:tcPr>
            <w:tcW w:w="3085" w:type="dxa"/>
          </w:tcPr>
          <w:p w14:paraId="655D632C" w14:textId="77777777" w:rsidR="00D15B51" w:rsidRPr="00E33AAE" w:rsidRDefault="00D15B51" w:rsidP="004354E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Activity</w:t>
            </w:r>
          </w:p>
        </w:tc>
      </w:tr>
      <w:tr w:rsidR="00435C3F" w:rsidRPr="00E33AAE" w14:paraId="7C4EB92C" w14:textId="77777777" w:rsidTr="00435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shd w:val="clear" w:color="auto" w:fill="auto"/>
          </w:tcPr>
          <w:p w14:paraId="39BCB4B4" w14:textId="77777777" w:rsidR="00D15B51" w:rsidRPr="00E33AAE" w:rsidRDefault="00D15B51" w:rsidP="004354E1">
            <w:pPr>
              <w:jc w:val="both"/>
              <w:rPr>
                <w:rFonts w:ascii="Arial" w:hAnsi="Arial" w:cs="Arial"/>
                <w:color w:val="auto"/>
                <w:sz w:val="20"/>
                <w:szCs w:val="20"/>
              </w:rPr>
            </w:pPr>
            <w:r w:rsidRPr="00E33AAE">
              <w:rPr>
                <w:rFonts w:ascii="Arial" w:hAnsi="Arial" w:cs="Arial"/>
                <w:color w:val="auto"/>
                <w:sz w:val="20"/>
                <w:szCs w:val="20"/>
              </w:rPr>
              <w:t>5-(hydroxymethyl)-2-furancarboxaldehyde (5-HMF)</w:t>
            </w:r>
          </w:p>
        </w:tc>
        <w:tc>
          <w:tcPr>
            <w:tcW w:w="1535" w:type="dxa"/>
            <w:shd w:val="clear" w:color="auto" w:fill="auto"/>
          </w:tcPr>
          <w:p w14:paraId="176D367C" w14:textId="77777777" w:rsidR="00D15B51" w:rsidRPr="00E33AAE" w:rsidRDefault="00000000"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Pr>
                <w:rFonts w:ascii="Arial" w:hAnsi="Arial" w:cs="Arial"/>
                <w:noProof/>
                <w:sz w:val="20"/>
                <w:szCs w:val="20"/>
              </w:rPr>
              <w:object w:dxaOrig="3840" w:dyaOrig="128" w14:anchorId="63E268DB">
                <v:shape id="_x0000_s2053" type="#_x0000_t75" style="position:absolute;left:0;text-align:left;margin-left:11.35pt;margin-top:8.25pt;width:35.25pt;height:50.05pt;z-index:251676672;mso-position-horizontal-relative:text;mso-position-vertical-relative:text;mso-width-relative:page;mso-height-relative:page">
                  <v:imagedata r:id="rId25" o:title=""/>
                </v:shape>
                <o:OLEObject Type="Embed" ProgID="ACD.ChemSketch.20" ShapeID="_x0000_s2053" DrawAspect="Content" ObjectID="_1844689093" r:id="rId26">
                  <o:FieldCodes>\s</o:FieldCodes>
                </o:OLEObject>
              </w:object>
            </w:r>
          </w:p>
        </w:tc>
        <w:tc>
          <w:tcPr>
            <w:tcW w:w="1168" w:type="dxa"/>
            <w:shd w:val="clear" w:color="auto" w:fill="auto"/>
          </w:tcPr>
          <w:p w14:paraId="53CFE566"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126.11</w:t>
            </w:r>
          </w:p>
        </w:tc>
        <w:tc>
          <w:tcPr>
            <w:tcW w:w="1195" w:type="dxa"/>
            <w:shd w:val="clear" w:color="auto" w:fill="auto"/>
          </w:tcPr>
          <w:p w14:paraId="69A0564A"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Aldehyde</w:t>
            </w:r>
          </w:p>
        </w:tc>
        <w:tc>
          <w:tcPr>
            <w:tcW w:w="3085" w:type="dxa"/>
            <w:shd w:val="clear" w:color="auto" w:fill="auto"/>
          </w:tcPr>
          <w:p w14:paraId="471B45BA"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Antimicrobial (</w:t>
            </w:r>
            <w:r w:rsidR="00594E7C" w:rsidRPr="00E33AAE">
              <w:rPr>
                <w:color w:val="auto"/>
                <w:sz w:val="20"/>
                <w:szCs w:val="20"/>
              </w:rPr>
              <w:t>Espinoza et al</w:t>
            </w:r>
            <w:r w:rsidR="00F176D2" w:rsidRPr="00E33AAE">
              <w:rPr>
                <w:color w:val="auto"/>
                <w:sz w:val="20"/>
                <w:szCs w:val="20"/>
              </w:rPr>
              <w:t>.</w:t>
            </w:r>
            <w:r w:rsidR="00594E7C" w:rsidRPr="00E33AAE">
              <w:rPr>
                <w:color w:val="auto"/>
                <w:sz w:val="20"/>
                <w:szCs w:val="20"/>
              </w:rPr>
              <w:t>, 2008</w:t>
            </w:r>
            <w:r w:rsidRPr="00E33AAE">
              <w:rPr>
                <w:rFonts w:ascii="Arial" w:hAnsi="Arial" w:cs="Arial"/>
                <w:color w:val="auto"/>
                <w:sz w:val="20"/>
                <w:szCs w:val="20"/>
              </w:rPr>
              <w:t>), preservative (</w:t>
            </w:r>
            <w:r w:rsidR="00F176D2" w:rsidRPr="00E33AAE">
              <w:rPr>
                <w:color w:val="auto"/>
                <w:sz w:val="20"/>
                <w:szCs w:val="20"/>
              </w:rPr>
              <w:t>Varsha et al., 2014</w:t>
            </w:r>
            <w:r w:rsidRPr="00E33AAE">
              <w:rPr>
                <w:rFonts w:ascii="Arial" w:hAnsi="Arial" w:cs="Arial"/>
                <w:color w:val="auto"/>
                <w:sz w:val="20"/>
                <w:szCs w:val="20"/>
              </w:rPr>
              <w:t>), anti-sickling (</w:t>
            </w:r>
            <w:r w:rsidR="00F176D2" w:rsidRPr="00E33AAE">
              <w:rPr>
                <w:color w:val="auto"/>
                <w:sz w:val="20"/>
                <w:szCs w:val="20"/>
              </w:rPr>
              <w:t>Abdulmalik et al., 2005</w:t>
            </w:r>
            <w:r w:rsidRPr="00E33AAE">
              <w:rPr>
                <w:rFonts w:ascii="Arial" w:hAnsi="Arial" w:cs="Arial"/>
                <w:color w:val="auto"/>
                <w:sz w:val="20"/>
                <w:szCs w:val="20"/>
              </w:rPr>
              <w:t>), anti-</w:t>
            </w:r>
            <w:proofErr w:type="spellStart"/>
            <w:r w:rsidRPr="00E33AAE">
              <w:rPr>
                <w:rFonts w:ascii="Arial" w:hAnsi="Arial" w:cs="Arial"/>
                <w:color w:val="auto"/>
                <w:sz w:val="20"/>
                <w:szCs w:val="20"/>
              </w:rPr>
              <w:t>inflammatoryactivities</w:t>
            </w:r>
            <w:proofErr w:type="spellEnd"/>
            <w:r w:rsidRPr="00E33AAE">
              <w:rPr>
                <w:rFonts w:ascii="Arial" w:hAnsi="Arial" w:cs="Arial"/>
                <w:color w:val="auto"/>
                <w:sz w:val="20"/>
                <w:szCs w:val="20"/>
              </w:rPr>
              <w:t xml:space="preserve"> and protection of the liver and vascular endothelium against CCl</w:t>
            </w:r>
            <w:r w:rsidRPr="00E33AAE">
              <w:rPr>
                <w:rFonts w:ascii="Arial" w:hAnsi="Arial" w:cs="Arial"/>
                <w:color w:val="auto"/>
                <w:sz w:val="20"/>
                <w:szCs w:val="20"/>
                <w:vertAlign w:val="subscript"/>
              </w:rPr>
              <w:t>4</w:t>
            </w:r>
            <w:r w:rsidRPr="00E33AAE">
              <w:rPr>
                <w:rFonts w:ascii="Arial" w:hAnsi="Arial" w:cs="Arial"/>
                <w:color w:val="auto"/>
                <w:sz w:val="20"/>
                <w:szCs w:val="20"/>
              </w:rPr>
              <w:t xml:space="preserve"> induced injury (</w:t>
            </w:r>
            <w:r w:rsidR="00041E66" w:rsidRPr="00E33AAE">
              <w:rPr>
                <w:color w:val="auto"/>
                <w:sz w:val="20"/>
                <w:szCs w:val="20"/>
              </w:rPr>
              <w:t>Graff &amp; Pollack, 2005</w:t>
            </w:r>
            <w:r w:rsidRPr="00E33AAE">
              <w:rPr>
                <w:rFonts w:ascii="Arial" w:hAnsi="Arial" w:cs="Arial"/>
                <w:color w:val="auto"/>
                <w:sz w:val="20"/>
                <w:szCs w:val="20"/>
              </w:rPr>
              <w:t>)</w:t>
            </w:r>
          </w:p>
        </w:tc>
      </w:tr>
      <w:tr w:rsidR="00D15B51" w:rsidRPr="00E33AAE" w14:paraId="4EA38CE8" w14:textId="77777777" w:rsidTr="00435C3F">
        <w:tc>
          <w:tcPr>
            <w:cnfStyle w:val="001000000000" w:firstRow="0" w:lastRow="0" w:firstColumn="1" w:lastColumn="0" w:oddVBand="0" w:evenVBand="0" w:oddHBand="0" w:evenHBand="0" w:firstRowFirstColumn="0" w:firstRowLastColumn="0" w:lastRowFirstColumn="0" w:lastRowLastColumn="0"/>
            <w:tcW w:w="2192" w:type="dxa"/>
          </w:tcPr>
          <w:p w14:paraId="7322CD8F" w14:textId="77777777" w:rsidR="00D15B51" w:rsidRPr="00E33AAE" w:rsidRDefault="00D15B51" w:rsidP="004354E1">
            <w:pPr>
              <w:jc w:val="both"/>
              <w:rPr>
                <w:rFonts w:ascii="Arial" w:hAnsi="Arial" w:cs="Arial"/>
                <w:b w:val="0"/>
                <w:color w:val="auto"/>
                <w:sz w:val="20"/>
                <w:szCs w:val="20"/>
              </w:rPr>
            </w:pPr>
            <w:r w:rsidRPr="00E33AAE">
              <w:rPr>
                <w:rFonts w:ascii="Arial" w:hAnsi="Arial" w:cs="Arial"/>
                <w:color w:val="auto"/>
                <w:sz w:val="20"/>
                <w:szCs w:val="20"/>
              </w:rPr>
              <w:t>3,5-dihydroxy-6-methyl-2,3-dihydro-4H-pyran-4-one (DDMP)</w:t>
            </w:r>
          </w:p>
        </w:tc>
        <w:tc>
          <w:tcPr>
            <w:tcW w:w="1535" w:type="dxa"/>
          </w:tcPr>
          <w:p w14:paraId="1934DB77" w14:textId="77777777" w:rsidR="00D15B51" w:rsidRPr="00E33AAE" w:rsidRDefault="00000000"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Pr>
                <w:rFonts w:ascii="Arial" w:hAnsi="Arial" w:cs="Arial"/>
                <w:noProof/>
                <w:sz w:val="20"/>
                <w:szCs w:val="20"/>
              </w:rPr>
              <w:object w:dxaOrig="3840" w:dyaOrig="128" w14:anchorId="7FDD7318">
                <v:shape id="_x0000_s2052" type="#_x0000_t75" style="position:absolute;left:0;text-align:left;margin-left:2.35pt;margin-top:2.2pt;width:54pt;height:38.25pt;z-index:251675648;mso-position-horizontal-relative:text;mso-position-vertical-relative:text;mso-width-relative:page;mso-height-relative:page">
                  <v:imagedata r:id="rId27" o:title=""/>
                </v:shape>
                <o:OLEObject Type="Embed" ProgID="ACD.ChemSketch.20" ShapeID="_x0000_s2052" DrawAspect="Content" ObjectID="_1844689094" r:id="rId28">
                  <o:FieldCodes>\s</o:FieldCodes>
                </o:OLEObject>
              </w:object>
            </w:r>
          </w:p>
        </w:tc>
        <w:tc>
          <w:tcPr>
            <w:tcW w:w="1168" w:type="dxa"/>
          </w:tcPr>
          <w:p w14:paraId="1BD42918" w14:textId="77777777" w:rsidR="00435C3F" w:rsidRPr="00E33AAE" w:rsidRDefault="00435C3F"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35392E6C"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144.125</w:t>
            </w:r>
          </w:p>
        </w:tc>
        <w:tc>
          <w:tcPr>
            <w:tcW w:w="1195" w:type="dxa"/>
          </w:tcPr>
          <w:p w14:paraId="6DB6C19E" w14:textId="77777777" w:rsidR="00435C3F" w:rsidRPr="00E33AAE" w:rsidRDefault="00435C3F"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172EC92E"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Flavonoid</w:t>
            </w:r>
          </w:p>
        </w:tc>
        <w:tc>
          <w:tcPr>
            <w:tcW w:w="3085" w:type="dxa"/>
          </w:tcPr>
          <w:p w14:paraId="78E8AA12" w14:textId="77777777" w:rsidR="00435C3F" w:rsidRPr="00E33AAE" w:rsidRDefault="00435C3F"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
          <w:p w14:paraId="10D175DE"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t>Antimicrobial, anti-inflammatory (Mujeeb et al., 2014), anti-proliferative, anticancer (Ban et al., 2007)</w:t>
            </w:r>
          </w:p>
        </w:tc>
      </w:tr>
      <w:tr w:rsidR="00435C3F" w:rsidRPr="00E33AAE" w14:paraId="61D1784D" w14:textId="77777777" w:rsidTr="00435C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shd w:val="clear" w:color="auto" w:fill="auto"/>
          </w:tcPr>
          <w:p w14:paraId="73617027" w14:textId="77777777" w:rsidR="00435C3F" w:rsidRPr="00E33AAE" w:rsidRDefault="00435C3F" w:rsidP="004354E1">
            <w:pPr>
              <w:jc w:val="both"/>
              <w:rPr>
                <w:rFonts w:ascii="Arial" w:hAnsi="Arial" w:cs="Arial"/>
                <w:b w:val="0"/>
                <w:bCs w:val="0"/>
                <w:color w:val="auto"/>
                <w:sz w:val="20"/>
                <w:szCs w:val="20"/>
              </w:rPr>
            </w:pPr>
          </w:p>
          <w:p w14:paraId="7C187A21" w14:textId="77777777" w:rsidR="00D15B51" w:rsidRPr="00E33AAE" w:rsidRDefault="00D15B51" w:rsidP="004354E1">
            <w:pPr>
              <w:jc w:val="both"/>
              <w:rPr>
                <w:rFonts w:ascii="Arial" w:hAnsi="Arial" w:cs="Arial"/>
                <w:b w:val="0"/>
                <w:color w:val="auto"/>
                <w:sz w:val="20"/>
                <w:szCs w:val="20"/>
              </w:rPr>
            </w:pPr>
            <w:r w:rsidRPr="00E33AAE">
              <w:rPr>
                <w:rFonts w:ascii="Arial" w:hAnsi="Arial" w:cs="Arial"/>
                <w:color w:val="auto"/>
                <w:sz w:val="20"/>
                <w:szCs w:val="20"/>
              </w:rPr>
              <w:t>3-ethylcyclopent-2-en-1-one</w:t>
            </w:r>
          </w:p>
        </w:tc>
        <w:tc>
          <w:tcPr>
            <w:tcW w:w="1535" w:type="dxa"/>
            <w:shd w:val="clear" w:color="auto" w:fill="auto"/>
          </w:tcPr>
          <w:p w14:paraId="52124ED4" w14:textId="77777777" w:rsidR="00D15B51" w:rsidRPr="00E33AAE" w:rsidRDefault="00000000"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b/>
                <w:color w:val="auto"/>
                <w:sz w:val="20"/>
                <w:szCs w:val="20"/>
              </w:rPr>
            </w:pPr>
            <w:r>
              <w:rPr>
                <w:rFonts w:ascii="Arial" w:hAnsi="Arial" w:cs="Arial"/>
                <w:noProof/>
                <w:sz w:val="20"/>
                <w:szCs w:val="20"/>
              </w:rPr>
              <w:object w:dxaOrig="3840" w:dyaOrig="128" w14:anchorId="6D95623E">
                <v:shape id="_x0000_s2054" type="#_x0000_t75" style="position:absolute;left:0;text-align:left;margin-left:.85pt;margin-top:1.9pt;width:66.5pt;height:33.75pt;z-index:251677696;mso-position-horizontal-relative:text;mso-position-vertical-relative:text;mso-width-relative:page;mso-height-relative:page">
                  <v:imagedata r:id="rId29" o:title=""/>
                </v:shape>
                <o:OLEObject Type="Embed" ProgID="ACD.ChemSketch.20" ShapeID="_x0000_s2054" DrawAspect="Content" ObjectID="_1844689095" r:id="rId30">
                  <o:FieldCodes>\s</o:FieldCodes>
                </o:OLEObject>
              </w:object>
            </w:r>
          </w:p>
        </w:tc>
        <w:tc>
          <w:tcPr>
            <w:tcW w:w="1168" w:type="dxa"/>
            <w:shd w:val="clear" w:color="auto" w:fill="auto"/>
          </w:tcPr>
          <w:p w14:paraId="23670B2F"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110.154</w:t>
            </w:r>
          </w:p>
        </w:tc>
        <w:tc>
          <w:tcPr>
            <w:tcW w:w="1195" w:type="dxa"/>
            <w:shd w:val="clear" w:color="auto" w:fill="auto"/>
          </w:tcPr>
          <w:p w14:paraId="4324E0B1"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Ketone</w:t>
            </w:r>
          </w:p>
        </w:tc>
        <w:tc>
          <w:tcPr>
            <w:tcW w:w="3085" w:type="dxa"/>
            <w:shd w:val="clear" w:color="auto" w:fill="auto"/>
          </w:tcPr>
          <w:p w14:paraId="78CCBF3D" w14:textId="77777777" w:rsidR="00D15B51" w:rsidRPr="00E33AAE" w:rsidRDefault="00D15B51" w:rsidP="004354E1">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No bioactivity previously reported for this molecule or its analogous structures</w:t>
            </w:r>
          </w:p>
        </w:tc>
      </w:tr>
      <w:tr w:rsidR="00D15B51" w:rsidRPr="00E33AAE" w14:paraId="234395AC" w14:textId="77777777" w:rsidTr="00435C3F">
        <w:tc>
          <w:tcPr>
            <w:cnfStyle w:val="001000000000" w:firstRow="0" w:lastRow="0" w:firstColumn="1" w:lastColumn="0" w:oddVBand="0" w:evenVBand="0" w:oddHBand="0" w:evenHBand="0" w:firstRowFirstColumn="0" w:firstRowLastColumn="0" w:lastRowFirstColumn="0" w:lastRowLastColumn="0"/>
            <w:tcW w:w="2192" w:type="dxa"/>
          </w:tcPr>
          <w:p w14:paraId="3C01069A" w14:textId="77777777" w:rsidR="00435C3F" w:rsidRPr="00E33AAE" w:rsidRDefault="00435C3F" w:rsidP="004354E1">
            <w:pPr>
              <w:jc w:val="both"/>
              <w:rPr>
                <w:rFonts w:ascii="Arial" w:hAnsi="Arial" w:cs="Arial"/>
                <w:b w:val="0"/>
                <w:bCs w:val="0"/>
                <w:color w:val="auto"/>
                <w:sz w:val="20"/>
                <w:szCs w:val="20"/>
              </w:rPr>
            </w:pPr>
          </w:p>
          <w:p w14:paraId="0E67199D" w14:textId="77777777" w:rsidR="00D15B51" w:rsidRPr="00E33AAE" w:rsidRDefault="00D15B51" w:rsidP="004354E1">
            <w:pPr>
              <w:jc w:val="both"/>
              <w:rPr>
                <w:rFonts w:ascii="Arial" w:hAnsi="Arial" w:cs="Arial"/>
                <w:b w:val="0"/>
                <w:color w:val="auto"/>
                <w:sz w:val="20"/>
                <w:szCs w:val="20"/>
              </w:rPr>
            </w:pPr>
            <w:r w:rsidRPr="00E33AAE">
              <w:rPr>
                <w:rFonts w:ascii="Arial" w:hAnsi="Arial" w:cs="Arial"/>
                <w:color w:val="auto"/>
                <w:sz w:val="20"/>
                <w:szCs w:val="20"/>
              </w:rPr>
              <w:t>3-(1-methylethyl)-</w:t>
            </w:r>
            <w:proofErr w:type="spellStart"/>
            <w:r w:rsidRPr="00E33AAE">
              <w:rPr>
                <w:rFonts w:ascii="Arial" w:hAnsi="Arial" w:cs="Arial"/>
                <w:color w:val="auto"/>
                <w:sz w:val="20"/>
                <w:szCs w:val="20"/>
              </w:rPr>
              <w:t>sydnone</w:t>
            </w:r>
            <w:proofErr w:type="spellEnd"/>
          </w:p>
        </w:tc>
        <w:tc>
          <w:tcPr>
            <w:tcW w:w="1535" w:type="dxa"/>
          </w:tcPr>
          <w:p w14:paraId="244E6372" w14:textId="77777777" w:rsidR="00D15B51" w:rsidRPr="00E33AAE" w:rsidRDefault="00000000"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Pr>
                <w:rFonts w:ascii="Arial" w:hAnsi="Arial" w:cs="Arial"/>
                <w:noProof/>
                <w:sz w:val="20"/>
                <w:szCs w:val="20"/>
              </w:rPr>
              <w:object w:dxaOrig="3840" w:dyaOrig="128" w14:anchorId="16E6CE8D">
                <v:shape id="_x0000_s2055" type="#_x0000_t75" style="position:absolute;left:0;text-align:left;margin-left:8.8pt;margin-top:.75pt;width:47.55pt;height:48.2pt;z-index:251678720;mso-position-horizontal-relative:text;mso-position-vertical-relative:text;mso-width-relative:page;mso-height-relative:page">
                  <v:imagedata r:id="rId31" o:title=""/>
                </v:shape>
                <o:OLEObject Type="Embed" ProgID="ACD.ChemSketch.20" ShapeID="_x0000_s2055" DrawAspect="Content" ObjectID="_1844689096" r:id="rId32">
                  <o:FieldCodes>\s</o:FieldCodes>
                </o:OLEObject>
              </w:object>
            </w:r>
          </w:p>
        </w:tc>
        <w:tc>
          <w:tcPr>
            <w:tcW w:w="1168" w:type="dxa"/>
          </w:tcPr>
          <w:p w14:paraId="6E49C3DC"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E33AAE">
              <w:rPr>
                <w:rFonts w:ascii="Arial" w:hAnsi="Arial" w:cs="Arial"/>
                <w:color w:val="auto"/>
                <w:sz w:val="20"/>
                <w:szCs w:val="20"/>
              </w:rPr>
              <w:t>128.129</w:t>
            </w:r>
          </w:p>
        </w:tc>
        <w:tc>
          <w:tcPr>
            <w:tcW w:w="1195" w:type="dxa"/>
          </w:tcPr>
          <w:p w14:paraId="1EEBB8A6"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proofErr w:type="spellStart"/>
            <w:r w:rsidRPr="00E33AAE">
              <w:rPr>
                <w:rFonts w:ascii="Arial" w:hAnsi="Arial" w:cs="Arial"/>
                <w:color w:val="auto"/>
                <w:sz w:val="20"/>
                <w:szCs w:val="20"/>
              </w:rPr>
              <w:t>Sydnone</w:t>
            </w:r>
            <w:proofErr w:type="spellEnd"/>
          </w:p>
        </w:tc>
        <w:tc>
          <w:tcPr>
            <w:tcW w:w="3085" w:type="dxa"/>
          </w:tcPr>
          <w:p w14:paraId="5417772B" w14:textId="77777777" w:rsidR="00D15B51" w:rsidRPr="00E33AAE" w:rsidRDefault="00D15B51" w:rsidP="004354E1">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0"/>
                <w:szCs w:val="20"/>
              </w:rPr>
            </w:pPr>
            <w:r w:rsidRPr="00E33AAE">
              <w:t>Antimicrobial, analgesic, anti-inflammatory, anti-pyretic, antitumour, anti-oxidant and anti-arthritic (Bhosale et al., 2012, Jagadeesh &amp; Shreenivas, 2015)</w:t>
            </w:r>
          </w:p>
        </w:tc>
      </w:tr>
    </w:tbl>
    <w:p w14:paraId="72D1B448" w14:textId="77777777" w:rsidR="00D15B51" w:rsidRPr="00E33AAE" w:rsidRDefault="00D15B51" w:rsidP="00D15B51">
      <w:pPr>
        <w:pStyle w:val="MHeading1"/>
        <w:spacing w:before="0" w:after="0" w:line="240" w:lineRule="auto"/>
        <w:rPr>
          <w:rFonts w:ascii="Arial" w:hAnsi="Arial" w:cs="Arial"/>
          <w:b w:val="0"/>
          <w:color w:val="auto"/>
          <w:sz w:val="20"/>
        </w:rPr>
      </w:pPr>
    </w:p>
    <w:p w14:paraId="71FE3553" w14:textId="77777777" w:rsidR="00D15B51" w:rsidRPr="00E33AAE" w:rsidRDefault="00C6339D" w:rsidP="00D15B51">
      <w:pPr>
        <w:pStyle w:val="MHeading1"/>
        <w:spacing w:before="0" w:after="0" w:line="240" w:lineRule="auto"/>
        <w:rPr>
          <w:rFonts w:ascii="Arial" w:hAnsi="Arial" w:cs="Arial"/>
          <w:b w:val="0"/>
          <w:color w:val="auto"/>
          <w:sz w:val="20"/>
        </w:rPr>
      </w:pPr>
      <w:r w:rsidRPr="00E33AAE">
        <w:rPr>
          <w:rFonts w:ascii="Arial" w:hAnsi="Arial" w:cs="Arial"/>
          <w:noProof/>
          <w:color w:val="auto"/>
          <w:sz w:val="20"/>
        </w:rPr>
        <w:drawing>
          <wp:anchor distT="0" distB="0" distL="114300" distR="114300" simplePos="0" relativeHeight="251680768" behindDoc="0" locked="0" layoutInCell="1" allowOverlap="1" wp14:anchorId="08C5F5E7" wp14:editId="29B0069A">
            <wp:simplePos x="0" y="0"/>
            <wp:positionH relativeFrom="margin">
              <wp:posOffset>238125</wp:posOffset>
            </wp:positionH>
            <wp:positionV relativeFrom="paragraph">
              <wp:posOffset>3175</wp:posOffset>
            </wp:positionV>
            <wp:extent cx="4610100" cy="17526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4610100" cy="1752600"/>
                    </a:xfrm>
                    <a:prstGeom prst="rect">
                      <a:avLst/>
                    </a:prstGeom>
                  </pic:spPr>
                </pic:pic>
              </a:graphicData>
            </a:graphic>
            <wp14:sizeRelH relativeFrom="page">
              <wp14:pctWidth>0</wp14:pctWidth>
            </wp14:sizeRelH>
            <wp14:sizeRelV relativeFrom="page">
              <wp14:pctHeight>0</wp14:pctHeight>
            </wp14:sizeRelV>
          </wp:anchor>
        </w:drawing>
      </w:r>
    </w:p>
    <w:p w14:paraId="4050A511" w14:textId="77777777" w:rsidR="00D15B51" w:rsidRPr="00E33AAE" w:rsidRDefault="00D15B51" w:rsidP="00D15B51">
      <w:pPr>
        <w:pStyle w:val="MHeading1"/>
        <w:spacing w:before="0" w:after="0" w:line="240" w:lineRule="auto"/>
        <w:rPr>
          <w:rFonts w:ascii="Arial" w:hAnsi="Arial" w:cs="Arial"/>
          <w:b w:val="0"/>
          <w:color w:val="auto"/>
          <w:sz w:val="20"/>
        </w:rPr>
      </w:pPr>
    </w:p>
    <w:p w14:paraId="70D95703" w14:textId="77777777" w:rsidR="00D15B51" w:rsidRPr="00E33AAE" w:rsidRDefault="00D15B51" w:rsidP="00D15B51">
      <w:pPr>
        <w:pStyle w:val="MHeading1"/>
        <w:spacing w:before="0" w:after="0" w:line="240" w:lineRule="auto"/>
        <w:rPr>
          <w:rFonts w:ascii="Arial" w:hAnsi="Arial" w:cs="Arial"/>
          <w:b w:val="0"/>
          <w:color w:val="auto"/>
          <w:sz w:val="20"/>
        </w:rPr>
      </w:pPr>
    </w:p>
    <w:p w14:paraId="5CEC0620" w14:textId="77777777" w:rsidR="00D15B51" w:rsidRPr="00E33AAE" w:rsidRDefault="00D15B51" w:rsidP="00D15B51">
      <w:pPr>
        <w:pStyle w:val="MHeading1"/>
        <w:spacing w:before="0" w:after="0" w:line="240" w:lineRule="auto"/>
        <w:rPr>
          <w:rFonts w:ascii="Arial" w:hAnsi="Arial" w:cs="Arial"/>
          <w:b w:val="0"/>
          <w:color w:val="auto"/>
          <w:sz w:val="20"/>
        </w:rPr>
      </w:pPr>
    </w:p>
    <w:p w14:paraId="65B3D32A" w14:textId="77777777" w:rsidR="00D15B51" w:rsidRPr="00E33AAE" w:rsidRDefault="00D15B51" w:rsidP="00D15B51">
      <w:pPr>
        <w:pStyle w:val="MHeading1"/>
        <w:spacing w:before="0" w:after="0" w:line="240" w:lineRule="auto"/>
        <w:rPr>
          <w:rFonts w:ascii="Arial" w:hAnsi="Arial" w:cs="Arial"/>
          <w:b w:val="0"/>
          <w:color w:val="auto"/>
          <w:sz w:val="20"/>
        </w:rPr>
      </w:pPr>
    </w:p>
    <w:p w14:paraId="3EB8CE6C" w14:textId="77777777" w:rsidR="00D15B51" w:rsidRPr="00E33AAE" w:rsidRDefault="00D15B51" w:rsidP="00D15B51">
      <w:pPr>
        <w:pStyle w:val="MHeading1"/>
        <w:spacing w:before="0" w:after="0" w:line="240" w:lineRule="auto"/>
        <w:rPr>
          <w:rFonts w:ascii="Arial" w:hAnsi="Arial" w:cs="Arial"/>
          <w:b w:val="0"/>
          <w:color w:val="auto"/>
          <w:sz w:val="20"/>
        </w:rPr>
      </w:pPr>
    </w:p>
    <w:p w14:paraId="52D3C8BE" w14:textId="77777777" w:rsidR="00D15B51" w:rsidRPr="00E33AAE" w:rsidRDefault="00D15B51" w:rsidP="00D15B51">
      <w:pPr>
        <w:pStyle w:val="MHeading1"/>
        <w:spacing w:before="0" w:after="0" w:line="240" w:lineRule="auto"/>
        <w:rPr>
          <w:rFonts w:ascii="Arial" w:hAnsi="Arial" w:cs="Arial"/>
          <w:b w:val="0"/>
          <w:color w:val="auto"/>
          <w:sz w:val="20"/>
        </w:rPr>
      </w:pPr>
    </w:p>
    <w:p w14:paraId="21C9141E" w14:textId="77777777" w:rsidR="00D15B51" w:rsidRPr="00E33AAE" w:rsidRDefault="00D15B51" w:rsidP="00D15B51">
      <w:pPr>
        <w:pStyle w:val="MHeading1"/>
        <w:spacing w:before="0" w:after="0" w:line="240" w:lineRule="auto"/>
        <w:rPr>
          <w:rFonts w:ascii="Arial" w:hAnsi="Arial" w:cs="Arial"/>
          <w:b w:val="0"/>
          <w:color w:val="auto"/>
          <w:sz w:val="20"/>
        </w:rPr>
      </w:pPr>
    </w:p>
    <w:p w14:paraId="3A157660" w14:textId="77777777" w:rsidR="00D15B51" w:rsidRPr="00E33AAE" w:rsidRDefault="00D15B51" w:rsidP="00D15B51">
      <w:pPr>
        <w:pStyle w:val="MHeading1"/>
        <w:spacing w:before="0" w:after="0" w:line="240" w:lineRule="auto"/>
        <w:rPr>
          <w:rFonts w:ascii="Arial" w:hAnsi="Arial" w:cs="Arial"/>
          <w:b w:val="0"/>
          <w:color w:val="auto"/>
          <w:sz w:val="20"/>
        </w:rPr>
      </w:pPr>
    </w:p>
    <w:p w14:paraId="646B128C" w14:textId="77777777" w:rsidR="00D15B51" w:rsidRPr="00E33AAE" w:rsidRDefault="00D15B51" w:rsidP="00D15B51">
      <w:pPr>
        <w:pStyle w:val="MHeading1"/>
        <w:spacing w:before="0" w:after="0" w:line="240" w:lineRule="auto"/>
        <w:rPr>
          <w:rFonts w:ascii="Arial" w:hAnsi="Arial" w:cs="Arial"/>
          <w:b w:val="0"/>
          <w:color w:val="auto"/>
          <w:sz w:val="20"/>
        </w:rPr>
      </w:pPr>
    </w:p>
    <w:p w14:paraId="7AB35E3F" w14:textId="77777777" w:rsidR="00D15B51" w:rsidRPr="00E33AAE" w:rsidRDefault="00D15B51" w:rsidP="00D15B51">
      <w:pPr>
        <w:pStyle w:val="MHeading1"/>
        <w:spacing w:before="0" w:after="0" w:line="240" w:lineRule="auto"/>
        <w:rPr>
          <w:rFonts w:ascii="Arial" w:hAnsi="Arial" w:cs="Arial"/>
          <w:b w:val="0"/>
          <w:color w:val="auto"/>
          <w:sz w:val="20"/>
        </w:rPr>
      </w:pPr>
    </w:p>
    <w:p w14:paraId="4E338B79" w14:textId="77777777" w:rsidR="00D15B51" w:rsidRPr="00E33AAE" w:rsidRDefault="00D15B51" w:rsidP="00D15B51">
      <w:pPr>
        <w:pStyle w:val="MHeading1"/>
        <w:spacing w:before="0" w:after="0" w:line="240" w:lineRule="auto"/>
        <w:rPr>
          <w:rFonts w:ascii="Arial" w:hAnsi="Arial" w:cs="Arial"/>
          <w:color w:val="auto"/>
          <w:sz w:val="20"/>
        </w:rPr>
      </w:pPr>
      <w:r w:rsidRPr="00E33AAE">
        <w:rPr>
          <w:rFonts w:ascii="Arial" w:hAnsi="Arial" w:cs="Arial"/>
          <w:color w:val="auto"/>
          <w:sz w:val="20"/>
        </w:rPr>
        <w:t xml:space="preserve">                                           </w:t>
      </w:r>
    </w:p>
    <w:p w14:paraId="2A7A9313" w14:textId="77777777" w:rsidR="00D15B51" w:rsidRPr="00E33AAE" w:rsidRDefault="00C6339D" w:rsidP="00D15B51">
      <w:pPr>
        <w:pStyle w:val="MHeading1"/>
        <w:spacing w:before="0" w:after="0" w:line="240" w:lineRule="auto"/>
        <w:rPr>
          <w:rFonts w:ascii="Arial" w:hAnsi="Arial" w:cs="Arial"/>
          <w:color w:val="auto"/>
          <w:sz w:val="20"/>
        </w:rPr>
      </w:pPr>
      <w:r w:rsidRPr="00E33AAE">
        <w:rPr>
          <w:rFonts w:ascii="Arial" w:hAnsi="Arial" w:cs="Arial"/>
          <w:color w:val="auto"/>
          <w:sz w:val="20"/>
        </w:rPr>
        <w:t xml:space="preserve">      Fig. 1</w:t>
      </w:r>
      <w:r w:rsidR="005E5C6A" w:rsidRPr="00E33AAE">
        <w:rPr>
          <w:rFonts w:ascii="Arial" w:hAnsi="Arial" w:cs="Arial"/>
          <w:color w:val="auto"/>
          <w:sz w:val="20"/>
        </w:rPr>
        <w:t>6</w:t>
      </w:r>
      <w:r w:rsidRPr="00E33AAE">
        <w:rPr>
          <w:rFonts w:ascii="Arial" w:hAnsi="Arial" w:cs="Arial"/>
          <w:color w:val="auto"/>
          <w:sz w:val="20"/>
        </w:rPr>
        <w:t>.</w:t>
      </w:r>
      <w:r w:rsidR="00D15B51" w:rsidRPr="00E33AAE">
        <w:rPr>
          <w:rFonts w:ascii="Arial" w:hAnsi="Arial" w:cs="Arial"/>
          <w:color w:val="auto"/>
          <w:sz w:val="20"/>
        </w:rPr>
        <w:t xml:space="preserve"> </w:t>
      </w:r>
      <w:r w:rsidR="004C5184" w:rsidRPr="00E33AAE">
        <w:rPr>
          <w:rFonts w:ascii="Arial" w:hAnsi="Arial" w:cs="Arial"/>
          <w:color w:val="auto"/>
          <w:sz w:val="20"/>
        </w:rPr>
        <w:t xml:space="preserve">Schematic Representation of </w:t>
      </w:r>
      <w:r w:rsidR="00AF4726" w:rsidRPr="00E33AAE">
        <w:rPr>
          <w:rFonts w:ascii="Arial" w:hAnsi="Arial" w:cs="Arial"/>
          <w:color w:val="auto"/>
          <w:sz w:val="20"/>
        </w:rPr>
        <w:t>the Dominant</w:t>
      </w:r>
      <w:r w:rsidR="00D15B51" w:rsidRPr="00E33AAE">
        <w:rPr>
          <w:rFonts w:ascii="Arial" w:hAnsi="Arial" w:cs="Arial"/>
          <w:color w:val="auto"/>
          <w:sz w:val="20"/>
        </w:rPr>
        <w:t xml:space="preserve"> Bioactive </w:t>
      </w:r>
      <w:r w:rsidR="00AF4726" w:rsidRPr="00E33AAE">
        <w:rPr>
          <w:rFonts w:ascii="Arial" w:hAnsi="Arial" w:cs="Arial"/>
          <w:color w:val="auto"/>
          <w:sz w:val="20"/>
        </w:rPr>
        <w:t>Compounds</w:t>
      </w:r>
      <w:r w:rsidR="00D15B51" w:rsidRPr="00E33AAE">
        <w:rPr>
          <w:rFonts w:ascii="Arial" w:hAnsi="Arial" w:cs="Arial"/>
          <w:color w:val="auto"/>
          <w:sz w:val="20"/>
        </w:rPr>
        <w:t xml:space="preserve"> </w:t>
      </w:r>
      <w:r w:rsidR="004C5184" w:rsidRPr="00E33AAE">
        <w:rPr>
          <w:rFonts w:ascii="Arial" w:hAnsi="Arial" w:cs="Arial"/>
          <w:color w:val="auto"/>
          <w:sz w:val="20"/>
        </w:rPr>
        <w:t xml:space="preserve">of </w:t>
      </w:r>
      <w:r w:rsidR="00D15B51" w:rsidRPr="00E33AAE">
        <w:rPr>
          <w:rFonts w:ascii="Arial" w:hAnsi="Arial" w:cs="Arial"/>
          <w:color w:val="auto"/>
          <w:sz w:val="20"/>
        </w:rPr>
        <w:t>Sample C</w:t>
      </w:r>
    </w:p>
    <w:p w14:paraId="3B690BE1" w14:textId="77777777" w:rsidR="00D15B51" w:rsidRPr="00E33AAE" w:rsidRDefault="00D15B51" w:rsidP="00D15B51">
      <w:pPr>
        <w:pStyle w:val="MHeading1"/>
        <w:spacing w:before="0" w:after="0" w:line="240" w:lineRule="auto"/>
        <w:rPr>
          <w:rFonts w:ascii="Arial" w:hAnsi="Arial" w:cs="Arial"/>
          <w:b w:val="0"/>
          <w:color w:val="auto"/>
          <w:sz w:val="20"/>
        </w:rPr>
      </w:pPr>
    </w:p>
    <w:p w14:paraId="47F9979F" w14:textId="77777777" w:rsidR="004354E1" w:rsidRPr="00E33AAE" w:rsidRDefault="004354E1" w:rsidP="004354E1">
      <w:pPr>
        <w:spacing w:before="100" w:beforeAutospacing="1" w:after="100" w:afterAutospacing="1" w:line="240" w:lineRule="auto"/>
        <w:jc w:val="both"/>
        <w:rPr>
          <w:rFonts w:ascii="Arial" w:eastAsia="Times New Roman" w:hAnsi="Arial" w:cs="Arial"/>
          <w:sz w:val="20"/>
          <w:szCs w:val="20"/>
        </w:rPr>
      </w:pPr>
      <w:r w:rsidRPr="00E33AAE">
        <w:t>Thin-layer chromatography (TLC) analysis revealed several distinct bands with different retention factor (Rf) values, confirming that the crude extract contained chemically diverse secondary metabolites. TLC serves as an important preliminary analytical tool for assessing extract complexity, optimizing solvent systems and monitoring chromatographic separation because compound migration depends on differences in polarity and affinity for the stationary phase (Brusotti et al., 2014; Poojary et al., 2015). The presence of multiple components justified further purification by column chromatography.</w:t>
      </w:r>
    </w:p>
    <w:p w14:paraId="4D3A8348" w14:textId="77777777" w:rsidR="004354E1" w:rsidRPr="00E33AAE" w:rsidRDefault="004354E1" w:rsidP="004354E1">
      <w:pPr>
        <w:spacing w:before="100" w:beforeAutospacing="1" w:after="100" w:afterAutospacing="1" w:line="240" w:lineRule="auto"/>
        <w:jc w:val="both"/>
        <w:rPr>
          <w:rFonts w:ascii="Arial" w:eastAsia="Times New Roman" w:hAnsi="Arial" w:cs="Arial"/>
          <w:sz w:val="20"/>
          <w:szCs w:val="20"/>
        </w:rPr>
      </w:pPr>
      <w:r w:rsidRPr="00E33AAE">
        <w:t xml:space="preserve">Column chromatography successfully separated the extract into several fractions, with Fraction C exhibiting the highest antimicrobial activity (Figures 13 and 14). The enhanced activity of Fraction C indicates that chromatographic purification effectively concentrated the antimicrobial constituents while removing inactive compounds. Similar improvements in antimicrobial potency following bioassay-guided purification have been reported for </w:t>
      </w:r>
      <w:r w:rsidRPr="00E33AAE">
        <w:rPr>
          <w:i/>
        </w:rPr>
        <w:t>Enantia chlorantha</w:t>
      </w:r>
      <w:r w:rsidRPr="00E33AAE">
        <w:t xml:space="preserve"> and </w:t>
      </w:r>
      <w:r w:rsidRPr="00E33AAE">
        <w:rPr>
          <w:i/>
        </w:rPr>
        <w:t>Azadirachta indica</w:t>
      </w:r>
      <w:r w:rsidRPr="00E33AAE">
        <w:t xml:space="preserve"> (Ejele et al., 2012; Akpan et al., 2016), while Akpan et al. (2017) also observed greater antifungal activity in purified fractions of </w:t>
      </w:r>
      <w:r w:rsidRPr="00E33AAE">
        <w:rPr>
          <w:i/>
        </w:rPr>
        <w:t>Enantia chlorantha</w:t>
      </w:r>
      <w:r w:rsidRPr="00E33AAE">
        <w:t>. The concentration of activity within Fraction C further demonstrates that bioactive metabolites are localized within specific phytochemical groups rather than being evenly distributed throughout the crude extract (Brusotti et al., 2014).</w:t>
      </w:r>
    </w:p>
    <w:p w14:paraId="58CB36CC" w14:textId="77777777" w:rsidR="004354E1" w:rsidRPr="00E33AAE" w:rsidRDefault="004354E1" w:rsidP="004354E1">
      <w:pPr>
        <w:spacing w:before="100" w:beforeAutospacing="1" w:after="100" w:afterAutospacing="1" w:line="240" w:lineRule="auto"/>
        <w:jc w:val="both"/>
        <w:rPr>
          <w:rFonts w:ascii="Arial" w:eastAsia="Times New Roman" w:hAnsi="Arial" w:cs="Arial"/>
          <w:sz w:val="20"/>
          <w:szCs w:val="20"/>
        </w:rPr>
      </w:pPr>
      <w:r w:rsidRPr="00E33AAE">
        <w:rPr>
          <w:rFonts w:ascii="Arial" w:eastAsia="Times New Roman" w:hAnsi="Arial" w:cs="Arial"/>
          <w:sz w:val="20"/>
          <w:szCs w:val="20"/>
        </w:rPr>
        <w:t>The antibacterial activity of Fraction C against both Gram-positive and Gram-negative bacteria (</w:t>
      </w:r>
      <w:r w:rsidRPr="00E33AAE">
        <w:rPr>
          <w:rFonts w:ascii="Arial" w:eastAsia="Times New Roman" w:hAnsi="Arial" w:cs="Arial"/>
          <w:b/>
          <w:bCs/>
          <w:sz w:val="20"/>
          <w:szCs w:val="20"/>
        </w:rPr>
        <w:t xml:space="preserve">Figure </w:t>
      </w:r>
      <w:r w:rsidRPr="00E33AAE">
        <w:rPr>
          <w:rFonts w:ascii="Arial" w:eastAsia="Times New Roman" w:hAnsi="Arial" w:cs="Arial"/>
          <w:bCs/>
          <w:sz w:val="20"/>
          <w:szCs w:val="20"/>
        </w:rPr>
        <w:t>1</w:t>
      </w:r>
      <w:r w:rsidR="00311E16" w:rsidRPr="00E33AAE">
        <w:rPr>
          <w:rFonts w:ascii="Arial" w:eastAsia="Times New Roman" w:hAnsi="Arial" w:cs="Arial"/>
          <w:bCs/>
          <w:sz w:val="20"/>
          <w:szCs w:val="20"/>
        </w:rPr>
        <w:t>3</w:t>
      </w:r>
      <w:r w:rsidRPr="00E33AAE">
        <w:rPr>
          <w:rFonts w:ascii="Arial" w:eastAsia="Times New Roman" w:hAnsi="Arial" w:cs="Arial"/>
          <w:sz w:val="20"/>
          <w:szCs w:val="20"/>
        </w:rPr>
        <w:t xml:space="preserve">) was substantially greater than that of the crude extracts, indicating that purification significantly enhanced biological efficacy. Comparable findings have been reported for </w:t>
      </w:r>
      <w:r w:rsidRPr="00E33AAE">
        <w:rPr>
          <w:rFonts w:ascii="Arial" w:eastAsia="Times New Roman" w:hAnsi="Arial" w:cs="Arial"/>
          <w:i/>
          <w:iCs/>
          <w:sz w:val="20"/>
          <w:szCs w:val="20"/>
        </w:rPr>
        <w:t xml:space="preserve">Ritchiea </w:t>
      </w:r>
      <w:proofErr w:type="spellStart"/>
      <w:r w:rsidRPr="00E33AAE">
        <w:rPr>
          <w:rFonts w:ascii="Arial" w:eastAsia="Times New Roman" w:hAnsi="Arial" w:cs="Arial"/>
          <w:i/>
          <w:iCs/>
          <w:sz w:val="20"/>
          <w:szCs w:val="20"/>
        </w:rPr>
        <w:t>capparoides</w:t>
      </w:r>
      <w:proofErr w:type="spellEnd"/>
      <w:r w:rsidRPr="00E33AAE">
        <w:rPr>
          <w:rFonts w:ascii="Arial" w:eastAsia="Times New Roman" w:hAnsi="Arial" w:cs="Arial"/>
          <w:sz w:val="20"/>
          <w:szCs w:val="20"/>
        </w:rPr>
        <w:t xml:space="preserve"> var. </w:t>
      </w:r>
      <w:proofErr w:type="spellStart"/>
      <w:r w:rsidRPr="00E33AAE">
        <w:rPr>
          <w:rFonts w:ascii="Arial" w:eastAsia="Times New Roman" w:hAnsi="Arial" w:cs="Arial"/>
          <w:i/>
          <w:iCs/>
          <w:sz w:val="20"/>
          <w:szCs w:val="20"/>
        </w:rPr>
        <w:t>longipedicellata</w:t>
      </w:r>
      <w:proofErr w:type="spellEnd"/>
      <w:r w:rsidRPr="00E33AAE">
        <w:rPr>
          <w:rFonts w:ascii="Arial" w:eastAsia="Times New Roman" w:hAnsi="Arial" w:cs="Arial"/>
          <w:sz w:val="20"/>
          <w:szCs w:val="20"/>
        </w:rPr>
        <w:t xml:space="preserve">, </w:t>
      </w:r>
      <w:proofErr w:type="spellStart"/>
      <w:r w:rsidRPr="00E33AAE">
        <w:rPr>
          <w:rFonts w:ascii="Arial" w:eastAsia="Times New Roman" w:hAnsi="Arial" w:cs="Arial"/>
          <w:i/>
          <w:iCs/>
          <w:sz w:val="20"/>
          <w:szCs w:val="20"/>
        </w:rPr>
        <w:t>Dacryodes</w:t>
      </w:r>
      <w:proofErr w:type="spellEnd"/>
      <w:r w:rsidRPr="00E33AAE">
        <w:rPr>
          <w:rFonts w:ascii="Arial" w:eastAsia="Times New Roman" w:hAnsi="Arial" w:cs="Arial"/>
          <w:i/>
          <w:iCs/>
          <w:sz w:val="20"/>
          <w:szCs w:val="20"/>
        </w:rPr>
        <w:t xml:space="preserve"> edulis</w:t>
      </w:r>
      <w:r w:rsidRPr="00E33AAE">
        <w:rPr>
          <w:rFonts w:ascii="Arial" w:eastAsia="Times New Roman" w:hAnsi="Arial" w:cs="Arial"/>
          <w:sz w:val="20"/>
          <w:szCs w:val="20"/>
        </w:rPr>
        <w:t xml:space="preserve"> and </w:t>
      </w:r>
      <w:proofErr w:type="spellStart"/>
      <w:r w:rsidRPr="00E33AAE">
        <w:rPr>
          <w:rFonts w:ascii="Arial" w:eastAsia="Times New Roman" w:hAnsi="Arial" w:cs="Arial"/>
          <w:i/>
          <w:iCs/>
          <w:sz w:val="20"/>
          <w:szCs w:val="20"/>
        </w:rPr>
        <w:t>Enantia</w:t>
      </w:r>
      <w:proofErr w:type="spellEnd"/>
      <w:r w:rsidRPr="00E33AAE">
        <w:rPr>
          <w:rFonts w:ascii="Arial" w:eastAsia="Times New Roman" w:hAnsi="Arial" w:cs="Arial"/>
          <w:i/>
          <w:iCs/>
          <w:sz w:val="20"/>
          <w:szCs w:val="20"/>
        </w:rPr>
        <w:t xml:space="preserve"> </w:t>
      </w:r>
      <w:proofErr w:type="spellStart"/>
      <w:r w:rsidRPr="00E33AAE">
        <w:rPr>
          <w:rFonts w:ascii="Arial" w:eastAsia="Times New Roman" w:hAnsi="Arial" w:cs="Arial"/>
          <w:i/>
          <w:iCs/>
          <w:sz w:val="20"/>
          <w:szCs w:val="20"/>
        </w:rPr>
        <w:t>chlorantha</w:t>
      </w:r>
      <w:proofErr w:type="spellEnd"/>
      <w:r w:rsidRPr="00E33AAE">
        <w:rPr>
          <w:rFonts w:ascii="Arial" w:eastAsia="Times New Roman" w:hAnsi="Arial" w:cs="Arial"/>
          <w:sz w:val="20"/>
          <w:szCs w:val="20"/>
        </w:rPr>
        <w:t xml:space="preserve">, where chromatographic purification yielded fractions with improved antimicrobial activity (Taiwo et al., 2013; Akpan et al., 2017; </w:t>
      </w:r>
      <w:proofErr w:type="spellStart"/>
      <w:r w:rsidRPr="00E33AAE">
        <w:rPr>
          <w:rFonts w:ascii="Arial" w:eastAsia="Times New Roman" w:hAnsi="Arial" w:cs="Arial"/>
          <w:sz w:val="20"/>
          <w:szCs w:val="20"/>
        </w:rPr>
        <w:t>Oladejobi</w:t>
      </w:r>
      <w:proofErr w:type="spellEnd"/>
      <w:r w:rsidRPr="00E33AAE">
        <w:rPr>
          <w:rFonts w:ascii="Arial" w:eastAsia="Times New Roman" w:hAnsi="Arial" w:cs="Arial"/>
          <w:sz w:val="20"/>
          <w:szCs w:val="20"/>
        </w:rPr>
        <w:t xml:space="preserve"> et al., 2022).</w:t>
      </w:r>
    </w:p>
    <w:p w14:paraId="0702218E" w14:textId="77777777" w:rsidR="004354E1" w:rsidRPr="00E33AAE" w:rsidRDefault="004354E1" w:rsidP="004354E1">
      <w:pPr>
        <w:spacing w:before="100" w:beforeAutospacing="1" w:after="100" w:afterAutospacing="1" w:line="240" w:lineRule="auto"/>
        <w:jc w:val="both"/>
        <w:rPr>
          <w:rFonts w:ascii="Arial" w:eastAsia="Times New Roman" w:hAnsi="Arial" w:cs="Arial"/>
          <w:sz w:val="20"/>
          <w:szCs w:val="20"/>
        </w:rPr>
      </w:pPr>
      <w:r w:rsidRPr="00E33AAE">
        <w:t xml:space="preserve">Gas chromatography-mass spectrometry (GC-MS) analysis of Fraction C (Figure 15, Tables 4 and 5) identified nine major bioactive compounds, providing a chemical basis for the antimicrobial activity of </w:t>
      </w:r>
      <w:r w:rsidRPr="00E33AAE">
        <w:rPr>
          <w:i/>
        </w:rPr>
        <w:t>R. longipedicellata</w:t>
      </w:r>
      <w:r w:rsidRPr="00E33AAE">
        <w:t xml:space="preserve">. Among these, 5-(hydroxymethyl)-2-furaldehyde (5-HMF) was the predominant </w:t>
      </w:r>
      <w:r w:rsidRPr="00E33AAE">
        <w:lastRenderedPageBreak/>
        <w:t>constituent, accounting for approximately 72% of the chromatographic peak area (Figure 16 and Table 5). Previous studies have shown that 5-HMF possesses antibacterial, antioxidant, anti-inflammatory and cytoprotective properties, while also exhibiting antisickling activity through the stabilisation of sickle haemoglobin (Espinoza et al., 2008; Abdulmalik et al., 2005; Varsha et al., 2014). Its high abundance suggests that it may play a major role in the observed antimicrobial activity.</w:t>
      </w:r>
    </w:p>
    <w:p w14:paraId="77CDF835" w14:textId="77777777" w:rsidR="004354E1" w:rsidRPr="00E33AAE" w:rsidRDefault="004354E1" w:rsidP="004354E1">
      <w:pPr>
        <w:spacing w:before="100" w:beforeAutospacing="1" w:after="100" w:afterAutospacing="1" w:line="240" w:lineRule="auto"/>
        <w:jc w:val="both"/>
        <w:rPr>
          <w:rFonts w:ascii="Arial" w:eastAsia="Times New Roman" w:hAnsi="Arial" w:cs="Arial"/>
          <w:sz w:val="20"/>
          <w:szCs w:val="20"/>
        </w:rPr>
      </w:pPr>
      <w:r w:rsidRPr="00E33AAE">
        <w:t>The second most abundant compound, 3,5-dihydroxy-6-methyl-2,3-dihydro-4H-pyran-4-one (DDMP) (Figure 16 and Table 5), has been reported to possess antioxidant, antimicrobial and antiproliferative activities through modulation of oxidative stress and induction of apoptosis (Mujeeb et al., 2014; Ban et al., 2007). The coexistence of DDMP with 5-HMF may enhance antimicrobial efficacy through complementary mechanisms. In addition, the identification of sydnone derivatives, known for their antibacterial, antifungal, anti-inflammatory and anticancer activities, further supports the therapeutic potential of the purified fraction (Bhosale et al., 2012; Jagadeesh &amp; Shreenivas, 2015).</w:t>
      </w:r>
    </w:p>
    <w:p w14:paraId="33B80F3A" w14:textId="77777777" w:rsidR="004354E1" w:rsidRPr="00E33AAE" w:rsidRDefault="004354E1" w:rsidP="004354E1">
      <w:pPr>
        <w:spacing w:before="100" w:beforeAutospacing="1" w:after="100" w:afterAutospacing="1" w:line="240" w:lineRule="auto"/>
        <w:jc w:val="both"/>
        <w:rPr>
          <w:rFonts w:ascii="Arial" w:eastAsia="Times New Roman" w:hAnsi="Arial" w:cs="Arial"/>
          <w:sz w:val="20"/>
          <w:szCs w:val="20"/>
        </w:rPr>
      </w:pPr>
      <w:r w:rsidRPr="00E33AAE">
        <w:t xml:space="preserve">Although present in lower concentrations, other identified compounds may also contribute through synergistic interactions, a phenomenon commonly observed in medicinal plants, where minor constituents enhance the biological activities of major compounds (Brusotti et al., 2014; Poojary et al., 2015). Similar synergistic effects have been reported during bioassay-guided investigations of </w:t>
      </w:r>
      <w:r w:rsidRPr="00E33AAE">
        <w:rPr>
          <w:i/>
        </w:rPr>
        <w:t>Enantia chlorantha</w:t>
      </w:r>
      <w:r w:rsidRPr="00E33AAE">
        <w:t xml:space="preserve"> and </w:t>
      </w:r>
      <w:r w:rsidRPr="00E33AAE">
        <w:rPr>
          <w:i/>
        </w:rPr>
        <w:t>Dacryodes edulis</w:t>
      </w:r>
      <w:r w:rsidRPr="00E33AAE">
        <w:t xml:space="preserve"> (Ejele et al., 2012; Akpan et al., 2016; Oladejobi et al., 2022). The chromatographic purification and GC-MS characterisation (Figures 15-16 and Tables 4-5) established the chemical basis of the antimicrobial activity of </w:t>
      </w:r>
      <w:r w:rsidRPr="00E33AAE">
        <w:rPr>
          <w:i/>
        </w:rPr>
        <w:t>R. longipedicellata</w:t>
      </w:r>
      <w:r w:rsidRPr="00E33AAE">
        <w:t xml:space="preserve"> and validated bioassay-guided isolation as an effective strategy for identifying promising natural-product lead compounds for future antimicrobial drug development.</w:t>
      </w:r>
    </w:p>
    <w:p w14:paraId="372CF538" w14:textId="77777777" w:rsidR="00D15B51" w:rsidRPr="00E33AAE" w:rsidRDefault="00D15B51" w:rsidP="00D15B51">
      <w:pPr>
        <w:pStyle w:val="MHeading1"/>
        <w:spacing w:before="0" w:after="0" w:line="240" w:lineRule="auto"/>
        <w:rPr>
          <w:rFonts w:ascii="Arial" w:hAnsi="Arial" w:cs="Arial"/>
          <w:color w:val="auto"/>
          <w:sz w:val="20"/>
        </w:rPr>
      </w:pPr>
    </w:p>
    <w:p w14:paraId="52C83451" w14:textId="77777777" w:rsidR="00DA3679" w:rsidRPr="00E33AAE" w:rsidRDefault="00DA3679" w:rsidP="00D15B51">
      <w:pPr>
        <w:pStyle w:val="MHeading1"/>
        <w:spacing w:before="0" w:after="0" w:line="240" w:lineRule="auto"/>
        <w:rPr>
          <w:rFonts w:ascii="Arial" w:hAnsi="Arial" w:cs="Arial"/>
          <w:color w:val="auto"/>
          <w:sz w:val="20"/>
        </w:rPr>
      </w:pPr>
    </w:p>
    <w:p w14:paraId="658BF27F" w14:textId="77777777" w:rsidR="003F7E7B" w:rsidRPr="00E33AAE" w:rsidRDefault="00D15B51" w:rsidP="003F7E7B">
      <w:pPr>
        <w:spacing w:before="100" w:beforeAutospacing="1" w:after="100" w:afterAutospacing="1" w:line="240" w:lineRule="auto"/>
        <w:outlineLvl w:val="2"/>
        <w:rPr>
          <w:rFonts w:ascii="Times New Roman" w:eastAsia="Times New Roman" w:hAnsi="Times New Roman" w:cs="Times New Roman"/>
          <w:b/>
          <w:bCs/>
          <w:sz w:val="27"/>
          <w:szCs w:val="27"/>
        </w:rPr>
      </w:pPr>
      <w:r w:rsidRPr="00E33AAE">
        <w:rPr>
          <w:rFonts w:ascii="Arial" w:hAnsi="Arial" w:cs="Arial"/>
          <w:sz w:val="20"/>
        </w:rPr>
        <w:t>4.</w:t>
      </w:r>
      <w:r w:rsidR="003F7E7B" w:rsidRPr="00E33AAE">
        <w:rPr>
          <w:rFonts w:ascii="Times New Roman" w:eastAsia="Times New Roman" w:hAnsi="Times New Roman" w:cs="Times New Roman"/>
          <w:b/>
          <w:bCs/>
          <w:sz w:val="27"/>
          <w:szCs w:val="27"/>
        </w:rPr>
        <w:t>Conclusion</w:t>
      </w:r>
    </w:p>
    <w:p w14:paraId="44E2E1A1" w14:textId="77777777" w:rsidR="003F7E7B" w:rsidRPr="00E33AAE" w:rsidRDefault="003F7E7B" w:rsidP="00B04E6F">
      <w:pPr>
        <w:spacing w:before="100" w:beforeAutospacing="1" w:after="100" w:afterAutospacing="1" w:line="240" w:lineRule="auto"/>
        <w:jc w:val="both"/>
        <w:rPr>
          <w:rFonts w:ascii="Times New Roman" w:eastAsia="Times New Roman" w:hAnsi="Times New Roman" w:cs="Times New Roman"/>
          <w:sz w:val="24"/>
          <w:szCs w:val="24"/>
        </w:rPr>
      </w:pPr>
      <w:r w:rsidRPr="00E33AAE">
        <w:rPr>
          <w:rFonts w:ascii="Times New Roman" w:eastAsia="Times New Roman" w:hAnsi="Times New Roman" w:cs="Times New Roman"/>
          <w:sz w:val="24"/>
          <w:szCs w:val="24"/>
        </w:rPr>
        <w:t xml:space="preserve">The study showed that Ritchiea </w:t>
      </w:r>
      <w:proofErr w:type="spellStart"/>
      <w:r w:rsidRPr="00E33AAE">
        <w:rPr>
          <w:rFonts w:ascii="Times New Roman" w:eastAsia="Times New Roman" w:hAnsi="Times New Roman" w:cs="Times New Roman"/>
          <w:sz w:val="24"/>
          <w:szCs w:val="24"/>
        </w:rPr>
        <w:t>longipedicellata</w:t>
      </w:r>
      <w:proofErr w:type="spellEnd"/>
      <w:r w:rsidRPr="00E33AAE">
        <w:rPr>
          <w:rFonts w:ascii="Times New Roman" w:eastAsia="Times New Roman" w:hAnsi="Times New Roman" w:cs="Times New Roman"/>
          <w:sz w:val="24"/>
          <w:szCs w:val="24"/>
        </w:rPr>
        <w:t xml:space="preserve"> root extracts contain phytochemical constituents that may contribute to antimicrobial activity. The aqueous extract produced the highest extraction yield, while the methanol and aqueous extracts contained different classes of secondary metabolites, including alkaloids, saponins, flavonoids, phenolic compounds, and cardiac glycosides. Antimicrobial screening indicated that the crude extracts and chromatographic fraction C inhibited selected bacterial and fungal isolates, with activity varying according to solvent, concentration, and organism tested. GC–MS analysis of fraction C tentatively identified nine compounds, with 5-(hydroxymethyl)-2-furancarboxaldehyde and 3,5-dihydroxy-6-methyl-2,3-dihydro-4H-pyran-4-one as the major constituents. These results support further investigation of R. </w:t>
      </w:r>
      <w:proofErr w:type="spellStart"/>
      <w:r w:rsidRPr="00E33AAE">
        <w:rPr>
          <w:rFonts w:ascii="Times New Roman" w:eastAsia="Times New Roman" w:hAnsi="Times New Roman" w:cs="Times New Roman"/>
          <w:sz w:val="24"/>
          <w:szCs w:val="24"/>
        </w:rPr>
        <w:t>longipedicellata</w:t>
      </w:r>
      <w:proofErr w:type="spellEnd"/>
      <w:r w:rsidRPr="00E33AAE">
        <w:rPr>
          <w:rFonts w:ascii="Times New Roman" w:eastAsia="Times New Roman" w:hAnsi="Times New Roman" w:cs="Times New Roman"/>
          <w:sz w:val="24"/>
          <w:szCs w:val="24"/>
        </w:rPr>
        <w:t xml:space="preserve"> as a source of bioactive compounds. However, additional studies involving purified compounds, minimum inhibitory concentration assays, toxicity evaluation, and confirmed resistant microbial strains are required before therapeutic relevance can be established.</w:t>
      </w:r>
    </w:p>
    <w:p w14:paraId="4EF6C21E" w14:textId="77777777" w:rsidR="003F7E7B" w:rsidRPr="00E33AAE" w:rsidRDefault="003F7E7B" w:rsidP="00B04E6F">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33AAE">
        <w:rPr>
          <w:rFonts w:ascii="Times New Roman" w:eastAsia="Times New Roman" w:hAnsi="Times New Roman" w:cs="Times New Roman"/>
          <w:b/>
          <w:bCs/>
          <w:sz w:val="27"/>
          <w:szCs w:val="27"/>
        </w:rPr>
        <w:t>Limitation</w:t>
      </w:r>
    </w:p>
    <w:p w14:paraId="6B81D090" w14:textId="77777777" w:rsidR="003F7E7B" w:rsidRPr="00E33AAE" w:rsidRDefault="003F7E7B" w:rsidP="00B04E6F">
      <w:pPr>
        <w:spacing w:before="100" w:beforeAutospacing="1" w:after="100" w:afterAutospacing="1" w:line="240" w:lineRule="auto"/>
        <w:jc w:val="both"/>
        <w:rPr>
          <w:rFonts w:ascii="Times New Roman" w:eastAsia="Times New Roman" w:hAnsi="Times New Roman" w:cs="Times New Roman"/>
          <w:sz w:val="24"/>
          <w:szCs w:val="24"/>
        </w:rPr>
      </w:pPr>
      <w:r w:rsidRPr="00E33AAE">
        <w:rPr>
          <w:rFonts w:ascii="Times New Roman" w:eastAsia="Times New Roman" w:hAnsi="Times New Roman" w:cs="Times New Roman"/>
          <w:sz w:val="24"/>
          <w:szCs w:val="24"/>
        </w:rPr>
        <w:t xml:space="preserve">This study was limited to in vitro antimicrobial screening of crude extracts and selected chromatographic fractions. The microbial isolates were not fully identified to strain level, and multidrug-resistance profiles were not confirmed. Minimum inhibitory concentration, minimum </w:t>
      </w:r>
      <w:r w:rsidRPr="00E33AAE">
        <w:rPr>
          <w:rFonts w:ascii="Times New Roman" w:eastAsia="Times New Roman" w:hAnsi="Times New Roman" w:cs="Times New Roman"/>
          <w:sz w:val="24"/>
          <w:szCs w:val="24"/>
        </w:rPr>
        <w:lastRenderedPageBreak/>
        <w:t>bactericidal concentration, toxicity, and mechanism-of-action studies were not reported. GC–MS identification was based on spectral matching and should be considered tentative unless confirmed using authentic standards. The study also did not provide a voucher specimen number or detailed information on sample storage after collection. Further studies using purified compounds, resistant clinical isolates, and safety evaluations are needed.</w:t>
      </w:r>
    </w:p>
    <w:p w14:paraId="6E2B1214" w14:textId="77777777" w:rsidR="00D55E28" w:rsidRPr="00E33AAE" w:rsidRDefault="00D55E28" w:rsidP="00B04E6F">
      <w:pPr>
        <w:spacing w:after="0" w:line="240" w:lineRule="auto"/>
        <w:jc w:val="both"/>
        <w:rPr>
          <w:rFonts w:ascii="Times New Roman" w:hAnsi="Times New Roman" w:cs="Times New Roman"/>
          <w:b/>
        </w:rPr>
      </w:pPr>
      <w:r w:rsidRPr="00E33AAE">
        <w:rPr>
          <w:rFonts w:ascii="Times New Roman" w:hAnsi="Times New Roman" w:cs="Times New Roman"/>
          <w:b/>
        </w:rPr>
        <w:t>Declaration of AI Use</w:t>
      </w:r>
    </w:p>
    <w:p w14:paraId="05618D85" w14:textId="77777777" w:rsidR="00D55E28" w:rsidRPr="00E33AAE" w:rsidRDefault="00D55E28" w:rsidP="00B04E6F">
      <w:pPr>
        <w:spacing w:after="0" w:line="240" w:lineRule="auto"/>
        <w:jc w:val="both"/>
        <w:rPr>
          <w:rFonts w:ascii="Times New Roman" w:hAnsi="Times New Roman" w:cs="Times New Roman"/>
        </w:rPr>
      </w:pPr>
    </w:p>
    <w:p w14:paraId="0A7ECB5C" w14:textId="77777777" w:rsidR="00D55E28" w:rsidRPr="00E33AAE" w:rsidRDefault="00D55E28" w:rsidP="00B04E6F">
      <w:pPr>
        <w:spacing w:after="0" w:line="240" w:lineRule="auto"/>
        <w:jc w:val="both"/>
        <w:rPr>
          <w:rFonts w:ascii="Times New Roman" w:hAnsi="Times New Roman" w:cs="Times New Roman"/>
        </w:rPr>
      </w:pPr>
      <w:r w:rsidRPr="00E33AAE">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D4C4A0F" w14:textId="77777777" w:rsidR="003F7E7B" w:rsidRPr="00E33AAE" w:rsidRDefault="003F7E7B" w:rsidP="003F7E7B">
      <w:pPr>
        <w:spacing w:after="200" w:line="276" w:lineRule="auto"/>
        <w:rPr>
          <w:rFonts w:ascii="Calibri" w:eastAsia="Calibri" w:hAnsi="Calibri" w:cs="Times New Roman"/>
          <w:lang w:val="en-GB"/>
          <w14:ligatures w14:val="standardContextual"/>
        </w:rPr>
      </w:pPr>
    </w:p>
    <w:p w14:paraId="32C1FFC9" w14:textId="77777777" w:rsidR="00491647" w:rsidRPr="00E33AAE" w:rsidRDefault="00491647" w:rsidP="003F7E7B">
      <w:pPr>
        <w:pStyle w:val="MHeading1"/>
        <w:spacing w:before="0" w:after="0" w:line="240" w:lineRule="auto"/>
        <w:rPr>
          <w:rFonts w:ascii="Arial" w:hAnsi="Arial" w:cs="Arial"/>
          <w:color w:val="auto"/>
        </w:rPr>
      </w:pPr>
      <w:r w:rsidRPr="00E33AAE">
        <w:rPr>
          <w:rFonts w:ascii="Arial" w:hAnsi="Arial" w:cs="Arial"/>
          <w:color w:val="auto"/>
        </w:rPr>
        <w:t>References</w:t>
      </w:r>
    </w:p>
    <w:p w14:paraId="174848CB"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w:t>
      </w:r>
      <w:proofErr w:type="spellStart"/>
      <w:r w:rsidRPr="002720BD">
        <w:rPr>
          <w:rFonts w:ascii="Times New Roman" w:eastAsia="Times New Roman" w:hAnsi="Times New Roman" w:cs="Times New Roman"/>
          <w:sz w:val="24"/>
          <w:szCs w:val="24"/>
        </w:rPr>
        <w:t>Ejele</w:t>
      </w:r>
      <w:proofErr w:type="spellEnd"/>
      <w:r w:rsidRPr="002720BD">
        <w:rPr>
          <w:rFonts w:ascii="Times New Roman" w:eastAsia="Times New Roman" w:hAnsi="Times New Roman" w:cs="Times New Roman"/>
          <w:sz w:val="24"/>
          <w:szCs w:val="24"/>
        </w:rPr>
        <w:t xml:space="preserve">, A. E., Akpan, I. O., </w:t>
      </w:r>
      <w:proofErr w:type="spellStart"/>
      <w:r w:rsidRPr="002720BD">
        <w:rPr>
          <w:rFonts w:ascii="Times New Roman" w:eastAsia="Times New Roman" w:hAnsi="Times New Roman" w:cs="Times New Roman"/>
          <w:sz w:val="24"/>
          <w:szCs w:val="24"/>
        </w:rPr>
        <w:t>Ogukwe</w:t>
      </w:r>
      <w:proofErr w:type="spellEnd"/>
      <w:r w:rsidRPr="002720BD">
        <w:rPr>
          <w:rFonts w:ascii="Times New Roman" w:eastAsia="Times New Roman" w:hAnsi="Times New Roman" w:cs="Times New Roman"/>
          <w:sz w:val="24"/>
          <w:szCs w:val="24"/>
        </w:rPr>
        <w:t xml:space="preserve">, C. E., </w:t>
      </w:r>
      <w:proofErr w:type="spellStart"/>
      <w:r w:rsidRPr="002720BD">
        <w:rPr>
          <w:rFonts w:ascii="Times New Roman" w:eastAsia="Times New Roman" w:hAnsi="Times New Roman" w:cs="Times New Roman"/>
          <w:sz w:val="24"/>
          <w:szCs w:val="24"/>
        </w:rPr>
        <w:t>Onyeocha</w:t>
      </w:r>
      <w:proofErr w:type="spellEnd"/>
      <w:r w:rsidRPr="002720BD">
        <w:rPr>
          <w:rFonts w:ascii="Times New Roman" w:eastAsia="Times New Roman" w:hAnsi="Times New Roman" w:cs="Times New Roman"/>
          <w:sz w:val="24"/>
          <w:szCs w:val="24"/>
        </w:rPr>
        <w:t xml:space="preserve">, V. O., &amp; </w:t>
      </w:r>
      <w:proofErr w:type="spellStart"/>
      <w:r w:rsidRPr="002720BD">
        <w:rPr>
          <w:rFonts w:ascii="Times New Roman" w:eastAsia="Times New Roman" w:hAnsi="Times New Roman" w:cs="Times New Roman"/>
          <w:sz w:val="24"/>
          <w:szCs w:val="24"/>
        </w:rPr>
        <w:t>Ukiwe</w:t>
      </w:r>
      <w:proofErr w:type="spellEnd"/>
      <w:r w:rsidRPr="002720BD">
        <w:rPr>
          <w:rFonts w:ascii="Times New Roman" w:eastAsia="Times New Roman" w:hAnsi="Times New Roman" w:cs="Times New Roman"/>
          <w:sz w:val="24"/>
          <w:szCs w:val="24"/>
        </w:rPr>
        <w:t xml:space="preserve">, L. N. (2012). Bioassay-guided isolation and partial characterization of an </w:t>
      </w:r>
      <w:proofErr w:type="spellStart"/>
      <w:r w:rsidRPr="002720BD">
        <w:rPr>
          <w:rFonts w:ascii="Times New Roman" w:eastAsia="Times New Roman" w:hAnsi="Times New Roman" w:cs="Times New Roman"/>
          <w:sz w:val="24"/>
          <w:szCs w:val="24"/>
        </w:rPr>
        <w:t>antisickling</w:t>
      </w:r>
      <w:proofErr w:type="spellEnd"/>
      <w:r w:rsidRPr="002720BD">
        <w:rPr>
          <w:rFonts w:ascii="Times New Roman" w:eastAsia="Times New Roman" w:hAnsi="Times New Roman" w:cs="Times New Roman"/>
          <w:sz w:val="24"/>
          <w:szCs w:val="24"/>
        </w:rPr>
        <w:t xml:space="preserve"> compound from </w:t>
      </w:r>
      <w:proofErr w:type="spellStart"/>
      <w:r w:rsidRPr="002720BD">
        <w:rPr>
          <w:rFonts w:ascii="Times New Roman" w:eastAsia="Times New Roman" w:hAnsi="Times New Roman" w:cs="Times New Roman"/>
          <w:i/>
          <w:iCs/>
          <w:sz w:val="24"/>
          <w:szCs w:val="24"/>
        </w:rPr>
        <w:t>Enantia</w:t>
      </w:r>
      <w:proofErr w:type="spellEnd"/>
      <w:r w:rsidRPr="002720BD">
        <w:rPr>
          <w:rFonts w:ascii="Times New Roman" w:eastAsia="Times New Roman" w:hAnsi="Times New Roman" w:cs="Times New Roman"/>
          <w:i/>
          <w:iCs/>
          <w:sz w:val="24"/>
          <w:szCs w:val="24"/>
        </w:rPr>
        <w:t xml:space="preserve"> </w:t>
      </w:r>
      <w:proofErr w:type="spellStart"/>
      <w:r w:rsidRPr="002720BD">
        <w:rPr>
          <w:rFonts w:ascii="Times New Roman" w:eastAsia="Times New Roman" w:hAnsi="Times New Roman" w:cs="Times New Roman"/>
          <w:i/>
          <w:iCs/>
          <w:sz w:val="24"/>
          <w:szCs w:val="24"/>
        </w:rPr>
        <w:t>chlorantha</w:t>
      </w:r>
      <w:proofErr w:type="spellEnd"/>
      <w:r w:rsidRPr="002720BD">
        <w:rPr>
          <w:rFonts w:ascii="Times New Roman" w:eastAsia="Times New Roman" w:hAnsi="Times New Roman" w:cs="Times New Roman"/>
          <w:sz w:val="24"/>
          <w:szCs w:val="24"/>
        </w:rPr>
        <w:t xml:space="preserve">. </w:t>
      </w:r>
      <w:r w:rsidRPr="002720BD">
        <w:rPr>
          <w:rFonts w:ascii="Times New Roman" w:eastAsia="Times New Roman" w:hAnsi="Times New Roman" w:cs="Times New Roman"/>
          <w:i/>
          <w:iCs/>
          <w:sz w:val="24"/>
          <w:szCs w:val="24"/>
        </w:rPr>
        <w:t>International Research Journal of Biochemistry and Bioinformatics, 2</w:t>
      </w:r>
      <w:r w:rsidRPr="002720BD">
        <w:rPr>
          <w:rFonts w:ascii="Times New Roman" w:eastAsia="Times New Roman" w:hAnsi="Times New Roman" w:cs="Times New Roman"/>
          <w:sz w:val="24"/>
          <w:szCs w:val="24"/>
        </w:rPr>
        <w:t xml:space="preserve">(7), 149–154. </w:t>
      </w:r>
      <w:hyperlink r:id="rId34" w:tgtFrame="_new" w:history="1">
        <w:r w:rsidRPr="002720BD">
          <w:rPr>
            <w:rFonts w:ascii="Times New Roman" w:eastAsia="Times New Roman" w:hAnsi="Times New Roman" w:cs="Times New Roman"/>
            <w:color w:val="0000FF"/>
            <w:sz w:val="24"/>
            <w:szCs w:val="24"/>
            <w:u w:val="single"/>
          </w:rPr>
          <w:t>https://www.interesjournals.org/articles/bioassayguided-isolation-and-partial-characterization-of-an-antisickling-compound-from-enantia-chlorantha.pdf</w:t>
        </w:r>
      </w:hyperlink>
      <w:r w:rsidRPr="002720BD">
        <w:rPr>
          <w:rFonts w:ascii="Times New Roman" w:eastAsia="Times New Roman" w:hAnsi="Times New Roman" w:cs="Times New Roman"/>
          <w:sz w:val="24"/>
          <w:szCs w:val="24"/>
        </w:rPr>
        <w:t xml:space="preserve"> </w:t>
      </w:r>
    </w:p>
    <w:p w14:paraId="4B1D4546"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Colpo, E., Vilanova, C. D. D. A., Reetz, L. G. B., Duarte, M. M. M. F., Farias, I. L. G., </w:t>
      </w:r>
      <w:proofErr w:type="spellStart"/>
      <w:r w:rsidRPr="002720BD">
        <w:rPr>
          <w:rFonts w:ascii="Times New Roman" w:eastAsia="Times New Roman" w:hAnsi="Times New Roman" w:cs="Times New Roman"/>
          <w:sz w:val="24"/>
          <w:szCs w:val="24"/>
        </w:rPr>
        <w:t>Meinerz</w:t>
      </w:r>
      <w:proofErr w:type="spellEnd"/>
      <w:r w:rsidRPr="002720BD">
        <w:rPr>
          <w:rFonts w:ascii="Times New Roman" w:eastAsia="Times New Roman" w:hAnsi="Times New Roman" w:cs="Times New Roman"/>
          <w:sz w:val="24"/>
          <w:szCs w:val="24"/>
        </w:rPr>
        <w:t xml:space="preserve">, D. F., Mariano, D. O. C., </w:t>
      </w:r>
      <w:proofErr w:type="spellStart"/>
      <w:r w:rsidRPr="002720BD">
        <w:rPr>
          <w:rFonts w:ascii="Times New Roman" w:eastAsia="Times New Roman" w:hAnsi="Times New Roman" w:cs="Times New Roman"/>
          <w:sz w:val="24"/>
          <w:szCs w:val="24"/>
        </w:rPr>
        <w:t>Vendrusculo</w:t>
      </w:r>
      <w:proofErr w:type="spellEnd"/>
      <w:r w:rsidRPr="002720BD">
        <w:rPr>
          <w:rFonts w:ascii="Times New Roman" w:eastAsia="Times New Roman" w:hAnsi="Times New Roman" w:cs="Times New Roman"/>
          <w:sz w:val="24"/>
          <w:szCs w:val="24"/>
        </w:rPr>
        <w:t xml:space="preserve">, R. G., </w:t>
      </w:r>
      <w:proofErr w:type="spellStart"/>
      <w:r w:rsidRPr="002720BD">
        <w:rPr>
          <w:rFonts w:ascii="Times New Roman" w:eastAsia="Times New Roman" w:hAnsi="Times New Roman" w:cs="Times New Roman"/>
          <w:sz w:val="24"/>
          <w:szCs w:val="24"/>
        </w:rPr>
        <w:t>Boligon</w:t>
      </w:r>
      <w:proofErr w:type="spellEnd"/>
      <w:r w:rsidRPr="002720BD">
        <w:rPr>
          <w:rFonts w:ascii="Times New Roman" w:eastAsia="Times New Roman" w:hAnsi="Times New Roman" w:cs="Times New Roman"/>
          <w:sz w:val="24"/>
          <w:szCs w:val="24"/>
        </w:rPr>
        <w:t xml:space="preserve">, A. A., Dalla Corte, C. L., Wagner, R., Athayde, M. L., &amp; da Rocha, J. B. T. (2014). Brazilian nut consumption by healthy volunteers improves inflammatory parameters. </w:t>
      </w:r>
      <w:r w:rsidRPr="002720BD">
        <w:rPr>
          <w:rFonts w:ascii="Times New Roman" w:eastAsia="Times New Roman" w:hAnsi="Times New Roman" w:cs="Times New Roman"/>
          <w:i/>
          <w:iCs/>
          <w:sz w:val="24"/>
          <w:szCs w:val="24"/>
        </w:rPr>
        <w:t>Nutrition, 30</w:t>
      </w:r>
      <w:r w:rsidRPr="002720BD">
        <w:rPr>
          <w:rFonts w:ascii="Times New Roman" w:eastAsia="Times New Roman" w:hAnsi="Times New Roman" w:cs="Times New Roman"/>
          <w:sz w:val="24"/>
          <w:szCs w:val="24"/>
        </w:rPr>
        <w:t xml:space="preserve">(4), 459–465. https://doi.org/10.1016/j.nut.2013.10.005 </w:t>
      </w:r>
    </w:p>
    <w:p w14:paraId="3CF76ABE"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Akpan, I. O., Ejele, A. E., </w:t>
      </w:r>
      <w:proofErr w:type="spellStart"/>
      <w:r w:rsidRPr="002720BD">
        <w:rPr>
          <w:rFonts w:ascii="Times New Roman" w:eastAsia="Times New Roman" w:hAnsi="Times New Roman" w:cs="Times New Roman"/>
          <w:sz w:val="24"/>
          <w:szCs w:val="24"/>
        </w:rPr>
        <w:t>Ogali</w:t>
      </w:r>
      <w:proofErr w:type="spellEnd"/>
      <w:r w:rsidRPr="002720BD">
        <w:rPr>
          <w:rFonts w:ascii="Times New Roman" w:eastAsia="Times New Roman" w:hAnsi="Times New Roman" w:cs="Times New Roman"/>
          <w:sz w:val="24"/>
          <w:szCs w:val="24"/>
        </w:rPr>
        <w:t xml:space="preserve">, R. E., </w:t>
      </w:r>
      <w:proofErr w:type="spellStart"/>
      <w:r w:rsidRPr="002720BD">
        <w:rPr>
          <w:rFonts w:ascii="Times New Roman" w:eastAsia="Times New Roman" w:hAnsi="Times New Roman" w:cs="Times New Roman"/>
          <w:sz w:val="24"/>
          <w:szCs w:val="24"/>
        </w:rPr>
        <w:t>Achugasim</w:t>
      </w:r>
      <w:proofErr w:type="spellEnd"/>
      <w:r w:rsidRPr="002720BD">
        <w:rPr>
          <w:rFonts w:ascii="Times New Roman" w:eastAsia="Times New Roman" w:hAnsi="Times New Roman" w:cs="Times New Roman"/>
          <w:sz w:val="24"/>
          <w:szCs w:val="24"/>
        </w:rPr>
        <w:t xml:space="preserve">, O., &amp; Osuagwu, C. G. (2016). Bioassay-guided isolation of antimicrobial compound against </w:t>
      </w:r>
      <w:r w:rsidRPr="002720BD">
        <w:rPr>
          <w:rFonts w:ascii="Times New Roman" w:eastAsia="Times New Roman" w:hAnsi="Times New Roman" w:cs="Times New Roman"/>
          <w:i/>
          <w:iCs/>
          <w:sz w:val="24"/>
          <w:szCs w:val="24"/>
        </w:rPr>
        <w:t>Staphylococcus aureus</w:t>
      </w:r>
      <w:r w:rsidRPr="002720BD">
        <w:rPr>
          <w:rFonts w:ascii="Times New Roman" w:eastAsia="Times New Roman" w:hAnsi="Times New Roman" w:cs="Times New Roman"/>
          <w:sz w:val="24"/>
          <w:szCs w:val="24"/>
        </w:rPr>
        <w:t xml:space="preserve"> from </w:t>
      </w:r>
      <w:proofErr w:type="spellStart"/>
      <w:r w:rsidRPr="002720BD">
        <w:rPr>
          <w:rFonts w:ascii="Times New Roman" w:eastAsia="Times New Roman" w:hAnsi="Times New Roman" w:cs="Times New Roman"/>
          <w:i/>
          <w:iCs/>
          <w:sz w:val="24"/>
          <w:szCs w:val="24"/>
        </w:rPr>
        <w:t>Azadirachta</w:t>
      </w:r>
      <w:proofErr w:type="spellEnd"/>
      <w:r w:rsidRPr="002720BD">
        <w:rPr>
          <w:rFonts w:ascii="Times New Roman" w:eastAsia="Times New Roman" w:hAnsi="Times New Roman" w:cs="Times New Roman"/>
          <w:i/>
          <w:iCs/>
          <w:sz w:val="24"/>
          <w:szCs w:val="24"/>
        </w:rPr>
        <w:t xml:space="preserve"> indica</w:t>
      </w:r>
      <w:r w:rsidRPr="002720BD">
        <w:rPr>
          <w:rFonts w:ascii="Times New Roman" w:eastAsia="Times New Roman" w:hAnsi="Times New Roman" w:cs="Times New Roman"/>
          <w:sz w:val="24"/>
          <w:szCs w:val="24"/>
        </w:rPr>
        <w:t xml:space="preserve"> plant. </w:t>
      </w:r>
      <w:r w:rsidRPr="002720BD">
        <w:rPr>
          <w:rFonts w:ascii="Times New Roman" w:eastAsia="Times New Roman" w:hAnsi="Times New Roman" w:cs="Times New Roman"/>
          <w:i/>
          <w:iCs/>
          <w:sz w:val="24"/>
          <w:szCs w:val="24"/>
        </w:rPr>
        <w:t>Journal of Current Chemical &amp; Pharmaceutical Sciences, 6</w:t>
      </w:r>
      <w:r w:rsidRPr="002720BD">
        <w:rPr>
          <w:rFonts w:ascii="Times New Roman" w:eastAsia="Times New Roman" w:hAnsi="Times New Roman" w:cs="Times New Roman"/>
          <w:sz w:val="24"/>
          <w:szCs w:val="24"/>
        </w:rPr>
        <w:t xml:space="preserve">(2), 17–26. </w:t>
      </w:r>
      <w:hyperlink r:id="rId35" w:tgtFrame="_new" w:history="1">
        <w:r w:rsidRPr="002720BD">
          <w:rPr>
            <w:rFonts w:ascii="Times New Roman" w:eastAsia="Times New Roman" w:hAnsi="Times New Roman" w:cs="Times New Roman"/>
            <w:color w:val="0000FF"/>
            <w:sz w:val="24"/>
            <w:szCs w:val="24"/>
            <w:u w:val="single"/>
          </w:rPr>
          <w:t>https://www.tsijournals.com/articles/bioassayguided-isolation-of-antimicrobial-compound-against-staphylococcus-aureus-from-azadirachta-indica-plant.pdf</w:t>
        </w:r>
      </w:hyperlink>
      <w:r w:rsidRPr="002720BD">
        <w:rPr>
          <w:rFonts w:ascii="Times New Roman" w:eastAsia="Times New Roman" w:hAnsi="Times New Roman" w:cs="Times New Roman"/>
          <w:sz w:val="24"/>
          <w:szCs w:val="24"/>
        </w:rPr>
        <w:t xml:space="preserve"> </w:t>
      </w:r>
    </w:p>
    <w:p w14:paraId="7AC6CC78"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Akpan, I. O., </w:t>
      </w:r>
      <w:proofErr w:type="spellStart"/>
      <w:r w:rsidRPr="002720BD">
        <w:rPr>
          <w:rFonts w:ascii="Times New Roman" w:eastAsia="Times New Roman" w:hAnsi="Times New Roman" w:cs="Times New Roman"/>
          <w:sz w:val="24"/>
          <w:szCs w:val="24"/>
        </w:rPr>
        <w:t>Ogali</w:t>
      </w:r>
      <w:proofErr w:type="spellEnd"/>
      <w:r w:rsidRPr="002720BD">
        <w:rPr>
          <w:rFonts w:ascii="Times New Roman" w:eastAsia="Times New Roman" w:hAnsi="Times New Roman" w:cs="Times New Roman"/>
          <w:sz w:val="24"/>
          <w:szCs w:val="24"/>
        </w:rPr>
        <w:t xml:space="preserve">, R. E., &amp; </w:t>
      </w:r>
      <w:proofErr w:type="spellStart"/>
      <w:r w:rsidRPr="002720BD">
        <w:rPr>
          <w:rFonts w:ascii="Times New Roman" w:eastAsia="Times New Roman" w:hAnsi="Times New Roman" w:cs="Times New Roman"/>
          <w:sz w:val="24"/>
          <w:szCs w:val="24"/>
        </w:rPr>
        <w:t>Achugasim</w:t>
      </w:r>
      <w:proofErr w:type="spellEnd"/>
      <w:r w:rsidRPr="002720BD">
        <w:rPr>
          <w:rFonts w:ascii="Times New Roman" w:eastAsia="Times New Roman" w:hAnsi="Times New Roman" w:cs="Times New Roman"/>
          <w:sz w:val="24"/>
          <w:szCs w:val="24"/>
        </w:rPr>
        <w:t xml:space="preserve">, O. (2017). Antifungal activity of crude extract and metabolites of leaves of </w:t>
      </w:r>
      <w:proofErr w:type="spellStart"/>
      <w:r w:rsidRPr="002720BD">
        <w:rPr>
          <w:rFonts w:ascii="Times New Roman" w:eastAsia="Times New Roman" w:hAnsi="Times New Roman" w:cs="Times New Roman"/>
          <w:i/>
          <w:iCs/>
          <w:sz w:val="24"/>
          <w:szCs w:val="24"/>
        </w:rPr>
        <w:t>Enantia</w:t>
      </w:r>
      <w:proofErr w:type="spellEnd"/>
      <w:r w:rsidRPr="002720BD">
        <w:rPr>
          <w:rFonts w:ascii="Times New Roman" w:eastAsia="Times New Roman" w:hAnsi="Times New Roman" w:cs="Times New Roman"/>
          <w:i/>
          <w:iCs/>
          <w:sz w:val="24"/>
          <w:szCs w:val="24"/>
        </w:rPr>
        <w:t xml:space="preserve"> </w:t>
      </w:r>
      <w:proofErr w:type="spellStart"/>
      <w:r w:rsidRPr="002720BD">
        <w:rPr>
          <w:rFonts w:ascii="Times New Roman" w:eastAsia="Times New Roman" w:hAnsi="Times New Roman" w:cs="Times New Roman"/>
          <w:i/>
          <w:iCs/>
          <w:sz w:val="24"/>
          <w:szCs w:val="24"/>
        </w:rPr>
        <w:t>chlorantha</w:t>
      </w:r>
      <w:proofErr w:type="spellEnd"/>
      <w:r w:rsidRPr="002720BD">
        <w:rPr>
          <w:rFonts w:ascii="Times New Roman" w:eastAsia="Times New Roman" w:hAnsi="Times New Roman" w:cs="Times New Roman"/>
          <w:sz w:val="24"/>
          <w:szCs w:val="24"/>
        </w:rPr>
        <w:t xml:space="preserve"> Oliv. (African yellow wood). </w:t>
      </w:r>
      <w:r w:rsidRPr="002720BD">
        <w:rPr>
          <w:rFonts w:ascii="Times New Roman" w:eastAsia="Times New Roman" w:hAnsi="Times New Roman" w:cs="Times New Roman"/>
          <w:i/>
          <w:iCs/>
          <w:sz w:val="24"/>
          <w:szCs w:val="24"/>
        </w:rPr>
        <w:t>Journal of Natural Products and Resources, 3</w:t>
      </w:r>
      <w:r w:rsidRPr="002720BD">
        <w:rPr>
          <w:rFonts w:ascii="Times New Roman" w:eastAsia="Times New Roman" w:hAnsi="Times New Roman" w:cs="Times New Roman"/>
          <w:sz w:val="24"/>
          <w:szCs w:val="24"/>
        </w:rPr>
        <w:t xml:space="preserve">(2), 137–140. https://jacsdirectory.com/journal-of-natural-products-and-resources/articleview.php?id=37 </w:t>
      </w:r>
    </w:p>
    <w:p w14:paraId="379F0271" w14:textId="3AAF379C"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Akpan, I. O., Achugasim, O., Eruteya, O. C., &amp; </w:t>
      </w:r>
      <w:proofErr w:type="spellStart"/>
      <w:r w:rsidRPr="002720BD">
        <w:rPr>
          <w:rFonts w:ascii="Times New Roman" w:eastAsia="Times New Roman" w:hAnsi="Times New Roman" w:cs="Times New Roman"/>
          <w:sz w:val="24"/>
          <w:szCs w:val="24"/>
        </w:rPr>
        <w:t>Ogali</w:t>
      </w:r>
      <w:proofErr w:type="spellEnd"/>
      <w:r w:rsidRPr="002720BD">
        <w:rPr>
          <w:rFonts w:ascii="Times New Roman" w:eastAsia="Times New Roman" w:hAnsi="Times New Roman" w:cs="Times New Roman"/>
          <w:sz w:val="24"/>
          <w:szCs w:val="24"/>
        </w:rPr>
        <w:t xml:space="preserve">, R. E. (2021). Biochemical profiling of leaf, stem bark and root of </w:t>
      </w:r>
      <w:proofErr w:type="spellStart"/>
      <w:r w:rsidRPr="002720BD">
        <w:rPr>
          <w:rFonts w:ascii="Times New Roman" w:eastAsia="Times New Roman" w:hAnsi="Times New Roman" w:cs="Times New Roman"/>
          <w:i/>
          <w:iCs/>
          <w:sz w:val="24"/>
          <w:szCs w:val="24"/>
        </w:rPr>
        <w:t>Enantia</w:t>
      </w:r>
      <w:proofErr w:type="spellEnd"/>
      <w:r w:rsidRPr="002720BD">
        <w:rPr>
          <w:rFonts w:ascii="Times New Roman" w:eastAsia="Times New Roman" w:hAnsi="Times New Roman" w:cs="Times New Roman"/>
          <w:i/>
          <w:iCs/>
          <w:sz w:val="24"/>
          <w:szCs w:val="24"/>
        </w:rPr>
        <w:t xml:space="preserve"> </w:t>
      </w:r>
      <w:proofErr w:type="spellStart"/>
      <w:r w:rsidRPr="002720BD">
        <w:rPr>
          <w:rFonts w:ascii="Times New Roman" w:eastAsia="Times New Roman" w:hAnsi="Times New Roman" w:cs="Times New Roman"/>
          <w:i/>
          <w:iCs/>
          <w:sz w:val="24"/>
          <w:szCs w:val="24"/>
        </w:rPr>
        <w:t>chlorantha</w:t>
      </w:r>
      <w:proofErr w:type="spellEnd"/>
      <w:r w:rsidRPr="002720BD">
        <w:rPr>
          <w:rFonts w:ascii="Times New Roman" w:eastAsia="Times New Roman" w:hAnsi="Times New Roman" w:cs="Times New Roman"/>
          <w:sz w:val="24"/>
          <w:szCs w:val="24"/>
        </w:rPr>
        <w:t xml:space="preserve"> native to Akwa Ibom, Nigeria: A comparative analysis. </w:t>
      </w:r>
      <w:r w:rsidRPr="002720BD">
        <w:rPr>
          <w:rFonts w:ascii="Times New Roman" w:eastAsia="Times New Roman" w:hAnsi="Times New Roman" w:cs="Times New Roman"/>
          <w:i/>
          <w:iCs/>
          <w:sz w:val="24"/>
          <w:szCs w:val="24"/>
        </w:rPr>
        <w:t>Chemistry International, 7</w:t>
      </w:r>
      <w:r w:rsidRPr="002720BD">
        <w:rPr>
          <w:rFonts w:ascii="Times New Roman" w:eastAsia="Times New Roman" w:hAnsi="Times New Roman" w:cs="Times New Roman"/>
          <w:sz w:val="24"/>
          <w:szCs w:val="24"/>
        </w:rPr>
        <w:t xml:space="preserve">(2), 145–154. https://doi.org/10.5281/zenodo.4572671  </w:t>
      </w:r>
    </w:p>
    <w:p w14:paraId="6A2D83C9"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Erik, İ., </w:t>
      </w:r>
      <w:proofErr w:type="spellStart"/>
      <w:r w:rsidRPr="002720BD">
        <w:rPr>
          <w:rFonts w:ascii="Times New Roman" w:eastAsia="Times New Roman" w:hAnsi="Times New Roman" w:cs="Times New Roman"/>
          <w:sz w:val="24"/>
          <w:szCs w:val="24"/>
        </w:rPr>
        <w:t>Yaylı</w:t>
      </w:r>
      <w:proofErr w:type="spellEnd"/>
      <w:r w:rsidRPr="002720BD">
        <w:rPr>
          <w:rFonts w:ascii="Times New Roman" w:eastAsia="Times New Roman" w:hAnsi="Times New Roman" w:cs="Times New Roman"/>
          <w:sz w:val="24"/>
          <w:szCs w:val="24"/>
        </w:rPr>
        <w:t xml:space="preserve">, N., </w:t>
      </w:r>
      <w:proofErr w:type="spellStart"/>
      <w:r w:rsidRPr="002720BD">
        <w:rPr>
          <w:rFonts w:ascii="Times New Roman" w:eastAsia="Times New Roman" w:hAnsi="Times New Roman" w:cs="Times New Roman"/>
          <w:sz w:val="24"/>
          <w:szCs w:val="24"/>
        </w:rPr>
        <w:t>Coşkunçelebi</w:t>
      </w:r>
      <w:proofErr w:type="spellEnd"/>
      <w:r w:rsidRPr="002720BD">
        <w:rPr>
          <w:rFonts w:ascii="Times New Roman" w:eastAsia="Times New Roman" w:hAnsi="Times New Roman" w:cs="Times New Roman"/>
          <w:sz w:val="24"/>
          <w:szCs w:val="24"/>
        </w:rPr>
        <w:t xml:space="preserve">, K., </w:t>
      </w:r>
      <w:proofErr w:type="spellStart"/>
      <w:r w:rsidRPr="002720BD">
        <w:rPr>
          <w:rFonts w:ascii="Times New Roman" w:eastAsia="Times New Roman" w:hAnsi="Times New Roman" w:cs="Times New Roman"/>
          <w:sz w:val="24"/>
          <w:szCs w:val="24"/>
        </w:rPr>
        <w:t>Makbul</w:t>
      </w:r>
      <w:proofErr w:type="spellEnd"/>
      <w:r w:rsidRPr="002720BD">
        <w:rPr>
          <w:rFonts w:ascii="Times New Roman" w:eastAsia="Times New Roman" w:hAnsi="Times New Roman" w:cs="Times New Roman"/>
          <w:sz w:val="24"/>
          <w:szCs w:val="24"/>
        </w:rPr>
        <w:t xml:space="preserve">, S., &amp; Karaoğlu, Ş. A. (2021). Three new </w:t>
      </w:r>
      <w:proofErr w:type="spellStart"/>
      <w:r w:rsidRPr="002720BD">
        <w:rPr>
          <w:rFonts w:ascii="Times New Roman" w:eastAsia="Times New Roman" w:hAnsi="Times New Roman" w:cs="Times New Roman"/>
          <w:sz w:val="24"/>
          <w:szCs w:val="24"/>
        </w:rPr>
        <w:t>dihydroisocoumarin</w:t>
      </w:r>
      <w:proofErr w:type="spellEnd"/>
      <w:r w:rsidRPr="002720BD">
        <w:rPr>
          <w:rFonts w:ascii="Times New Roman" w:eastAsia="Times New Roman" w:hAnsi="Times New Roman" w:cs="Times New Roman"/>
          <w:sz w:val="24"/>
          <w:szCs w:val="24"/>
        </w:rPr>
        <w:t xml:space="preserve"> glycosides with antimicrobial activities from </w:t>
      </w:r>
      <w:proofErr w:type="spellStart"/>
      <w:r w:rsidRPr="002720BD">
        <w:rPr>
          <w:rFonts w:ascii="Times New Roman" w:eastAsia="Times New Roman" w:hAnsi="Times New Roman" w:cs="Times New Roman"/>
          <w:i/>
          <w:iCs/>
          <w:sz w:val="24"/>
          <w:szCs w:val="24"/>
        </w:rPr>
        <w:t>Scorzonera</w:t>
      </w:r>
      <w:proofErr w:type="spellEnd"/>
      <w:r w:rsidRPr="002720BD">
        <w:rPr>
          <w:rFonts w:ascii="Times New Roman" w:eastAsia="Times New Roman" w:hAnsi="Times New Roman" w:cs="Times New Roman"/>
          <w:i/>
          <w:iCs/>
          <w:sz w:val="24"/>
          <w:szCs w:val="24"/>
        </w:rPr>
        <w:t xml:space="preserve"> </w:t>
      </w:r>
      <w:proofErr w:type="spellStart"/>
      <w:r w:rsidRPr="002720BD">
        <w:rPr>
          <w:rFonts w:ascii="Times New Roman" w:eastAsia="Times New Roman" w:hAnsi="Times New Roman" w:cs="Times New Roman"/>
          <w:i/>
          <w:iCs/>
          <w:sz w:val="24"/>
          <w:szCs w:val="24"/>
        </w:rPr>
        <w:t>aucheriana</w:t>
      </w:r>
      <w:proofErr w:type="spellEnd"/>
      <w:r w:rsidRPr="002720BD">
        <w:rPr>
          <w:rFonts w:ascii="Times New Roman" w:eastAsia="Times New Roman" w:hAnsi="Times New Roman" w:cs="Times New Roman"/>
          <w:sz w:val="24"/>
          <w:szCs w:val="24"/>
        </w:rPr>
        <w:t xml:space="preserve">. </w:t>
      </w:r>
      <w:r w:rsidRPr="002720BD">
        <w:rPr>
          <w:rFonts w:ascii="Times New Roman" w:eastAsia="Times New Roman" w:hAnsi="Times New Roman" w:cs="Times New Roman"/>
          <w:i/>
          <w:iCs/>
          <w:sz w:val="24"/>
          <w:szCs w:val="24"/>
        </w:rPr>
        <w:t>Phytochemistry Letters, 43</w:t>
      </w:r>
      <w:r w:rsidRPr="002720BD">
        <w:rPr>
          <w:rFonts w:ascii="Times New Roman" w:eastAsia="Times New Roman" w:hAnsi="Times New Roman" w:cs="Times New Roman"/>
          <w:sz w:val="24"/>
          <w:szCs w:val="24"/>
        </w:rPr>
        <w:t xml:space="preserve">, 45–52. </w:t>
      </w:r>
      <w:hyperlink r:id="rId36" w:tgtFrame="_new" w:history="1">
        <w:r w:rsidRPr="002720BD">
          <w:rPr>
            <w:rFonts w:ascii="Times New Roman" w:eastAsia="Times New Roman" w:hAnsi="Times New Roman" w:cs="Times New Roman"/>
            <w:color w:val="0000FF"/>
            <w:sz w:val="24"/>
            <w:szCs w:val="24"/>
            <w:u w:val="single"/>
          </w:rPr>
          <w:t>https://doi.org/10.1016/j.phytol.2021.03.011</w:t>
        </w:r>
      </w:hyperlink>
      <w:r w:rsidRPr="002720BD">
        <w:rPr>
          <w:rFonts w:ascii="Times New Roman" w:eastAsia="Times New Roman" w:hAnsi="Times New Roman" w:cs="Times New Roman"/>
          <w:sz w:val="24"/>
          <w:szCs w:val="24"/>
        </w:rPr>
        <w:t xml:space="preserve"> </w:t>
      </w:r>
    </w:p>
    <w:p w14:paraId="6F25B4F2"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w:t>
      </w:r>
      <w:proofErr w:type="spellStart"/>
      <w:r w:rsidRPr="002720BD">
        <w:rPr>
          <w:rFonts w:ascii="Times New Roman" w:eastAsia="Times New Roman" w:hAnsi="Times New Roman" w:cs="Times New Roman"/>
          <w:sz w:val="24"/>
          <w:szCs w:val="24"/>
        </w:rPr>
        <w:t>Oladejobi</w:t>
      </w:r>
      <w:proofErr w:type="spellEnd"/>
      <w:r w:rsidRPr="002720BD">
        <w:rPr>
          <w:rFonts w:ascii="Times New Roman" w:eastAsia="Times New Roman" w:hAnsi="Times New Roman" w:cs="Times New Roman"/>
          <w:sz w:val="24"/>
          <w:szCs w:val="24"/>
        </w:rPr>
        <w:t xml:space="preserve">, F. F., Akpan, I. O., Achugasim, O., &amp; </w:t>
      </w:r>
      <w:proofErr w:type="spellStart"/>
      <w:r w:rsidRPr="002720BD">
        <w:rPr>
          <w:rFonts w:ascii="Times New Roman" w:eastAsia="Times New Roman" w:hAnsi="Times New Roman" w:cs="Times New Roman"/>
          <w:sz w:val="24"/>
          <w:szCs w:val="24"/>
        </w:rPr>
        <w:t>Ogali</w:t>
      </w:r>
      <w:proofErr w:type="spellEnd"/>
      <w:r w:rsidRPr="002720BD">
        <w:rPr>
          <w:rFonts w:ascii="Times New Roman" w:eastAsia="Times New Roman" w:hAnsi="Times New Roman" w:cs="Times New Roman"/>
          <w:sz w:val="24"/>
          <w:szCs w:val="24"/>
        </w:rPr>
        <w:t xml:space="preserve">, R. E. (2022). Gas chromatography–mass spectrometry characterization and antibacterial activity of stem-bark extracts of </w:t>
      </w:r>
      <w:proofErr w:type="spellStart"/>
      <w:r w:rsidRPr="002720BD">
        <w:rPr>
          <w:rFonts w:ascii="Times New Roman" w:eastAsia="Times New Roman" w:hAnsi="Times New Roman" w:cs="Times New Roman"/>
          <w:i/>
          <w:iCs/>
          <w:sz w:val="24"/>
          <w:szCs w:val="24"/>
        </w:rPr>
        <w:t>Dacryodes</w:t>
      </w:r>
      <w:proofErr w:type="spellEnd"/>
      <w:r w:rsidRPr="002720BD">
        <w:rPr>
          <w:rFonts w:ascii="Times New Roman" w:eastAsia="Times New Roman" w:hAnsi="Times New Roman" w:cs="Times New Roman"/>
          <w:i/>
          <w:iCs/>
          <w:sz w:val="24"/>
          <w:szCs w:val="24"/>
        </w:rPr>
        <w:t xml:space="preserve"> edulis</w:t>
      </w:r>
      <w:r w:rsidRPr="002720BD">
        <w:rPr>
          <w:rFonts w:ascii="Times New Roman" w:eastAsia="Times New Roman" w:hAnsi="Times New Roman" w:cs="Times New Roman"/>
          <w:sz w:val="24"/>
          <w:szCs w:val="24"/>
        </w:rPr>
        <w:t xml:space="preserve"> (African pear). </w:t>
      </w:r>
      <w:r w:rsidRPr="002720BD">
        <w:rPr>
          <w:rFonts w:ascii="Times New Roman" w:eastAsia="Times New Roman" w:hAnsi="Times New Roman" w:cs="Times New Roman"/>
          <w:i/>
          <w:iCs/>
          <w:sz w:val="24"/>
          <w:szCs w:val="24"/>
        </w:rPr>
        <w:t>Researchers Journal of Science and Technology, 2</w:t>
      </w:r>
      <w:r w:rsidRPr="002720BD">
        <w:rPr>
          <w:rFonts w:ascii="Times New Roman" w:eastAsia="Times New Roman" w:hAnsi="Times New Roman" w:cs="Times New Roman"/>
          <w:sz w:val="24"/>
          <w:szCs w:val="24"/>
        </w:rPr>
        <w:t xml:space="preserve">(1), 34–49. https://doi.org/10.83080/rejost.vol2no1.13 </w:t>
      </w:r>
    </w:p>
    <w:p w14:paraId="149B9C95"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lastRenderedPageBreak/>
        <w:t></w:t>
      </w:r>
      <w:r w:rsidRPr="002720BD">
        <w:rPr>
          <w:rFonts w:ascii="Times New Roman" w:eastAsia="Times New Roman" w:hAnsi="Times New Roman" w:cs="Times New Roman"/>
          <w:sz w:val="24"/>
          <w:szCs w:val="24"/>
        </w:rPr>
        <w:t xml:space="preserve">  Tapsell, L. C., Hemphill, I., </w:t>
      </w:r>
      <w:proofErr w:type="spellStart"/>
      <w:r w:rsidRPr="002720BD">
        <w:rPr>
          <w:rFonts w:ascii="Times New Roman" w:eastAsia="Times New Roman" w:hAnsi="Times New Roman" w:cs="Times New Roman"/>
          <w:sz w:val="24"/>
          <w:szCs w:val="24"/>
        </w:rPr>
        <w:t>Cobiac</w:t>
      </w:r>
      <w:proofErr w:type="spellEnd"/>
      <w:r w:rsidRPr="002720BD">
        <w:rPr>
          <w:rFonts w:ascii="Times New Roman" w:eastAsia="Times New Roman" w:hAnsi="Times New Roman" w:cs="Times New Roman"/>
          <w:sz w:val="24"/>
          <w:szCs w:val="24"/>
        </w:rPr>
        <w:t xml:space="preserve">, L., Sullivan, D. R., Fenech, M., Patch, C. S., </w:t>
      </w:r>
      <w:proofErr w:type="spellStart"/>
      <w:r w:rsidRPr="002720BD">
        <w:rPr>
          <w:rFonts w:ascii="Times New Roman" w:eastAsia="Times New Roman" w:hAnsi="Times New Roman" w:cs="Times New Roman"/>
          <w:sz w:val="24"/>
          <w:szCs w:val="24"/>
        </w:rPr>
        <w:t>Roodenrys</w:t>
      </w:r>
      <w:proofErr w:type="spellEnd"/>
      <w:r w:rsidRPr="002720BD">
        <w:rPr>
          <w:rFonts w:ascii="Times New Roman" w:eastAsia="Times New Roman" w:hAnsi="Times New Roman" w:cs="Times New Roman"/>
          <w:sz w:val="24"/>
          <w:szCs w:val="24"/>
        </w:rPr>
        <w:t xml:space="preserve">, S., Keogh, J. B., Clifton, P. M., Williams, P. G., Fazio, V. A., &amp; Inge, K. E. (2006). Health benefits of herbs and spices: The past, the present, the future. </w:t>
      </w:r>
      <w:r w:rsidRPr="002720BD">
        <w:rPr>
          <w:rFonts w:ascii="Times New Roman" w:eastAsia="Times New Roman" w:hAnsi="Times New Roman" w:cs="Times New Roman"/>
          <w:i/>
          <w:iCs/>
          <w:sz w:val="24"/>
          <w:szCs w:val="24"/>
        </w:rPr>
        <w:t>Medical Journal of Australia, 185</w:t>
      </w:r>
      <w:r w:rsidRPr="002720BD">
        <w:rPr>
          <w:rFonts w:ascii="Times New Roman" w:eastAsia="Times New Roman" w:hAnsi="Times New Roman" w:cs="Times New Roman"/>
          <w:sz w:val="24"/>
          <w:szCs w:val="24"/>
        </w:rPr>
        <w:t xml:space="preserve">(4 Suppl.), S4–S24. </w:t>
      </w:r>
      <w:hyperlink r:id="rId37" w:tgtFrame="_new" w:history="1">
        <w:r w:rsidRPr="002720BD">
          <w:rPr>
            <w:rFonts w:ascii="Times New Roman" w:eastAsia="Times New Roman" w:hAnsi="Times New Roman" w:cs="Times New Roman"/>
            <w:color w:val="0000FF"/>
            <w:sz w:val="24"/>
            <w:szCs w:val="24"/>
            <w:u w:val="single"/>
          </w:rPr>
          <w:t>https://doi.org/10.5694/j.1326-5377.2006.tb00548.x</w:t>
        </w:r>
      </w:hyperlink>
      <w:r w:rsidRPr="002720BD">
        <w:rPr>
          <w:rFonts w:ascii="Times New Roman" w:eastAsia="Times New Roman" w:hAnsi="Times New Roman" w:cs="Times New Roman"/>
          <w:sz w:val="24"/>
          <w:szCs w:val="24"/>
        </w:rPr>
        <w:t xml:space="preserve"> </w:t>
      </w:r>
    </w:p>
    <w:p w14:paraId="30D2AC90"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w:t>
      </w:r>
      <w:proofErr w:type="spellStart"/>
      <w:r w:rsidRPr="002720BD">
        <w:rPr>
          <w:rFonts w:ascii="Times New Roman" w:eastAsia="Times New Roman" w:hAnsi="Times New Roman" w:cs="Times New Roman"/>
          <w:sz w:val="24"/>
          <w:szCs w:val="24"/>
        </w:rPr>
        <w:t>Gobalakrishnan</w:t>
      </w:r>
      <w:proofErr w:type="spellEnd"/>
      <w:r w:rsidRPr="002720BD">
        <w:rPr>
          <w:rFonts w:ascii="Times New Roman" w:eastAsia="Times New Roman" w:hAnsi="Times New Roman" w:cs="Times New Roman"/>
          <w:sz w:val="24"/>
          <w:szCs w:val="24"/>
        </w:rPr>
        <w:t xml:space="preserve">, R., </w:t>
      </w:r>
      <w:proofErr w:type="spellStart"/>
      <w:r w:rsidRPr="002720BD">
        <w:rPr>
          <w:rFonts w:ascii="Times New Roman" w:eastAsia="Times New Roman" w:hAnsi="Times New Roman" w:cs="Times New Roman"/>
          <w:sz w:val="24"/>
          <w:szCs w:val="24"/>
        </w:rPr>
        <w:t>Kulandaivelu</w:t>
      </w:r>
      <w:proofErr w:type="spellEnd"/>
      <w:r w:rsidRPr="002720BD">
        <w:rPr>
          <w:rFonts w:ascii="Times New Roman" w:eastAsia="Times New Roman" w:hAnsi="Times New Roman" w:cs="Times New Roman"/>
          <w:sz w:val="24"/>
          <w:szCs w:val="24"/>
        </w:rPr>
        <w:t xml:space="preserve">, M., Bhuvaneswari, R., Kandavel, D., &amp; Kannan, L. (2013). Screening of wild plant species for antibacterial activity and phytochemical analysis of </w:t>
      </w:r>
      <w:proofErr w:type="spellStart"/>
      <w:r w:rsidRPr="002720BD">
        <w:rPr>
          <w:rFonts w:ascii="Times New Roman" w:eastAsia="Times New Roman" w:hAnsi="Times New Roman" w:cs="Times New Roman"/>
          <w:i/>
          <w:iCs/>
          <w:sz w:val="24"/>
          <w:szCs w:val="24"/>
        </w:rPr>
        <w:t>Tragia</w:t>
      </w:r>
      <w:proofErr w:type="spellEnd"/>
      <w:r w:rsidRPr="002720BD">
        <w:rPr>
          <w:rFonts w:ascii="Times New Roman" w:eastAsia="Times New Roman" w:hAnsi="Times New Roman" w:cs="Times New Roman"/>
          <w:i/>
          <w:iCs/>
          <w:sz w:val="24"/>
          <w:szCs w:val="24"/>
        </w:rPr>
        <w:t xml:space="preserve"> </w:t>
      </w:r>
      <w:proofErr w:type="spellStart"/>
      <w:r w:rsidRPr="002720BD">
        <w:rPr>
          <w:rFonts w:ascii="Times New Roman" w:eastAsia="Times New Roman" w:hAnsi="Times New Roman" w:cs="Times New Roman"/>
          <w:i/>
          <w:iCs/>
          <w:sz w:val="24"/>
          <w:szCs w:val="24"/>
        </w:rPr>
        <w:t>involucrata</w:t>
      </w:r>
      <w:proofErr w:type="spellEnd"/>
      <w:r w:rsidRPr="002720BD">
        <w:rPr>
          <w:rFonts w:ascii="Times New Roman" w:eastAsia="Times New Roman" w:hAnsi="Times New Roman" w:cs="Times New Roman"/>
          <w:sz w:val="24"/>
          <w:szCs w:val="24"/>
        </w:rPr>
        <w:t xml:space="preserve"> L. </w:t>
      </w:r>
      <w:r w:rsidRPr="002720BD">
        <w:rPr>
          <w:rFonts w:ascii="Times New Roman" w:eastAsia="Times New Roman" w:hAnsi="Times New Roman" w:cs="Times New Roman"/>
          <w:i/>
          <w:iCs/>
          <w:sz w:val="24"/>
          <w:szCs w:val="24"/>
        </w:rPr>
        <w:t>Journal of Pharmaceutical Analysis, 3</w:t>
      </w:r>
      <w:r w:rsidRPr="002720BD">
        <w:rPr>
          <w:rFonts w:ascii="Times New Roman" w:eastAsia="Times New Roman" w:hAnsi="Times New Roman" w:cs="Times New Roman"/>
          <w:sz w:val="24"/>
          <w:szCs w:val="24"/>
        </w:rPr>
        <w:t xml:space="preserve">(6), 460–465. </w:t>
      </w:r>
      <w:hyperlink r:id="rId38" w:tgtFrame="_new" w:history="1">
        <w:r w:rsidRPr="002720BD">
          <w:rPr>
            <w:rFonts w:ascii="Times New Roman" w:eastAsia="Times New Roman" w:hAnsi="Times New Roman" w:cs="Times New Roman"/>
            <w:color w:val="0000FF"/>
            <w:sz w:val="24"/>
            <w:szCs w:val="24"/>
            <w:u w:val="single"/>
          </w:rPr>
          <w:t>https://doi.org/10.1016/j.jpha.2013.07.001</w:t>
        </w:r>
      </w:hyperlink>
      <w:r w:rsidRPr="002720BD">
        <w:rPr>
          <w:rFonts w:ascii="Times New Roman" w:eastAsia="Times New Roman" w:hAnsi="Times New Roman" w:cs="Times New Roman"/>
          <w:sz w:val="24"/>
          <w:szCs w:val="24"/>
        </w:rPr>
        <w:t xml:space="preserve"> </w:t>
      </w:r>
    </w:p>
    <w:p w14:paraId="1D32DF24" w14:textId="651D9093"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Barbosa Filho, V. M., </w:t>
      </w:r>
      <w:proofErr w:type="spellStart"/>
      <w:r w:rsidRPr="002720BD">
        <w:rPr>
          <w:rFonts w:ascii="Times New Roman" w:eastAsia="Times New Roman" w:hAnsi="Times New Roman" w:cs="Times New Roman"/>
          <w:sz w:val="24"/>
          <w:szCs w:val="24"/>
        </w:rPr>
        <w:t>Waczuk</w:t>
      </w:r>
      <w:proofErr w:type="spellEnd"/>
      <w:r w:rsidRPr="002720BD">
        <w:rPr>
          <w:rFonts w:ascii="Times New Roman" w:eastAsia="Times New Roman" w:hAnsi="Times New Roman" w:cs="Times New Roman"/>
          <w:sz w:val="24"/>
          <w:szCs w:val="24"/>
        </w:rPr>
        <w:t xml:space="preserve">, E. P., Kamdem, J. P., </w:t>
      </w:r>
      <w:proofErr w:type="spellStart"/>
      <w:r w:rsidRPr="002720BD">
        <w:rPr>
          <w:rFonts w:ascii="Times New Roman" w:eastAsia="Times New Roman" w:hAnsi="Times New Roman" w:cs="Times New Roman"/>
          <w:sz w:val="24"/>
          <w:szCs w:val="24"/>
        </w:rPr>
        <w:t>Abolaji</w:t>
      </w:r>
      <w:proofErr w:type="spellEnd"/>
      <w:r w:rsidRPr="002720BD">
        <w:rPr>
          <w:rFonts w:ascii="Times New Roman" w:eastAsia="Times New Roman" w:hAnsi="Times New Roman" w:cs="Times New Roman"/>
          <w:sz w:val="24"/>
          <w:szCs w:val="24"/>
        </w:rPr>
        <w:t xml:space="preserve">, A. O., Lacerda, S. R., da Costa, J. G. M., de Menezes, I. R. A., </w:t>
      </w:r>
      <w:proofErr w:type="spellStart"/>
      <w:r w:rsidRPr="002720BD">
        <w:rPr>
          <w:rFonts w:ascii="Times New Roman" w:eastAsia="Times New Roman" w:hAnsi="Times New Roman" w:cs="Times New Roman"/>
          <w:sz w:val="24"/>
          <w:szCs w:val="24"/>
        </w:rPr>
        <w:t>Boligon</w:t>
      </w:r>
      <w:proofErr w:type="spellEnd"/>
      <w:r w:rsidRPr="002720BD">
        <w:rPr>
          <w:rFonts w:ascii="Times New Roman" w:eastAsia="Times New Roman" w:hAnsi="Times New Roman" w:cs="Times New Roman"/>
          <w:sz w:val="24"/>
          <w:szCs w:val="24"/>
        </w:rPr>
        <w:t xml:space="preserve">, A. A., Athayde, M. L., da Rocha, J. B. T., &amp; Posser, T. (2014). Phytochemical constituents, antioxidant activity, cytotoxicity and osmotic fragility effects of </w:t>
      </w:r>
      <w:proofErr w:type="spellStart"/>
      <w:r w:rsidRPr="002720BD">
        <w:rPr>
          <w:rFonts w:ascii="Times New Roman" w:eastAsia="Times New Roman" w:hAnsi="Times New Roman" w:cs="Times New Roman"/>
          <w:sz w:val="24"/>
          <w:szCs w:val="24"/>
        </w:rPr>
        <w:t>caju</w:t>
      </w:r>
      <w:proofErr w:type="spellEnd"/>
      <w:r w:rsidRPr="002720BD">
        <w:rPr>
          <w:rFonts w:ascii="Times New Roman" w:eastAsia="Times New Roman" w:hAnsi="Times New Roman" w:cs="Times New Roman"/>
          <w:sz w:val="24"/>
          <w:szCs w:val="24"/>
        </w:rPr>
        <w:t xml:space="preserve"> (</w:t>
      </w:r>
      <w:r w:rsidRPr="002720BD">
        <w:rPr>
          <w:rFonts w:ascii="Times New Roman" w:eastAsia="Times New Roman" w:hAnsi="Times New Roman" w:cs="Times New Roman"/>
          <w:i/>
          <w:iCs/>
          <w:sz w:val="24"/>
          <w:szCs w:val="24"/>
        </w:rPr>
        <w:t xml:space="preserve">Anacardium </w:t>
      </w:r>
      <w:proofErr w:type="spellStart"/>
      <w:r w:rsidRPr="002720BD">
        <w:rPr>
          <w:rFonts w:ascii="Times New Roman" w:eastAsia="Times New Roman" w:hAnsi="Times New Roman" w:cs="Times New Roman"/>
          <w:i/>
          <w:iCs/>
          <w:sz w:val="24"/>
          <w:szCs w:val="24"/>
        </w:rPr>
        <w:t>microcarpum</w:t>
      </w:r>
      <w:proofErr w:type="spellEnd"/>
      <w:r w:rsidRPr="002720BD">
        <w:rPr>
          <w:rFonts w:ascii="Times New Roman" w:eastAsia="Times New Roman" w:hAnsi="Times New Roman" w:cs="Times New Roman"/>
          <w:sz w:val="24"/>
          <w:szCs w:val="24"/>
        </w:rPr>
        <w:t xml:space="preserve">). </w:t>
      </w:r>
      <w:r w:rsidRPr="002720BD">
        <w:rPr>
          <w:rFonts w:ascii="Times New Roman" w:eastAsia="Times New Roman" w:hAnsi="Times New Roman" w:cs="Times New Roman"/>
          <w:i/>
          <w:iCs/>
          <w:sz w:val="24"/>
          <w:szCs w:val="24"/>
        </w:rPr>
        <w:t>Industrial Crops and Products, 55</w:t>
      </w:r>
      <w:r w:rsidRPr="002720BD">
        <w:rPr>
          <w:rFonts w:ascii="Times New Roman" w:eastAsia="Times New Roman" w:hAnsi="Times New Roman" w:cs="Times New Roman"/>
          <w:sz w:val="24"/>
          <w:szCs w:val="24"/>
        </w:rPr>
        <w:t xml:space="preserve">, 280–288. https://doi.org/10.1016/j.indcrop.2014.02.021 </w:t>
      </w:r>
    </w:p>
    <w:p w14:paraId="43A71EDA"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Poojary, M. M., </w:t>
      </w:r>
      <w:proofErr w:type="spellStart"/>
      <w:r w:rsidRPr="002720BD">
        <w:rPr>
          <w:rFonts w:ascii="Times New Roman" w:eastAsia="Times New Roman" w:hAnsi="Times New Roman" w:cs="Times New Roman"/>
          <w:sz w:val="24"/>
          <w:szCs w:val="24"/>
        </w:rPr>
        <w:t>Vishnumurthy</w:t>
      </w:r>
      <w:proofErr w:type="spellEnd"/>
      <w:r w:rsidRPr="002720BD">
        <w:rPr>
          <w:rFonts w:ascii="Times New Roman" w:eastAsia="Times New Roman" w:hAnsi="Times New Roman" w:cs="Times New Roman"/>
          <w:sz w:val="24"/>
          <w:szCs w:val="24"/>
        </w:rPr>
        <w:t xml:space="preserve">, K. A., &amp; Adhikari, A. V. (2015). Extraction, characterization and biological studies of phytochemicals from </w:t>
      </w:r>
      <w:proofErr w:type="spellStart"/>
      <w:r w:rsidRPr="002720BD">
        <w:rPr>
          <w:rFonts w:ascii="Times New Roman" w:eastAsia="Times New Roman" w:hAnsi="Times New Roman" w:cs="Times New Roman"/>
          <w:i/>
          <w:iCs/>
          <w:sz w:val="24"/>
          <w:szCs w:val="24"/>
        </w:rPr>
        <w:t>Mammea</w:t>
      </w:r>
      <w:proofErr w:type="spellEnd"/>
      <w:r w:rsidRPr="002720BD">
        <w:rPr>
          <w:rFonts w:ascii="Times New Roman" w:eastAsia="Times New Roman" w:hAnsi="Times New Roman" w:cs="Times New Roman"/>
          <w:i/>
          <w:iCs/>
          <w:sz w:val="24"/>
          <w:szCs w:val="24"/>
        </w:rPr>
        <w:t xml:space="preserve"> </w:t>
      </w:r>
      <w:proofErr w:type="spellStart"/>
      <w:r w:rsidRPr="002720BD">
        <w:rPr>
          <w:rFonts w:ascii="Times New Roman" w:eastAsia="Times New Roman" w:hAnsi="Times New Roman" w:cs="Times New Roman"/>
          <w:i/>
          <w:iCs/>
          <w:sz w:val="24"/>
          <w:szCs w:val="24"/>
        </w:rPr>
        <w:t>suriga</w:t>
      </w:r>
      <w:proofErr w:type="spellEnd"/>
      <w:r w:rsidRPr="002720BD">
        <w:rPr>
          <w:rFonts w:ascii="Times New Roman" w:eastAsia="Times New Roman" w:hAnsi="Times New Roman" w:cs="Times New Roman"/>
          <w:sz w:val="24"/>
          <w:szCs w:val="24"/>
        </w:rPr>
        <w:t xml:space="preserve">. </w:t>
      </w:r>
      <w:r w:rsidRPr="002720BD">
        <w:rPr>
          <w:rFonts w:ascii="Times New Roman" w:eastAsia="Times New Roman" w:hAnsi="Times New Roman" w:cs="Times New Roman"/>
          <w:i/>
          <w:iCs/>
          <w:sz w:val="24"/>
          <w:szCs w:val="24"/>
        </w:rPr>
        <w:t>Journal of Pharmaceutical Analysis, 5</w:t>
      </w:r>
      <w:r w:rsidRPr="002720BD">
        <w:rPr>
          <w:rFonts w:ascii="Times New Roman" w:eastAsia="Times New Roman" w:hAnsi="Times New Roman" w:cs="Times New Roman"/>
          <w:sz w:val="24"/>
          <w:szCs w:val="24"/>
        </w:rPr>
        <w:t xml:space="preserve">(3), 182–189. </w:t>
      </w:r>
      <w:hyperlink r:id="rId39" w:tgtFrame="_new" w:history="1">
        <w:r w:rsidRPr="002720BD">
          <w:rPr>
            <w:rFonts w:ascii="Times New Roman" w:eastAsia="Times New Roman" w:hAnsi="Times New Roman" w:cs="Times New Roman"/>
            <w:color w:val="0000FF"/>
            <w:sz w:val="24"/>
            <w:szCs w:val="24"/>
            <w:u w:val="single"/>
          </w:rPr>
          <w:t>https://doi.org/10.1016/j.jpha.2015.01.002</w:t>
        </w:r>
      </w:hyperlink>
      <w:r w:rsidRPr="002720BD">
        <w:rPr>
          <w:rFonts w:ascii="Times New Roman" w:eastAsia="Times New Roman" w:hAnsi="Times New Roman" w:cs="Times New Roman"/>
          <w:sz w:val="24"/>
          <w:szCs w:val="24"/>
        </w:rPr>
        <w:t xml:space="preserve"> </w:t>
      </w:r>
    </w:p>
    <w:p w14:paraId="7D576290"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Hadacek, F. (2002). Secondary metabolites as plant traits: Current assessment and future perspectives. </w:t>
      </w:r>
      <w:r w:rsidRPr="002720BD">
        <w:rPr>
          <w:rFonts w:ascii="Times New Roman" w:eastAsia="Times New Roman" w:hAnsi="Times New Roman" w:cs="Times New Roman"/>
          <w:i/>
          <w:iCs/>
          <w:sz w:val="24"/>
          <w:szCs w:val="24"/>
        </w:rPr>
        <w:t>Critical Reviews in Plant Sciences, 21</w:t>
      </w:r>
      <w:r w:rsidRPr="002720BD">
        <w:rPr>
          <w:rFonts w:ascii="Times New Roman" w:eastAsia="Times New Roman" w:hAnsi="Times New Roman" w:cs="Times New Roman"/>
          <w:sz w:val="24"/>
          <w:szCs w:val="24"/>
        </w:rPr>
        <w:t xml:space="preserve">(4), 273–322. https://doi.org/10.1080/0735-260291044269 </w:t>
      </w:r>
    </w:p>
    <w:p w14:paraId="1C6D388F"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Uniyal, S. K., Singh, K. N., Jamwal, P., &amp; Lal, B. (2006). Traditional use of medicinal plants among the tribal communities of Chhota Bhangal, Western Himalaya. </w:t>
      </w:r>
      <w:r w:rsidRPr="002720BD">
        <w:rPr>
          <w:rFonts w:ascii="Times New Roman" w:eastAsia="Times New Roman" w:hAnsi="Times New Roman" w:cs="Times New Roman"/>
          <w:i/>
          <w:iCs/>
          <w:sz w:val="24"/>
          <w:szCs w:val="24"/>
        </w:rPr>
        <w:t>Journal of Ethnobiology and Ethnomedicine, 2</w:t>
      </w:r>
      <w:r w:rsidRPr="002720BD">
        <w:rPr>
          <w:rFonts w:ascii="Times New Roman" w:eastAsia="Times New Roman" w:hAnsi="Times New Roman" w:cs="Times New Roman"/>
          <w:sz w:val="24"/>
          <w:szCs w:val="24"/>
        </w:rPr>
        <w:t xml:space="preserve">, Article 14. </w:t>
      </w:r>
      <w:hyperlink r:id="rId40" w:tgtFrame="_new" w:history="1">
        <w:r w:rsidRPr="002720BD">
          <w:rPr>
            <w:rFonts w:ascii="Times New Roman" w:eastAsia="Times New Roman" w:hAnsi="Times New Roman" w:cs="Times New Roman"/>
            <w:color w:val="0000FF"/>
            <w:sz w:val="24"/>
            <w:szCs w:val="24"/>
            <w:u w:val="single"/>
          </w:rPr>
          <w:t>https://doi.org/10.1186/1746-4269-2-14</w:t>
        </w:r>
      </w:hyperlink>
      <w:r w:rsidRPr="002720BD">
        <w:rPr>
          <w:rFonts w:ascii="Times New Roman" w:eastAsia="Times New Roman" w:hAnsi="Times New Roman" w:cs="Times New Roman"/>
          <w:sz w:val="24"/>
          <w:szCs w:val="24"/>
        </w:rPr>
        <w:t xml:space="preserve"> </w:t>
      </w:r>
    </w:p>
    <w:p w14:paraId="251F7E5F"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de Lima, L. F., de Oliveira, J. O., Carneiro, J. N. P., Lima, C. N. F., Coutinho, H. D. M., &amp; Morais-Braga, M. F. B. (2021). Ethnobotanical and antimicrobial activities of the </w:t>
      </w:r>
      <w:r w:rsidRPr="002720BD">
        <w:rPr>
          <w:rFonts w:ascii="Times New Roman" w:eastAsia="Times New Roman" w:hAnsi="Times New Roman" w:cs="Times New Roman"/>
          <w:i/>
          <w:iCs/>
          <w:sz w:val="24"/>
          <w:szCs w:val="24"/>
        </w:rPr>
        <w:t>Gossypium</w:t>
      </w:r>
      <w:r w:rsidRPr="002720BD">
        <w:rPr>
          <w:rFonts w:ascii="Times New Roman" w:eastAsia="Times New Roman" w:hAnsi="Times New Roman" w:cs="Times New Roman"/>
          <w:sz w:val="24"/>
          <w:szCs w:val="24"/>
        </w:rPr>
        <w:t xml:space="preserve"> (cotton) genus: A review. </w:t>
      </w:r>
      <w:r w:rsidRPr="002720BD">
        <w:rPr>
          <w:rFonts w:ascii="Times New Roman" w:eastAsia="Times New Roman" w:hAnsi="Times New Roman" w:cs="Times New Roman"/>
          <w:i/>
          <w:iCs/>
          <w:sz w:val="24"/>
          <w:szCs w:val="24"/>
        </w:rPr>
        <w:t>Journal of Ethnopharmacology, 279</w:t>
      </w:r>
      <w:r w:rsidRPr="002720BD">
        <w:rPr>
          <w:rFonts w:ascii="Times New Roman" w:eastAsia="Times New Roman" w:hAnsi="Times New Roman" w:cs="Times New Roman"/>
          <w:sz w:val="24"/>
          <w:szCs w:val="24"/>
        </w:rPr>
        <w:t xml:space="preserve">, Article 114363. </w:t>
      </w:r>
      <w:hyperlink r:id="rId41" w:tgtFrame="_new" w:history="1">
        <w:r w:rsidRPr="002720BD">
          <w:rPr>
            <w:rFonts w:ascii="Times New Roman" w:eastAsia="Times New Roman" w:hAnsi="Times New Roman" w:cs="Times New Roman"/>
            <w:color w:val="0000FF"/>
            <w:sz w:val="24"/>
            <w:szCs w:val="24"/>
            <w:u w:val="single"/>
          </w:rPr>
          <w:t>https://doi.org/10.1016/j.jep.2021.114363</w:t>
        </w:r>
      </w:hyperlink>
      <w:r w:rsidRPr="002720BD">
        <w:rPr>
          <w:rFonts w:ascii="Times New Roman" w:eastAsia="Times New Roman" w:hAnsi="Times New Roman" w:cs="Times New Roman"/>
          <w:sz w:val="24"/>
          <w:szCs w:val="24"/>
        </w:rPr>
        <w:t xml:space="preserve"> </w:t>
      </w:r>
    </w:p>
    <w:p w14:paraId="443FD3BC"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w:t>
      </w:r>
      <w:proofErr w:type="spellStart"/>
      <w:r w:rsidRPr="002720BD">
        <w:rPr>
          <w:rFonts w:ascii="Times New Roman" w:eastAsia="Times New Roman" w:hAnsi="Times New Roman" w:cs="Times New Roman"/>
          <w:sz w:val="24"/>
          <w:szCs w:val="24"/>
        </w:rPr>
        <w:t>Uwanta</w:t>
      </w:r>
      <w:proofErr w:type="spellEnd"/>
      <w:r w:rsidRPr="002720BD">
        <w:rPr>
          <w:rFonts w:ascii="Times New Roman" w:eastAsia="Times New Roman" w:hAnsi="Times New Roman" w:cs="Times New Roman"/>
          <w:sz w:val="24"/>
          <w:szCs w:val="24"/>
        </w:rPr>
        <w:t xml:space="preserve">, E. J., &amp; Akpan, I. O. (2024). Phytochemical screening and antimicrobial evaluation of ethanol extract of </w:t>
      </w:r>
      <w:r w:rsidRPr="002720BD">
        <w:rPr>
          <w:rFonts w:ascii="Times New Roman" w:eastAsia="Times New Roman" w:hAnsi="Times New Roman" w:cs="Times New Roman"/>
          <w:i/>
          <w:iCs/>
          <w:sz w:val="24"/>
          <w:szCs w:val="24"/>
        </w:rPr>
        <w:t xml:space="preserve">Cola </w:t>
      </w:r>
      <w:proofErr w:type="spellStart"/>
      <w:r w:rsidRPr="002720BD">
        <w:rPr>
          <w:rFonts w:ascii="Times New Roman" w:eastAsia="Times New Roman" w:hAnsi="Times New Roman" w:cs="Times New Roman"/>
          <w:i/>
          <w:iCs/>
          <w:sz w:val="24"/>
          <w:szCs w:val="24"/>
        </w:rPr>
        <w:t>lepidota</w:t>
      </w:r>
      <w:proofErr w:type="spellEnd"/>
      <w:r w:rsidRPr="002720BD">
        <w:rPr>
          <w:rFonts w:ascii="Times New Roman" w:eastAsia="Times New Roman" w:hAnsi="Times New Roman" w:cs="Times New Roman"/>
          <w:sz w:val="24"/>
          <w:szCs w:val="24"/>
        </w:rPr>
        <w:t xml:space="preserve"> seeds. </w:t>
      </w:r>
      <w:r w:rsidRPr="002720BD">
        <w:rPr>
          <w:rFonts w:ascii="Times New Roman" w:eastAsia="Times New Roman" w:hAnsi="Times New Roman" w:cs="Times New Roman"/>
          <w:i/>
          <w:iCs/>
          <w:sz w:val="24"/>
          <w:szCs w:val="24"/>
        </w:rPr>
        <w:t>Asian Journal of Research in Medicine and Medical Science, 6</w:t>
      </w:r>
      <w:r w:rsidRPr="002720BD">
        <w:rPr>
          <w:rFonts w:ascii="Times New Roman" w:eastAsia="Times New Roman" w:hAnsi="Times New Roman" w:cs="Times New Roman"/>
          <w:sz w:val="24"/>
          <w:szCs w:val="24"/>
        </w:rPr>
        <w:t xml:space="preserve">(1), 1–10. </w:t>
      </w:r>
      <w:hyperlink r:id="rId42" w:tgtFrame="_new" w:history="1">
        <w:r w:rsidRPr="002720BD">
          <w:rPr>
            <w:rFonts w:ascii="Times New Roman" w:eastAsia="Times New Roman" w:hAnsi="Times New Roman" w:cs="Times New Roman"/>
            <w:color w:val="0000FF"/>
            <w:sz w:val="24"/>
            <w:szCs w:val="24"/>
            <w:u w:val="single"/>
          </w:rPr>
          <w:t>https://jofmedical.com/index.php/AJRMMS/article/view/9</w:t>
        </w:r>
      </w:hyperlink>
      <w:r w:rsidRPr="002720BD">
        <w:rPr>
          <w:rFonts w:ascii="Times New Roman" w:eastAsia="Times New Roman" w:hAnsi="Times New Roman" w:cs="Times New Roman"/>
          <w:sz w:val="24"/>
          <w:szCs w:val="24"/>
        </w:rPr>
        <w:t xml:space="preserve"> </w:t>
      </w:r>
    </w:p>
    <w:p w14:paraId="5FAAA93D"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Wink, M. (1988). Plant breeding: Importance of plant secondary metabolites for protection against pathogens and herbivores. </w:t>
      </w:r>
      <w:r w:rsidRPr="002720BD">
        <w:rPr>
          <w:rFonts w:ascii="Times New Roman" w:eastAsia="Times New Roman" w:hAnsi="Times New Roman" w:cs="Times New Roman"/>
          <w:i/>
          <w:iCs/>
          <w:sz w:val="24"/>
          <w:szCs w:val="24"/>
        </w:rPr>
        <w:t>Theoretical and Applied Genetics, 75</w:t>
      </w:r>
      <w:r w:rsidRPr="002720BD">
        <w:rPr>
          <w:rFonts w:ascii="Times New Roman" w:eastAsia="Times New Roman" w:hAnsi="Times New Roman" w:cs="Times New Roman"/>
          <w:sz w:val="24"/>
          <w:szCs w:val="24"/>
        </w:rPr>
        <w:t xml:space="preserve">, 225–233. </w:t>
      </w:r>
      <w:hyperlink r:id="rId43" w:tgtFrame="_new" w:history="1">
        <w:r w:rsidRPr="002720BD">
          <w:rPr>
            <w:rFonts w:ascii="Times New Roman" w:eastAsia="Times New Roman" w:hAnsi="Times New Roman" w:cs="Times New Roman"/>
            <w:color w:val="0000FF"/>
            <w:sz w:val="24"/>
            <w:szCs w:val="24"/>
            <w:u w:val="single"/>
          </w:rPr>
          <w:t>https://doi.org/10.1007/BF00303957</w:t>
        </w:r>
      </w:hyperlink>
      <w:r w:rsidRPr="002720BD">
        <w:rPr>
          <w:rFonts w:ascii="Times New Roman" w:eastAsia="Times New Roman" w:hAnsi="Times New Roman" w:cs="Times New Roman"/>
          <w:sz w:val="24"/>
          <w:szCs w:val="24"/>
        </w:rPr>
        <w:t xml:space="preserve"> </w:t>
      </w:r>
    </w:p>
    <w:p w14:paraId="312B701D"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Taiwo, B. J., Akinkunmi, E. O., &amp; Omisore, N. O. (2013). Antimicrobial and </w:t>
      </w:r>
      <w:proofErr w:type="spellStart"/>
      <w:r w:rsidRPr="002720BD">
        <w:rPr>
          <w:rFonts w:ascii="Times New Roman" w:eastAsia="Times New Roman" w:hAnsi="Times New Roman" w:cs="Times New Roman"/>
          <w:sz w:val="24"/>
          <w:szCs w:val="24"/>
        </w:rPr>
        <w:t>antiplasmodial</w:t>
      </w:r>
      <w:proofErr w:type="spellEnd"/>
      <w:r w:rsidRPr="002720BD">
        <w:rPr>
          <w:rFonts w:ascii="Times New Roman" w:eastAsia="Times New Roman" w:hAnsi="Times New Roman" w:cs="Times New Roman"/>
          <w:sz w:val="24"/>
          <w:szCs w:val="24"/>
        </w:rPr>
        <w:t xml:space="preserve"> activities of a quaternary compound from </w:t>
      </w:r>
      <w:r w:rsidRPr="002720BD">
        <w:rPr>
          <w:rFonts w:ascii="Times New Roman" w:eastAsia="Times New Roman" w:hAnsi="Times New Roman" w:cs="Times New Roman"/>
          <w:i/>
          <w:iCs/>
          <w:sz w:val="24"/>
          <w:szCs w:val="24"/>
        </w:rPr>
        <w:t xml:space="preserve">Ritchiea </w:t>
      </w:r>
      <w:proofErr w:type="spellStart"/>
      <w:r w:rsidRPr="002720BD">
        <w:rPr>
          <w:rFonts w:ascii="Times New Roman" w:eastAsia="Times New Roman" w:hAnsi="Times New Roman" w:cs="Times New Roman"/>
          <w:i/>
          <w:iCs/>
          <w:sz w:val="24"/>
          <w:szCs w:val="24"/>
        </w:rPr>
        <w:t>capparoides</w:t>
      </w:r>
      <w:proofErr w:type="spellEnd"/>
      <w:r w:rsidRPr="002720BD">
        <w:rPr>
          <w:rFonts w:ascii="Times New Roman" w:eastAsia="Times New Roman" w:hAnsi="Times New Roman" w:cs="Times New Roman"/>
          <w:sz w:val="24"/>
          <w:szCs w:val="24"/>
        </w:rPr>
        <w:t xml:space="preserve"> var. </w:t>
      </w:r>
      <w:proofErr w:type="spellStart"/>
      <w:r w:rsidRPr="002720BD">
        <w:rPr>
          <w:rFonts w:ascii="Times New Roman" w:eastAsia="Times New Roman" w:hAnsi="Times New Roman" w:cs="Times New Roman"/>
          <w:i/>
          <w:iCs/>
          <w:sz w:val="24"/>
          <w:szCs w:val="24"/>
        </w:rPr>
        <w:t>longipedicellata</w:t>
      </w:r>
      <w:proofErr w:type="spellEnd"/>
      <w:r w:rsidRPr="002720BD">
        <w:rPr>
          <w:rFonts w:ascii="Times New Roman" w:eastAsia="Times New Roman" w:hAnsi="Times New Roman" w:cs="Times New Roman"/>
          <w:sz w:val="24"/>
          <w:szCs w:val="24"/>
        </w:rPr>
        <w:t xml:space="preserve">. </w:t>
      </w:r>
      <w:r w:rsidRPr="002720BD">
        <w:rPr>
          <w:rFonts w:ascii="Times New Roman" w:eastAsia="Times New Roman" w:hAnsi="Times New Roman" w:cs="Times New Roman"/>
          <w:i/>
          <w:iCs/>
          <w:sz w:val="24"/>
          <w:szCs w:val="24"/>
        </w:rPr>
        <w:t>African Journal of Traditional, Complementary and Alternative Medicines, 10</w:t>
      </w:r>
      <w:r w:rsidRPr="002720BD">
        <w:rPr>
          <w:rFonts w:ascii="Times New Roman" w:eastAsia="Times New Roman" w:hAnsi="Times New Roman" w:cs="Times New Roman"/>
          <w:sz w:val="24"/>
          <w:szCs w:val="24"/>
        </w:rPr>
        <w:t xml:space="preserve">(6), 528–531. https://doi.org/10.4314/ajtcam.v10i6.23 </w:t>
      </w:r>
    </w:p>
    <w:p w14:paraId="6A78D20A"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Brusotti, G., Cesari, I., </w:t>
      </w:r>
      <w:proofErr w:type="spellStart"/>
      <w:r w:rsidRPr="002720BD">
        <w:rPr>
          <w:rFonts w:ascii="Times New Roman" w:eastAsia="Times New Roman" w:hAnsi="Times New Roman" w:cs="Times New Roman"/>
          <w:sz w:val="24"/>
          <w:szCs w:val="24"/>
        </w:rPr>
        <w:t>Dentamaro</w:t>
      </w:r>
      <w:proofErr w:type="spellEnd"/>
      <w:r w:rsidRPr="002720BD">
        <w:rPr>
          <w:rFonts w:ascii="Times New Roman" w:eastAsia="Times New Roman" w:hAnsi="Times New Roman" w:cs="Times New Roman"/>
          <w:sz w:val="24"/>
          <w:szCs w:val="24"/>
        </w:rPr>
        <w:t xml:space="preserve">, A., </w:t>
      </w:r>
      <w:proofErr w:type="spellStart"/>
      <w:r w:rsidRPr="002720BD">
        <w:rPr>
          <w:rFonts w:ascii="Times New Roman" w:eastAsia="Times New Roman" w:hAnsi="Times New Roman" w:cs="Times New Roman"/>
          <w:sz w:val="24"/>
          <w:szCs w:val="24"/>
        </w:rPr>
        <w:t>Caccialanza</w:t>
      </w:r>
      <w:proofErr w:type="spellEnd"/>
      <w:r w:rsidRPr="002720BD">
        <w:rPr>
          <w:rFonts w:ascii="Times New Roman" w:eastAsia="Times New Roman" w:hAnsi="Times New Roman" w:cs="Times New Roman"/>
          <w:sz w:val="24"/>
          <w:szCs w:val="24"/>
        </w:rPr>
        <w:t xml:space="preserve">, G., &amp; </w:t>
      </w:r>
      <w:proofErr w:type="spellStart"/>
      <w:r w:rsidRPr="002720BD">
        <w:rPr>
          <w:rFonts w:ascii="Times New Roman" w:eastAsia="Times New Roman" w:hAnsi="Times New Roman" w:cs="Times New Roman"/>
          <w:sz w:val="24"/>
          <w:szCs w:val="24"/>
        </w:rPr>
        <w:t>Massolini</w:t>
      </w:r>
      <w:proofErr w:type="spellEnd"/>
      <w:r w:rsidRPr="002720BD">
        <w:rPr>
          <w:rFonts w:ascii="Times New Roman" w:eastAsia="Times New Roman" w:hAnsi="Times New Roman" w:cs="Times New Roman"/>
          <w:sz w:val="24"/>
          <w:szCs w:val="24"/>
        </w:rPr>
        <w:t xml:space="preserve">, G. (2014). Isolation and characterization of bioactive compounds from plant resources: The role of analysis in the ethnopharmacological approach. </w:t>
      </w:r>
      <w:r w:rsidRPr="002720BD">
        <w:rPr>
          <w:rFonts w:ascii="Times New Roman" w:eastAsia="Times New Roman" w:hAnsi="Times New Roman" w:cs="Times New Roman"/>
          <w:i/>
          <w:iCs/>
          <w:sz w:val="24"/>
          <w:szCs w:val="24"/>
        </w:rPr>
        <w:t>Journal of Pharmaceutical and Biomedical Analysis, 87</w:t>
      </w:r>
      <w:r w:rsidRPr="002720BD">
        <w:rPr>
          <w:rFonts w:ascii="Times New Roman" w:eastAsia="Times New Roman" w:hAnsi="Times New Roman" w:cs="Times New Roman"/>
          <w:sz w:val="24"/>
          <w:szCs w:val="24"/>
        </w:rPr>
        <w:t xml:space="preserve">, 218–228. </w:t>
      </w:r>
      <w:hyperlink r:id="rId44" w:tgtFrame="_new" w:history="1">
        <w:r w:rsidRPr="002720BD">
          <w:rPr>
            <w:rFonts w:ascii="Times New Roman" w:eastAsia="Times New Roman" w:hAnsi="Times New Roman" w:cs="Times New Roman"/>
            <w:color w:val="0000FF"/>
            <w:sz w:val="24"/>
            <w:szCs w:val="24"/>
            <w:u w:val="single"/>
          </w:rPr>
          <w:t>https://doi.org/10.1016/j.jpba.2013.03.007</w:t>
        </w:r>
      </w:hyperlink>
      <w:r w:rsidRPr="002720BD">
        <w:rPr>
          <w:rFonts w:ascii="Times New Roman" w:eastAsia="Times New Roman" w:hAnsi="Times New Roman" w:cs="Times New Roman"/>
          <w:sz w:val="24"/>
          <w:szCs w:val="24"/>
        </w:rPr>
        <w:t xml:space="preserve"> </w:t>
      </w:r>
    </w:p>
    <w:p w14:paraId="381EAABE"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World Health Organization. (2021). </w:t>
      </w:r>
      <w:r w:rsidRPr="002720BD">
        <w:rPr>
          <w:rFonts w:ascii="Times New Roman" w:eastAsia="Times New Roman" w:hAnsi="Times New Roman" w:cs="Times New Roman"/>
          <w:i/>
          <w:iCs/>
          <w:sz w:val="24"/>
          <w:szCs w:val="24"/>
        </w:rPr>
        <w:t>Global antimicrobial resistance and use surveillance system (GLASS) report 2021</w:t>
      </w:r>
      <w:r w:rsidRPr="002720BD">
        <w:rPr>
          <w:rFonts w:ascii="Times New Roman" w:eastAsia="Times New Roman" w:hAnsi="Times New Roman" w:cs="Times New Roman"/>
          <w:sz w:val="24"/>
          <w:szCs w:val="24"/>
        </w:rPr>
        <w:t xml:space="preserve">. World Health Organization. </w:t>
      </w:r>
      <w:hyperlink r:id="rId45" w:tgtFrame="_new" w:history="1">
        <w:r w:rsidRPr="002720BD">
          <w:rPr>
            <w:rFonts w:ascii="Times New Roman" w:eastAsia="Times New Roman" w:hAnsi="Times New Roman" w:cs="Times New Roman"/>
            <w:color w:val="0000FF"/>
            <w:sz w:val="24"/>
            <w:szCs w:val="24"/>
            <w:u w:val="single"/>
          </w:rPr>
          <w:t>https://www.who.int/publications/i/item/9789240027336</w:t>
        </w:r>
      </w:hyperlink>
      <w:r w:rsidRPr="002720BD">
        <w:rPr>
          <w:rFonts w:ascii="Times New Roman" w:eastAsia="Times New Roman" w:hAnsi="Times New Roman" w:cs="Times New Roman"/>
          <w:sz w:val="24"/>
          <w:szCs w:val="24"/>
        </w:rPr>
        <w:t xml:space="preserve"> </w:t>
      </w:r>
    </w:p>
    <w:p w14:paraId="0B88FE16"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United Nations. (2015). </w:t>
      </w:r>
      <w:r w:rsidRPr="002720BD">
        <w:rPr>
          <w:rFonts w:ascii="Times New Roman" w:eastAsia="Times New Roman" w:hAnsi="Times New Roman" w:cs="Times New Roman"/>
          <w:i/>
          <w:iCs/>
          <w:sz w:val="24"/>
          <w:szCs w:val="24"/>
        </w:rPr>
        <w:t>Transforming our world: The 2030 agenda for sustainable development</w:t>
      </w:r>
      <w:r w:rsidRPr="002720BD">
        <w:rPr>
          <w:rFonts w:ascii="Times New Roman" w:eastAsia="Times New Roman" w:hAnsi="Times New Roman" w:cs="Times New Roman"/>
          <w:sz w:val="24"/>
          <w:szCs w:val="24"/>
        </w:rPr>
        <w:t xml:space="preserve">. United Nations. </w:t>
      </w:r>
      <w:hyperlink r:id="rId46" w:tgtFrame="_new" w:history="1">
        <w:r w:rsidRPr="002720BD">
          <w:rPr>
            <w:rFonts w:ascii="Times New Roman" w:eastAsia="Times New Roman" w:hAnsi="Times New Roman" w:cs="Times New Roman"/>
            <w:color w:val="0000FF"/>
            <w:sz w:val="24"/>
            <w:szCs w:val="24"/>
            <w:u w:val="single"/>
          </w:rPr>
          <w:t>https://sdgs.un.org/2030agenda</w:t>
        </w:r>
      </w:hyperlink>
      <w:r w:rsidRPr="002720BD">
        <w:rPr>
          <w:rFonts w:ascii="Times New Roman" w:eastAsia="Times New Roman" w:hAnsi="Times New Roman" w:cs="Times New Roman"/>
          <w:sz w:val="24"/>
          <w:szCs w:val="24"/>
        </w:rPr>
        <w:t xml:space="preserve"> </w:t>
      </w:r>
    </w:p>
    <w:p w14:paraId="21885B46"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lastRenderedPageBreak/>
        <w:t></w:t>
      </w:r>
      <w:r w:rsidRPr="002720BD">
        <w:rPr>
          <w:rFonts w:ascii="Times New Roman" w:eastAsia="Times New Roman" w:hAnsi="Times New Roman" w:cs="Times New Roman"/>
          <w:sz w:val="24"/>
          <w:szCs w:val="24"/>
        </w:rPr>
        <w:t xml:space="preserve">  </w:t>
      </w:r>
      <w:proofErr w:type="spellStart"/>
      <w:r w:rsidRPr="002720BD">
        <w:rPr>
          <w:rFonts w:ascii="Times New Roman" w:eastAsia="Times New Roman" w:hAnsi="Times New Roman" w:cs="Times New Roman"/>
          <w:sz w:val="24"/>
          <w:szCs w:val="24"/>
        </w:rPr>
        <w:t>Anowi</w:t>
      </w:r>
      <w:proofErr w:type="spellEnd"/>
      <w:r w:rsidRPr="002720BD">
        <w:rPr>
          <w:rFonts w:ascii="Times New Roman" w:eastAsia="Times New Roman" w:hAnsi="Times New Roman" w:cs="Times New Roman"/>
          <w:sz w:val="24"/>
          <w:szCs w:val="24"/>
        </w:rPr>
        <w:t xml:space="preserve">, C. F., </w:t>
      </w:r>
      <w:proofErr w:type="spellStart"/>
      <w:r w:rsidRPr="002720BD">
        <w:rPr>
          <w:rFonts w:ascii="Times New Roman" w:eastAsia="Times New Roman" w:hAnsi="Times New Roman" w:cs="Times New Roman"/>
          <w:sz w:val="24"/>
          <w:szCs w:val="24"/>
        </w:rPr>
        <w:t>Utoh-Nedosa</w:t>
      </w:r>
      <w:proofErr w:type="spellEnd"/>
      <w:r w:rsidRPr="002720BD">
        <w:rPr>
          <w:rFonts w:ascii="Times New Roman" w:eastAsia="Times New Roman" w:hAnsi="Times New Roman" w:cs="Times New Roman"/>
          <w:sz w:val="24"/>
          <w:szCs w:val="24"/>
        </w:rPr>
        <w:t xml:space="preserve">, A. U., </w:t>
      </w:r>
      <w:proofErr w:type="spellStart"/>
      <w:r w:rsidRPr="002720BD">
        <w:rPr>
          <w:rFonts w:ascii="Times New Roman" w:eastAsia="Times New Roman" w:hAnsi="Times New Roman" w:cs="Times New Roman"/>
          <w:sz w:val="24"/>
          <w:szCs w:val="24"/>
        </w:rPr>
        <w:t>Onyegbule</w:t>
      </w:r>
      <w:proofErr w:type="spellEnd"/>
      <w:r w:rsidRPr="002720BD">
        <w:rPr>
          <w:rFonts w:ascii="Times New Roman" w:eastAsia="Times New Roman" w:hAnsi="Times New Roman" w:cs="Times New Roman"/>
          <w:sz w:val="24"/>
          <w:szCs w:val="24"/>
        </w:rPr>
        <w:t xml:space="preserve">, A. F., &amp; Eze, C. C. (2013). Preliminary phytochemical studies and evaluation of antimicrobial property of the methanol extract of the root bark of </w:t>
      </w:r>
      <w:r w:rsidRPr="002720BD">
        <w:rPr>
          <w:rFonts w:ascii="Times New Roman" w:eastAsia="Times New Roman" w:hAnsi="Times New Roman" w:cs="Times New Roman"/>
          <w:i/>
          <w:iCs/>
          <w:sz w:val="24"/>
          <w:szCs w:val="24"/>
        </w:rPr>
        <w:t xml:space="preserve">Ritchiea </w:t>
      </w:r>
      <w:proofErr w:type="spellStart"/>
      <w:r w:rsidRPr="002720BD">
        <w:rPr>
          <w:rFonts w:ascii="Times New Roman" w:eastAsia="Times New Roman" w:hAnsi="Times New Roman" w:cs="Times New Roman"/>
          <w:i/>
          <w:iCs/>
          <w:sz w:val="24"/>
          <w:szCs w:val="24"/>
        </w:rPr>
        <w:t>longipedicellata</w:t>
      </w:r>
      <w:proofErr w:type="spellEnd"/>
      <w:r w:rsidRPr="002720BD">
        <w:rPr>
          <w:rFonts w:ascii="Times New Roman" w:eastAsia="Times New Roman" w:hAnsi="Times New Roman" w:cs="Times New Roman"/>
          <w:sz w:val="24"/>
          <w:szCs w:val="24"/>
        </w:rPr>
        <w:t xml:space="preserve"> Gilg (Family </w:t>
      </w:r>
      <w:proofErr w:type="spellStart"/>
      <w:r w:rsidRPr="002720BD">
        <w:rPr>
          <w:rFonts w:ascii="Times New Roman" w:eastAsia="Times New Roman" w:hAnsi="Times New Roman" w:cs="Times New Roman"/>
          <w:sz w:val="24"/>
          <w:szCs w:val="24"/>
        </w:rPr>
        <w:t>Capparidaceae</w:t>
      </w:r>
      <w:proofErr w:type="spellEnd"/>
      <w:r w:rsidRPr="002720BD">
        <w:rPr>
          <w:rFonts w:ascii="Times New Roman" w:eastAsia="Times New Roman" w:hAnsi="Times New Roman" w:cs="Times New Roman"/>
          <w:sz w:val="24"/>
          <w:szCs w:val="24"/>
        </w:rPr>
        <w:t xml:space="preserve">). </w:t>
      </w:r>
      <w:r w:rsidRPr="002720BD">
        <w:rPr>
          <w:rFonts w:ascii="Times New Roman" w:eastAsia="Times New Roman" w:hAnsi="Times New Roman" w:cs="Times New Roman"/>
          <w:i/>
          <w:iCs/>
          <w:sz w:val="24"/>
          <w:szCs w:val="24"/>
        </w:rPr>
        <w:t>Journal of Pharmacognosy and Phytochemistry, 1</w:t>
      </w:r>
      <w:r w:rsidRPr="002720BD">
        <w:rPr>
          <w:rFonts w:ascii="Times New Roman" w:eastAsia="Times New Roman" w:hAnsi="Times New Roman" w:cs="Times New Roman"/>
          <w:sz w:val="24"/>
          <w:szCs w:val="24"/>
        </w:rPr>
        <w:t xml:space="preserve">(6), 6–13. </w:t>
      </w:r>
      <w:hyperlink r:id="rId47" w:tgtFrame="_new" w:history="1">
        <w:r w:rsidRPr="002720BD">
          <w:rPr>
            <w:rFonts w:ascii="Times New Roman" w:eastAsia="Times New Roman" w:hAnsi="Times New Roman" w:cs="Times New Roman"/>
            <w:color w:val="0000FF"/>
            <w:sz w:val="24"/>
            <w:szCs w:val="24"/>
            <w:u w:val="single"/>
          </w:rPr>
          <w:t>https://www.phytojournal.com/archives/2013.v1.i6.60/preliminary-phytochemical-studies-and-evaluation-of-antimicrobial-property-of-the-methanol-extract-of-the-roobark-of-ritchiea-longipedicellata-gilg-family-capparidacaea</w:t>
        </w:r>
      </w:hyperlink>
      <w:r w:rsidRPr="002720BD">
        <w:rPr>
          <w:rFonts w:ascii="Times New Roman" w:eastAsia="Times New Roman" w:hAnsi="Times New Roman" w:cs="Times New Roman"/>
          <w:sz w:val="24"/>
          <w:szCs w:val="24"/>
        </w:rPr>
        <w:t xml:space="preserve"> </w:t>
      </w:r>
    </w:p>
    <w:p w14:paraId="072258A3"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Zablotowicz, R. M., Hoagland, R. E., &amp; Wagner, S. C. (1996). Effect of saponins on the growth and activity of rhizosphere bacteria. In G. R. Waller &amp; K. Yamasaki (Eds.), </w:t>
      </w:r>
      <w:r w:rsidRPr="002720BD">
        <w:rPr>
          <w:rFonts w:ascii="Times New Roman" w:eastAsia="Times New Roman" w:hAnsi="Times New Roman" w:cs="Times New Roman"/>
          <w:i/>
          <w:iCs/>
          <w:sz w:val="24"/>
          <w:szCs w:val="24"/>
        </w:rPr>
        <w:t>Saponins used in food and agriculture</w:t>
      </w:r>
      <w:r w:rsidRPr="002720BD">
        <w:rPr>
          <w:rFonts w:ascii="Times New Roman" w:eastAsia="Times New Roman" w:hAnsi="Times New Roman" w:cs="Times New Roman"/>
          <w:sz w:val="24"/>
          <w:szCs w:val="24"/>
        </w:rPr>
        <w:t xml:space="preserve"> (Advances in Experimental Medicine and Biology, Vol. 405, pp. 83–95). Springer. https://doi.org/10.1007/978-1-4613-0413-5_8 </w:t>
      </w:r>
    </w:p>
    <w:p w14:paraId="4BAF0E46"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García Díaz, J., </w:t>
      </w:r>
      <w:proofErr w:type="spellStart"/>
      <w:r w:rsidRPr="002720BD">
        <w:rPr>
          <w:rFonts w:ascii="Times New Roman" w:eastAsia="Times New Roman" w:hAnsi="Times New Roman" w:cs="Times New Roman"/>
          <w:sz w:val="24"/>
          <w:szCs w:val="24"/>
        </w:rPr>
        <w:t>Tuenter</w:t>
      </w:r>
      <w:proofErr w:type="spellEnd"/>
      <w:r w:rsidRPr="002720BD">
        <w:rPr>
          <w:rFonts w:ascii="Times New Roman" w:eastAsia="Times New Roman" w:hAnsi="Times New Roman" w:cs="Times New Roman"/>
          <w:sz w:val="24"/>
          <w:szCs w:val="24"/>
        </w:rPr>
        <w:t xml:space="preserve">, E., Escalona Arranz, J. C., </w:t>
      </w:r>
      <w:proofErr w:type="spellStart"/>
      <w:r w:rsidRPr="002720BD">
        <w:rPr>
          <w:rFonts w:ascii="Times New Roman" w:eastAsia="Times New Roman" w:hAnsi="Times New Roman" w:cs="Times New Roman"/>
          <w:sz w:val="24"/>
          <w:szCs w:val="24"/>
        </w:rPr>
        <w:t>Llauradó</w:t>
      </w:r>
      <w:proofErr w:type="spellEnd"/>
      <w:r w:rsidRPr="002720BD">
        <w:rPr>
          <w:rFonts w:ascii="Times New Roman" w:eastAsia="Times New Roman" w:hAnsi="Times New Roman" w:cs="Times New Roman"/>
          <w:sz w:val="24"/>
          <w:szCs w:val="24"/>
        </w:rPr>
        <w:t xml:space="preserve"> Maury, G., Cos, P., &amp; Pieters, L. (2019). Antimicrobial activity of leaf extracts and isolated constituents of </w:t>
      </w:r>
      <w:r w:rsidRPr="002720BD">
        <w:rPr>
          <w:rFonts w:ascii="Times New Roman" w:eastAsia="Times New Roman" w:hAnsi="Times New Roman" w:cs="Times New Roman"/>
          <w:i/>
          <w:iCs/>
          <w:sz w:val="24"/>
          <w:szCs w:val="24"/>
        </w:rPr>
        <w:t>Croton linearis</w:t>
      </w:r>
      <w:r w:rsidRPr="002720BD">
        <w:rPr>
          <w:rFonts w:ascii="Times New Roman" w:eastAsia="Times New Roman" w:hAnsi="Times New Roman" w:cs="Times New Roman"/>
          <w:sz w:val="24"/>
          <w:szCs w:val="24"/>
        </w:rPr>
        <w:t xml:space="preserve">. </w:t>
      </w:r>
      <w:r w:rsidRPr="002720BD">
        <w:rPr>
          <w:rFonts w:ascii="Times New Roman" w:eastAsia="Times New Roman" w:hAnsi="Times New Roman" w:cs="Times New Roman"/>
          <w:i/>
          <w:iCs/>
          <w:sz w:val="24"/>
          <w:szCs w:val="24"/>
        </w:rPr>
        <w:t>Journal of Ethnopharmacology, 236</w:t>
      </w:r>
      <w:r w:rsidRPr="002720BD">
        <w:rPr>
          <w:rFonts w:ascii="Times New Roman" w:eastAsia="Times New Roman" w:hAnsi="Times New Roman" w:cs="Times New Roman"/>
          <w:sz w:val="24"/>
          <w:szCs w:val="24"/>
        </w:rPr>
        <w:t xml:space="preserve">, 250–257. </w:t>
      </w:r>
      <w:hyperlink r:id="rId48" w:tgtFrame="_new" w:history="1">
        <w:r w:rsidRPr="002720BD">
          <w:rPr>
            <w:rFonts w:ascii="Times New Roman" w:eastAsia="Times New Roman" w:hAnsi="Times New Roman" w:cs="Times New Roman"/>
            <w:color w:val="0000FF"/>
            <w:sz w:val="24"/>
            <w:szCs w:val="24"/>
            <w:u w:val="single"/>
          </w:rPr>
          <w:t>https://doi.org/10.1016/j.jep.2019.03.007</w:t>
        </w:r>
      </w:hyperlink>
      <w:r w:rsidRPr="002720BD">
        <w:rPr>
          <w:rFonts w:ascii="Times New Roman" w:eastAsia="Times New Roman" w:hAnsi="Times New Roman" w:cs="Times New Roman"/>
          <w:sz w:val="24"/>
          <w:szCs w:val="24"/>
        </w:rPr>
        <w:t xml:space="preserve"> </w:t>
      </w:r>
    </w:p>
    <w:p w14:paraId="15C381F4"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Taylor, P. W., Hamilton-Miller, J. M. T., &amp; Stapleton, P. D. (2005). Antimicrobial properties of green tea catechins. </w:t>
      </w:r>
      <w:r w:rsidRPr="002720BD">
        <w:rPr>
          <w:rFonts w:ascii="Times New Roman" w:eastAsia="Times New Roman" w:hAnsi="Times New Roman" w:cs="Times New Roman"/>
          <w:i/>
          <w:iCs/>
          <w:sz w:val="24"/>
          <w:szCs w:val="24"/>
        </w:rPr>
        <w:t>Food Science and Technology Bulletin: Functional Foods, 2</w:t>
      </w:r>
      <w:r w:rsidRPr="002720BD">
        <w:rPr>
          <w:rFonts w:ascii="Times New Roman" w:eastAsia="Times New Roman" w:hAnsi="Times New Roman" w:cs="Times New Roman"/>
          <w:sz w:val="24"/>
          <w:szCs w:val="24"/>
        </w:rPr>
        <w:t xml:space="preserve">(7), 71–81. </w:t>
      </w:r>
      <w:hyperlink r:id="rId49" w:tgtFrame="_new" w:history="1">
        <w:r w:rsidRPr="002720BD">
          <w:rPr>
            <w:rFonts w:ascii="Times New Roman" w:eastAsia="Times New Roman" w:hAnsi="Times New Roman" w:cs="Times New Roman"/>
            <w:color w:val="0000FF"/>
            <w:sz w:val="24"/>
            <w:szCs w:val="24"/>
            <w:u w:val="single"/>
          </w:rPr>
          <w:t>https://doi.org/10.1616/1476-2137.14184</w:t>
        </w:r>
      </w:hyperlink>
      <w:r w:rsidRPr="002720BD">
        <w:rPr>
          <w:rFonts w:ascii="Times New Roman" w:eastAsia="Times New Roman" w:hAnsi="Times New Roman" w:cs="Times New Roman"/>
          <w:sz w:val="24"/>
          <w:szCs w:val="24"/>
        </w:rPr>
        <w:t xml:space="preserve"> </w:t>
      </w:r>
    </w:p>
    <w:p w14:paraId="71DD9286" w14:textId="085D1E0C" w:rsidR="00950B51" w:rsidRDefault="002720BD" w:rsidP="002720BD">
      <w:pPr>
        <w:spacing w:before="100" w:beforeAutospacing="1" w:after="100" w:afterAutospacing="1" w:line="240" w:lineRule="auto"/>
        <w:jc w:val="both"/>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Tillett, D., &amp; Neilan, B. A. (2000). </w:t>
      </w:r>
      <w:proofErr w:type="spellStart"/>
      <w:r w:rsidRPr="002720BD">
        <w:rPr>
          <w:rFonts w:ascii="Times New Roman" w:eastAsia="Times New Roman" w:hAnsi="Times New Roman" w:cs="Times New Roman"/>
          <w:sz w:val="24"/>
          <w:szCs w:val="24"/>
        </w:rPr>
        <w:t>Xanthogenate</w:t>
      </w:r>
      <w:proofErr w:type="spellEnd"/>
      <w:r w:rsidRPr="002720BD">
        <w:rPr>
          <w:rFonts w:ascii="Times New Roman" w:eastAsia="Times New Roman" w:hAnsi="Times New Roman" w:cs="Times New Roman"/>
          <w:sz w:val="24"/>
          <w:szCs w:val="24"/>
        </w:rPr>
        <w:t xml:space="preserve"> nucleic acid isolation from cultured and environmental cyanobacteria. </w:t>
      </w:r>
      <w:r w:rsidRPr="002720BD">
        <w:rPr>
          <w:rFonts w:ascii="Times New Roman" w:eastAsia="Times New Roman" w:hAnsi="Times New Roman" w:cs="Times New Roman"/>
          <w:i/>
          <w:iCs/>
          <w:sz w:val="24"/>
          <w:szCs w:val="24"/>
        </w:rPr>
        <w:t>Journal of Phycology, 36</w:t>
      </w:r>
      <w:r w:rsidRPr="002720BD">
        <w:rPr>
          <w:rFonts w:ascii="Times New Roman" w:eastAsia="Times New Roman" w:hAnsi="Times New Roman" w:cs="Times New Roman"/>
          <w:sz w:val="24"/>
          <w:szCs w:val="24"/>
        </w:rPr>
        <w:t xml:space="preserve">(1), 251–258. </w:t>
      </w:r>
      <w:hyperlink r:id="rId50" w:tgtFrame="_new" w:history="1">
        <w:r w:rsidRPr="002720BD">
          <w:rPr>
            <w:rFonts w:ascii="Times New Roman" w:eastAsia="Times New Roman" w:hAnsi="Times New Roman" w:cs="Times New Roman"/>
            <w:color w:val="0000FF"/>
            <w:sz w:val="24"/>
            <w:szCs w:val="24"/>
            <w:u w:val="single"/>
          </w:rPr>
          <w:t>https://doi.org/10.1046/j.1529-8817.2000.99079.x</w:t>
        </w:r>
      </w:hyperlink>
    </w:p>
    <w:p w14:paraId="5E462124"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Espinoza, C., Viniegra-González, G., Loera, O., Heredia, G., &amp; Trigos, Á. (2008). Antibacterial activity against plant pathogens by </w:t>
      </w:r>
      <w:proofErr w:type="spellStart"/>
      <w:r w:rsidRPr="002720BD">
        <w:rPr>
          <w:rFonts w:ascii="Times New Roman" w:eastAsia="Times New Roman" w:hAnsi="Times New Roman" w:cs="Times New Roman"/>
          <w:sz w:val="24"/>
          <w:szCs w:val="24"/>
        </w:rPr>
        <w:t>cruded</w:t>
      </w:r>
      <w:proofErr w:type="spellEnd"/>
      <w:r w:rsidRPr="002720BD">
        <w:rPr>
          <w:rFonts w:ascii="Times New Roman" w:eastAsia="Times New Roman" w:hAnsi="Times New Roman" w:cs="Times New Roman"/>
          <w:sz w:val="24"/>
          <w:szCs w:val="24"/>
        </w:rPr>
        <w:t xml:space="preserve"> extracts and compounds from </w:t>
      </w:r>
      <w:proofErr w:type="spellStart"/>
      <w:r w:rsidRPr="002720BD">
        <w:rPr>
          <w:rFonts w:ascii="Times New Roman" w:eastAsia="Times New Roman" w:hAnsi="Times New Roman" w:cs="Times New Roman"/>
          <w:i/>
          <w:iCs/>
          <w:sz w:val="24"/>
          <w:szCs w:val="24"/>
        </w:rPr>
        <w:t>Idriella</w:t>
      </w:r>
      <w:proofErr w:type="spellEnd"/>
      <w:r w:rsidRPr="002720BD">
        <w:rPr>
          <w:rFonts w:ascii="Times New Roman" w:eastAsia="Times New Roman" w:hAnsi="Times New Roman" w:cs="Times New Roman"/>
          <w:sz w:val="24"/>
          <w:szCs w:val="24"/>
        </w:rPr>
        <w:t xml:space="preserve"> sp. </w:t>
      </w:r>
      <w:r w:rsidRPr="002720BD">
        <w:rPr>
          <w:rFonts w:ascii="Times New Roman" w:eastAsia="Times New Roman" w:hAnsi="Times New Roman" w:cs="Times New Roman"/>
          <w:i/>
          <w:iCs/>
          <w:sz w:val="24"/>
          <w:szCs w:val="24"/>
        </w:rPr>
        <w:t xml:space="preserve">Revista Mexicana de </w:t>
      </w:r>
      <w:proofErr w:type="spellStart"/>
      <w:r w:rsidRPr="002720BD">
        <w:rPr>
          <w:rFonts w:ascii="Times New Roman" w:eastAsia="Times New Roman" w:hAnsi="Times New Roman" w:cs="Times New Roman"/>
          <w:i/>
          <w:iCs/>
          <w:sz w:val="24"/>
          <w:szCs w:val="24"/>
        </w:rPr>
        <w:t>Micología</w:t>
      </w:r>
      <w:proofErr w:type="spellEnd"/>
      <w:r w:rsidRPr="002720BD">
        <w:rPr>
          <w:rFonts w:ascii="Times New Roman" w:eastAsia="Times New Roman" w:hAnsi="Times New Roman" w:cs="Times New Roman"/>
          <w:i/>
          <w:iCs/>
          <w:sz w:val="24"/>
          <w:szCs w:val="24"/>
        </w:rPr>
        <w:t>, 26</w:t>
      </w:r>
      <w:r w:rsidRPr="002720BD">
        <w:rPr>
          <w:rFonts w:ascii="Times New Roman" w:eastAsia="Times New Roman" w:hAnsi="Times New Roman" w:cs="Times New Roman"/>
          <w:sz w:val="24"/>
          <w:szCs w:val="24"/>
        </w:rPr>
        <w:t xml:space="preserve">, 9–15. https://www.scielo.org.mx/scielo.php?script=sci_arttext&amp;pid=S0187-31802008000100002&amp;lng=es&amp;tlng=en </w:t>
      </w:r>
    </w:p>
    <w:p w14:paraId="43725A6A"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Abdulmalik, O., Safo, M. K., Chen, Q., Yang, J., Brugnara, C., Ohene-Frempong, K., Abraham, D. J., &amp; Asakura, T. (2005). 5-Hydroxymethyl-2-furfural modifies intracellular sickle </w:t>
      </w:r>
      <w:proofErr w:type="spellStart"/>
      <w:r w:rsidRPr="002720BD">
        <w:rPr>
          <w:rFonts w:ascii="Times New Roman" w:eastAsia="Times New Roman" w:hAnsi="Times New Roman" w:cs="Times New Roman"/>
          <w:sz w:val="24"/>
          <w:szCs w:val="24"/>
        </w:rPr>
        <w:t>haemoglobin</w:t>
      </w:r>
      <w:proofErr w:type="spellEnd"/>
      <w:r w:rsidRPr="002720BD">
        <w:rPr>
          <w:rFonts w:ascii="Times New Roman" w:eastAsia="Times New Roman" w:hAnsi="Times New Roman" w:cs="Times New Roman"/>
          <w:sz w:val="24"/>
          <w:szCs w:val="24"/>
        </w:rPr>
        <w:t xml:space="preserve"> and inhibits sickling of red blood cells. </w:t>
      </w:r>
      <w:r w:rsidRPr="002720BD">
        <w:rPr>
          <w:rFonts w:ascii="Times New Roman" w:eastAsia="Times New Roman" w:hAnsi="Times New Roman" w:cs="Times New Roman"/>
          <w:i/>
          <w:iCs/>
          <w:sz w:val="24"/>
          <w:szCs w:val="24"/>
        </w:rPr>
        <w:t xml:space="preserve">British Journal of </w:t>
      </w:r>
      <w:proofErr w:type="spellStart"/>
      <w:r w:rsidRPr="002720BD">
        <w:rPr>
          <w:rFonts w:ascii="Times New Roman" w:eastAsia="Times New Roman" w:hAnsi="Times New Roman" w:cs="Times New Roman"/>
          <w:i/>
          <w:iCs/>
          <w:sz w:val="24"/>
          <w:szCs w:val="24"/>
        </w:rPr>
        <w:t>Haematology</w:t>
      </w:r>
      <w:proofErr w:type="spellEnd"/>
      <w:r w:rsidRPr="002720BD">
        <w:rPr>
          <w:rFonts w:ascii="Times New Roman" w:eastAsia="Times New Roman" w:hAnsi="Times New Roman" w:cs="Times New Roman"/>
          <w:i/>
          <w:iCs/>
          <w:sz w:val="24"/>
          <w:szCs w:val="24"/>
        </w:rPr>
        <w:t>, 128</w:t>
      </w:r>
      <w:r w:rsidRPr="002720BD">
        <w:rPr>
          <w:rFonts w:ascii="Times New Roman" w:eastAsia="Times New Roman" w:hAnsi="Times New Roman" w:cs="Times New Roman"/>
          <w:sz w:val="24"/>
          <w:szCs w:val="24"/>
        </w:rPr>
        <w:t xml:space="preserve">(4), 552–561. </w:t>
      </w:r>
      <w:hyperlink r:id="rId51" w:tgtFrame="_new" w:history="1">
        <w:r w:rsidRPr="002720BD">
          <w:rPr>
            <w:rFonts w:ascii="Times New Roman" w:eastAsia="Times New Roman" w:hAnsi="Times New Roman" w:cs="Times New Roman"/>
            <w:color w:val="0000FF"/>
            <w:sz w:val="24"/>
            <w:szCs w:val="24"/>
            <w:u w:val="single"/>
          </w:rPr>
          <w:t>https://doi.org/10.1111/j.1365-2141.2004.05326.x</w:t>
        </w:r>
      </w:hyperlink>
      <w:r w:rsidRPr="002720BD">
        <w:rPr>
          <w:rFonts w:ascii="Times New Roman" w:eastAsia="Times New Roman" w:hAnsi="Times New Roman" w:cs="Times New Roman"/>
          <w:sz w:val="24"/>
          <w:szCs w:val="24"/>
        </w:rPr>
        <w:t xml:space="preserve"> </w:t>
      </w:r>
    </w:p>
    <w:p w14:paraId="15036369" w14:textId="0CCB6592"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Jadhav, V., </w:t>
      </w:r>
      <w:proofErr w:type="spellStart"/>
      <w:r w:rsidRPr="002720BD">
        <w:rPr>
          <w:rFonts w:ascii="Times New Roman" w:eastAsia="Times New Roman" w:hAnsi="Times New Roman" w:cs="Times New Roman"/>
          <w:sz w:val="24"/>
          <w:szCs w:val="24"/>
        </w:rPr>
        <w:t>Kalase</w:t>
      </w:r>
      <w:proofErr w:type="spellEnd"/>
      <w:r w:rsidRPr="002720BD">
        <w:rPr>
          <w:rFonts w:ascii="Times New Roman" w:eastAsia="Times New Roman" w:hAnsi="Times New Roman" w:cs="Times New Roman"/>
          <w:sz w:val="24"/>
          <w:szCs w:val="24"/>
        </w:rPr>
        <w:t xml:space="preserve">, V., &amp; Patil, P. (2014). GC–MS analysis of bioactive compounds in methanolic extract of </w:t>
      </w:r>
      <w:proofErr w:type="spellStart"/>
      <w:r w:rsidRPr="002720BD">
        <w:rPr>
          <w:rFonts w:ascii="Times New Roman" w:eastAsia="Times New Roman" w:hAnsi="Times New Roman" w:cs="Times New Roman"/>
          <w:i/>
          <w:iCs/>
          <w:sz w:val="24"/>
          <w:szCs w:val="24"/>
        </w:rPr>
        <w:t>Holigarna</w:t>
      </w:r>
      <w:proofErr w:type="spellEnd"/>
      <w:r w:rsidRPr="002720BD">
        <w:rPr>
          <w:rFonts w:ascii="Times New Roman" w:eastAsia="Times New Roman" w:hAnsi="Times New Roman" w:cs="Times New Roman"/>
          <w:i/>
          <w:iCs/>
          <w:sz w:val="24"/>
          <w:szCs w:val="24"/>
        </w:rPr>
        <w:t xml:space="preserve"> </w:t>
      </w:r>
      <w:proofErr w:type="spellStart"/>
      <w:r w:rsidRPr="002720BD">
        <w:rPr>
          <w:rFonts w:ascii="Times New Roman" w:eastAsia="Times New Roman" w:hAnsi="Times New Roman" w:cs="Times New Roman"/>
          <w:i/>
          <w:iCs/>
          <w:sz w:val="24"/>
          <w:szCs w:val="24"/>
        </w:rPr>
        <w:t>grahamii</w:t>
      </w:r>
      <w:proofErr w:type="spellEnd"/>
      <w:r w:rsidRPr="002720BD">
        <w:rPr>
          <w:rFonts w:ascii="Times New Roman" w:eastAsia="Times New Roman" w:hAnsi="Times New Roman" w:cs="Times New Roman"/>
          <w:sz w:val="24"/>
          <w:szCs w:val="24"/>
        </w:rPr>
        <w:t xml:space="preserve"> (Wight) Kurz. </w:t>
      </w:r>
      <w:r w:rsidRPr="002720BD">
        <w:rPr>
          <w:rFonts w:ascii="Times New Roman" w:eastAsia="Times New Roman" w:hAnsi="Times New Roman" w:cs="Times New Roman"/>
          <w:i/>
          <w:iCs/>
          <w:sz w:val="24"/>
          <w:szCs w:val="24"/>
        </w:rPr>
        <w:t>International Journal of Herbal Medicine, 2</w:t>
      </w:r>
      <w:r w:rsidRPr="002720BD">
        <w:rPr>
          <w:rFonts w:ascii="Times New Roman" w:eastAsia="Times New Roman" w:hAnsi="Times New Roman" w:cs="Times New Roman"/>
          <w:sz w:val="24"/>
          <w:szCs w:val="24"/>
        </w:rPr>
        <w:t xml:space="preserve">(4), 31–35. </w:t>
      </w:r>
    </w:p>
    <w:p w14:paraId="3E0970E3"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Mujeeb, F., Bajpai, P., &amp; Pathak, N. (2014). Phytochemical evaluation, antimicrobial activity, and determination of bioactive components from leaves of </w:t>
      </w:r>
      <w:r w:rsidRPr="002720BD">
        <w:rPr>
          <w:rFonts w:ascii="Times New Roman" w:eastAsia="Times New Roman" w:hAnsi="Times New Roman" w:cs="Times New Roman"/>
          <w:i/>
          <w:iCs/>
          <w:sz w:val="24"/>
          <w:szCs w:val="24"/>
        </w:rPr>
        <w:t xml:space="preserve">Aegle </w:t>
      </w:r>
      <w:proofErr w:type="spellStart"/>
      <w:r w:rsidRPr="002720BD">
        <w:rPr>
          <w:rFonts w:ascii="Times New Roman" w:eastAsia="Times New Roman" w:hAnsi="Times New Roman" w:cs="Times New Roman"/>
          <w:i/>
          <w:iCs/>
          <w:sz w:val="24"/>
          <w:szCs w:val="24"/>
        </w:rPr>
        <w:t>marmelos</w:t>
      </w:r>
      <w:proofErr w:type="spellEnd"/>
      <w:r w:rsidRPr="002720BD">
        <w:rPr>
          <w:rFonts w:ascii="Times New Roman" w:eastAsia="Times New Roman" w:hAnsi="Times New Roman" w:cs="Times New Roman"/>
          <w:sz w:val="24"/>
          <w:szCs w:val="24"/>
        </w:rPr>
        <w:t xml:space="preserve">. </w:t>
      </w:r>
      <w:r w:rsidRPr="002720BD">
        <w:rPr>
          <w:rFonts w:ascii="Times New Roman" w:eastAsia="Times New Roman" w:hAnsi="Times New Roman" w:cs="Times New Roman"/>
          <w:i/>
          <w:iCs/>
          <w:sz w:val="24"/>
          <w:szCs w:val="24"/>
        </w:rPr>
        <w:t>BioMed Research International, 2014</w:t>
      </w:r>
      <w:r w:rsidRPr="002720BD">
        <w:rPr>
          <w:rFonts w:ascii="Times New Roman" w:eastAsia="Times New Roman" w:hAnsi="Times New Roman" w:cs="Times New Roman"/>
          <w:sz w:val="24"/>
          <w:szCs w:val="24"/>
        </w:rPr>
        <w:t xml:space="preserve">, Article 497606. </w:t>
      </w:r>
      <w:hyperlink r:id="rId52" w:tgtFrame="_new" w:history="1">
        <w:r w:rsidRPr="002720BD">
          <w:rPr>
            <w:rFonts w:ascii="Times New Roman" w:eastAsia="Times New Roman" w:hAnsi="Times New Roman" w:cs="Times New Roman"/>
            <w:color w:val="0000FF"/>
            <w:sz w:val="24"/>
            <w:szCs w:val="24"/>
            <w:u w:val="single"/>
          </w:rPr>
          <w:t>https://doi.org/10.1155/2014/497606</w:t>
        </w:r>
      </w:hyperlink>
      <w:r w:rsidRPr="002720BD">
        <w:rPr>
          <w:rFonts w:ascii="Times New Roman" w:eastAsia="Times New Roman" w:hAnsi="Times New Roman" w:cs="Times New Roman"/>
          <w:sz w:val="24"/>
          <w:szCs w:val="24"/>
        </w:rPr>
        <w:t xml:space="preserve"> </w:t>
      </w:r>
    </w:p>
    <w:p w14:paraId="0B3C81B8"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Ban, J. O., Hwang, I. G., Kim, T. M., Hwang, B. Y., Lee, U. S., Jeong, H.-S., Yoon, Y. W., Kim, D. J., &amp; Hong, J. T. (2007). Anti-proliferate and pro-apoptotic effects of 2,3-dihydro-3,5-dihydroxy-6-methyl-4H-pyranone through inactivation of NF-</w:t>
      </w:r>
      <w:proofErr w:type="spellStart"/>
      <w:r w:rsidRPr="002720BD">
        <w:rPr>
          <w:rFonts w:ascii="Times New Roman" w:eastAsia="Times New Roman" w:hAnsi="Times New Roman" w:cs="Times New Roman"/>
          <w:sz w:val="24"/>
          <w:szCs w:val="24"/>
        </w:rPr>
        <w:t>κB</w:t>
      </w:r>
      <w:proofErr w:type="spellEnd"/>
      <w:r w:rsidRPr="002720BD">
        <w:rPr>
          <w:rFonts w:ascii="Times New Roman" w:eastAsia="Times New Roman" w:hAnsi="Times New Roman" w:cs="Times New Roman"/>
          <w:sz w:val="24"/>
          <w:szCs w:val="24"/>
        </w:rPr>
        <w:t xml:space="preserve"> in human colon cancer cells. </w:t>
      </w:r>
      <w:r w:rsidRPr="002720BD">
        <w:rPr>
          <w:rFonts w:ascii="Times New Roman" w:eastAsia="Times New Roman" w:hAnsi="Times New Roman" w:cs="Times New Roman"/>
          <w:i/>
          <w:iCs/>
          <w:sz w:val="24"/>
          <w:szCs w:val="24"/>
        </w:rPr>
        <w:t>Archives of Pharmacal Research, 30</w:t>
      </w:r>
      <w:r w:rsidRPr="002720BD">
        <w:rPr>
          <w:rFonts w:ascii="Times New Roman" w:eastAsia="Times New Roman" w:hAnsi="Times New Roman" w:cs="Times New Roman"/>
          <w:sz w:val="24"/>
          <w:szCs w:val="24"/>
        </w:rPr>
        <w:t xml:space="preserve">, 1455–1463. </w:t>
      </w:r>
      <w:hyperlink r:id="rId53" w:tgtFrame="_new" w:history="1">
        <w:r w:rsidRPr="002720BD">
          <w:rPr>
            <w:rFonts w:ascii="Times New Roman" w:eastAsia="Times New Roman" w:hAnsi="Times New Roman" w:cs="Times New Roman"/>
            <w:color w:val="0000FF"/>
            <w:sz w:val="24"/>
            <w:szCs w:val="24"/>
            <w:u w:val="single"/>
          </w:rPr>
          <w:t>https://doi.org/10.1007/BF02977371</w:t>
        </w:r>
      </w:hyperlink>
      <w:r w:rsidRPr="002720BD">
        <w:rPr>
          <w:rFonts w:ascii="Times New Roman" w:eastAsia="Times New Roman" w:hAnsi="Times New Roman" w:cs="Times New Roman"/>
          <w:sz w:val="24"/>
          <w:szCs w:val="24"/>
        </w:rPr>
        <w:t xml:space="preserve"> </w:t>
      </w:r>
    </w:p>
    <w:p w14:paraId="2B492DBC"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Bhosale, S. K., Deshpande, S. R., &amp; Wagh, R. D. (2012). </w:t>
      </w:r>
      <w:proofErr w:type="spellStart"/>
      <w:r w:rsidRPr="002720BD">
        <w:rPr>
          <w:rFonts w:ascii="Times New Roman" w:eastAsia="Times New Roman" w:hAnsi="Times New Roman" w:cs="Times New Roman"/>
          <w:sz w:val="24"/>
          <w:szCs w:val="24"/>
        </w:rPr>
        <w:t>Mesoionic</w:t>
      </w:r>
      <w:proofErr w:type="spellEnd"/>
      <w:r w:rsidRPr="002720BD">
        <w:rPr>
          <w:rFonts w:ascii="Times New Roman" w:eastAsia="Times New Roman" w:hAnsi="Times New Roman" w:cs="Times New Roman"/>
          <w:sz w:val="24"/>
          <w:szCs w:val="24"/>
        </w:rPr>
        <w:t xml:space="preserve"> </w:t>
      </w:r>
      <w:proofErr w:type="spellStart"/>
      <w:r w:rsidRPr="002720BD">
        <w:rPr>
          <w:rFonts w:ascii="Times New Roman" w:eastAsia="Times New Roman" w:hAnsi="Times New Roman" w:cs="Times New Roman"/>
          <w:sz w:val="24"/>
          <w:szCs w:val="24"/>
        </w:rPr>
        <w:t>sydnone</w:t>
      </w:r>
      <w:proofErr w:type="spellEnd"/>
      <w:r w:rsidRPr="002720BD">
        <w:rPr>
          <w:rFonts w:ascii="Times New Roman" w:eastAsia="Times New Roman" w:hAnsi="Times New Roman" w:cs="Times New Roman"/>
          <w:sz w:val="24"/>
          <w:szCs w:val="24"/>
        </w:rPr>
        <w:t xml:space="preserve"> derivatives: An overview. </w:t>
      </w:r>
      <w:r w:rsidRPr="002720BD">
        <w:rPr>
          <w:rFonts w:ascii="Times New Roman" w:eastAsia="Times New Roman" w:hAnsi="Times New Roman" w:cs="Times New Roman"/>
          <w:i/>
          <w:iCs/>
          <w:sz w:val="24"/>
          <w:szCs w:val="24"/>
        </w:rPr>
        <w:t>Journal of Chemical and Pharmaceutical Research, 4</w:t>
      </w:r>
      <w:r w:rsidRPr="002720BD">
        <w:rPr>
          <w:rFonts w:ascii="Times New Roman" w:eastAsia="Times New Roman" w:hAnsi="Times New Roman" w:cs="Times New Roman"/>
          <w:sz w:val="24"/>
          <w:szCs w:val="24"/>
        </w:rPr>
        <w:t xml:space="preserve">(2), 1185–1199. </w:t>
      </w:r>
      <w:hyperlink r:id="rId54" w:tgtFrame="_new" w:history="1">
        <w:r w:rsidRPr="002720BD">
          <w:rPr>
            <w:rFonts w:ascii="Times New Roman" w:eastAsia="Times New Roman" w:hAnsi="Times New Roman" w:cs="Times New Roman"/>
            <w:color w:val="0000FF"/>
            <w:sz w:val="24"/>
            <w:szCs w:val="24"/>
            <w:u w:val="single"/>
          </w:rPr>
          <w:t>https://www.jocpr.com/articles/mesoionic-sydnone-derivatives-an-overview-1176.html</w:t>
        </w:r>
      </w:hyperlink>
      <w:r w:rsidRPr="002720BD">
        <w:rPr>
          <w:rFonts w:ascii="Times New Roman" w:eastAsia="Times New Roman" w:hAnsi="Times New Roman" w:cs="Times New Roman"/>
          <w:sz w:val="24"/>
          <w:szCs w:val="24"/>
        </w:rPr>
        <w:t xml:space="preserve"> </w:t>
      </w:r>
    </w:p>
    <w:p w14:paraId="316C607C"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lastRenderedPageBreak/>
        <w:t></w:t>
      </w:r>
      <w:r w:rsidRPr="002720BD">
        <w:rPr>
          <w:rFonts w:ascii="Times New Roman" w:eastAsia="Times New Roman" w:hAnsi="Times New Roman" w:cs="Times New Roman"/>
          <w:sz w:val="24"/>
          <w:szCs w:val="24"/>
        </w:rPr>
        <w:t xml:space="preserve">  Jagadeesh, K., &amp; Revankar, S. (2015). Evaluation of antibacterial activity of </w:t>
      </w:r>
      <w:proofErr w:type="spellStart"/>
      <w:r w:rsidRPr="002720BD">
        <w:rPr>
          <w:rFonts w:ascii="Times New Roman" w:eastAsia="Times New Roman" w:hAnsi="Times New Roman" w:cs="Times New Roman"/>
          <w:sz w:val="24"/>
          <w:szCs w:val="24"/>
        </w:rPr>
        <w:t>thiazolo</w:t>
      </w:r>
      <w:proofErr w:type="spellEnd"/>
      <w:r w:rsidRPr="002720BD">
        <w:rPr>
          <w:rFonts w:ascii="Times New Roman" w:eastAsia="Times New Roman" w:hAnsi="Times New Roman" w:cs="Times New Roman"/>
          <w:sz w:val="24"/>
          <w:szCs w:val="24"/>
        </w:rPr>
        <w:t xml:space="preserve">-thiourea </w:t>
      </w:r>
      <w:proofErr w:type="spellStart"/>
      <w:r w:rsidRPr="002720BD">
        <w:rPr>
          <w:rFonts w:ascii="Times New Roman" w:eastAsia="Times New Roman" w:hAnsi="Times New Roman" w:cs="Times New Roman"/>
          <w:sz w:val="24"/>
          <w:szCs w:val="24"/>
        </w:rPr>
        <w:t>sydnones</w:t>
      </w:r>
      <w:proofErr w:type="spellEnd"/>
      <w:r w:rsidRPr="002720BD">
        <w:rPr>
          <w:rFonts w:ascii="Times New Roman" w:eastAsia="Times New Roman" w:hAnsi="Times New Roman" w:cs="Times New Roman"/>
          <w:sz w:val="24"/>
          <w:szCs w:val="24"/>
        </w:rPr>
        <w:t xml:space="preserve">. </w:t>
      </w:r>
      <w:r w:rsidRPr="002720BD">
        <w:rPr>
          <w:rFonts w:ascii="Times New Roman" w:eastAsia="Times New Roman" w:hAnsi="Times New Roman" w:cs="Times New Roman"/>
          <w:i/>
          <w:iCs/>
          <w:sz w:val="24"/>
          <w:szCs w:val="24"/>
        </w:rPr>
        <w:t>Scholars Journal of Applied Medical Sciences, 3</w:t>
      </w:r>
      <w:r w:rsidRPr="002720BD">
        <w:rPr>
          <w:rFonts w:ascii="Times New Roman" w:eastAsia="Times New Roman" w:hAnsi="Times New Roman" w:cs="Times New Roman"/>
          <w:sz w:val="24"/>
          <w:szCs w:val="24"/>
        </w:rPr>
        <w:t xml:space="preserve">(4B), 1694–1697. https://doi.org/10.36347/sjams.2015.v03i04.017 </w:t>
      </w:r>
    </w:p>
    <w:p w14:paraId="25BE5110"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Graff, C. L., &amp; Pollack, G. M. (2005). Nasal drug administration: Potential for targeted central nervous system delivery. </w:t>
      </w:r>
      <w:r w:rsidRPr="002720BD">
        <w:rPr>
          <w:rFonts w:ascii="Times New Roman" w:eastAsia="Times New Roman" w:hAnsi="Times New Roman" w:cs="Times New Roman"/>
          <w:i/>
          <w:iCs/>
          <w:sz w:val="24"/>
          <w:szCs w:val="24"/>
        </w:rPr>
        <w:t>Journal of Pharmaceutical Sciences, 94</w:t>
      </w:r>
      <w:r w:rsidRPr="002720BD">
        <w:rPr>
          <w:rFonts w:ascii="Times New Roman" w:eastAsia="Times New Roman" w:hAnsi="Times New Roman" w:cs="Times New Roman"/>
          <w:sz w:val="24"/>
          <w:szCs w:val="24"/>
        </w:rPr>
        <w:t xml:space="preserve">(6), 1187–1195. </w:t>
      </w:r>
      <w:hyperlink r:id="rId55" w:tgtFrame="_new" w:history="1">
        <w:r w:rsidRPr="002720BD">
          <w:rPr>
            <w:rFonts w:ascii="Times New Roman" w:eastAsia="Times New Roman" w:hAnsi="Times New Roman" w:cs="Times New Roman"/>
            <w:color w:val="0000FF"/>
            <w:sz w:val="24"/>
            <w:szCs w:val="24"/>
            <w:u w:val="single"/>
          </w:rPr>
          <w:t>https://doi.org/10.1002/jps.20318</w:t>
        </w:r>
      </w:hyperlink>
      <w:r w:rsidRPr="002720BD">
        <w:rPr>
          <w:rFonts w:ascii="Times New Roman" w:eastAsia="Times New Roman" w:hAnsi="Times New Roman" w:cs="Times New Roman"/>
          <w:sz w:val="24"/>
          <w:szCs w:val="24"/>
        </w:rPr>
        <w:t xml:space="preserve"> </w:t>
      </w:r>
    </w:p>
    <w:p w14:paraId="11388864"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w:t>
      </w:r>
      <w:proofErr w:type="spellStart"/>
      <w:r w:rsidRPr="002720BD">
        <w:rPr>
          <w:rFonts w:ascii="Times New Roman" w:eastAsia="Times New Roman" w:hAnsi="Times New Roman" w:cs="Times New Roman"/>
          <w:sz w:val="24"/>
          <w:szCs w:val="24"/>
        </w:rPr>
        <w:t>Terngu</w:t>
      </w:r>
      <w:proofErr w:type="spellEnd"/>
      <w:r w:rsidRPr="002720BD">
        <w:rPr>
          <w:rFonts w:ascii="Times New Roman" w:eastAsia="Times New Roman" w:hAnsi="Times New Roman" w:cs="Times New Roman"/>
          <w:sz w:val="24"/>
          <w:szCs w:val="24"/>
        </w:rPr>
        <w:t xml:space="preserve">, U. P., </w:t>
      </w:r>
      <w:proofErr w:type="spellStart"/>
      <w:r w:rsidRPr="002720BD">
        <w:rPr>
          <w:rFonts w:ascii="Times New Roman" w:eastAsia="Times New Roman" w:hAnsi="Times New Roman" w:cs="Times New Roman"/>
          <w:sz w:val="24"/>
          <w:szCs w:val="24"/>
        </w:rPr>
        <w:t>Tyoga</w:t>
      </w:r>
      <w:proofErr w:type="spellEnd"/>
      <w:r w:rsidRPr="002720BD">
        <w:rPr>
          <w:rFonts w:ascii="Times New Roman" w:eastAsia="Times New Roman" w:hAnsi="Times New Roman" w:cs="Times New Roman"/>
          <w:sz w:val="24"/>
          <w:szCs w:val="24"/>
        </w:rPr>
        <w:t xml:space="preserve">, I. J., &amp; </w:t>
      </w:r>
      <w:proofErr w:type="spellStart"/>
      <w:r w:rsidRPr="002720BD">
        <w:rPr>
          <w:rFonts w:ascii="Times New Roman" w:eastAsia="Times New Roman" w:hAnsi="Times New Roman" w:cs="Times New Roman"/>
          <w:sz w:val="24"/>
          <w:szCs w:val="24"/>
        </w:rPr>
        <w:t>Toryem</w:t>
      </w:r>
      <w:proofErr w:type="spellEnd"/>
      <w:r w:rsidRPr="002720BD">
        <w:rPr>
          <w:rFonts w:ascii="Times New Roman" w:eastAsia="Times New Roman" w:hAnsi="Times New Roman" w:cs="Times New Roman"/>
          <w:sz w:val="24"/>
          <w:szCs w:val="24"/>
        </w:rPr>
        <w:t xml:space="preserve">, M. M. (2024). Phytochemical analysis and in vitro antimicrobial potential of </w:t>
      </w:r>
      <w:r w:rsidRPr="002720BD">
        <w:rPr>
          <w:rFonts w:ascii="Times New Roman" w:eastAsia="Times New Roman" w:hAnsi="Times New Roman" w:cs="Times New Roman"/>
          <w:i/>
          <w:iCs/>
          <w:sz w:val="24"/>
          <w:szCs w:val="24"/>
        </w:rPr>
        <w:t>Colocasia esculenta</w:t>
      </w:r>
      <w:r w:rsidRPr="002720BD">
        <w:rPr>
          <w:rFonts w:ascii="Times New Roman" w:eastAsia="Times New Roman" w:hAnsi="Times New Roman" w:cs="Times New Roman"/>
          <w:sz w:val="24"/>
          <w:szCs w:val="24"/>
        </w:rPr>
        <w:t xml:space="preserve"> tuber peel extract against pathogens isolated from water yam (</w:t>
      </w:r>
      <w:r w:rsidRPr="002720BD">
        <w:rPr>
          <w:rFonts w:ascii="Times New Roman" w:eastAsia="Times New Roman" w:hAnsi="Times New Roman" w:cs="Times New Roman"/>
          <w:i/>
          <w:iCs/>
          <w:sz w:val="24"/>
          <w:szCs w:val="24"/>
        </w:rPr>
        <w:t>Dioscorea alata</w:t>
      </w:r>
      <w:r w:rsidRPr="002720BD">
        <w:rPr>
          <w:rFonts w:ascii="Times New Roman" w:eastAsia="Times New Roman" w:hAnsi="Times New Roman" w:cs="Times New Roman"/>
          <w:sz w:val="24"/>
          <w:szCs w:val="24"/>
        </w:rPr>
        <w:t xml:space="preserve">) tubers. </w:t>
      </w:r>
      <w:r w:rsidRPr="002720BD">
        <w:rPr>
          <w:rFonts w:ascii="Times New Roman" w:eastAsia="Times New Roman" w:hAnsi="Times New Roman" w:cs="Times New Roman"/>
          <w:i/>
          <w:iCs/>
          <w:sz w:val="24"/>
          <w:szCs w:val="24"/>
        </w:rPr>
        <w:t>Asian Journal of Research in Biochemistry, 14</w:t>
      </w:r>
      <w:r w:rsidRPr="002720BD">
        <w:rPr>
          <w:rFonts w:ascii="Times New Roman" w:eastAsia="Times New Roman" w:hAnsi="Times New Roman" w:cs="Times New Roman"/>
          <w:sz w:val="24"/>
          <w:szCs w:val="24"/>
        </w:rPr>
        <w:t xml:space="preserve">(5), 72–86. </w:t>
      </w:r>
      <w:hyperlink r:id="rId56" w:tgtFrame="_new" w:history="1">
        <w:r w:rsidRPr="002720BD">
          <w:rPr>
            <w:rFonts w:ascii="Times New Roman" w:eastAsia="Times New Roman" w:hAnsi="Times New Roman" w:cs="Times New Roman"/>
            <w:color w:val="0000FF"/>
            <w:sz w:val="24"/>
            <w:szCs w:val="24"/>
            <w:u w:val="single"/>
          </w:rPr>
          <w:t>https://doi.org/10.9734/ajrb/2024/v14i5313</w:t>
        </w:r>
      </w:hyperlink>
      <w:r w:rsidRPr="002720BD">
        <w:rPr>
          <w:rFonts w:ascii="Times New Roman" w:eastAsia="Times New Roman" w:hAnsi="Times New Roman" w:cs="Times New Roman"/>
          <w:sz w:val="24"/>
          <w:szCs w:val="24"/>
        </w:rPr>
        <w:t xml:space="preserve"> </w:t>
      </w:r>
    </w:p>
    <w:p w14:paraId="40D512EF"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w:t>
      </w:r>
      <w:proofErr w:type="spellStart"/>
      <w:r w:rsidRPr="002720BD">
        <w:rPr>
          <w:rFonts w:ascii="Times New Roman" w:eastAsia="Times New Roman" w:hAnsi="Times New Roman" w:cs="Times New Roman"/>
          <w:sz w:val="24"/>
          <w:szCs w:val="24"/>
        </w:rPr>
        <w:t>Ikyaator</w:t>
      </w:r>
      <w:proofErr w:type="spellEnd"/>
      <w:r w:rsidRPr="002720BD">
        <w:rPr>
          <w:rFonts w:ascii="Times New Roman" w:eastAsia="Times New Roman" w:hAnsi="Times New Roman" w:cs="Times New Roman"/>
          <w:sz w:val="24"/>
          <w:szCs w:val="24"/>
        </w:rPr>
        <w:t xml:space="preserve">, J., Agada, E. O., </w:t>
      </w:r>
      <w:proofErr w:type="spellStart"/>
      <w:r w:rsidRPr="002720BD">
        <w:rPr>
          <w:rFonts w:ascii="Times New Roman" w:eastAsia="Times New Roman" w:hAnsi="Times New Roman" w:cs="Times New Roman"/>
          <w:sz w:val="24"/>
          <w:szCs w:val="24"/>
        </w:rPr>
        <w:t>Aernan</w:t>
      </w:r>
      <w:proofErr w:type="spellEnd"/>
      <w:r w:rsidRPr="002720BD">
        <w:rPr>
          <w:rFonts w:ascii="Times New Roman" w:eastAsia="Times New Roman" w:hAnsi="Times New Roman" w:cs="Times New Roman"/>
          <w:sz w:val="24"/>
          <w:szCs w:val="24"/>
        </w:rPr>
        <w:t xml:space="preserve">, P. T., &amp; Ogbonna, I. O. (2026). Antifungal activity and phytochemical characterization of medicinal plants against </w:t>
      </w:r>
      <w:r w:rsidRPr="002720BD">
        <w:rPr>
          <w:rFonts w:ascii="Times New Roman" w:eastAsia="Times New Roman" w:hAnsi="Times New Roman" w:cs="Times New Roman"/>
          <w:i/>
          <w:iCs/>
          <w:sz w:val="24"/>
          <w:szCs w:val="24"/>
        </w:rPr>
        <w:t>Trichophyton rubrum</w:t>
      </w:r>
      <w:r w:rsidRPr="002720BD">
        <w:rPr>
          <w:rFonts w:ascii="Times New Roman" w:eastAsia="Times New Roman" w:hAnsi="Times New Roman" w:cs="Times New Roman"/>
          <w:sz w:val="24"/>
          <w:szCs w:val="24"/>
        </w:rPr>
        <w:t xml:space="preserve"> clinical isolates in Benue State. </w:t>
      </w:r>
      <w:r w:rsidRPr="002720BD">
        <w:rPr>
          <w:rFonts w:ascii="Times New Roman" w:eastAsia="Times New Roman" w:hAnsi="Times New Roman" w:cs="Times New Roman"/>
          <w:i/>
          <w:iCs/>
          <w:sz w:val="24"/>
          <w:szCs w:val="24"/>
        </w:rPr>
        <w:t>Asian Journal of Microbiology and Biotechnology, 11</w:t>
      </w:r>
      <w:r w:rsidRPr="002720BD">
        <w:rPr>
          <w:rFonts w:ascii="Times New Roman" w:eastAsia="Times New Roman" w:hAnsi="Times New Roman" w:cs="Times New Roman"/>
          <w:sz w:val="24"/>
          <w:szCs w:val="24"/>
        </w:rPr>
        <w:t xml:space="preserve">(1), 255–263. </w:t>
      </w:r>
      <w:hyperlink r:id="rId57" w:tgtFrame="_new" w:history="1">
        <w:r w:rsidRPr="002720BD">
          <w:rPr>
            <w:rFonts w:ascii="Times New Roman" w:eastAsia="Times New Roman" w:hAnsi="Times New Roman" w:cs="Times New Roman"/>
            <w:color w:val="0000FF"/>
            <w:sz w:val="24"/>
            <w:szCs w:val="24"/>
            <w:u w:val="single"/>
          </w:rPr>
          <w:t>https://doi.org/10.56557/ajmab/2026/v11i110527</w:t>
        </w:r>
      </w:hyperlink>
      <w:r w:rsidRPr="002720BD">
        <w:rPr>
          <w:rFonts w:ascii="Times New Roman" w:eastAsia="Times New Roman" w:hAnsi="Times New Roman" w:cs="Times New Roman"/>
          <w:sz w:val="24"/>
          <w:szCs w:val="24"/>
        </w:rPr>
        <w:t xml:space="preserve"> </w:t>
      </w:r>
    </w:p>
    <w:p w14:paraId="494433EA" w14:textId="77777777" w:rsidR="002720BD" w:rsidRPr="002720BD" w:rsidRDefault="002720BD" w:rsidP="002720BD">
      <w:pPr>
        <w:spacing w:after="0" w:line="240" w:lineRule="auto"/>
        <w:rPr>
          <w:rFonts w:ascii="Times New Roman" w:eastAsia="Times New Roman" w:hAnsi="Times New Roman" w:cs="Times New Roman"/>
          <w:sz w:val="24"/>
          <w:szCs w:val="24"/>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Woo, S., Marquez, L., Crandall, W. J., Risener, C. J., &amp; Quave, C. L. (2023). Recent advances in the discovery of plant-derived antimicrobial natural products to combat antimicrobial resistant pathogens: Insights from 2018–2022. </w:t>
      </w:r>
      <w:r w:rsidRPr="002720BD">
        <w:rPr>
          <w:rFonts w:ascii="Times New Roman" w:eastAsia="Times New Roman" w:hAnsi="Times New Roman" w:cs="Times New Roman"/>
          <w:i/>
          <w:iCs/>
          <w:sz w:val="24"/>
          <w:szCs w:val="24"/>
        </w:rPr>
        <w:t>Natural Product Reports, 40</w:t>
      </w:r>
      <w:r w:rsidRPr="002720BD">
        <w:rPr>
          <w:rFonts w:ascii="Times New Roman" w:eastAsia="Times New Roman" w:hAnsi="Times New Roman" w:cs="Times New Roman"/>
          <w:sz w:val="24"/>
          <w:szCs w:val="24"/>
        </w:rPr>
        <w:t xml:space="preserve">(7), 1271–1290. </w:t>
      </w:r>
      <w:hyperlink r:id="rId58" w:tgtFrame="_new" w:history="1">
        <w:r w:rsidRPr="002720BD">
          <w:rPr>
            <w:rFonts w:ascii="Times New Roman" w:eastAsia="Times New Roman" w:hAnsi="Times New Roman" w:cs="Times New Roman"/>
            <w:color w:val="0000FF"/>
            <w:sz w:val="24"/>
            <w:szCs w:val="24"/>
            <w:u w:val="single"/>
          </w:rPr>
          <w:t>https://doi.org/10.1039/D2NP00090C</w:t>
        </w:r>
      </w:hyperlink>
      <w:r w:rsidRPr="002720BD">
        <w:rPr>
          <w:rFonts w:ascii="Times New Roman" w:eastAsia="Times New Roman" w:hAnsi="Times New Roman" w:cs="Times New Roman"/>
          <w:sz w:val="24"/>
          <w:szCs w:val="24"/>
        </w:rPr>
        <w:t xml:space="preserve"> </w:t>
      </w:r>
    </w:p>
    <w:p w14:paraId="3C48C61C" w14:textId="588870B9" w:rsidR="002720BD" w:rsidRPr="00EC13C0" w:rsidRDefault="002720BD" w:rsidP="002720BD">
      <w:pPr>
        <w:spacing w:before="100" w:beforeAutospacing="1" w:after="100" w:afterAutospacing="1" w:line="240" w:lineRule="auto"/>
        <w:jc w:val="both"/>
        <w:rPr>
          <w:rFonts w:ascii="Arial" w:eastAsia="Times New Roman" w:hAnsi="Arial" w:cs="Arial"/>
          <w:sz w:val="20"/>
          <w:szCs w:val="20"/>
        </w:rPr>
      </w:pPr>
      <w:r w:rsidRPr="002720BD">
        <w:rPr>
          <w:rFonts w:ascii="Times New Roman" w:eastAsia="Times New Roman" w:hAnsi="Symbol" w:cs="Times New Roman"/>
          <w:sz w:val="24"/>
          <w:szCs w:val="24"/>
        </w:rPr>
        <w:t></w:t>
      </w:r>
      <w:r w:rsidRPr="002720BD">
        <w:rPr>
          <w:rFonts w:ascii="Times New Roman" w:eastAsia="Times New Roman" w:hAnsi="Times New Roman" w:cs="Times New Roman"/>
          <w:sz w:val="24"/>
          <w:szCs w:val="24"/>
        </w:rPr>
        <w:t xml:space="preserve">  </w:t>
      </w:r>
      <w:proofErr w:type="spellStart"/>
      <w:r w:rsidRPr="002720BD">
        <w:rPr>
          <w:rFonts w:ascii="Times New Roman" w:eastAsia="Times New Roman" w:hAnsi="Times New Roman" w:cs="Times New Roman"/>
          <w:sz w:val="24"/>
          <w:szCs w:val="24"/>
        </w:rPr>
        <w:t>Berida</w:t>
      </w:r>
      <w:proofErr w:type="spellEnd"/>
      <w:r w:rsidRPr="002720BD">
        <w:rPr>
          <w:rFonts w:ascii="Times New Roman" w:eastAsia="Times New Roman" w:hAnsi="Times New Roman" w:cs="Times New Roman"/>
          <w:sz w:val="24"/>
          <w:szCs w:val="24"/>
        </w:rPr>
        <w:t xml:space="preserve">, T. I., Adekunle, Y. A., Dada-Adegbola, H., </w:t>
      </w:r>
      <w:proofErr w:type="spellStart"/>
      <w:r w:rsidRPr="002720BD">
        <w:rPr>
          <w:rFonts w:ascii="Times New Roman" w:eastAsia="Times New Roman" w:hAnsi="Times New Roman" w:cs="Times New Roman"/>
          <w:sz w:val="24"/>
          <w:szCs w:val="24"/>
        </w:rPr>
        <w:t>Kdimy</w:t>
      </w:r>
      <w:proofErr w:type="spellEnd"/>
      <w:r w:rsidRPr="002720BD">
        <w:rPr>
          <w:rFonts w:ascii="Times New Roman" w:eastAsia="Times New Roman" w:hAnsi="Times New Roman" w:cs="Times New Roman"/>
          <w:sz w:val="24"/>
          <w:szCs w:val="24"/>
        </w:rPr>
        <w:t xml:space="preserve">, A., Roy, S., &amp; Sarker, S. D. (2024). Plant antibacterials: The challenges and opportunities. </w:t>
      </w:r>
      <w:proofErr w:type="spellStart"/>
      <w:r w:rsidRPr="002720BD">
        <w:rPr>
          <w:rFonts w:ascii="Times New Roman" w:eastAsia="Times New Roman" w:hAnsi="Times New Roman" w:cs="Times New Roman"/>
          <w:i/>
          <w:iCs/>
          <w:sz w:val="24"/>
          <w:szCs w:val="24"/>
        </w:rPr>
        <w:t>Heliyon</w:t>
      </w:r>
      <w:proofErr w:type="spellEnd"/>
      <w:r w:rsidRPr="002720BD">
        <w:rPr>
          <w:rFonts w:ascii="Times New Roman" w:eastAsia="Times New Roman" w:hAnsi="Times New Roman" w:cs="Times New Roman"/>
          <w:i/>
          <w:iCs/>
          <w:sz w:val="24"/>
          <w:szCs w:val="24"/>
        </w:rPr>
        <w:t>, 10</w:t>
      </w:r>
      <w:r w:rsidRPr="002720BD">
        <w:rPr>
          <w:rFonts w:ascii="Times New Roman" w:eastAsia="Times New Roman" w:hAnsi="Times New Roman" w:cs="Times New Roman"/>
          <w:sz w:val="24"/>
          <w:szCs w:val="24"/>
        </w:rPr>
        <w:t xml:space="preserve">(10), Article e31145. </w:t>
      </w:r>
      <w:hyperlink r:id="rId59" w:tgtFrame="_new" w:history="1">
        <w:r w:rsidRPr="002720BD">
          <w:rPr>
            <w:rFonts w:ascii="Times New Roman" w:eastAsia="Times New Roman" w:hAnsi="Times New Roman" w:cs="Times New Roman"/>
            <w:color w:val="0000FF"/>
            <w:sz w:val="24"/>
            <w:szCs w:val="24"/>
            <w:u w:val="single"/>
          </w:rPr>
          <w:t>https://doi.org/10.1016/j.heliyon.2024.e31145</w:t>
        </w:r>
      </w:hyperlink>
    </w:p>
    <w:sectPr w:rsidR="002720BD" w:rsidRPr="00EC13C0">
      <w:headerReference w:type="even" r:id="rId60"/>
      <w:headerReference w:type="default" r:id="rId61"/>
      <w:footerReference w:type="even" r:id="rId62"/>
      <w:footerReference w:type="default" r:id="rId63"/>
      <w:headerReference w:type="first" r:id="rId64"/>
      <w:footerReference w:type="first" r:id="rId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FD9A7" w14:textId="77777777" w:rsidR="004F35C0" w:rsidRDefault="004F35C0" w:rsidP="009D359B">
      <w:pPr>
        <w:spacing w:after="0" w:line="240" w:lineRule="auto"/>
      </w:pPr>
      <w:r>
        <w:separator/>
      </w:r>
    </w:p>
  </w:endnote>
  <w:endnote w:type="continuationSeparator" w:id="0">
    <w:p w14:paraId="0440AA5B" w14:textId="77777777" w:rsidR="004F35C0" w:rsidRDefault="004F35C0" w:rsidP="009D3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9BDF" w14:textId="77777777" w:rsidR="00C30513" w:rsidRDefault="00C30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8CCA" w14:textId="77777777" w:rsidR="00C30513" w:rsidRDefault="00C305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5C526" w14:textId="77777777" w:rsidR="00C30513" w:rsidRDefault="00C30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712A7" w14:textId="77777777" w:rsidR="004F35C0" w:rsidRDefault="004F35C0" w:rsidP="009D359B">
      <w:pPr>
        <w:spacing w:after="0" w:line="240" w:lineRule="auto"/>
      </w:pPr>
      <w:r>
        <w:separator/>
      </w:r>
    </w:p>
  </w:footnote>
  <w:footnote w:type="continuationSeparator" w:id="0">
    <w:p w14:paraId="52ADD309" w14:textId="77777777" w:rsidR="004F35C0" w:rsidRDefault="004F35C0" w:rsidP="009D3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C88BD" w14:textId="77777777" w:rsidR="00C30513" w:rsidRDefault="00000000">
    <w:pPr>
      <w:pStyle w:val="Header"/>
    </w:pPr>
    <w:r>
      <w:rPr>
        <w:noProof/>
      </w:rPr>
      <w:pict w14:anchorId="71604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588063"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CF8D" w14:textId="77777777" w:rsidR="00C30513" w:rsidRDefault="00000000">
    <w:pPr>
      <w:pStyle w:val="Header"/>
    </w:pPr>
    <w:r>
      <w:rPr>
        <w:noProof/>
      </w:rPr>
      <w:pict w14:anchorId="5235E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588064"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D0DE" w14:textId="77777777" w:rsidR="00C30513" w:rsidRDefault="00000000">
    <w:pPr>
      <w:pStyle w:val="Header"/>
    </w:pPr>
    <w:r>
      <w:rPr>
        <w:noProof/>
      </w:rPr>
      <w:pict w14:anchorId="1BA441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588062"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75B8"/>
    <w:multiLevelType w:val="multilevel"/>
    <w:tmpl w:val="DE72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E66DF"/>
    <w:multiLevelType w:val="multilevel"/>
    <w:tmpl w:val="9B50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956B0"/>
    <w:multiLevelType w:val="multilevel"/>
    <w:tmpl w:val="1834C64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0732A0"/>
    <w:multiLevelType w:val="multilevel"/>
    <w:tmpl w:val="CE7611DE"/>
    <w:lvl w:ilvl="0">
      <w:start w:val="1"/>
      <w:numFmt w:val="decimal"/>
      <w:lvlText w:val="%1.0"/>
      <w:lvlJc w:val="left"/>
      <w:pPr>
        <w:ind w:left="72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4" w15:restartNumberingAfterBreak="0">
    <w:nsid w:val="1A277B84"/>
    <w:multiLevelType w:val="hybridMultilevel"/>
    <w:tmpl w:val="5E00B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24001"/>
    <w:multiLevelType w:val="hybridMultilevel"/>
    <w:tmpl w:val="934EB0C2"/>
    <w:lvl w:ilvl="0" w:tplc="8078F990">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27D66FA9"/>
    <w:multiLevelType w:val="multilevel"/>
    <w:tmpl w:val="E980575C"/>
    <w:lvl w:ilvl="0">
      <w:start w:val="1"/>
      <w:numFmt w:val="decimal"/>
      <w:lvlText w:val="%1."/>
      <w:lvlJc w:val="left"/>
      <w:pPr>
        <w:ind w:left="720" w:hanging="360"/>
      </w:pPr>
      <w:rPr>
        <w:rFonts w:hint="default"/>
      </w:rPr>
    </w:lvl>
    <w:lvl w:ilvl="1">
      <w:start w:val="3"/>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C3412B5"/>
    <w:multiLevelType w:val="multilevel"/>
    <w:tmpl w:val="D7CA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426B2"/>
    <w:multiLevelType w:val="hybridMultilevel"/>
    <w:tmpl w:val="5E00B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A66F95"/>
    <w:multiLevelType w:val="hybridMultilevel"/>
    <w:tmpl w:val="5E00B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A6028C"/>
    <w:multiLevelType w:val="multilevel"/>
    <w:tmpl w:val="BADC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4F4668"/>
    <w:multiLevelType w:val="multilevel"/>
    <w:tmpl w:val="AA54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743D8E"/>
    <w:multiLevelType w:val="hybridMultilevel"/>
    <w:tmpl w:val="5E00B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664792"/>
    <w:multiLevelType w:val="multilevel"/>
    <w:tmpl w:val="D02C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884ABA"/>
    <w:multiLevelType w:val="multilevel"/>
    <w:tmpl w:val="E950525C"/>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58730A66"/>
    <w:multiLevelType w:val="hybridMultilevel"/>
    <w:tmpl w:val="8E445E62"/>
    <w:lvl w:ilvl="0" w:tplc="016E2B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9321DF"/>
    <w:multiLevelType w:val="hybridMultilevel"/>
    <w:tmpl w:val="FC54ADB8"/>
    <w:lvl w:ilvl="0" w:tplc="0ED2FF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CD26E6"/>
    <w:multiLevelType w:val="multilevel"/>
    <w:tmpl w:val="014A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204169">
    <w:abstractNumId w:val="6"/>
  </w:num>
  <w:num w:numId="2" w16cid:durableId="1013725040">
    <w:abstractNumId w:val="15"/>
  </w:num>
  <w:num w:numId="3" w16cid:durableId="1953439405">
    <w:abstractNumId w:val="16"/>
  </w:num>
  <w:num w:numId="4" w16cid:durableId="1081294933">
    <w:abstractNumId w:val="3"/>
  </w:num>
  <w:num w:numId="5" w16cid:durableId="585531351">
    <w:abstractNumId w:val="5"/>
  </w:num>
  <w:num w:numId="6" w16cid:durableId="334192433">
    <w:abstractNumId w:val="7"/>
  </w:num>
  <w:num w:numId="7" w16cid:durableId="829367654">
    <w:abstractNumId w:val="2"/>
  </w:num>
  <w:num w:numId="8" w16cid:durableId="2069062110">
    <w:abstractNumId w:val="14"/>
  </w:num>
  <w:num w:numId="9" w16cid:durableId="494928244">
    <w:abstractNumId w:val="12"/>
  </w:num>
  <w:num w:numId="10" w16cid:durableId="1713119118">
    <w:abstractNumId w:val="9"/>
  </w:num>
  <w:num w:numId="11" w16cid:durableId="1659335484">
    <w:abstractNumId w:val="8"/>
  </w:num>
  <w:num w:numId="12" w16cid:durableId="811823282">
    <w:abstractNumId w:val="4"/>
  </w:num>
  <w:num w:numId="13" w16cid:durableId="773017232">
    <w:abstractNumId w:val="11"/>
  </w:num>
  <w:num w:numId="14" w16cid:durableId="1426531368">
    <w:abstractNumId w:val="1"/>
  </w:num>
  <w:num w:numId="15" w16cid:durableId="572084767">
    <w:abstractNumId w:val="10"/>
  </w:num>
  <w:num w:numId="16" w16cid:durableId="971403565">
    <w:abstractNumId w:val="17"/>
  </w:num>
  <w:num w:numId="17" w16cid:durableId="40978792">
    <w:abstractNumId w:val="0"/>
  </w:num>
  <w:num w:numId="18" w16cid:durableId="8300263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F6"/>
    <w:rsid w:val="00000876"/>
    <w:rsid w:val="000165CB"/>
    <w:rsid w:val="00022B0D"/>
    <w:rsid w:val="00024CC2"/>
    <w:rsid w:val="00032076"/>
    <w:rsid w:val="00041E66"/>
    <w:rsid w:val="000420C1"/>
    <w:rsid w:val="00053DB6"/>
    <w:rsid w:val="000653EF"/>
    <w:rsid w:val="00083CFA"/>
    <w:rsid w:val="000B3DB8"/>
    <w:rsid w:val="000C088C"/>
    <w:rsid w:val="000C4643"/>
    <w:rsid w:val="000C46C5"/>
    <w:rsid w:val="000D69DE"/>
    <w:rsid w:val="000E010C"/>
    <w:rsid w:val="000E1274"/>
    <w:rsid w:val="000F47CC"/>
    <w:rsid w:val="000F674F"/>
    <w:rsid w:val="00114060"/>
    <w:rsid w:val="00124B5D"/>
    <w:rsid w:val="001423C1"/>
    <w:rsid w:val="001816E3"/>
    <w:rsid w:val="001846C0"/>
    <w:rsid w:val="001854B0"/>
    <w:rsid w:val="001955A4"/>
    <w:rsid w:val="00195F5E"/>
    <w:rsid w:val="001A349C"/>
    <w:rsid w:val="001C019E"/>
    <w:rsid w:val="001C1FFC"/>
    <w:rsid w:val="001C5182"/>
    <w:rsid w:val="001E78A9"/>
    <w:rsid w:val="001E7E49"/>
    <w:rsid w:val="001F4B57"/>
    <w:rsid w:val="001F596D"/>
    <w:rsid w:val="002063C8"/>
    <w:rsid w:val="0024429C"/>
    <w:rsid w:val="00245BF9"/>
    <w:rsid w:val="00266796"/>
    <w:rsid w:val="002720BD"/>
    <w:rsid w:val="00272D43"/>
    <w:rsid w:val="0027383E"/>
    <w:rsid w:val="002816CF"/>
    <w:rsid w:val="0028744E"/>
    <w:rsid w:val="002A339F"/>
    <w:rsid w:val="002B29B9"/>
    <w:rsid w:val="002B3A10"/>
    <w:rsid w:val="002B3AA6"/>
    <w:rsid w:val="002C1842"/>
    <w:rsid w:val="002C4A90"/>
    <w:rsid w:val="002D4999"/>
    <w:rsid w:val="002F4D50"/>
    <w:rsid w:val="002F7702"/>
    <w:rsid w:val="00304975"/>
    <w:rsid w:val="00311E16"/>
    <w:rsid w:val="003236FB"/>
    <w:rsid w:val="003302EA"/>
    <w:rsid w:val="00342EA0"/>
    <w:rsid w:val="0034599E"/>
    <w:rsid w:val="003908E1"/>
    <w:rsid w:val="00392A50"/>
    <w:rsid w:val="003C0625"/>
    <w:rsid w:val="003E52FA"/>
    <w:rsid w:val="003F7E7B"/>
    <w:rsid w:val="00430630"/>
    <w:rsid w:val="00431D14"/>
    <w:rsid w:val="00434666"/>
    <w:rsid w:val="004354E1"/>
    <w:rsid w:val="00435B7A"/>
    <w:rsid w:val="00435C3F"/>
    <w:rsid w:val="0043776A"/>
    <w:rsid w:val="00443AEF"/>
    <w:rsid w:val="0046615A"/>
    <w:rsid w:val="00467B3E"/>
    <w:rsid w:val="00484960"/>
    <w:rsid w:val="0049078D"/>
    <w:rsid w:val="00491647"/>
    <w:rsid w:val="004969FF"/>
    <w:rsid w:val="004C5184"/>
    <w:rsid w:val="004C5D4D"/>
    <w:rsid w:val="004E5180"/>
    <w:rsid w:val="004F317E"/>
    <w:rsid w:val="004F33C9"/>
    <w:rsid w:val="004F35C0"/>
    <w:rsid w:val="005054E5"/>
    <w:rsid w:val="0051546A"/>
    <w:rsid w:val="005235FF"/>
    <w:rsid w:val="005613BD"/>
    <w:rsid w:val="0056388B"/>
    <w:rsid w:val="005647A2"/>
    <w:rsid w:val="005717F5"/>
    <w:rsid w:val="00571D06"/>
    <w:rsid w:val="00580F62"/>
    <w:rsid w:val="00594E7C"/>
    <w:rsid w:val="005A5DFA"/>
    <w:rsid w:val="005B1B23"/>
    <w:rsid w:val="005B7258"/>
    <w:rsid w:val="005D1C3C"/>
    <w:rsid w:val="005D243A"/>
    <w:rsid w:val="005E0F75"/>
    <w:rsid w:val="005E5C6A"/>
    <w:rsid w:val="0060523F"/>
    <w:rsid w:val="006074C4"/>
    <w:rsid w:val="00616B00"/>
    <w:rsid w:val="0063169A"/>
    <w:rsid w:val="00634008"/>
    <w:rsid w:val="00636CC9"/>
    <w:rsid w:val="006446CE"/>
    <w:rsid w:val="00656E8F"/>
    <w:rsid w:val="00664941"/>
    <w:rsid w:val="006729EB"/>
    <w:rsid w:val="00687499"/>
    <w:rsid w:val="006B3664"/>
    <w:rsid w:val="006B3810"/>
    <w:rsid w:val="006C008C"/>
    <w:rsid w:val="006D1DA7"/>
    <w:rsid w:val="006D24A5"/>
    <w:rsid w:val="006F5A83"/>
    <w:rsid w:val="00703F05"/>
    <w:rsid w:val="00720CBE"/>
    <w:rsid w:val="00743AD7"/>
    <w:rsid w:val="00747C1A"/>
    <w:rsid w:val="0075745C"/>
    <w:rsid w:val="007679EB"/>
    <w:rsid w:val="007747D1"/>
    <w:rsid w:val="00795644"/>
    <w:rsid w:val="007A2304"/>
    <w:rsid w:val="007C0013"/>
    <w:rsid w:val="007C6B7B"/>
    <w:rsid w:val="00820540"/>
    <w:rsid w:val="00821F11"/>
    <w:rsid w:val="00830FB2"/>
    <w:rsid w:val="00855F66"/>
    <w:rsid w:val="008768FF"/>
    <w:rsid w:val="008903C4"/>
    <w:rsid w:val="008B6E2B"/>
    <w:rsid w:val="008D445D"/>
    <w:rsid w:val="00911B07"/>
    <w:rsid w:val="009147B7"/>
    <w:rsid w:val="009174A9"/>
    <w:rsid w:val="00917820"/>
    <w:rsid w:val="009232CF"/>
    <w:rsid w:val="00924A82"/>
    <w:rsid w:val="009259F6"/>
    <w:rsid w:val="009310EC"/>
    <w:rsid w:val="00950B51"/>
    <w:rsid w:val="00955B25"/>
    <w:rsid w:val="00964633"/>
    <w:rsid w:val="00965D7C"/>
    <w:rsid w:val="00985C45"/>
    <w:rsid w:val="009B294F"/>
    <w:rsid w:val="009B78D1"/>
    <w:rsid w:val="009C0B90"/>
    <w:rsid w:val="009C7767"/>
    <w:rsid w:val="009C7FD4"/>
    <w:rsid w:val="009D1B7F"/>
    <w:rsid w:val="009D359B"/>
    <w:rsid w:val="009D6CA0"/>
    <w:rsid w:val="009E01A9"/>
    <w:rsid w:val="009E51D0"/>
    <w:rsid w:val="009F6E76"/>
    <w:rsid w:val="009F6ED7"/>
    <w:rsid w:val="00A0001B"/>
    <w:rsid w:val="00A0213C"/>
    <w:rsid w:val="00A17923"/>
    <w:rsid w:val="00A3746B"/>
    <w:rsid w:val="00A6194D"/>
    <w:rsid w:val="00A663C8"/>
    <w:rsid w:val="00A70304"/>
    <w:rsid w:val="00A74C2A"/>
    <w:rsid w:val="00A77D78"/>
    <w:rsid w:val="00A95F8F"/>
    <w:rsid w:val="00A96435"/>
    <w:rsid w:val="00A96E73"/>
    <w:rsid w:val="00AA5B28"/>
    <w:rsid w:val="00AB7B9A"/>
    <w:rsid w:val="00AD4F1F"/>
    <w:rsid w:val="00AD5051"/>
    <w:rsid w:val="00AF0CC5"/>
    <w:rsid w:val="00AF4726"/>
    <w:rsid w:val="00AF4F24"/>
    <w:rsid w:val="00B00C9F"/>
    <w:rsid w:val="00B04E6F"/>
    <w:rsid w:val="00B116D3"/>
    <w:rsid w:val="00B12F3F"/>
    <w:rsid w:val="00B33C0E"/>
    <w:rsid w:val="00B536EB"/>
    <w:rsid w:val="00B56A1F"/>
    <w:rsid w:val="00B711C5"/>
    <w:rsid w:val="00B773C1"/>
    <w:rsid w:val="00B85974"/>
    <w:rsid w:val="00BA0543"/>
    <w:rsid w:val="00BA0A7A"/>
    <w:rsid w:val="00BA1378"/>
    <w:rsid w:val="00BB1A1F"/>
    <w:rsid w:val="00BB54CA"/>
    <w:rsid w:val="00BD2B98"/>
    <w:rsid w:val="00BD4C05"/>
    <w:rsid w:val="00BE1C54"/>
    <w:rsid w:val="00C06B4D"/>
    <w:rsid w:val="00C0739D"/>
    <w:rsid w:val="00C30513"/>
    <w:rsid w:val="00C43A7D"/>
    <w:rsid w:val="00C56DFE"/>
    <w:rsid w:val="00C6339D"/>
    <w:rsid w:val="00C67120"/>
    <w:rsid w:val="00C715F6"/>
    <w:rsid w:val="00C97F12"/>
    <w:rsid w:val="00CA3D7A"/>
    <w:rsid w:val="00CD0D47"/>
    <w:rsid w:val="00CE2DA9"/>
    <w:rsid w:val="00CE3080"/>
    <w:rsid w:val="00CF3C86"/>
    <w:rsid w:val="00D14FDF"/>
    <w:rsid w:val="00D15B51"/>
    <w:rsid w:val="00D17E62"/>
    <w:rsid w:val="00D326FA"/>
    <w:rsid w:val="00D32CEC"/>
    <w:rsid w:val="00D36C6B"/>
    <w:rsid w:val="00D4381E"/>
    <w:rsid w:val="00D445B2"/>
    <w:rsid w:val="00D4477C"/>
    <w:rsid w:val="00D545DD"/>
    <w:rsid w:val="00D55E28"/>
    <w:rsid w:val="00D92E7F"/>
    <w:rsid w:val="00DA0F48"/>
    <w:rsid w:val="00DA3679"/>
    <w:rsid w:val="00DC034A"/>
    <w:rsid w:val="00DC329C"/>
    <w:rsid w:val="00DC4953"/>
    <w:rsid w:val="00DC6CF7"/>
    <w:rsid w:val="00DD1B8B"/>
    <w:rsid w:val="00DD2B04"/>
    <w:rsid w:val="00DD6AD8"/>
    <w:rsid w:val="00DF009E"/>
    <w:rsid w:val="00E12A20"/>
    <w:rsid w:val="00E201D8"/>
    <w:rsid w:val="00E33AAE"/>
    <w:rsid w:val="00E36D82"/>
    <w:rsid w:val="00E40561"/>
    <w:rsid w:val="00E712AE"/>
    <w:rsid w:val="00EA7356"/>
    <w:rsid w:val="00EB4ADD"/>
    <w:rsid w:val="00EC13C0"/>
    <w:rsid w:val="00ED23E9"/>
    <w:rsid w:val="00ED5D55"/>
    <w:rsid w:val="00F176D2"/>
    <w:rsid w:val="00F24C5C"/>
    <w:rsid w:val="00F37EA2"/>
    <w:rsid w:val="00F40501"/>
    <w:rsid w:val="00F41010"/>
    <w:rsid w:val="00F61569"/>
    <w:rsid w:val="00F66B62"/>
    <w:rsid w:val="00F86B33"/>
    <w:rsid w:val="00F879B1"/>
    <w:rsid w:val="00FA0FB9"/>
    <w:rsid w:val="00FA6471"/>
    <w:rsid w:val="00FD2AD0"/>
    <w:rsid w:val="00FE3A7F"/>
    <w:rsid w:val="00FF4D7D"/>
    <w:rsid w:val="00FF6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473F6D2C"/>
  <w15:chartTrackingRefBased/>
  <w15:docId w15:val="{B7864888-2A6D-4911-BCBD-ADB68F11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354E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ddress">
    <w:name w:val="M_address"/>
    <w:basedOn w:val="Normal"/>
    <w:rsid w:val="00AF0CC5"/>
    <w:pPr>
      <w:spacing w:before="240" w:after="0" w:line="340" w:lineRule="atLeast"/>
    </w:pPr>
    <w:rPr>
      <w:rFonts w:ascii="Times New Roman" w:eastAsia="Times New Roman" w:hAnsi="Times New Roman" w:cs="Times New Roman"/>
      <w:color w:val="000000"/>
      <w:sz w:val="24"/>
      <w:szCs w:val="20"/>
      <w:lang w:eastAsia="de-DE"/>
    </w:rPr>
  </w:style>
  <w:style w:type="character" w:styleId="Hyperlink">
    <w:name w:val="Hyperlink"/>
    <w:basedOn w:val="DefaultParagraphFont"/>
    <w:uiPriority w:val="99"/>
    <w:unhideWhenUsed/>
    <w:rsid w:val="00AF0CC5"/>
    <w:rPr>
      <w:color w:val="0563C1" w:themeColor="hyperlink"/>
      <w:u w:val="single"/>
    </w:rPr>
  </w:style>
  <w:style w:type="paragraph" w:styleId="ListParagraph">
    <w:name w:val="List Paragraph"/>
    <w:basedOn w:val="Normal"/>
    <w:uiPriority w:val="34"/>
    <w:qFormat/>
    <w:rsid w:val="00AF0CC5"/>
    <w:pPr>
      <w:spacing w:after="200" w:line="276" w:lineRule="auto"/>
      <w:ind w:left="720"/>
      <w:contextualSpacing/>
    </w:pPr>
  </w:style>
  <w:style w:type="paragraph" w:customStyle="1" w:styleId="MHeading1">
    <w:name w:val="M_Heading1"/>
    <w:basedOn w:val="Normal"/>
    <w:rsid w:val="00AF0CC5"/>
    <w:pPr>
      <w:spacing w:before="240" w:after="240" w:line="340" w:lineRule="atLeast"/>
      <w:jc w:val="both"/>
    </w:pPr>
    <w:rPr>
      <w:rFonts w:ascii="Times New Roman" w:eastAsia="Times New Roman" w:hAnsi="Times New Roman" w:cs="Times New Roman"/>
      <w:b/>
      <w:color w:val="000000"/>
      <w:sz w:val="24"/>
      <w:szCs w:val="20"/>
      <w:lang w:eastAsia="de-DE"/>
    </w:rPr>
  </w:style>
  <w:style w:type="paragraph" w:customStyle="1" w:styleId="Mabstract">
    <w:name w:val="M_abstract"/>
    <w:basedOn w:val="Normal"/>
    <w:rsid w:val="00AF0CC5"/>
    <w:pPr>
      <w:spacing w:before="240" w:after="0" w:line="340" w:lineRule="atLeast"/>
      <w:ind w:left="510" w:right="510"/>
      <w:jc w:val="both"/>
    </w:pPr>
    <w:rPr>
      <w:rFonts w:ascii="Times New Roman" w:eastAsia="Times New Roman" w:hAnsi="Times New Roman" w:cs="Times New Roman"/>
      <w:color w:val="000000"/>
      <w:sz w:val="24"/>
      <w:szCs w:val="20"/>
      <w:lang w:eastAsia="de-DE"/>
    </w:rPr>
  </w:style>
  <w:style w:type="paragraph" w:styleId="FootnoteText">
    <w:name w:val="footnote text"/>
    <w:basedOn w:val="Normal"/>
    <w:link w:val="FootnoteTextChar"/>
    <w:uiPriority w:val="99"/>
    <w:semiHidden/>
    <w:unhideWhenUsed/>
    <w:rsid w:val="00F86B33"/>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F86B33"/>
    <w:rPr>
      <w:kern w:val="2"/>
      <w:sz w:val="20"/>
      <w:szCs w:val="20"/>
      <w14:ligatures w14:val="standardContextual"/>
    </w:rPr>
  </w:style>
  <w:style w:type="character" w:styleId="FootnoteReference">
    <w:name w:val="footnote reference"/>
    <w:basedOn w:val="DefaultParagraphFont"/>
    <w:uiPriority w:val="99"/>
    <w:semiHidden/>
    <w:unhideWhenUsed/>
    <w:rsid w:val="00F86B33"/>
    <w:rPr>
      <w:vertAlign w:val="superscript"/>
    </w:rPr>
  </w:style>
  <w:style w:type="table" w:styleId="PlainTable4">
    <w:name w:val="Plain Table 4"/>
    <w:basedOn w:val="TableNormal"/>
    <w:uiPriority w:val="44"/>
    <w:rsid w:val="00C97F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1A349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6">
    <w:name w:val="List Table 6 Colorful Accent 6"/>
    <w:basedOn w:val="TableNormal"/>
    <w:uiPriority w:val="51"/>
    <w:rsid w:val="00EB4ADD"/>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apple-converted-space">
    <w:name w:val="apple-converted-space"/>
    <w:rsid w:val="00D15B51"/>
  </w:style>
  <w:style w:type="table" w:styleId="TableGrid">
    <w:name w:val="Table Grid"/>
    <w:basedOn w:val="TableNormal"/>
    <w:uiPriority w:val="39"/>
    <w:rsid w:val="00D15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D15B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4354E1"/>
    <w:rPr>
      <w:rFonts w:ascii="Times New Roman" w:eastAsia="Times New Roman" w:hAnsi="Times New Roman" w:cs="Times New Roman"/>
      <w:b/>
      <w:bCs/>
      <w:sz w:val="27"/>
      <w:szCs w:val="27"/>
    </w:rPr>
  </w:style>
  <w:style w:type="character" w:styleId="Strong">
    <w:name w:val="Strong"/>
    <w:basedOn w:val="DefaultParagraphFont"/>
    <w:uiPriority w:val="22"/>
    <w:qFormat/>
    <w:rsid w:val="00EA7356"/>
    <w:rPr>
      <w:b/>
      <w:bCs/>
    </w:rPr>
  </w:style>
  <w:style w:type="character" w:styleId="Emphasis">
    <w:name w:val="Emphasis"/>
    <w:basedOn w:val="DefaultParagraphFont"/>
    <w:uiPriority w:val="20"/>
    <w:qFormat/>
    <w:rsid w:val="00EA7356"/>
    <w:rPr>
      <w:i/>
      <w:iCs/>
    </w:rPr>
  </w:style>
  <w:style w:type="paragraph" w:customStyle="1" w:styleId="ReferHead">
    <w:name w:val="Refer Head"/>
    <w:basedOn w:val="Normal"/>
    <w:rsid w:val="00491647"/>
    <w:pPr>
      <w:keepNext/>
      <w:spacing w:after="240" w:line="240" w:lineRule="auto"/>
    </w:pPr>
    <w:rPr>
      <w:rFonts w:ascii="Helvetica" w:eastAsia="Times New Roman" w:hAnsi="Helvetica" w:cs="Times New Roman"/>
      <w:b/>
      <w:caps/>
      <w:szCs w:val="20"/>
    </w:rPr>
  </w:style>
  <w:style w:type="paragraph" w:customStyle="1" w:styleId="nova-legacy-e-listitem">
    <w:name w:val="nova-legacy-e-list__item"/>
    <w:basedOn w:val="Normal"/>
    <w:rsid w:val="0063400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C0B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B90"/>
  </w:style>
  <w:style w:type="paragraph" w:styleId="Footer">
    <w:name w:val="footer"/>
    <w:basedOn w:val="Normal"/>
    <w:link w:val="FooterChar"/>
    <w:uiPriority w:val="99"/>
    <w:unhideWhenUsed/>
    <w:rsid w:val="009C0B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B90"/>
  </w:style>
  <w:style w:type="paragraph" w:customStyle="1" w:styleId="Default">
    <w:name w:val="Default"/>
    <w:rsid w:val="007747D1"/>
    <w:pPr>
      <w:autoSpaceDE w:val="0"/>
      <w:autoSpaceDN w:val="0"/>
      <w:adjustRightInd w:val="0"/>
      <w:spacing w:after="0" w:line="240" w:lineRule="auto"/>
    </w:pPr>
    <w:rPr>
      <w:rFonts w:ascii="Cambria" w:hAnsi="Cambria" w:cs="Cambria"/>
      <w:color w:val="000000"/>
      <w:sz w:val="24"/>
      <w:szCs w:val="24"/>
    </w:rPr>
  </w:style>
  <w:style w:type="character" w:styleId="UnresolvedMention">
    <w:name w:val="Unresolved Mention"/>
    <w:basedOn w:val="DefaultParagraphFont"/>
    <w:uiPriority w:val="99"/>
    <w:semiHidden/>
    <w:unhideWhenUsed/>
    <w:rsid w:val="00AF4F24"/>
    <w:rPr>
      <w:color w:val="605E5C"/>
      <w:shd w:val="clear" w:color="auto" w:fill="E1DFDD"/>
    </w:rPr>
  </w:style>
  <w:style w:type="character" w:customStyle="1" w:styleId="anchor-text">
    <w:name w:val="anchor-text"/>
    <w:basedOn w:val="DefaultParagraphFont"/>
    <w:rsid w:val="004F33C9"/>
  </w:style>
  <w:style w:type="character" w:customStyle="1" w:styleId="identifier">
    <w:name w:val="identifier"/>
    <w:basedOn w:val="DefaultParagraphFont"/>
    <w:rsid w:val="00BD2B98"/>
  </w:style>
  <w:style w:type="character" w:customStyle="1" w:styleId="id-label">
    <w:name w:val="id-label"/>
    <w:basedOn w:val="DefaultParagraphFont"/>
    <w:rsid w:val="00BD2B98"/>
  </w:style>
  <w:style w:type="character" w:styleId="CommentReference">
    <w:name w:val="annotation reference"/>
    <w:basedOn w:val="DefaultParagraphFont"/>
    <w:uiPriority w:val="99"/>
    <w:semiHidden/>
    <w:unhideWhenUsed/>
    <w:rsid w:val="00B56A1F"/>
    <w:rPr>
      <w:sz w:val="16"/>
      <w:szCs w:val="16"/>
    </w:rPr>
  </w:style>
  <w:style w:type="paragraph" w:styleId="CommentText">
    <w:name w:val="annotation text"/>
    <w:basedOn w:val="Normal"/>
    <w:link w:val="CommentTextChar"/>
    <w:uiPriority w:val="99"/>
    <w:semiHidden/>
    <w:unhideWhenUsed/>
    <w:rsid w:val="00B56A1F"/>
    <w:pPr>
      <w:spacing w:line="240" w:lineRule="auto"/>
    </w:pPr>
    <w:rPr>
      <w:sz w:val="20"/>
      <w:szCs w:val="20"/>
    </w:rPr>
  </w:style>
  <w:style w:type="character" w:customStyle="1" w:styleId="CommentTextChar">
    <w:name w:val="Comment Text Char"/>
    <w:basedOn w:val="DefaultParagraphFont"/>
    <w:link w:val="CommentText"/>
    <w:uiPriority w:val="99"/>
    <w:semiHidden/>
    <w:rsid w:val="00B56A1F"/>
    <w:rPr>
      <w:sz w:val="20"/>
      <w:szCs w:val="20"/>
    </w:rPr>
  </w:style>
  <w:style w:type="paragraph" w:styleId="CommentSubject">
    <w:name w:val="annotation subject"/>
    <w:basedOn w:val="CommentText"/>
    <w:next w:val="CommentText"/>
    <w:link w:val="CommentSubjectChar"/>
    <w:uiPriority w:val="99"/>
    <w:semiHidden/>
    <w:unhideWhenUsed/>
    <w:rsid w:val="00B56A1F"/>
    <w:rPr>
      <w:b/>
      <w:bCs/>
    </w:rPr>
  </w:style>
  <w:style w:type="character" w:customStyle="1" w:styleId="CommentSubjectChar">
    <w:name w:val="Comment Subject Char"/>
    <w:basedOn w:val="CommentTextChar"/>
    <w:link w:val="CommentSubject"/>
    <w:uiPriority w:val="99"/>
    <w:semiHidden/>
    <w:rsid w:val="00B56A1F"/>
    <w:rPr>
      <w:b/>
      <w:bCs/>
      <w:sz w:val="20"/>
      <w:szCs w:val="20"/>
    </w:rPr>
  </w:style>
  <w:style w:type="paragraph" w:styleId="BalloonText">
    <w:name w:val="Balloon Text"/>
    <w:basedOn w:val="Normal"/>
    <w:link w:val="BalloonTextChar"/>
    <w:uiPriority w:val="99"/>
    <w:semiHidden/>
    <w:unhideWhenUsed/>
    <w:rsid w:val="00B56A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A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58239">
      <w:bodyDiv w:val="1"/>
      <w:marLeft w:val="0"/>
      <w:marRight w:val="0"/>
      <w:marTop w:val="0"/>
      <w:marBottom w:val="0"/>
      <w:divBdr>
        <w:top w:val="none" w:sz="0" w:space="0" w:color="auto"/>
        <w:left w:val="none" w:sz="0" w:space="0" w:color="auto"/>
        <w:bottom w:val="none" w:sz="0" w:space="0" w:color="auto"/>
        <w:right w:val="none" w:sz="0" w:space="0" w:color="auto"/>
      </w:divBdr>
    </w:div>
    <w:div w:id="867791493">
      <w:bodyDiv w:val="1"/>
      <w:marLeft w:val="0"/>
      <w:marRight w:val="0"/>
      <w:marTop w:val="0"/>
      <w:marBottom w:val="0"/>
      <w:divBdr>
        <w:top w:val="none" w:sz="0" w:space="0" w:color="auto"/>
        <w:left w:val="none" w:sz="0" w:space="0" w:color="auto"/>
        <w:bottom w:val="none" w:sz="0" w:space="0" w:color="auto"/>
        <w:right w:val="none" w:sz="0" w:space="0" w:color="auto"/>
      </w:divBdr>
    </w:div>
    <w:div w:id="870143731">
      <w:bodyDiv w:val="1"/>
      <w:marLeft w:val="0"/>
      <w:marRight w:val="0"/>
      <w:marTop w:val="0"/>
      <w:marBottom w:val="0"/>
      <w:divBdr>
        <w:top w:val="none" w:sz="0" w:space="0" w:color="auto"/>
        <w:left w:val="none" w:sz="0" w:space="0" w:color="auto"/>
        <w:bottom w:val="none" w:sz="0" w:space="0" w:color="auto"/>
        <w:right w:val="none" w:sz="0" w:space="0" w:color="auto"/>
      </w:divBdr>
    </w:div>
    <w:div w:id="983777038">
      <w:bodyDiv w:val="1"/>
      <w:marLeft w:val="0"/>
      <w:marRight w:val="0"/>
      <w:marTop w:val="0"/>
      <w:marBottom w:val="0"/>
      <w:divBdr>
        <w:top w:val="none" w:sz="0" w:space="0" w:color="auto"/>
        <w:left w:val="none" w:sz="0" w:space="0" w:color="auto"/>
        <w:bottom w:val="none" w:sz="0" w:space="0" w:color="auto"/>
        <w:right w:val="none" w:sz="0" w:space="0" w:color="auto"/>
      </w:divBdr>
    </w:div>
    <w:div w:id="1452479648">
      <w:bodyDiv w:val="1"/>
      <w:marLeft w:val="0"/>
      <w:marRight w:val="0"/>
      <w:marTop w:val="0"/>
      <w:marBottom w:val="0"/>
      <w:divBdr>
        <w:top w:val="none" w:sz="0" w:space="0" w:color="auto"/>
        <w:left w:val="none" w:sz="0" w:space="0" w:color="auto"/>
        <w:bottom w:val="none" w:sz="0" w:space="0" w:color="auto"/>
        <w:right w:val="none" w:sz="0" w:space="0" w:color="auto"/>
      </w:divBdr>
    </w:div>
    <w:div w:id="1646884937">
      <w:bodyDiv w:val="1"/>
      <w:marLeft w:val="0"/>
      <w:marRight w:val="0"/>
      <w:marTop w:val="0"/>
      <w:marBottom w:val="0"/>
      <w:divBdr>
        <w:top w:val="none" w:sz="0" w:space="0" w:color="auto"/>
        <w:left w:val="none" w:sz="0" w:space="0" w:color="auto"/>
        <w:bottom w:val="none" w:sz="0" w:space="0" w:color="auto"/>
        <w:right w:val="none" w:sz="0" w:space="0" w:color="auto"/>
      </w:divBdr>
    </w:div>
    <w:div w:id="1912306843">
      <w:bodyDiv w:val="1"/>
      <w:marLeft w:val="0"/>
      <w:marRight w:val="0"/>
      <w:marTop w:val="0"/>
      <w:marBottom w:val="0"/>
      <w:divBdr>
        <w:top w:val="none" w:sz="0" w:space="0" w:color="auto"/>
        <w:left w:val="none" w:sz="0" w:space="0" w:color="auto"/>
        <w:bottom w:val="none" w:sz="0" w:space="0" w:color="auto"/>
        <w:right w:val="none" w:sz="0" w:space="0" w:color="auto"/>
      </w:divBdr>
    </w:div>
    <w:div w:id="197436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chart" Target="charts/chart10.xml"/><Relationship Id="rId34" Type="http://schemas.openxmlformats.org/officeDocument/2006/relationships/hyperlink" Target="https://www.interesjournals.org/articles/bioassayguided-isolation-and-partial-characterization-of-an-antisickling-compound-from-enantia-chlorantha.pdf?utm_source=chatgpt.com" TargetMode="External"/><Relationship Id="rId42" Type="http://schemas.openxmlformats.org/officeDocument/2006/relationships/hyperlink" Target="https://jofmedical.com/index.php/AJRMMS/article/view/9?utm_source=chatgpt.com" TargetMode="External"/><Relationship Id="rId47" Type="http://schemas.openxmlformats.org/officeDocument/2006/relationships/hyperlink" Target="https://www.phytojournal.com/archives/2013.v1.i6.60/preliminary-phytochemical-studies-and-evaluation-of-antimicrobial-property-of-the-methanol-extract-of-the-roobark-of-ritchiea-longipedicellata-gilg-family-capparidacaea?utm_source=chatgpt.com" TargetMode="External"/><Relationship Id="rId50" Type="http://schemas.openxmlformats.org/officeDocument/2006/relationships/hyperlink" Target="https://doi.org/10.1046/j.1529-8817.2000.99079.x" TargetMode="External"/><Relationship Id="rId55" Type="http://schemas.openxmlformats.org/officeDocument/2006/relationships/hyperlink" Target="https://doi.org/10.1002/jps.20318"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image" Target="media/image7.emf"/><Relationship Id="rId11" Type="http://schemas.openxmlformats.org/officeDocument/2006/relationships/image" Target="media/image3.png"/><Relationship Id="rId24" Type="http://schemas.openxmlformats.org/officeDocument/2006/relationships/image" Target="media/image4.png"/><Relationship Id="rId32" Type="http://schemas.openxmlformats.org/officeDocument/2006/relationships/oleObject" Target="embeddings/oleObject5.bin"/><Relationship Id="rId37" Type="http://schemas.openxmlformats.org/officeDocument/2006/relationships/hyperlink" Target="https://doi.org/10.5694/j.1326-5377.2006.tb00548.x" TargetMode="External"/><Relationship Id="rId40" Type="http://schemas.openxmlformats.org/officeDocument/2006/relationships/hyperlink" Target="https://doi.org/10.1186/1746-4269-2-14" TargetMode="External"/><Relationship Id="rId45" Type="http://schemas.openxmlformats.org/officeDocument/2006/relationships/hyperlink" Target="https://www.who.int/publications/i/item/9789240027336?utm_source=chatgpt.com" TargetMode="External"/><Relationship Id="rId53" Type="http://schemas.openxmlformats.org/officeDocument/2006/relationships/hyperlink" Target="https://doi.org/10.1007/BF02977371" TargetMode="External"/><Relationship Id="rId58" Type="http://schemas.openxmlformats.org/officeDocument/2006/relationships/hyperlink" Target="https://doi.org/10.1039/D2NP00090C"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image" Target="media/image6.emf"/><Relationship Id="rId30" Type="http://schemas.openxmlformats.org/officeDocument/2006/relationships/oleObject" Target="embeddings/oleObject4.bin"/><Relationship Id="rId35" Type="http://schemas.openxmlformats.org/officeDocument/2006/relationships/hyperlink" Target="https://www.tsijournals.com/articles/bioassayguided-isolation-of-antimicrobial-compound-against-staphylococcus-aureus-from-azadirachta-indica-plant.pdf?utm_source=chatgpt.com" TargetMode="External"/><Relationship Id="rId43" Type="http://schemas.openxmlformats.org/officeDocument/2006/relationships/hyperlink" Target="https://doi.org/10.1007/BF00303957" TargetMode="External"/><Relationship Id="rId48" Type="http://schemas.openxmlformats.org/officeDocument/2006/relationships/hyperlink" Target="https://doi.org/10.1016/j.jep.2019.03.007" TargetMode="External"/><Relationship Id="rId56" Type="http://schemas.openxmlformats.org/officeDocument/2006/relationships/hyperlink" Target="https://doi.org/10.9734/ajrb/2024/v14i5313" TargetMode="External"/><Relationship Id="rId64" Type="http://schemas.openxmlformats.org/officeDocument/2006/relationships/header" Target="header3.xml"/><Relationship Id="rId8" Type="http://schemas.openxmlformats.org/officeDocument/2006/relationships/image" Target="media/image1.emf"/><Relationship Id="rId51" Type="http://schemas.openxmlformats.org/officeDocument/2006/relationships/hyperlink" Target="https://doi.org/10.1111/j.1365-2141.2004.05326.x"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5.emf"/><Relationship Id="rId33" Type="http://schemas.openxmlformats.org/officeDocument/2006/relationships/image" Target="media/image9.png"/><Relationship Id="rId38" Type="http://schemas.openxmlformats.org/officeDocument/2006/relationships/hyperlink" Target="https://doi.org/10.1016/j.jpha.2013.07.001" TargetMode="External"/><Relationship Id="rId46" Type="http://schemas.openxmlformats.org/officeDocument/2006/relationships/hyperlink" Target="https://sdgs.un.org/2030agenda?utm_source=chatgpt.com" TargetMode="External"/><Relationship Id="rId59" Type="http://schemas.openxmlformats.org/officeDocument/2006/relationships/hyperlink" Target="https://doi.org/10.1016/j.heliyon.2024.e31145" TargetMode="External"/><Relationship Id="rId67" Type="http://schemas.openxmlformats.org/officeDocument/2006/relationships/theme" Target="theme/theme1.xml"/><Relationship Id="rId20" Type="http://schemas.openxmlformats.org/officeDocument/2006/relationships/chart" Target="charts/chart9.xml"/><Relationship Id="rId41" Type="http://schemas.openxmlformats.org/officeDocument/2006/relationships/hyperlink" Target="https://doi.org/10.1016/j.jep.2021.114363" TargetMode="External"/><Relationship Id="rId54" Type="http://schemas.openxmlformats.org/officeDocument/2006/relationships/hyperlink" Target="https://www.jocpr.com/articles/mesoionic-sydnone-derivatives-an-overview-1176.html?utm_source=chatgpt.com"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oleObject" Target="embeddings/oleObject3.bin"/><Relationship Id="rId36" Type="http://schemas.openxmlformats.org/officeDocument/2006/relationships/hyperlink" Target="https://doi.org/10.1016/j.phytol.2021.03.011" TargetMode="External"/><Relationship Id="rId49" Type="http://schemas.openxmlformats.org/officeDocument/2006/relationships/hyperlink" Target="https://doi.org/10.1616/1476-2137.14184" TargetMode="External"/><Relationship Id="rId57" Type="http://schemas.openxmlformats.org/officeDocument/2006/relationships/hyperlink" Target="https://doi.org/10.56557/ajmab/2026/v11i110527" TargetMode="External"/><Relationship Id="rId10" Type="http://schemas.openxmlformats.org/officeDocument/2006/relationships/image" Target="media/image2.png"/><Relationship Id="rId31" Type="http://schemas.openxmlformats.org/officeDocument/2006/relationships/image" Target="media/image8.emf"/><Relationship Id="rId44" Type="http://schemas.openxmlformats.org/officeDocument/2006/relationships/hyperlink" Target="https://doi.org/10.1016/j.jpba.2013.03.007" TargetMode="External"/><Relationship Id="rId52" Type="http://schemas.openxmlformats.org/officeDocument/2006/relationships/hyperlink" Target="https://doi.org/10.1155/2014/497606"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hyperlink" Target="https://doi.org/10.1016/j.jpha.2015.01.00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Itohowo%20Okon%20Akpan\Desktop\RESEARCH%20WORKS\Book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n-hexane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Sheet1!$B$3</c:f>
              <c:strCache>
                <c:ptCount val="1"/>
                <c:pt idx="0">
                  <c:v>200</c:v>
                </c:pt>
              </c:strCache>
            </c:strRef>
          </c:tx>
          <c:spPr>
            <a:solidFill>
              <a:schemeClr val="accent1"/>
            </a:solidFill>
            <a:ln>
              <a:noFill/>
            </a:ln>
            <a:effectLst/>
          </c:spPr>
          <c:invertIfNegative val="0"/>
          <c:cat>
            <c:strRef>
              <c:f>Sheet1!$C$2:$F$2</c:f>
              <c:strCache>
                <c:ptCount val="4"/>
                <c:pt idx="0">
                  <c:v>B. spp</c:v>
                </c:pt>
                <c:pt idx="1">
                  <c:v>S. spp</c:v>
                </c:pt>
                <c:pt idx="2">
                  <c:v>St. spp</c:v>
                </c:pt>
                <c:pt idx="3">
                  <c:v>P. spp</c:v>
                </c:pt>
              </c:strCache>
            </c:strRef>
          </c:cat>
          <c:val>
            <c:numRef>
              <c:f>Sheet1!$C$3:$F$3</c:f>
              <c:numCache>
                <c:formatCode>General</c:formatCode>
                <c:ptCount val="4"/>
                <c:pt idx="0">
                  <c:v>22</c:v>
                </c:pt>
                <c:pt idx="1">
                  <c:v>0</c:v>
                </c:pt>
                <c:pt idx="2">
                  <c:v>0</c:v>
                </c:pt>
                <c:pt idx="3">
                  <c:v>0</c:v>
                </c:pt>
              </c:numCache>
            </c:numRef>
          </c:val>
          <c:extLst>
            <c:ext xmlns:c16="http://schemas.microsoft.com/office/drawing/2014/chart" uri="{C3380CC4-5D6E-409C-BE32-E72D297353CC}">
              <c16:uniqueId val="{00000000-629C-4143-85F8-D97263DB9432}"/>
            </c:ext>
          </c:extLst>
        </c:ser>
        <c:ser>
          <c:idx val="1"/>
          <c:order val="1"/>
          <c:tx>
            <c:strRef>
              <c:f>Sheet1!$B$4</c:f>
              <c:strCache>
                <c:ptCount val="1"/>
                <c:pt idx="0">
                  <c:v>100</c:v>
                </c:pt>
              </c:strCache>
            </c:strRef>
          </c:tx>
          <c:spPr>
            <a:solidFill>
              <a:schemeClr val="accent2"/>
            </a:solidFill>
            <a:ln>
              <a:noFill/>
            </a:ln>
            <a:effectLst/>
          </c:spPr>
          <c:invertIfNegative val="0"/>
          <c:cat>
            <c:strRef>
              <c:f>Sheet1!$C$2:$F$2</c:f>
              <c:strCache>
                <c:ptCount val="4"/>
                <c:pt idx="0">
                  <c:v>B. spp</c:v>
                </c:pt>
                <c:pt idx="1">
                  <c:v>S. spp</c:v>
                </c:pt>
                <c:pt idx="2">
                  <c:v>St. spp</c:v>
                </c:pt>
                <c:pt idx="3">
                  <c:v>P. spp</c:v>
                </c:pt>
              </c:strCache>
            </c:strRef>
          </c:cat>
          <c:val>
            <c:numRef>
              <c:f>Sheet1!$C$4:$F$4</c:f>
              <c:numCache>
                <c:formatCode>General</c:formatCode>
                <c:ptCount val="4"/>
                <c:pt idx="0">
                  <c:v>20</c:v>
                </c:pt>
                <c:pt idx="1">
                  <c:v>0</c:v>
                </c:pt>
                <c:pt idx="2">
                  <c:v>0</c:v>
                </c:pt>
                <c:pt idx="3">
                  <c:v>0</c:v>
                </c:pt>
              </c:numCache>
            </c:numRef>
          </c:val>
          <c:extLst>
            <c:ext xmlns:c16="http://schemas.microsoft.com/office/drawing/2014/chart" uri="{C3380CC4-5D6E-409C-BE32-E72D297353CC}">
              <c16:uniqueId val="{00000001-629C-4143-85F8-D97263DB9432}"/>
            </c:ext>
          </c:extLst>
        </c:ser>
        <c:ser>
          <c:idx val="2"/>
          <c:order val="2"/>
          <c:tx>
            <c:strRef>
              <c:f>Sheet1!$B$5</c:f>
              <c:strCache>
                <c:ptCount val="1"/>
                <c:pt idx="0">
                  <c:v>50</c:v>
                </c:pt>
              </c:strCache>
            </c:strRef>
          </c:tx>
          <c:spPr>
            <a:solidFill>
              <a:schemeClr val="accent3"/>
            </a:solidFill>
            <a:ln>
              <a:noFill/>
            </a:ln>
            <a:effectLst/>
          </c:spPr>
          <c:invertIfNegative val="0"/>
          <c:cat>
            <c:strRef>
              <c:f>Sheet1!$C$2:$F$2</c:f>
              <c:strCache>
                <c:ptCount val="4"/>
                <c:pt idx="0">
                  <c:v>B. spp</c:v>
                </c:pt>
                <c:pt idx="1">
                  <c:v>S. spp</c:v>
                </c:pt>
                <c:pt idx="2">
                  <c:v>St. spp</c:v>
                </c:pt>
                <c:pt idx="3">
                  <c:v>P. spp</c:v>
                </c:pt>
              </c:strCache>
            </c:strRef>
          </c:cat>
          <c:val>
            <c:numRef>
              <c:f>Sheet1!$C$5:$F$5</c:f>
              <c:numCache>
                <c:formatCode>General</c:formatCode>
                <c:ptCount val="4"/>
                <c:pt idx="0">
                  <c:v>11</c:v>
                </c:pt>
                <c:pt idx="1">
                  <c:v>0</c:v>
                </c:pt>
                <c:pt idx="2">
                  <c:v>0</c:v>
                </c:pt>
                <c:pt idx="3">
                  <c:v>0</c:v>
                </c:pt>
              </c:numCache>
            </c:numRef>
          </c:val>
          <c:extLst>
            <c:ext xmlns:c16="http://schemas.microsoft.com/office/drawing/2014/chart" uri="{C3380CC4-5D6E-409C-BE32-E72D297353CC}">
              <c16:uniqueId val="{00000002-629C-4143-85F8-D97263DB9432}"/>
            </c:ext>
          </c:extLst>
        </c:ser>
        <c:ser>
          <c:idx val="3"/>
          <c:order val="3"/>
          <c:tx>
            <c:strRef>
              <c:f>Sheet1!$B$6</c:f>
              <c:strCache>
                <c:ptCount val="1"/>
                <c:pt idx="0">
                  <c:v>Cipro.</c:v>
                </c:pt>
              </c:strCache>
            </c:strRef>
          </c:tx>
          <c:spPr>
            <a:solidFill>
              <a:schemeClr val="accent4"/>
            </a:solidFill>
            <a:ln>
              <a:noFill/>
            </a:ln>
            <a:effectLst/>
          </c:spPr>
          <c:invertIfNegative val="0"/>
          <c:cat>
            <c:strRef>
              <c:f>Sheet1!$C$2:$F$2</c:f>
              <c:strCache>
                <c:ptCount val="4"/>
                <c:pt idx="0">
                  <c:v>B. spp</c:v>
                </c:pt>
                <c:pt idx="1">
                  <c:v>S. spp</c:v>
                </c:pt>
                <c:pt idx="2">
                  <c:v>St. spp</c:v>
                </c:pt>
                <c:pt idx="3">
                  <c:v>P. spp</c:v>
                </c:pt>
              </c:strCache>
            </c:strRef>
          </c:cat>
          <c:val>
            <c:numRef>
              <c:f>Sheet1!$C$6:$F$6</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3-629C-4143-85F8-D97263DB9432}"/>
            </c:ext>
          </c:extLst>
        </c:ser>
        <c:dLbls>
          <c:showLegendKey val="0"/>
          <c:showVal val="0"/>
          <c:showCatName val="0"/>
          <c:showSerName val="0"/>
          <c:showPercent val="0"/>
          <c:showBubbleSize val="0"/>
        </c:dLbls>
        <c:gapWidth val="150"/>
        <c:axId val="1336188591"/>
        <c:axId val="1332816143"/>
      </c:barChart>
      <c:catAx>
        <c:axId val="13361885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Pathogenic</a:t>
                </a:r>
                <a:r>
                  <a:rPr lang="en-US" sz="1100" b="1" baseline="0">
                    <a:latin typeface="Times New Roman" panose="02020603050405020304" pitchFamily="18" charset="0"/>
                    <a:cs typeface="Times New Roman" panose="02020603050405020304" pitchFamily="18" charset="0"/>
                  </a:rPr>
                  <a:t> Bacteria</a:t>
                </a:r>
                <a:endParaRPr lang="en-US" sz="11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816143"/>
        <c:crosses val="autoZero"/>
        <c:auto val="1"/>
        <c:lblAlgn val="ctr"/>
        <c:lblOffset val="100"/>
        <c:noMultiLvlLbl val="0"/>
      </c:catAx>
      <c:valAx>
        <c:axId val="133281614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Zones of Inhibition (mm)</a:t>
                </a:r>
              </a:p>
            </c:rich>
          </c:tx>
          <c:layout>
            <c:manualLayout>
              <c:xMode val="edge"/>
              <c:yMode val="edge"/>
              <c:x val="3.0555555555555555E-2"/>
              <c:y val="0.112226512226512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618859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sq" cmpd="sng" algn="ctr">
      <a:solidFill>
        <a:schemeClr val="tx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Aqueous</a:t>
            </a:r>
            <a:r>
              <a:rPr lang="en-US" sz="1200" b="1" baseline="0">
                <a:latin typeface="Times New Roman" panose="02020603050405020304" pitchFamily="18" charset="0"/>
                <a:cs typeface="Times New Roman" panose="02020603050405020304" pitchFamily="18" charset="0"/>
              </a:rPr>
              <a:t> extract</a:t>
            </a:r>
            <a:r>
              <a:rPr lang="en-US" sz="1200" b="1">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Sheet1!$B$156</c:f>
              <c:strCache>
                <c:ptCount val="1"/>
                <c:pt idx="0">
                  <c:v>400</c:v>
                </c:pt>
              </c:strCache>
            </c:strRef>
          </c:tx>
          <c:spPr>
            <a:solidFill>
              <a:schemeClr val="accent1"/>
            </a:solidFill>
            <a:ln>
              <a:noFill/>
            </a:ln>
            <a:effectLst/>
          </c:spPr>
          <c:invertIfNegative val="0"/>
          <c:cat>
            <c:strRef>
              <c:f>Sheet1!$C$155:$D$155</c:f>
              <c:strCache>
                <c:ptCount val="2"/>
                <c:pt idx="0">
                  <c:v>C. spp</c:v>
                </c:pt>
                <c:pt idx="1">
                  <c:v>A. spp</c:v>
                </c:pt>
              </c:strCache>
            </c:strRef>
          </c:cat>
          <c:val>
            <c:numRef>
              <c:f>Sheet1!$C$156:$D$156</c:f>
              <c:numCache>
                <c:formatCode>General</c:formatCode>
                <c:ptCount val="2"/>
                <c:pt idx="0">
                  <c:v>14</c:v>
                </c:pt>
                <c:pt idx="1">
                  <c:v>13</c:v>
                </c:pt>
              </c:numCache>
            </c:numRef>
          </c:val>
          <c:extLst>
            <c:ext xmlns:c16="http://schemas.microsoft.com/office/drawing/2014/chart" uri="{C3380CC4-5D6E-409C-BE32-E72D297353CC}">
              <c16:uniqueId val="{00000000-D0D5-4DD4-853E-E75D7E3B75A6}"/>
            </c:ext>
          </c:extLst>
        </c:ser>
        <c:ser>
          <c:idx val="1"/>
          <c:order val="1"/>
          <c:tx>
            <c:strRef>
              <c:f>Sheet1!$B$157</c:f>
              <c:strCache>
                <c:ptCount val="1"/>
                <c:pt idx="0">
                  <c:v>200</c:v>
                </c:pt>
              </c:strCache>
            </c:strRef>
          </c:tx>
          <c:spPr>
            <a:solidFill>
              <a:schemeClr val="accent2"/>
            </a:solidFill>
            <a:ln>
              <a:noFill/>
            </a:ln>
            <a:effectLst/>
          </c:spPr>
          <c:invertIfNegative val="0"/>
          <c:cat>
            <c:strRef>
              <c:f>Sheet1!$C$155:$D$155</c:f>
              <c:strCache>
                <c:ptCount val="2"/>
                <c:pt idx="0">
                  <c:v>C. spp</c:v>
                </c:pt>
                <c:pt idx="1">
                  <c:v>A. spp</c:v>
                </c:pt>
              </c:strCache>
            </c:strRef>
          </c:cat>
          <c:val>
            <c:numRef>
              <c:f>Sheet1!$C$157:$D$157</c:f>
              <c:numCache>
                <c:formatCode>General</c:formatCode>
                <c:ptCount val="2"/>
                <c:pt idx="0">
                  <c:v>14</c:v>
                </c:pt>
                <c:pt idx="1">
                  <c:v>12</c:v>
                </c:pt>
              </c:numCache>
            </c:numRef>
          </c:val>
          <c:extLst>
            <c:ext xmlns:c16="http://schemas.microsoft.com/office/drawing/2014/chart" uri="{C3380CC4-5D6E-409C-BE32-E72D297353CC}">
              <c16:uniqueId val="{00000001-D0D5-4DD4-853E-E75D7E3B75A6}"/>
            </c:ext>
          </c:extLst>
        </c:ser>
        <c:ser>
          <c:idx val="2"/>
          <c:order val="2"/>
          <c:tx>
            <c:strRef>
              <c:f>Sheet1!$B$158</c:f>
              <c:strCache>
                <c:ptCount val="1"/>
                <c:pt idx="0">
                  <c:v>100</c:v>
                </c:pt>
              </c:strCache>
            </c:strRef>
          </c:tx>
          <c:spPr>
            <a:solidFill>
              <a:schemeClr val="accent3"/>
            </a:solidFill>
            <a:ln>
              <a:noFill/>
            </a:ln>
            <a:effectLst/>
          </c:spPr>
          <c:invertIfNegative val="0"/>
          <c:cat>
            <c:strRef>
              <c:f>Sheet1!$C$155:$D$155</c:f>
              <c:strCache>
                <c:ptCount val="2"/>
                <c:pt idx="0">
                  <c:v>C. spp</c:v>
                </c:pt>
                <c:pt idx="1">
                  <c:v>A. spp</c:v>
                </c:pt>
              </c:strCache>
            </c:strRef>
          </c:cat>
          <c:val>
            <c:numRef>
              <c:f>Sheet1!$C$158:$D$158</c:f>
              <c:numCache>
                <c:formatCode>General</c:formatCode>
                <c:ptCount val="2"/>
                <c:pt idx="0">
                  <c:v>13</c:v>
                </c:pt>
                <c:pt idx="1">
                  <c:v>10</c:v>
                </c:pt>
              </c:numCache>
            </c:numRef>
          </c:val>
          <c:extLst>
            <c:ext xmlns:c16="http://schemas.microsoft.com/office/drawing/2014/chart" uri="{C3380CC4-5D6E-409C-BE32-E72D297353CC}">
              <c16:uniqueId val="{00000002-D0D5-4DD4-853E-E75D7E3B75A6}"/>
            </c:ext>
          </c:extLst>
        </c:ser>
        <c:ser>
          <c:idx val="3"/>
          <c:order val="3"/>
          <c:tx>
            <c:strRef>
              <c:f>Sheet1!$B$159</c:f>
              <c:strCache>
                <c:ptCount val="1"/>
                <c:pt idx="0">
                  <c:v>50</c:v>
                </c:pt>
              </c:strCache>
            </c:strRef>
          </c:tx>
          <c:spPr>
            <a:solidFill>
              <a:schemeClr val="accent4"/>
            </a:solidFill>
            <a:ln>
              <a:noFill/>
            </a:ln>
            <a:effectLst/>
          </c:spPr>
          <c:invertIfNegative val="0"/>
          <c:cat>
            <c:strRef>
              <c:f>Sheet1!$C$155:$D$155</c:f>
              <c:strCache>
                <c:ptCount val="2"/>
                <c:pt idx="0">
                  <c:v>C. spp</c:v>
                </c:pt>
                <c:pt idx="1">
                  <c:v>A. spp</c:v>
                </c:pt>
              </c:strCache>
            </c:strRef>
          </c:cat>
          <c:val>
            <c:numRef>
              <c:f>Sheet1!$C$159:$D$159</c:f>
              <c:numCache>
                <c:formatCode>General</c:formatCode>
                <c:ptCount val="2"/>
                <c:pt idx="0">
                  <c:v>13</c:v>
                </c:pt>
                <c:pt idx="1">
                  <c:v>9</c:v>
                </c:pt>
              </c:numCache>
            </c:numRef>
          </c:val>
          <c:extLst>
            <c:ext xmlns:c16="http://schemas.microsoft.com/office/drawing/2014/chart" uri="{C3380CC4-5D6E-409C-BE32-E72D297353CC}">
              <c16:uniqueId val="{00000003-D0D5-4DD4-853E-E75D7E3B75A6}"/>
            </c:ext>
          </c:extLst>
        </c:ser>
        <c:ser>
          <c:idx val="4"/>
          <c:order val="4"/>
          <c:tx>
            <c:strRef>
              <c:f>Sheet1!$B$160</c:f>
              <c:strCache>
                <c:ptCount val="1"/>
                <c:pt idx="0">
                  <c:v>25</c:v>
                </c:pt>
              </c:strCache>
            </c:strRef>
          </c:tx>
          <c:spPr>
            <a:solidFill>
              <a:schemeClr val="accent5"/>
            </a:solidFill>
            <a:ln>
              <a:noFill/>
            </a:ln>
            <a:effectLst/>
          </c:spPr>
          <c:invertIfNegative val="0"/>
          <c:cat>
            <c:strRef>
              <c:f>Sheet1!$C$155:$D$155</c:f>
              <c:strCache>
                <c:ptCount val="2"/>
                <c:pt idx="0">
                  <c:v>C. spp</c:v>
                </c:pt>
                <c:pt idx="1">
                  <c:v>A. spp</c:v>
                </c:pt>
              </c:strCache>
            </c:strRef>
          </c:cat>
          <c:val>
            <c:numRef>
              <c:f>Sheet1!$C$160:$D$160</c:f>
              <c:numCache>
                <c:formatCode>General</c:formatCode>
                <c:ptCount val="2"/>
                <c:pt idx="0">
                  <c:v>13</c:v>
                </c:pt>
                <c:pt idx="1">
                  <c:v>8</c:v>
                </c:pt>
              </c:numCache>
            </c:numRef>
          </c:val>
          <c:extLst>
            <c:ext xmlns:c16="http://schemas.microsoft.com/office/drawing/2014/chart" uri="{C3380CC4-5D6E-409C-BE32-E72D297353CC}">
              <c16:uniqueId val="{00000004-D0D5-4DD4-853E-E75D7E3B75A6}"/>
            </c:ext>
          </c:extLst>
        </c:ser>
        <c:ser>
          <c:idx val="5"/>
          <c:order val="5"/>
          <c:tx>
            <c:strRef>
              <c:f>Sheet1!$B$161</c:f>
              <c:strCache>
                <c:ptCount val="1"/>
                <c:pt idx="0">
                  <c:v>Keto</c:v>
                </c:pt>
              </c:strCache>
            </c:strRef>
          </c:tx>
          <c:spPr>
            <a:solidFill>
              <a:schemeClr val="accent6"/>
            </a:solidFill>
            <a:ln>
              <a:noFill/>
            </a:ln>
            <a:effectLst/>
          </c:spPr>
          <c:invertIfNegative val="0"/>
          <c:cat>
            <c:strRef>
              <c:f>Sheet1!$C$155:$D$155</c:f>
              <c:strCache>
                <c:ptCount val="2"/>
                <c:pt idx="0">
                  <c:v>C. spp</c:v>
                </c:pt>
                <c:pt idx="1">
                  <c:v>A. spp</c:v>
                </c:pt>
              </c:strCache>
            </c:strRef>
          </c:cat>
          <c:val>
            <c:numRef>
              <c:f>Sheet1!$C$161:$D$161</c:f>
              <c:numCache>
                <c:formatCode>General</c:formatCode>
                <c:ptCount val="2"/>
                <c:pt idx="0">
                  <c:v>20</c:v>
                </c:pt>
                <c:pt idx="1">
                  <c:v>22</c:v>
                </c:pt>
              </c:numCache>
            </c:numRef>
          </c:val>
          <c:extLst>
            <c:ext xmlns:c16="http://schemas.microsoft.com/office/drawing/2014/chart" uri="{C3380CC4-5D6E-409C-BE32-E72D297353CC}">
              <c16:uniqueId val="{00000005-D0D5-4DD4-853E-E75D7E3B75A6}"/>
            </c:ext>
          </c:extLst>
        </c:ser>
        <c:dLbls>
          <c:showLegendKey val="0"/>
          <c:showVal val="0"/>
          <c:showCatName val="0"/>
          <c:showSerName val="0"/>
          <c:showPercent val="0"/>
          <c:showBubbleSize val="0"/>
        </c:dLbls>
        <c:gapWidth val="150"/>
        <c:axId val="1500695119"/>
        <c:axId val="1435513231"/>
      </c:barChart>
      <c:catAx>
        <c:axId val="15006951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Fungi</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513231"/>
        <c:crosses val="autoZero"/>
        <c:auto val="1"/>
        <c:lblAlgn val="ctr"/>
        <c:lblOffset val="100"/>
        <c:noMultiLvlLbl val="0"/>
      </c:catAx>
      <c:valAx>
        <c:axId val="143551323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2222222222222223E-2"/>
              <c:y val="3.189540559766478E-2"/>
            </c:manualLayout>
          </c:layout>
          <c:overlay val="0"/>
          <c:spPr>
            <a:noFill/>
            <a:ln w="15875">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69511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Chromatographic</a:t>
            </a:r>
            <a:r>
              <a:rPr lang="en-US" sz="1200" b="1" baseline="0">
                <a:latin typeface="Times New Roman" panose="02020603050405020304" pitchFamily="18" charset="0"/>
                <a:cs typeface="Times New Roman" panose="02020603050405020304" pitchFamily="18" charset="0"/>
              </a:rPr>
              <a:t> f</a:t>
            </a:r>
            <a:r>
              <a:rPr lang="en-US" sz="1200" b="1">
                <a:latin typeface="Times New Roman" panose="02020603050405020304" pitchFamily="18" charset="0"/>
                <a:cs typeface="Times New Roman" panose="02020603050405020304" pitchFamily="18" charset="0"/>
              </a:rPr>
              <a:t>raction C</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Sheet1!$B$171</c:f>
              <c:strCache>
                <c:ptCount val="1"/>
                <c:pt idx="0">
                  <c:v>100</c:v>
                </c:pt>
              </c:strCache>
            </c:strRef>
          </c:tx>
          <c:spPr>
            <a:solidFill>
              <a:schemeClr val="accent1"/>
            </a:solidFill>
            <a:ln>
              <a:noFill/>
            </a:ln>
            <a:effectLst/>
          </c:spPr>
          <c:invertIfNegative val="0"/>
          <c:cat>
            <c:strRef>
              <c:f>Sheet1!$C$170:$F$170</c:f>
              <c:strCache>
                <c:ptCount val="4"/>
                <c:pt idx="0">
                  <c:v>B. spp</c:v>
                </c:pt>
                <c:pt idx="1">
                  <c:v>S. spp</c:v>
                </c:pt>
                <c:pt idx="2">
                  <c:v>St. spp</c:v>
                </c:pt>
                <c:pt idx="3">
                  <c:v>P. spp</c:v>
                </c:pt>
              </c:strCache>
            </c:strRef>
          </c:cat>
          <c:val>
            <c:numRef>
              <c:f>Sheet1!$C$171:$F$171</c:f>
              <c:numCache>
                <c:formatCode>General</c:formatCode>
                <c:ptCount val="4"/>
                <c:pt idx="0">
                  <c:v>9</c:v>
                </c:pt>
                <c:pt idx="1">
                  <c:v>0</c:v>
                </c:pt>
                <c:pt idx="2">
                  <c:v>0</c:v>
                </c:pt>
                <c:pt idx="3">
                  <c:v>6</c:v>
                </c:pt>
              </c:numCache>
            </c:numRef>
          </c:val>
          <c:extLst>
            <c:ext xmlns:c16="http://schemas.microsoft.com/office/drawing/2014/chart" uri="{C3380CC4-5D6E-409C-BE32-E72D297353CC}">
              <c16:uniqueId val="{00000000-F24B-4F63-BC57-FF2DCA764837}"/>
            </c:ext>
          </c:extLst>
        </c:ser>
        <c:ser>
          <c:idx val="1"/>
          <c:order val="1"/>
          <c:tx>
            <c:strRef>
              <c:f>Sheet1!$B$172</c:f>
              <c:strCache>
                <c:ptCount val="1"/>
                <c:pt idx="0">
                  <c:v>50</c:v>
                </c:pt>
              </c:strCache>
            </c:strRef>
          </c:tx>
          <c:spPr>
            <a:solidFill>
              <a:schemeClr val="accent2"/>
            </a:solidFill>
            <a:ln>
              <a:noFill/>
            </a:ln>
            <a:effectLst/>
          </c:spPr>
          <c:invertIfNegative val="0"/>
          <c:cat>
            <c:strRef>
              <c:f>Sheet1!$C$170:$F$170</c:f>
              <c:strCache>
                <c:ptCount val="4"/>
                <c:pt idx="0">
                  <c:v>B. spp</c:v>
                </c:pt>
                <c:pt idx="1">
                  <c:v>S. spp</c:v>
                </c:pt>
                <c:pt idx="2">
                  <c:v>St. spp</c:v>
                </c:pt>
                <c:pt idx="3">
                  <c:v>P. spp</c:v>
                </c:pt>
              </c:strCache>
            </c:strRef>
          </c:cat>
          <c:val>
            <c:numRef>
              <c:f>Sheet1!$C$172:$F$172</c:f>
              <c:numCache>
                <c:formatCode>General</c:formatCode>
                <c:ptCount val="4"/>
                <c:pt idx="0">
                  <c:v>8</c:v>
                </c:pt>
                <c:pt idx="1">
                  <c:v>0</c:v>
                </c:pt>
                <c:pt idx="2">
                  <c:v>0</c:v>
                </c:pt>
                <c:pt idx="3">
                  <c:v>6</c:v>
                </c:pt>
              </c:numCache>
            </c:numRef>
          </c:val>
          <c:extLst>
            <c:ext xmlns:c16="http://schemas.microsoft.com/office/drawing/2014/chart" uri="{C3380CC4-5D6E-409C-BE32-E72D297353CC}">
              <c16:uniqueId val="{00000001-F24B-4F63-BC57-FF2DCA764837}"/>
            </c:ext>
          </c:extLst>
        </c:ser>
        <c:ser>
          <c:idx val="2"/>
          <c:order val="2"/>
          <c:tx>
            <c:strRef>
              <c:f>Sheet1!$B$173</c:f>
              <c:strCache>
                <c:ptCount val="1"/>
                <c:pt idx="0">
                  <c:v>25</c:v>
                </c:pt>
              </c:strCache>
            </c:strRef>
          </c:tx>
          <c:spPr>
            <a:solidFill>
              <a:schemeClr val="accent3"/>
            </a:solidFill>
            <a:ln>
              <a:noFill/>
            </a:ln>
            <a:effectLst/>
          </c:spPr>
          <c:invertIfNegative val="0"/>
          <c:cat>
            <c:strRef>
              <c:f>Sheet1!$C$170:$F$170</c:f>
              <c:strCache>
                <c:ptCount val="4"/>
                <c:pt idx="0">
                  <c:v>B. spp</c:v>
                </c:pt>
                <c:pt idx="1">
                  <c:v>S. spp</c:v>
                </c:pt>
                <c:pt idx="2">
                  <c:v>St. spp</c:v>
                </c:pt>
                <c:pt idx="3">
                  <c:v>P. spp</c:v>
                </c:pt>
              </c:strCache>
            </c:strRef>
          </c:cat>
          <c:val>
            <c:numRef>
              <c:f>Sheet1!$C$173:$F$173</c:f>
              <c:numCache>
                <c:formatCode>General</c:formatCode>
                <c:ptCount val="4"/>
                <c:pt idx="0">
                  <c:v>7</c:v>
                </c:pt>
                <c:pt idx="1">
                  <c:v>0</c:v>
                </c:pt>
                <c:pt idx="2">
                  <c:v>0</c:v>
                </c:pt>
                <c:pt idx="3">
                  <c:v>0</c:v>
                </c:pt>
              </c:numCache>
            </c:numRef>
          </c:val>
          <c:extLst>
            <c:ext xmlns:c16="http://schemas.microsoft.com/office/drawing/2014/chart" uri="{C3380CC4-5D6E-409C-BE32-E72D297353CC}">
              <c16:uniqueId val="{00000002-F24B-4F63-BC57-FF2DCA764837}"/>
            </c:ext>
          </c:extLst>
        </c:ser>
        <c:ser>
          <c:idx val="3"/>
          <c:order val="3"/>
          <c:tx>
            <c:strRef>
              <c:f>Sheet1!$B$174</c:f>
              <c:strCache>
                <c:ptCount val="1"/>
                <c:pt idx="0">
                  <c:v>12.5</c:v>
                </c:pt>
              </c:strCache>
            </c:strRef>
          </c:tx>
          <c:spPr>
            <a:solidFill>
              <a:schemeClr val="accent4"/>
            </a:solidFill>
            <a:ln>
              <a:noFill/>
            </a:ln>
            <a:effectLst/>
          </c:spPr>
          <c:invertIfNegative val="0"/>
          <c:cat>
            <c:strRef>
              <c:f>Sheet1!$C$170:$F$170</c:f>
              <c:strCache>
                <c:ptCount val="4"/>
                <c:pt idx="0">
                  <c:v>B. spp</c:v>
                </c:pt>
                <c:pt idx="1">
                  <c:v>S. spp</c:v>
                </c:pt>
                <c:pt idx="2">
                  <c:v>St. spp</c:v>
                </c:pt>
                <c:pt idx="3">
                  <c:v>P. spp</c:v>
                </c:pt>
              </c:strCache>
            </c:strRef>
          </c:cat>
          <c:val>
            <c:numRef>
              <c:f>Sheet1!$C$174:$F$174</c:f>
              <c:numCache>
                <c:formatCode>General</c:formatCode>
                <c:ptCount val="4"/>
                <c:pt idx="0">
                  <c:v>7</c:v>
                </c:pt>
                <c:pt idx="1">
                  <c:v>0</c:v>
                </c:pt>
                <c:pt idx="2">
                  <c:v>0</c:v>
                </c:pt>
                <c:pt idx="3">
                  <c:v>0</c:v>
                </c:pt>
              </c:numCache>
            </c:numRef>
          </c:val>
          <c:extLst>
            <c:ext xmlns:c16="http://schemas.microsoft.com/office/drawing/2014/chart" uri="{C3380CC4-5D6E-409C-BE32-E72D297353CC}">
              <c16:uniqueId val="{00000003-F24B-4F63-BC57-FF2DCA764837}"/>
            </c:ext>
          </c:extLst>
        </c:ser>
        <c:ser>
          <c:idx val="4"/>
          <c:order val="4"/>
          <c:tx>
            <c:strRef>
              <c:f>Sheet1!$B$175</c:f>
              <c:strCache>
                <c:ptCount val="1"/>
                <c:pt idx="0">
                  <c:v>6.25</c:v>
                </c:pt>
              </c:strCache>
            </c:strRef>
          </c:tx>
          <c:spPr>
            <a:solidFill>
              <a:schemeClr val="accent5"/>
            </a:solidFill>
            <a:ln>
              <a:noFill/>
            </a:ln>
            <a:effectLst/>
          </c:spPr>
          <c:invertIfNegative val="0"/>
          <c:cat>
            <c:strRef>
              <c:f>Sheet1!$C$170:$F$170</c:f>
              <c:strCache>
                <c:ptCount val="4"/>
                <c:pt idx="0">
                  <c:v>B. spp</c:v>
                </c:pt>
                <c:pt idx="1">
                  <c:v>S. spp</c:v>
                </c:pt>
                <c:pt idx="2">
                  <c:v>St. spp</c:v>
                </c:pt>
                <c:pt idx="3">
                  <c:v>P. spp</c:v>
                </c:pt>
              </c:strCache>
            </c:strRef>
          </c:cat>
          <c:val>
            <c:numRef>
              <c:f>Sheet1!$C$175:$F$175</c:f>
              <c:numCache>
                <c:formatCode>General</c:formatCode>
                <c:ptCount val="4"/>
                <c:pt idx="0">
                  <c:v>6</c:v>
                </c:pt>
                <c:pt idx="1">
                  <c:v>0</c:v>
                </c:pt>
                <c:pt idx="2">
                  <c:v>0</c:v>
                </c:pt>
                <c:pt idx="3">
                  <c:v>0</c:v>
                </c:pt>
              </c:numCache>
            </c:numRef>
          </c:val>
          <c:extLst>
            <c:ext xmlns:c16="http://schemas.microsoft.com/office/drawing/2014/chart" uri="{C3380CC4-5D6E-409C-BE32-E72D297353CC}">
              <c16:uniqueId val="{00000004-F24B-4F63-BC57-FF2DCA764837}"/>
            </c:ext>
          </c:extLst>
        </c:ser>
        <c:ser>
          <c:idx val="5"/>
          <c:order val="5"/>
          <c:tx>
            <c:strRef>
              <c:f>Sheet1!$B$176</c:f>
              <c:strCache>
                <c:ptCount val="1"/>
                <c:pt idx="0">
                  <c:v>Cipro.</c:v>
                </c:pt>
              </c:strCache>
            </c:strRef>
          </c:tx>
          <c:spPr>
            <a:solidFill>
              <a:schemeClr val="accent6"/>
            </a:solidFill>
            <a:ln>
              <a:noFill/>
            </a:ln>
            <a:effectLst/>
          </c:spPr>
          <c:invertIfNegative val="0"/>
          <c:cat>
            <c:strRef>
              <c:f>Sheet1!$C$170:$F$170</c:f>
              <c:strCache>
                <c:ptCount val="4"/>
                <c:pt idx="0">
                  <c:v>B. spp</c:v>
                </c:pt>
                <c:pt idx="1">
                  <c:v>S. spp</c:v>
                </c:pt>
                <c:pt idx="2">
                  <c:v>St. spp</c:v>
                </c:pt>
                <c:pt idx="3">
                  <c:v>P. spp</c:v>
                </c:pt>
              </c:strCache>
            </c:strRef>
          </c:cat>
          <c:val>
            <c:numRef>
              <c:f>Sheet1!$C$176:$F$176</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5-F24B-4F63-BC57-FF2DCA764837}"/>
            </c:ext>
          </c:extLst>
        </c:ser>
        <c:dLbls>
          <c:showLegendKey val="0"/>
          <c:showVal val="0"/>
          <c:showCatName val="0"/>
          <c:showSerName val="0"/>
          <c:showPercent val="0"/>
          <c:showBubbleSize val="0"/>
        </c:dLbls>
        <c:gapWidth val="150"/>
        <c:axId val="1439623695"/>
        <c:axId val="1385146815"/>
      </c:barChart>
      <c:catAx>
        <c:axId val="14396236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Bacteria</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5146815"/>
        <c:crosses val="autoZero"/>
        <c:auto val="1"/>
        <c:lblAlgn val="ctr"/>
        <c:lblOffset val="100"/>
        <c:noMultiLvlLbl val="0"/>
      </c:catAx>
      <c:valAx>
        <c:axId val="13851468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2222222222222223E-2"/>
              <c:y val="3.242943947075108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962369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Chromatographic fraction C</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Sheet1!$B$187</c:f>
              <c:strCache>
                <c:ptCount val="1"/>
                <c:pt idx="0">
                  <c:v>100</c:v>
                </c:pt>
              </c:strCache>
            </c:strRef>
          </c:tx>
          <c:spPr>
            <a:solidFill>
              <a:schemeClr val="accent1"/>
            </a:solidFill>
            <a:ln>
              <a:noFill/>
            </a:ln>
            <a:effectLst/>
          </c:spPr>
          <c:invertIfNegative val="0"/>
          <c:cat>
            <c:strRef>
              <c:f>Sheet1!$C$186:$D$186</c:f>
              <c:strCache>
                <c:ptCount val="2"/>
                <c:pt idx="0">
                  <c:v>C. spp</c:v>
                </c:pt>
                <c:pt idx="1">
                  <c:v>A. spp</c:v>
                </c:pt>
              </c:strCache>
            </c:strRef>
          </c:cat>
          <c:val>
            <c:numRef>
              <c:f>Sheet1!$C$187:$D$187</c:f>
              <c:numCache>
                <c:formatCode>General</c:formatCode>
                <c:ptCount val="2"/>
                <c:pt idx="0">
                  <c:v>0</c:v>
                </c:pt>
                <c:pt idx="1">
                  <c:v>0</c:v>
                </c:pt>
              </c:numCache>
            </c:numRef>
          </c:val>
          <c:extLst>
            <c:ext xmlns:c16="http://schemas.microsoft.com/office/drawing/2014/chart" uri="{C3380CC4-5D6E-409C-BE32-E72D297353CC}">
              <c16:uniqueId val="{00000000-8811-476C-97E7-0A1C613710F0}"/>
            </c:ext>
          </c:extLst>
        </c:ser>
        <c:ser>
          <c:idx val="1"/>
          <c:order val="1"/>
          <c:tx>
            <c:strRef>
              <c:f>Sheet1!$B$188</c:f>
              <c:strCache>
                <c:ptCount val="1"/>
                <c:pt idx="0">
                  <c:v>50</c:v>
                </c:pt>
              </c:strCache>
            </c:strRef>
          </c:tx>
          <c:spPr>
            <a:solidFill>
              <a:schemeClr val="accent2"/>
            </a:solidFill>
            <a:ln>
              <a:noFill/>
            </a:ln>
            <a:effectLst/>
          </c:spPr>
          <c:invertIfNegative val="0"/>
          <c:cat>
            <c:strRef>
              <c:f>Sheet1!$C$186:$D$186</c:f>
              <c:strCache>
                <c:ptCount val="2"/>
                <c:pt idx="0">
                  <c:v>C. spp</c:v>
                </c:pt>
                <c:pt idx="1">
                  <c:v>A. spp</c:v>
                </c:pt>
              </c:strCache>
            </c:strRef>
          </c:cat>
          <c:val>
            <c:numRef>
              <c:f>Sheet1!$C$188:$D$188</c:f>
              <c:numCache>
                <c:formatCode>General</c:formatCode>
                <c:ptCount val="2"/>
                <c:pt idx="0">
                  <c:v>0</c:v>
                </c:pt>
                <c:pt idx="1">
                  <c:v>0</c:v>
                </c:pt>
              </c:numCache>
            </c:numRef>
          </c:val>
          <c:extLst>
            <c:ext xmlns:c16="http://schemas.microsoft.com/office/drawing/2014/chart" uri="{C3380CC4-5D6E-409C-BE32-E72D297353CC}">
              <c16:uniqueId val="{00000001-8811-476C-97E7-0A1C613710F0}"/>
            </c:ext>
          </c:extLst>
        </c:ser>
        <c:ser>
          <c:idx val="2"/>
          <c:order val="2"/>
          <c:tx>
            <c:strRef>
              <c:f>Sheet1!$B$189</c:f>
              <c:strCache>
                <c:ptCount val="1"/>
                <c:pt idx="0">
                  <c:v>25</c:v>
                </c:pt>
              </c:strCache>
            </c:strRef>
          </c:tx>
          <c:spPr>
            <a:solidFill>
              <a:schemeClr val="accent3"/>
            </a:solidFill>
            <a:ln>
              <a:noFill/>
            </a:ln>
            <a:effectLst/>
          </c:spPr>
          <c:invertIfNegative val="0"/>
          <c:cat>
            <c:strRef>
              <c:f>Sheet1!$C$186:$D$186</c:f>
              <c:strCache>
                <c:ptCount val="2"/>
                <c:pt idx="0">
                  <c:v>C. spp</c:v>
                </c:pt>
                <c:pt idx="1">
                  <c:v>A. spp</c:v>
                </c:pt>
              </c:strCache>
            </c:strRef>
          </c:cat>
          <c:val>
            <c:numRef>
              <c:f>Sheet1!$C$189:$D$189</c:f>
              <c:numCache>
                <c:formatCode>General</c:formatCode>
                <c:ptCount val="2"/>
                <c:pt idx="0">
                  <c:v>0</c:v>
                </c:pt>
                <c:pt idx="1">
                  <c:v>0</c:v>
                </c:pt>
              </c:numCache>
            </c:numRef>
          </c:val>
          <c:extLst>
            <c:ext xmlns:c16="http://schemas.microsoft.com/office/drawing/2014/chart" uri="{C3380CC4-5D6E-409C-BE32-E72D297353CC}">
              <c16:uniqueId val="{00000002-8811-476C-97E7-0A1C613710F0}"/>
            </c:ext>
          </c:extLst>
        </c:ser>
        <c:ser>
          <c:idx val="3"/>
          <c:order val="3"/>
          <c:tx>
            <c:strRef>
              <c:f>Sheet1!$B$190</c:f>
              <c:strCache>
                <c:ptCount val="1"/>
                <c:pt idx="0">
                  <c:v>12.5</c:v>
                </c:pt>
              </c:strCache>
            </c:strRef>
          </c:tx>
          <c:spPr>
            <a:solidFill>
              <a:schemeClr val="accent4"/>
            </a:solidFill>
            <a:ln>
              <a:noFill/>
            </a:ln>
            <a:effectLst/>
          </c:spPr>
          <c:invertIfNegative val="0"/>
          <c:cat>
            <c:strRef>
              <c:f>Sheet1!$C$186:$D$186</c:f>
              <c:strCache>
                <c:ptCount val="2"/>
                <c:pt idx="0">
                  <c:v>C. spp</c:v>
                </c:pt>
                <c:pt idx="1">
                  <c:v>A. spp</c:v>
                </c:pt>
              </c:strCache>
            </c:strRef>
          </c:cat>
          <c:val>
            <c:numRef>
              <c:f>Sheet1!$C$190:$D$190</c:f>
              <c:numCache>
                <c:formatCode>General</c:formatCode>
                <c:ptCount val="2"/>
                <c:pt idx="0">
                  <c:v>0</c:v>
                </c:pt>
                <c:pt idx="1">
                  <c:v>0</c:v>
                </c:pt>
              </c:numCache>
            </c:numRef>
          </c:val>
          <c:extLst>
            <c:ext xmlns:c16="http://schemas.microsoft.com/office/drawing/2014/chart" uri="{C3380CC4-5D6E-409C-BE32-E72D297353CC}">
              <c16:uniqueId val="{00000003-8811-476C-97E7-0A1C613710F0}"/>
            </c:ext>
          </c:extLst>
        </c:ser>
        <c:ser>
          <c:idx val="4"/>
          <c:order val="4"/>
          <c:tx>
            <c:strRef>
              <c:f>Sheet1!$B$191</c:f>
              <c:strCache>
                <c:ptCount val="1"/>
                <c:pt idx="0">
                  <c:v>6.25</c:v>
                </c:pt>
              </c:strCache>
            </c:strRef>
          </c:tx>
          <c:spPr>
            <a:solidFill>
              <a:schemeClr val="accent5"/>
            </a:solidFill>
            <a:ln>
              <a:noFill/>
            </a:ln>
            <a:effectLst/>
          </c:spPr>
          <c:invertIfNegative val="0"/>
          <c:cat>
            <c:strRef>
              <c:f>Sheet1!$C$186:$D$186</c:f>
              <c:strCache>
                <c:ptCount val="2"/>
                <c:pt idx="0">
                  <c:v>C. spp</c:v>
                </c:pt>
                <c:pt idx="1">
                  <c:v>A. spp</c:v>
                </c:pt>
              </c:strCache>
            </c:strRef>
          </c:cat>
          <c:val>
            <c:numRef>
              <c:f>Sheet1!$C$191:$D$191</c:f>
              <c:numCache>
                <c:formatCode>General</c:formatCode>
                <c:ptCount val="2"/>
                <c:pt idx="0">
                  <c:v>0</c:v>
                </c:pt>
                <c:pt idx="1">
                  <c:v>0</c:v>
                </c:pt>
              </c:numCache>
            </c:numRef>
          </c:val>
          <c:extLst>
            <c:ext xmlns:c16="http://schemas.microsoft.com/office/drawing/2014/chart" uri="{C3380CC4-5D6E-409C-BE32-E72D297353CC}">
              <c16:uniqueId val="{00000004-8811-476C-97E7-0A1C613710F0}"/>
            </c:ext>
          </c:extLst>
        </c:ser>
        <c:ser>
          <c:idx val="5"/>
          <c:order val="5"/>
          <c:tx>
            <c:strRef>
              <c:f>Sheet1!$B$192</c:f>
              <c:strCache>
                <c:ptCount val="1"/>
                <c:pt idx="0">
                  <c:v>Keto</c:v>
                </c:pt>
              </c:strCache>
            </c:strRef>
          </c:tx>
          <c:spPr>
            <a:solidFill>
              <a:schemeClr val="accent6"/>
            </a:solidFill>
            <a:ln>
              <a:noFill/>
            </a:ln>
            <a:effectLst/>
          </c:spPr>
          <c:invertIfNegative val="0"/>
          <c:cat>
            <c:strRef>
              <c:f>Sheet1!$C$186:$D$186</c:f>
              <c:strCache>
                <c:ptCount val="2"/>
                <c:pt idx="0">
                  <c:v>C. spp</c:v>
                </c:pt>
                <c:pt idx="1">
                  <c:v>A. spp</c:v>
                </c:pt>
              </c:strCache>
            </c:strRef>
          </c:cat>
          <c:val>
            <c:numRef>
              <c:f>Sheet1!$C$192:$D$192</c:f>
              <c:numCache>
                <c:formatCode>General</c:formatCode>
                <c:ptCount val="2"/>
                <c:pt idx="0">
                  <c:v>20</c:v>
                </c:pt>
                <c:pt idx="1">
                  <c:v>22</c:v>
                </c:pt>
              </c:numCache>
            </c:numRef>
          </c:val>
          <c:extLst>
            <c:ext xmlns:c16="http://schemas.microsoft.com/office/drawing/2014/chart" uri="{C3380CC4-5D6E-409C-BE32-E72D297353CC}">
              <c16:uniqueId val="{00000005-8811-476C-97E7-0A1C613710F0}"/>
            </c:ext>
          </c:extLst>
        </c:ser>
        <c:dLbls>
          <c:showLegendKey val="0"/>
          <c:showVal val="0"/>
          <c:showCatName val="0"/>
          <c:showSerName val="0"/>
          <c:showPercent val="0"/>
          <c:showBubbleSize val="0"/>
        </c:dLbls>
        <c:gapWidth val="150"/>
        <c:axId val="1390237055"/>
        <c:axId val="1503100607"/>
      </c:barChart>
      <c:catAx>
        <c:axId val="13902370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Fungi</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100607"/>
        <c:crosses val="autoZero"/>
        <c:auto val="1"/>
        <c:lblAlgn val="ctr"/>
        <c:lblOffset val="100"/>
        <c:noMultiLvlLbl val="0"/>
      </c:catAx>
      <c:valAx>
        <c:axId val="150310060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2222222222222223E-2"/>
              <c:y val="5.192189338401666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02370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Dichloromethane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Sheet1!$B$20</c:f>
              <c:strCache>
                <c:ptCount val="1"/>
                <c:pt idx="0">
                  <c:v>400</c:v>
                </c:pt>
              </c:strCache>
            </c:strRef>
          </c:tx>
          <c:spPr>
            <a:solidFill>
              <a:schemeClr val="accent1"/>
            </a:solidFill>
            <a:ln>
              <a:noFill/>
            </a:ln>
            <a:effectLst/>
          </c:spPr>
          <c:invertIfNegative val="0"/>
          <c:cat>
            <c:strRef>
              <c:f>Sheet1!$C$19:$F$19</c:f>
              <c:strCache>
                <c:ptCount val="4"/>
                <c:pt idx="0">
                  <c:v>B. spp</c:v>
                </c:pt>
                <c:pt idx="1">
                  <c:v>S. spp</c:v>
                </c:pt>
                <c:pt idx="2">
                  <c:v>St. spp</c:v>
                </c:pt>
                <c:pt idx="3">
                  <c:v>P. spp</c:v>
                </c:pt>
              </c:strCache>
            </c:strRef>
          </c:cat>
          <c:val>
            <c:numRef>
              <c:f>Sheet1!$C$20:$F$20</c:f>
              <c:numCache>
                <c:formatCode>General</c:formatCode>
                <c:ptCount val="4"/>
                <c:pt idx="0">
                  <c:v>21</c:v>
                </c:pt>
                <c:pt idx="1">
                  <c:v>13</c:v>
                </c:pt>
                <c:pt idx="2">
                  <c:v>12</c:v>
                </c:pt>
                <c:pt idx="3">
                  <c:v>11</c:v>
                </c:pt>
              </c:numCache>
            </c:numRef>
          </c:val>
          <c:extLst>
            <c:ext xmlns:c16="http://schemas.microsoft.com/office/drawing/2014/chart" uri="{C3380CC4-5D6E-409C-BE32-E72D297353CC}">
              <c16:uniqueId val="{00000000-8A5E-4FBF-8FDD-3A468601F467}"/>
            </c:ext>
          </c:extLst>
        </c:ser>
        <c:ser>
          <c:idx val="1"/>
          <c:order val="1"/>
          <c:tx>
            <c:strRef>
              <c:f>Sheet1!$B$21</c:f>
              <c:strCache>
                <c:ptCount val="1"/>
                <c:pt idx="0">
                  <c:v>200</c:v>
                </c:pt>
              </c:strCache>
            </c:strRef>
          </c:tx>
          <c:spPr>
            <a:solidFill>
              <a:schemeClr val="accent2"/>
            </a:solidFill>
            <a:ln>
              <a:noFill/>
            </a:ln>
            <a:effectLst/>
          </c:spPr>
          <c:invertIfNegative val="0"/>
          <c:cat>
            <c:strRef>
              <c:f>Sheet1!$C$19:$F$19</c:f>
              <c:strCache>
                <c:ptCount val="4"/>
                <c:pt idx="0">
                  <c:v>B. spp</c:v>
                </c:pt>
                <c:pt idx="1">
                  <c:v>S. spp</c:v>
                </c:pt>
                <c:pt idx="2">
                  <c:v>St. spp</c:v>
                </c:pt>
                <c:pt idx="3">
                  <c:v>P. spp</c:v>
                </c:pt>
              </c:strCache>
            </c:strRef>
          </c:cat>
          <c:val>
            <c:numRef>
              <c:f>Sheet1!$C$21:$F$21</c:f>
              <c:numCache>
                <c:formatCode>General</c:formatCode>
                <c:ptCount val="4"/>
                <c:pt idx="0">
                  <c:v>20</c:v>
                </c:pt>
                <c:pt idx="1">
                  <c:v>10</c:v>
                </c:pt>
                <c:pt idx="2">
                  <c:v>11</c:v>
                </c:pt>
                <c:pt idx="3">
                  <c:v>9</c:v>
                </c:pt>
              </c:numCache>
            </c:numRef>
          </c:val>
          <c:extLst>
            <c:ext xmlns:c16="http://schemas.microsoft.com/office/drawing/2014/chart" uri="{C3380CC4-5D6E-409C-BE32-E72D297353CC}">
              <c16:uniqueId val="{00000001-8A5E-4FBF-8FDD-3A468601F467}"/>
            </c:ext>
          </c:extLst>
        </c:ser>
        <c:ser>
          <c:idx val="2"/>
          <c:order val="2"/>
          <c:tx>
            <c:strRef>
              <c:f>Sheet1!$B$22</c:f>
              <c:strCache>
                <c:ptCount val="1"/>
                <c:pt idx="0">
                  <c:v>100</c:v>
                </c:pt>
              </c:strCache>
            </c:strRef>
          </c:tx>
          <c:spPr>
            <a:solidFill>
              <a:schemeClr val="accent3"/>
            </a:solidFill>
            <a:ln>
              <a:noFill/>
            </a:ln>
            <a:effectLst/>
          </c:spPr>
          <c:invertIfNegative val="0"/>
          <c:cat>
            <c:strRef>
              <c:f>Sheet1!$C$19:$F$19</c:f>
              <c:strCache>
                <c:ptCount val="4"/>
                <c:pt idx="0">
                  <c:v>B. spp</c:v>
                </c:pt>
                <c:pt idx="1">
                  <c:v>S. spp</c:v>
                </c:pt>
                <c:pt idx="2">
                  <c:v>St. spp</c:v>
                </c:pt>
                <c:pt idx="3">
                  <c:v>P. spp</c:v>
                </c:pt>
              </c:strCache>
            </c:strRef>
          </c:cat>
          <c:val>
            <c:numRef>
              <c:f>Sheet1!$C$22:$F$22</c:f>
              <c:numCache>
                <c:formatCode>General</c:formatCode>
                <c:ptCount val="4"/>
                <c:pt idx="0">
                  <c:v>20</c:v>
                </c:pt>
                <c:pt idx="1">
                  <c:v>8</c:v>
                </c:pt>
                <c:pt idx="2">
                  <c:v>10</c:v>
                </c:pt>
                <c:pt idx="3">
                  <c:v>0</c:v>
                </c:pt>
              </c:numCache>
            </c:numRef>
          </c:val>
          <c:extLst>
            <c:ext xmlns:c16="http://schemas.microsoft.com/office/drawing/2014/chart" uri="{C3380CC4-5D6E-409C-BE32-E72D297353CC}">
              <c16:uniqueId val="{00000002-8A5E-4FBF-8FDD-3A468601F467}"/>
            </c:ext>
          </c:extLst>
        </c:ser>
        <c:ser>
          <c:idx val="3"/>
          <c:order val="3"/>
          <c:tx>
            <c:strRef>
              <c:f>Sheet1!$B$23</c:f>
              <c:strCache>
                <c:ptCount val="1"/>
                <c:pt idx="0">
                  <c:v>50</c:v>
                </c:pt>
              </c:strCache>
            </c:strRef>
          </c:tx>
          <c:spPr>
            <a:solidFill>
              <a:schemeClr val="accent4"/>
            </a:solidFill>
            <a:ln>
              <a:noFill/>
            </a:ln>
            <a:effectLst/>
          </c:spPr>
          <c:invertIfNegative val="0"/>
          <c:cat>
            <c:strRef>
              <c:f>Sheet1!$C$19:$F$19</c:f>
              <c:strCache>
                <c:ptCount val="4"/>
                <c:pt idx="0">
                  <c:v>B. spp</c:v>
                </c:pt>
                <c:pt idx="1">
                  <c:v>S. spp</c:v>
                </c:pt>
                <c:pt idx="2">
                  <c:v>St. spp</c:v>
                </c:pt>
                <c:pt idx="3">
                  <c:v>P. spp</c:v>
                </c:pt>
              </c:strCache>
            </c:strRef>
          </c:cat>
          <c:val>
            <c:numRef>
              <c:f>Sheet1!$C$23:$F$23</c:f>
              <c:numCache>
                <c:formatCode>General</c:formatCode>
                <c:ptCount val="4"/>
                <c:pt idx="0">
                  <c:v>19</c:v>
                </c:pt>
                <c:pt idx="1">
                  <c:v>0</c:v>
                </c:pt>
                <c:pt idx="2">
                  <c:v>10</c:v>
                </c:pt>
                <c:pt idx="3">
                  <c:v>0</c:v>
                </c:pt>
              </c:numCache>
            </c:numRef>
          </c:val>
          <c:extLst>
            <c:ext xmlns:c16="http://schemas.microsoft.com/office/drawing/2014/chart" uri="{C3380CC4-5D6E-409C-BE32-E72D297353CC}">
              <c16:uniqueId val="{00000003-8A5E-4FBF-8FDD-3A468601F467}"/>
            </c:ext>
          </c:extLst>
        </c:ser>
        <c:ser>
          <c:idx val="4"/>
          <c:order val="4"/>
          <c:tx>
            <c:strRef>
              <c:f>Sheet1!$B$24</c:f>
              <c:strCache>
                <c:ptCount val="1"/>
                <c:pt idx="0">
                  <c:v>25</c:v>
                </c:pt>
              </c:strCache>
            </c:strRef>
          </c:tx>
          <c:spPr>
            <a:solidFill>
              <a:schemeClr val="accent5"/>
            </a:solidFill>
            <a:ln>
              <a:noFill/>
            </a:ln>
            <a:effectLst/>
          </c:spPr>
          <c:invertIfNegative val="0"/>
          <c:cat>
            <c:strRef>
              <c:f>Sheet1!$C$19:$F$19</c:f>
              <c:strCache>
                <c:ptCount val="4"/>
                <c:pt idx="0">
                  <c:v>B. spp</c:v>
                </c:pt>
                <c:pt idx="1">
                  <c:v>S. spp</c:v>
                </c:pt>
                <c:pt idx="2">
                  <c:v>St. spp</c:v>
                </c:pt>
                <c:pt idx="3">
                  <c:v>P. spp</c:v>
                </c:pt>
              </c:strCache>
            </c:strRef>
          </c:cat>
          <c:val>
            <c:numRef>
              <c:f>Sheet1!$C$24:$F$24</c:f>
              <c:numCache>
                <c:formatCode>General</c:formatCode>
                <c:ptCount val="4"/>
                <c:pt idx="0">
                  <c:v>19</c:v>
                </c:pt>
                <c:pt idx="1">
                  <c:v>0</c:v>
                </c:pt>
                <c:pt idx="2">
                  <c:v>9</c:v>
                </c:pt>
                <c:pt idx="3">
                  <c:v>0</c:v>
                </c:pt>
              </c:numCache>
            </c:numRef>
          </c:val>
          <c:extLst>
            <c:ext xmlns:c16="http://schemas.microsoft.com/office/drawing/2014/chart" uri="{C3380CC4-5D6E-409C-BE32-E72D297353CC}">
              <c16:uniqueId val="{00000004-8A5E-4FBF-8FDD-3A468601F467}"/>
            </c:ext>
          </c:extLst>
        </c:ser>
        <c:ser>
          <c:idx val="5"/>
          <c:order val="5"/>
          <c:tx>
            <c:strRef>
              <c:f>Sheet1!$B$25</c:f>
              <c:strCache>
                <c:ptCount val="1"/>
                <c:pt idx="0">
                  <c:v>Cipro.</c:v>
                </c:pt>
              </c:strCache>
            </c:strRef>
          </c:tx>
          <c:spPr>
            <a:solidFill>
              <a:schemeClr val="accent6"/>
            </a:solidFill>
            <a:ln>
              <a:noFill/>
            </a:ln>
            <a:effectLst/>
          </c:spPr>
          <c:invertIfNegative val="0"/>
          <c:cat>
            <c:strRef>
              <c:f>Sheet1!$C$19:$F$19</c:f>
              <c:strCache>
                <c:ptCount val="4"/>
                <c:pt idx="0">
                  <c:v>B. spp</c:v>
                </c:pt>
                <c:pt idx="1">
                  <c:v>S. spp</c:v>
                </c:pt>
                <c:pt idx="2">
                  <c:v>St. spp</c:v>
                </c:pt>
                <c:pt idx="3">
                  <c:v>P. spp</c:v>
                </c:pt>
              </c:strCache>
            </c:strRef>
          </c:cat>
          <c:val>
            <c:numRef>
              <c:f>Sheet1!$C$25:$F$25</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5-8A5E-4FBF-8FDD-3A468601F467}"/>
            </c:ext>
          </c:extLst>
        </c:ser>
        <c:dLbls>
          <c:showLegendKey val="0"/>
          <c:showVal val="0"/>
          <c:showCatName val="0"/>
          <c:showSerName val="0"/>
          <c:showPercent val="0"/>
          <c:showBubbleSize val="0"/>
        </c:dLbls>
        <c:gapWidth val="150"/>
        <c:axId val="1369510159"/>
        <c:axId val="1357594127"/>
      </c:barChart>
      <c:catAx>
        <c:axId val="13695101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a:t>
                </a:r>
                <a:r>
                  <a:rPr lang="en-US" sz="1100" b="1" i="0" baseline="0">
                    <a:solidFill>
                      <a:srgbClr val="FF0000"/>
                    </a:solidFill>
                    <a:effectLst/>
                    <a:latin typeface="Times New Roman" panose="02020603050405020304" pitchFamily="18" charset="0"/>
                    <a:cs typeface="Times New Roman" panose="02020603050405020304" pitchFamily="18" charset="0"/>
                  </a:rPr>
                  <a:t>Bacteria</a:t>
                </a:r>
                <a:endParaRPr lang="en-US" sz="1100">
                  <a:solidFill>
                    <a:srgbClr val="FF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7594127"/>
        <c:crosses val="autoZero"/>
        <c:auto val="1"/>
        <c:lblAlgn val="ctr"/>
        <c:lblOffset val="100"/>
        <c:noMultiLvlLbl val="0"/>
      </c:catAx>
      <c:valAx>
        <c:axId val="135759412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b="1">
                  <a:effectLst/>
                  <a:latin typeface="Times New Roman" panose="02020603050405020304" pitchFamily="18" charset="0"/>
                  <a:cs typeface="Times New Roman" panose="02020603050405020304" pitchFamily="18" charset="0"/>
                </a:endParaRPr>
              </a:p>
            </c:rich>
          </c:tx>
          <c:layout>
            <c:manualLayout>
              <c:xMode val="edge"/>
              <c:yMode val="edge"/>
              <c:x val="2.7724782809792084E-2"/>
              <c:y val="6.168499207869286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951015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Ethyl acetate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781714785651796"/>
          <c:y val="3.1031184661239379E-2"/>
          <c:w val="0.72152559055118115"/>
          <c:h val="0.5556875305841007"/>
        </c:manualLayout>
      </c:layout>
      <c:barChart>
        <c:barDir val="col"/>
        <c:grouping val="clustered"/>
        <c:varyColors val="0"/>
        <c:ser>
          <c:idx val="0"/>
          <c:order val="0"/>
          <c:tx>
            <c:strRef>
              <c:f>Sheet1!$B$122</c:f>
              <c:strCache>
                <c:ptCount val="1"/>
                <c:pt idx="0">
                  <c:v>400</c:v>
                </c:pt>
              </c:strCache>
            </c:strRef>
          </c:tx>
          <c:spPr>
            <a:solidFill>
              <a:schemeClr val="accent1"/>
            </a:solidFill>
            <a:ln>
              <a:noFill/>
            </a:ln>
            <a:effectLst/>
          </c:spPr>
          <c:invertIfNegative val="0"/>
          <c:cat>
            <c:strRef>
              <c:f>Sheet1!$C$121:$F$121</c:f>
              <c:strCache>
                <c:ptCount val="4"/>
                <c:pt idx="0">
                  <c:v>B. spp</c:v>
                </c:pt>
                <c:pt idx="1">
                  <c:v>S. spp</c:v>
                </c:pt>
                <c:pt idx="2">
                  <c:v>St. spp</c:v>
                </c:pt>
                <c:pt idx="3">
                  <c:v>P. spp</c:v>
                </c:pt>
              </c:strCache>
            </c:strRef>
          </c:cat>
          <c:val>
            <c:numRef>
              <c:f>Sheet1!$C$122:$F$122</c:f>
              <c:numCache>
                <c:formatCode>General</c:formatCode>
                <c:ptCount val="4"/>
                <c:pt idx="0">
                  <c:v>18</c:v>
                </c:pt>
                <c:pt idx="1">
                  <c:v>10</c:v>
                </c:pt>
                <c:pt idx="2">
                  <c:v>19</c:v>
                </c:pt>
                <c:pt idx="3">
                  <c:v>12</c:v>
                </c:pt>
              </c:numCache>
            </c:numRef>
          </c:val>
          <c:extLst>
            <c:ext xmlns:c16="http://schemas.microsoft.com/office/drawing/2014/chart" uri="{C3380CC4-5D6E-409C-BE32-E72D297353CC}">
              <c16:uniqueId val="{00000000-4498-4958-B910-96AE456DD039}"/>
            </c:ext>
          </c:extLst>
        </c:ser>
        <c:ser>
          <c:idx val="1"/>
          <c:order val="1"/>
          <c:tx>
            <c:strRef>
              <c:f>Sheet1!$B$123</c:f>
              <c:strCache>
                <c:ptCount val="1"/>
                <c:pt idx="0">
                  <c:v>200</c:v>
                </c:pt>
              </c:strCache>
            </c:strRef>
          </c:tx>
          <c:spPr>
            <a:solidFill>
              <a:schemeClr val="accent2"/>
            </a:solidFill>
            <a:ln>
              <a:noFill/>
            </a:ln>
            <a:effectLst/>
          </c:spPr>
          <c:invertIfNegative val="0"/>
          <c:cat>
            <c:strRef>
              <c:f>Sheet1!$C$121:$F$121</c:f>
              <c:strCache>
                <c:ptCount val="4"/>
                <c:pt idx="0">
                  <c:v>B. spp</c:v>
                </c:pt>
                <c:pt idx="1">
                  <c:v>S. spp</c:v>
                </c:pt>
                <c:pt idx="2">
                  <c:v>St. spp</c:v>
                </c:pt>
                <c:pt idx="3">
                  <c:v>P. spp</c:v>
                </c:pt>
              </c:strCache>
            </c:strRef>
          </c:cat>
          <c:val>
            <c:numRef>
              <c:f>Sheet1!$C$123:$F$123</c:f>
              <c:numCache>
                <c:formatCode>General</c:formatCode>
                <c:ptCount val="4"/>
                <c:pt idx="0">
                  <c:v>18</c:v>
                </c:pt>
                <c:pt idx="1">
                  <c:v>9</c:v>
                </c:pt>
                <c:pt idx="2">
                  <c:v>12</c:v>
                </c:pt>
                <c:pt idx="3">
                  <c:v>10</c:v>
                </c:pt>
              </c:numCache>
            </c:numRef>
          </c:val>
          <c:extLst>
            <c:ext xmlns:c16="http://schemas.microsoft.com/office/drawing/2014/chart" uri="{C3380CC4-5D6E-409C-BE32-E72D297353CC}">
              <c16:uniqueId val="{00000001-4498-4958-B910-96AE456DD039}"/>
            </c:ext>
          </c:extLst>
        </c:ser>
        <c:ser>
          <c:idx val="2"/>
          <c:order val="2"/>
          <c:tx>
            <c:strRef>
              <c:f>Sheet1!$B$124</c:f>
              <c:strCache>
                <c:ptCount val="1"/>
                <c:pt idx="0">
                  <c:v>100</c:v>
                </c:pt>
              </c:strCache>
            </c:strRef>
          </c:tx>
          <c:spPr>
            <a:solidFill>
              <a:schemeClr val="accent3"/>
            </a:solidFill>
            <a:ln>
              <a:noFill/>
            </a:ln>
            <a:effectLst/>
          </c:spPr>
          <c:invertIfNegative val="0"/>
          <c:cat>
            <c:strRef>
              <c:f>Sheet1!$C$121:$F$121</c:f>
              <c:strCache>
                <c:ptCount val="4"/>
                <c:pt idx="0">
                  <c:v>B. spp</c:v>
                </c:pt>
                <c:pt idx="1">
                  <c:v>S. spp</c:v>
                </c:pt>
                <c:pt idx="2">
                  <c:v>St. spp</c:v>
                </c:pt>
                <c:pt idx="3">
                  <c:v>P. spp</c:v>
                </c:pt>
              </c:strCache>
            </c:strRef>
          </c:cat>
          <c:val>
            <c:numRef>
              <c:f>Sheet1!$C$124:$F$124</c:f>
              <c:numCache>
                <c:formatCode>General</c:formatCode>
                <c:ptCount val="4"/>
                <c:pt idx="0">
                  <c:v>18</c:v>
                </c:pt>
                <c:pt idx="1">
                  <c:v>7</c:v>
                </c:pt>
                <c:pt idx="2">
                  <c:v>11</c:v>
                </c:pt>
                <c:pt idx="3">
                  <c:v>9</c:v>
                </c:pt>
              </c:numCache>
            </c:numRef>
          </c:val>
          <c:extLst>
            <c:ext xmlns:c16="http://schemas.microsoft.com/office/drawing/2014/chart" uri="{C3380CC4-5D6E-409C-BE32-E72D297353CC}">
              <c16:uniqueId val="{00000002-4498-4958-B910-96AE456DD039}"/>
            </c:ext>
          </c:extLst>
        </c:ser>
        <c:ser>
          <c:idx val="3"/>
          <c:order val="3"/>
          <c:tx>
            <c:strRef>
              <c:f>Sheet1!$B$125</c:f>
              <c:strCache>
                <c:ptCount val="1"/>
                <c:pt idx="0">
                  <c:v>50</c:v>
                </c:pt>
              </c:strCache>
            </c:strRef>
          </c:tx>
          <c:spPr>
            <a:solidFill>
              <a:schemeClr val="accent4"/>
            </a:solidFill>
            <a:ln>
              <a:noFill/>
            </a:ln>
            <a:effectLst/>
          </c:spPr>
          <c:invertIfNegative val="0"/>
          <c:cat>
            <c:strRef>
              <c:f>Sheet1!$C$121:$F$121</c:f>
              <c:strCache>
                <c:ptCount val="4"/>
                <c:pt idx="0">
                  <c:v>B. spp</c:v>
                </c:pt>
                <c:pt idx="1">
                  <c:v>S. spp</c:v>
                </c:pt>
                <c:pt idx="2">
                  <c:v>St. spp</c:v>
                </c:pt>
                <c:pt idx="3">
                  <c:v>P. spp</c:v>
                </c:pt>
              </c:strCache>
            </c:strRef>
          </c:cat>
          <c:val>
            <c:numRef>
              <c:f>Sheet1!$C$125:$F$125</c:f>
              <c:numCache>
                <c:formatCode>General</c:formatCode>
                <c:ptCount val="4"/>
                <c:pt idx="0">
                  <c:v>17</c:v>
                </c:pt>
                <c:pt idx="1">
                  <c:v>0</c:v>
                </c:pt>
                <c:pt idx="2">
                  <c:v>9</c:v>
                </c:pt>
                <c:pt idx="3">
                  <c:v>7</c:v>
                </c:pt>
              </c:numCache>
            </c:numRef>
          </c:val>
          <c:extLst>
            <c:ext xmlns:c16="http://schemas.microsoft.com/office/drawing/2014/chart" uri="{C3380CC4-5D6E-409C-BE32-E72D297353CC}">
              <c16:uniqueId val="{00000003-4498-4958-B910-96AE456DD039}"/>
            </c:ext>
          </c:extLst>
        </c:ser>
        <c:ser>
          <c:idx val="4"/>
          <c:order val="4"/>
          <c:tx>
            <c:strRef>
              <c:f>Sheet1!$B$126</c:f>
              <c:strCache>
                <c:ptCount val="1"/>
                <c:pt idx="0">
                  <c:v>25</c:v>
                </c:pt>
              </c:strCache>
            </c:strRef>
          </c:tx>
          <c:spPr>
            <a:solidFill>
              <a:schemeClr val="accent5"/>
            </a:solidFill>
            <a:ln>
              <a:noFill/>
            </a:ln>
            <a:effectLst/>
          </c:spPr>
          <c:invertIfNegative val="0"/>
          <c:cat>
            <c:strRef>
              <c:f>Sheet1!$C$121:$F$121</c:f>
              <c:strCache>
                <c:ptCount val="4"/>
                <c:pt idx="0">
                  <c:v>B. spp</c:v>
                </c:pt>
                <c:pt idx="1">
                  <c:v>S. spp</c:v>
                </c:pt>
                <c:pt idx="2">
                  <c:v>St. spp</c:v>
                </c:pt>
                <c:pt idx="3">
                  <c:v>P. spp</c:v>
                </c:pt>
              </c:strCache>
            </c:strRef>
          </c:cat>
          <c:val>
            <c:numRef>
              <c:f>Sheet1!$C$126:$F$126</c:f>
              <c:numCache>
                <c:formatCode>General</c:formatCode>
                <c:ptCount val="4"/>
                <c:pt idx="0">
                  <c:v>16</c:v>
                </c:pt>
                <c:pt idx="1">
                  <c:v>0</c:v>
                </c:pt>
                <c:pt idx="2">
                  <c:v>8</c:v>
                </c:pt>
                <c:pt idx="3">
                  <c:v>0</c:v>
                </c:pt>
              </c:numCache>
            </c:numRef>
          </c:val>
          <c:extLst>
            <c:ext xmlns:c16="http://schemas.microsoft.com/office/drawing/2014/chart" uri="{C3380CC4-5D6E-409C-BE32-E72D297353CC}">
              <c16:uniqueId val="{00000004-4498-4958-B910-96AE456DD039}"/>
            </c:ext>
          </c:extLst>
        </c:ser>
        <c:ser>
          <c:idx val="5"/>
          <c:order val="5"/>
          <c:tx>
            <c:strRef>
              <c:f>Sheet1!$B$127</c:f>
              <c:strCache>
                <c:ptCount val="1"/>
                <c:pt idx="0">
                  <c:v>Cipro.</c:v>
                </c:pt>
              </c:strCache>
            </c:strRef>
          </c:tx>
          <c:spPr>
            <a:solidFill>
              <a:schemeClr val="accent6"/>
            </a:solidFill>
            <a:ln>
              <a:noFill/>
            </a:ln>
            <a:effectLst/>
          </c:spPr>
          <c:invertIfNegative val="0"/>
          <c:cat>
            <c:strRef>
              <c:f>Sheet1!$C$121:$F$121</c:f>
              <c:strCache>
                <c:ptCount val="4"/>
                <c:pt idx="0">
                  <c:v>B. spp</c:v>
                </c:pt>
                <c:pt idx="1">
                  <c:v>S. spp</c:v>
                </c:pt>
                <c:pt idx="2">
                  <c:v>St. spp</c:v>
                </c:pt>
                <c:pt idx="3">
                  <c:v>P. spp</c:v>
                </c:pt>
              </c:strCache>
            </c:strRef>
          </c:cat>
          <c:val>
            <c:numRef>
              <c:f>Sheet1!$C$127:$F$127</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5-4498-4958-B910-96AE456DD039}"/>
            </c:ext>
          </c:extLst>
        </c:ser>
        <c:dLbls>
          <c:showLegendKey val="0"/>
          <c:showVal val="0"/>
          <c:showCatName val="0"/>
          <c:showSerName val="0"/>
          <c:showPercent val="0"/>
          <c:showBubbleSize val="0"/>
        </c:dLbls>
        <c:gapWidth val="150"/>
        <c:axId val="1487652879"/>
        <c:axId val="1435517391"/>
      </c:barChart>
      <c:catAx>
        <c:axId val="14876528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a:t>
                </a:r>
                <a:r>
                  <a:rPr lang="en-US" sz="1100" b="1" i="0" baseline="0">
                    <a:solidFill>
                      <a:srgbClr val="FF0000"/>
                    </a:solidFill>
                    <a:effectLst/>
                    <a:latin typeface="Times New Roman" panose="02020603050405020304" pitchFamily="18" charset="0"/>
                    <a:cs typeface="Times New Roman" panose="02020603050405020304" pitchFamily="18" charset="0"/>
                  </a:rPr>
                  <a:t>Bacteria</a:t>
                </a:r>
                <a:endParaRPr lang="en-US" sz="1100">
                  <a:solidFill>
                    <a:srgbClr val="FF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517391"/>
        <c:crosses val="autoZero"/>
        <c:auto val="1"/>
        <c:lblAlgn val="ctr"/>
        <c:lblOffset val="100"/>
        <c:noMultiLvlLbl val="0"/>
      </c:catAx>
      <c:valAx>
        <c:axId val="143551739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3.0555555555555555E-2"/>
              <c:y val="9.145780506250277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765287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Methanol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Sheet1!$B$39</c:f>
              <c:strCache>
                <c:ptCount val="1"/>
                <c:pt idx="0">
                  <c:v>400</c:v>
                </c:pt>
              </c:strCache>
            </c:strRef>
          </c:tx>
          <c:spPr>
            <a:solidFill>
              <a:schemeClr val="accent1"/>
            </a:solidFill>
            <a:ln>
              <a:noFill/>
            </a:ln>
            <a:effectLst/>
          </c:spPr>
          <c:invertIfNegative val="0"/>
          <c:cat>
            <c:strRef>
              <c:f>Sheet1!$C$38:$F$38</c:f>
              <c:strCache>
                <c:ptCount val="4"/>
                <c:pt idx="0">
                  <c:v>B. spp</c:v>
                </c:pt>
                <c:pt idx="1">
                  <c:v>S. spp</c:v>
                </c:pt>
                <c:pt idx="2">
                  <c:v>St. spp</c:v>
                </c:pt>
                <c:pt idx="3">
                  <c:v>P. spp</c:v>
                </c:pt>
              </c:strCache>
            </c:strRef>
          </c:cat>
          <c:val>
            <c:numRef>
              <c:f>Sheet1!$C$39:$F$39</c:f>
              <c:numCache>
                <c:formatCode>General</c:formatCode>
                <c:ptCount val="4"/>
                <c:pt idx="0">
                  <c:v>18</c:v>
                </c:pt>
                <c:pt idx="1">
                  <c:v>10</c:v>
                </c:pt>
                <c:pt idx="2">
                  <c:v>19</c:v>
                </c:pt>
                <c:pt idx="3">
                  <c:v>12</c:v>
                </c:pt>
              </c:numCache>
            </c:numRef>
          </c:val>
          <c:extLst>
            <c:ext xmlns:c16="http://schemas.microsoft.com/office/drawing/2014/chart" uri="{C3380CC4-5D6E-409C-BE32-E72D297353CC}">
              <c16:uniqueId val="{00000000-212F-4459-9DAC-2EB21457C1B1}"/>
            </c:ext>
          </c:extLst>
        </c:ser>
        <c:ser>
          <c:idx val="1"/>
          <c:order val="1"/>
          <c:tx>
            <c:strRef>
              <c:f>Sheet1!$B$40</c:f>
              <c:strCache>
                <c:ptCount val="1"/>
                <c:pt idx="0">
                  <c:v>200</c:v>
                </c:pt>
              </c:strCache>
            </c:strRef>
          </c:tx>
          <c:spPr>
            <a:solidFill>
              <a:schemeClr val="accent2"/>
            </a:solidFill>
            <a:ln>
              <a:noFill/>
            </a:ln>
            <a:effectLst/>
          </c:spPr>
          <c:invertIfNegative val="0"/>
          <c:cat>
            <c:strRef>
              <c:f>Sheet1!$C$38:$F$38</c:f>
              <c:strCache>
                <c:ptCount val="4"/>
                <c:pt idx="0">
                  <c:v>B. spp</c:v>
                </c:pt>
                <c:pt idx="1">
                  <c:v>S. spp</c:v>
                </c:pt>
                <c:pt idx="2">
                  <c:v>St. spp</c:v>
                </c:pt>
                <c:pt idx="3">
                  <c:v>P. spp</c:v>
                </c:pt>
              </c:strCache>
            </c:strRef>
          </c:cat>
          <c:val>
            <c:numRef>
              <c:f>Sheet1!$C$40:$F$40</c:f>
              <c:numCache>
                <c:formatCode>General</c:formatCode>
                <c:ptCount val="4"/>
                <c:pt idx="0">
                  <c:v>18</c:v>
                </c:pt>
                <c:pt idx="1">
                  <c:v>9</c:v>
                </c:pt>
                <c:pt idx="2">
                  <c:v>12</c:v>
                </c:pt>
                <c:pt idx="3">
                  <c:v>10</c:v>
                </c:pt>
              </c:numCache>
            </c:numRef>
          </c:val>
          <c:extLst>
            <c:ext xmlns:c16="http://schemas.microsoft.com/office/drawing/2014/chart" uri="{C3380CC4-5D6E-409C-BE32-E72D297353CC}">
              <c16:uniqueId val="{00000001-212F-4459-9DAC-2EB21457C1B1}"/>
            </c:ext>
          </c:extLst>
        </c:ser>
        <c:ser>
          <c:idx val="2"/>
          <c:order val="2"/>
          <c:tx>
            <c:strRef>
              <c:f>Sheet1!$B$41</c:f>
              <c:strCache>
                <c:ptCount val="1"/>
                <c:pt idx="0">
                  <c:v>100</c:v>
                </c:pt>
              </c:strCache>
            </c:strRef>
          </c:tx>
          <c:spPr>
            <a:solidFill>
              <a:schemeClr val="accent3"/>
            </a:solidFill>
            <a:ln>
              <a:noFill/>
            </a:ln>
            <a:effectLst/>
          </c:spPr>
          <c:invertIfNegative val="0"/>
          <c:cat>
            <c:strRef>
              <c:f>Sheet1!$C$38:$F$38</c:f>
              <c:strCache>
                <c:ptCount val="4"/>
                <c:pt idx="0">
                  <c:v>B. spp</c:v>
                </c:pt>
                <c:pt idx="1">
                  <c:v>S. spp</c:v>
                </c:pt>
                <c:pt idx="2">
                  <c:v>St. spp</c:v>
                </c:pt>
                <c:pt idx="3">
                  <c:v>P. spp</c:v>
                </c:pt>
              </c:strCache>
            </c:strRef>
          </c:cat>
          <c:val>
            <c:numRef>
              <c:f>Sheet1!$C$41:$F$41</c:f>
              <c:numCache>
                <c:formatCode>General</c:formatCode>
                <c:ptCount val="4"/>
                <c:pt idx="0">
                  <c:v>18</c:v>
                </c:pt>
                <c:pt idx="1">
                  <c:v>7</c:v>
                </c:pt>
                <c:pt idx="2">
                  <c:v>11</c:v>
                </c:pt>
                <c:pt idx="3">
                  <c:v>9</c:v>
                </c:pt>
              </c:numCache>
            </c:numRef>
          </c:val>
          <c:extLst>
            <c:ext xmlns:c16="http://schemas.microsoft.com/office/drawing/2014/chart" uri="{C3380CC4-5D6E-409C-BE32-E72D297353CC}">
              <c16:uniqueId val="{00000002-212F-4459-9DAC-2EB21457C1B1}"/>
            </c:ext>
          </c:extLst>
        </c:ser>
        <c:ser>
          <c:idx val="3"/>
          <c:order val="3"/>
          <c:tx>
            <c:strRef>
              <c:f>Sheet1!$B$42</c:f>
              <c:strCache>
                <c:ptCount val="1"/>
                <c:pt idx="0">
                  <c:v>50</c:v>
                </c:pt>
              </c:strCache>
            </c:strRef>
          </c:tx>
          <c:spPr>
            <a:solidFill>
              <a:schemeClr val="accent4"/>
            </a:solidFill>
            <a:ln>
              <a:noFill/>
            </a:ln>
            <a:effectLst/>
          </c:spPr>
          <c:invertIfNegative val="0"/>
          <c:cat>
            <c:strRef>
              <c:f>Sheet1!$C$38:$F$38</c:f>
              <c:strCache>
                <c:ptCount val="4"/>
                <c:pt idx="0">
                  <c:v>B. spp</c:v>
                </c:pt>
                <c:pt idx="1">
                  <c:v>S. spp</c:v>
                </c:pt>
                <c:pt idx="2">
                  <c:v>St. spp</c:v>
                </c:pt>
                <c:pt idx="3">
                  <c:v>P. spp</c:v>
                </c:pt>
              </c:strCache>
            </c:strRef>
          </c:cat>
          <c:val>
            <c:numRef>
              <c:f>Sheet1!$C$42:$F$42</c:f>
              <c:numCache>
                <c:formatCode>General</c:formatCode>
                <c:ptCount val="4"/>
                <c:pt idx="0">
                  <c:v>17</c:v>
                </c:pt>
                <c:pt idx="1">
                  <c:v>0</c:v>
                </c:pt>
                <c:pt idx="2">
                  <c:v>9</c:v>
                </c:pt>
                <c:pt idx="3">
                  <c:v>7</c:v>
                </c:pt>
              </c:numCache>
            </c:numRef>
          </c:val>
          <c:extLst>
            <c:ext xmlns:c16="http://schemas.microsoft.com/office/drawing/2014/chart" uri="{C3380CC4-5D6E-409C-BE32-E72D297353CC}">
              <c16:uniqueId val="{00000003-212F-4459-9DAC-2EB21457C1B1}"/>
            </c:ext>
          </c:extLst>
        </c:ser>
        <c:ser>
          <c:idx val="4"/>
          <c:order val="4"/>
          <c:tx>
            <c:strRef>
              <c:f>Sheet1!$B$43</c:f>
              <c:strCache>
                <c:ptCount val="1"/>
                <c:pt idx="0">
                  <c:v>25</c:v>
                </c:pt>
              </c:strCache>
            </c:strRef>
          </c:tx>
          <c:spPr>
            <a:solidFill>
              <a:schemeClr val="accent5"/>
            </a:solidFill>
            <a:ln>
              <a:noFill/>
            </a:ln>
            <a:effectLst/>
          </c:spPr>
          <c:invertIfNegative val="0"/>
          <c:cat>
            <c:strRef>
              <c:f>Sheet1!$C$38:$F$38</c:f>
              <c:strCache>
                <c:ptCount val="4"/>
                <c:pt idx="0">
                  <c:v>B. spp</c:v>
                </c:pt>
                <c:pt idx="1">
                  <c:v>S. spp</c:v>
                </c:pt>
                <c:pt idx="2">
                  <c:v>St. spp</c:v>
                </c:pt>
                <c:pt idx="3">
                  <c:v>P. spp</c:v>
                </c:pt>
              </c:strCache>
            </c:strRef>
          </c:cat>
          <c:val>
            <c:numRef>
              <c:f>Sheet1!$C$43:$F$43</c:f>
              <c:numCache>
                <c:formatCode>General</c:formatCode>
                <c:ptCount val="4"/>
                <c:pt idx="0">
                  <c:v>16</c:v>
                </c:pt>
                <c:pt idx="1">
                  <c:v>0</c:v>
                </c:pt>
                <c:pt idx="2">
                  <c:v>8</c:v>
                </c:pt>
                <c:pt idx="3">
                  <c:v>0</c:v>
                </c:pt>
              </c:numCache>
            </c:numRef>
          </c:val>
          <c:extLst>
            <c:ext xmlns:c16="http://schemas.microsoft.com/office/drawing/2014/chart" uri="{C3380CC4-5D6E-409C-BE32-E72D297353CC}">
              <c16:uniqueId val="{00000004-212F-4459-9DAC-2EB21457C1B1}"/>
            </c:ext>
          </c:extLst>
        </c:ser>
        <c:ser>
          <c:idx val="5"/>
          <c:order val="5"/>
          <c:tx>
            <c:strRef>
              <c:f>Sheet1!$B$44</c:f>
              <c:strCache>
                <c:ptCount val="1"/>
                <c:pt idx="0">
                  <c:v>Cipro.</c:v>
                </c:pt>
              </c:strCache>
            </c:strRef>
          </c:tx>
          <c:spPr>
            <a:solidFill>
              <a:schemeClr val="accent6"/>
            </a:solidFill>
            <a:ln>
              <a:noFill/>
            </a:ln>
            <a:effectLst/>
          </c:spPr>
          <c:invertIfNegative val="0"/>
          <c:cat>
            <c:strRef>
              <c:f>Sheet1!$C$38:$F$38</c:f>
              <c:strCache>
                <c:ptCount val="4"/>
                <c:pt idx="0">
                  <c:v>B. spp</c:v>
                </c:pt>
                <c:pt idx="1">
                  <c:v>S. spp</c:v>
                </c:pt>
                <c:pt idx="2">
                  <c:v>St. spp</c:v>
                </c:pt>
                <c:pt idx="3">
                  <c:v>P. spp</c:v>
                </c:pt>
              </c:strCache>
            </c:strRef>
          </c:cat>
          <c:val>
            <c:numRef>
              <c:f>Sheet1!$C$44:$F$44</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5-212F-4459-9DAC-2EB21457C1B1}"/>
            </c:ext>
          </c:extLst>
        </c:ser>
        <c:dLbls>
          <c:showLegendKey val="0"/>
          <c:showVal val="0"/>
          <c:showCatName val="0"/>
          <c:showSerName val="0"/>
          <c:showPercent val="0"/>
          <c:showBubbleSize val="0"/>
        </c:dLbls>
        <c:gapWidth val="150"/>
        <c:axId val="1336694111"/>
        <c:axId val="1435501583"/>
      </c:barChart>
      <c:catAx>
        <c:axId val="13366941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a:t>
                </a:r>
                <a:r>
                  <a:rPr lang="en-US" sz="1100" b="1" i="0" baseline="0">
                    <a:solidFill>
                      <a:srgbClr val="FF0000"/>
                    </a:solidFill>
                    <a:effectLst/>
                    <a:latin typeface="Times New Roman" panose="02020603050405020304" pitchFamily="18" charset="0"/>
                    <a:cs typeface="Times New Roman" panose="02020603050405020304" pitchFamily="18" charset="0"/>
                  </a:rPr>
                  <a:t>Bacteria</a:t>
                </a:r>
                <a:endParaRPr lang="en-US" sz="1100">
                  <a:solidFill>
                    <a:srgbClr val="FF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501583"/>
        <c:crosses val="autoZero"/>
        <c:auto val="1"/>
        <c:lblAlgn val="ctr"/>
        <c:lblOffset val="100"/>
        <c:noMultiLvlLbl val="0"/>
      </c:catAx>
      <c:valAx>
        <c:axId val="14355015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7777777777777776E-2"/>
              <c:y val="4.3224806201550378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669411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Aqueous</a:t>
            </a:r>
            <a:r>
              <a:rPr lang="en-US" sz="1200" b="1" baseline="0">
                <a:latin typeface="Times New Roman" panose="02020603050405020304" pitchFamily="18" charset="0"/>
                <a:cs typeface="Times New Roman" panose="02020603050405020304" pitchFamily="18" charset="0"/>
              </a:rPr>
              <a:t> extract</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Sheet1!$B$57</c:f>
              <c:strCache>
                <c:ptCount val="1"/>
                <c:pt idx="0">
                  <c:v>400</c:v>
                </c:pt>
              </c:strCache>
            </c:strRef>
          </c:tx>
          <c:spPr>
            <a:solidFill>
              <a:schemeClr val="accent1"/>
            </a:solidFill>
            <a:ln>
              <a:noFill/>
            </a:ln>
            <a:effectLst/>
          </c:spPr>
          <c:invertIfNegative val="0"/>
          <c:cat>
            <c:strRef>
              <c:f>Sheet1!$C$56:$F$56</c:f>
              <c:strCache>
                <c:ptCount val="4"/>
                <c:pt idx="0">
                  <c:v>B. spp</c:v>
                </c:pt>
                <c:pt idx="1">
                  <c:v>S. spp</c:v>
                </c:pt>
                <c:pt idx="2">
                  <c:v>St. spp</c:v>
                </c:pt>
                <c:pt idx="3">
                  <c:v>P. spp</c:v>
                </c:pt>
              </c:strCache>
            </c:strRef>
          </c:cat>
          <c:val>
            <c:numRef>
              <c:f>Sheet1!$C$57:$F$57</c:f>
              <c:numCache>
                <c:formatCode>General</c:formatCode>
                <c:ptCount val="4"/>
                <c:pt idx="0">
                  <c:v>12</c:v>
                </c:pt>
                <c:pt idx="1">
                  <c:v>12</c:v>
                </c:pt>
                <c:pt idx="2">
                  <c:v>11</c:v>
                </c:pt>
                <c:pt idx="3">
                  <c:v>11</c:v>
                </c:pt>
              </c:numCache>
            </c:numRef>
          </c:val>
          <c:extLst>
            <c:ext xmlns:c16="http://schemas.microsoft.com/office/drawing/2014/chart" uri="{C3380CC4-5D6E-409C-BE32-E72D297353CC}">
              <c16:uniqueId val="{00000000-1C59-4A6C-BD34-5386323006F3}"/>
            </c:ext>
          </c:extLst>
        </c:ser>
        <c:ser>
          <c:idx val="1"/>
          <c:order val="1"/>
          <c:tx>
            <c:strRef>
              <c:f>Sheet1!$B$58</c:f>
              <c:strCache>
                <c:ptCount val="1"/>
                <c:pt idx="0">
                  <c:v>200</c:v>
                </c:pt>
              </c:strCache>
            </c:strRef>
          </c:tx>
          <c:spPr>
            <a:solidFill>
              <a:schemeClr val="accent2"/>
            </a:solidFill>
            <a:ln>
              <a:noFill/>
            </a:ln>
            <a:effectLst/>
          </c:spPr>
          <c:invertIfNegative val="0"/>
          <c:cat>
            <c:strRef>
              <c:f>Sheet1!$C$56:$F$56</c:f>
              <c:strCache>
                <c:ptCount val="4"/>
                <c:pt idx="0">
                  <c:v>B. spp</c:v>
                </c:pt>
                <c:pt idx="1">
                  <c:v>S. spp</c:v>
                </c:pt>
                <c:pt idx="2">
                  <c:v>St. spp</c:v>
                </c:pt>
                <c:pt idx="3">
                  <c:v>P. spp</c:v>
                </c:pt>
              </c:strCache>
            </c:strRef>
          </c:cat>
          <c:val>
            <c:numRef>
              <c:f>Sheet1!$C$58:$F$58</c:f>
              <c:numCache>
                <c:formatCode>General</c:formatCode>
                <c:ptCount val="4"/>
                <c:pt idx="0">
                  <c:v>10</c:v>
                </c:pt>
                <c:pt idx="1">
                  <c:v>10</c:v>
                </c:pt>
                <c:pt idx="2">
                  <c:v>8</c:v>
                </c:pt>
                <c:pt idx="3">
                  <c:v>10</c:v>
                </c:pt>
              </c:numCache>
            </c:numRef>
          </c:val>
          <c:extLst>
            <c:ext xmlns:c16="http://schemas.microsoft.com/office/drawing/2014/chart" uri="{C3380CC4-5D6E-409C-BE32-E72D297353CC}">
              <c16:uniqueId val="{00000001-1C59-4A6C-BD34-5386323006F3}"/>
            </c:ext>
          </c:extLst>
        </c:ser>
        <c:ser>
          <c:idx val="2"/>
          <c:order val="2"/>
          <c:tx>
            <c:strRef>
              <c:f>Sheet1!$B$59</c:f>
              <c:strCache>
                <c:ptCount val="1"/>
                <c:pt idx="0">
                  <c:v>100</c:v>
                </c:pt>
              </c:strCache>
            </c:strRef>
          </c:tx>
          <c:spPr>
            <a:solidFill>
              <a:schemeClr val="accent3"/>
            </a:solidFill>
            <a:ln>
              <a:noFill/>
            </a:ln>
            <a:effectLst/>
          </c:spPr>
          <c:invertIfNegative val="0"/>
          <c:cat>
            <c:strRef>
              <c:f>Sheet1!$C$56:$F$56</c:f>
              <c:strCache>
                <c:ptCount val="4"/>
                <c:pt idx="0">
                  <c:v>B. spp</c:v>
                </c:pt>
                <c:pt idx="1">
                  <c:v>S. spp</c:v>
                </c:pt>
                <c:pt idx="2">
                  <c:v>St. spp</c:v>
                </c:pt>
                <c:pt idx="3">
                  <c:v>P. spp</c:v>
                </c:pt>
              </c:strCache>
            </c:strRef>
          </c:cat>
          <c:val>
            <c:numRef>
              <c:f>Sheet1!$C$59:$F$59</c:f>
              <c:numCache>
                <c:formatCode>General</c:formatCode>
                <c:ptCount val="4"/>
                <c:pt idx="0">
                  <c:v>9</c:v>
                </c:pt>
                <c:pt idx="1">
                  <c:v>9</c:v>
                </c:pt>
                <c:pt idx="2">
                  <c:v>0</c:v>
                </c:pt>
                <c:pt idx="3">
                  <c:v>9</c:v>
                </c:pt>
              </c:numCache>
            </c:numRef>
          </c:val>
          <c:extLst>
            <c:ext xmlns:c16="http://schemas.microsoft.com/office/drawing/2014/chart" uri="{C3380CC4-5D6E-409C-BE32-E72D297353CC}">
              <c16:uniqueId val="{00000002-1C59-4A6C-BD34-5386323006F3}"/>
            </c:ext>
          </c:extLst>
        </c:ser>
        <c:ser>
          <c:idx val="3"/>
          <c:order val="3"/>
          <c:tx>
            <c:strRef>
              <c:f>Sheet1!$B$60</c:f>
              <c:strCache>
                <c:ptCount val="1"/>
                <c:pt idx="0">
                  <c:v>50</c:v>
                </c:pt>
              </c:strCache>
            </c:strRef>
          </c:tx>
          <c:spPr>
            <a:solidFill>
              <a:schemeClr val="accent4"/>
            </a:solidFill>
            <a:ln>
              <a:noFill/>
            </a:ln>
            <a:effectLst/>
          </c:spPr>
          <c:invertIfNegative val="0"/>
          <c:cat>
            <c:strRef>
              <c:f>Sheet1!$C$56:$F$56</c:f>
              <c:strCache>
                <c:ptCount val="4"/>
                <c:pt idx="0">
                  <c:v>B. spp</c:v>
                </c:pt>
                <c:pt idx="1">
                  <c:v>S. spp</c:v>
                </c:pt>
                <c:pt idx="2">
                  <c:v>St. spp</c:v>
                </c:pt>
                <c:pt idx="3">
                  <c:v>P. spp</c:v>
                </c:pt>
              </c:strCache>
            </c:strRef>
          </c:cat>
          <c:val>
            <c:numRef>
              <c:f>Sheet1!$C$60:$F$60</c:f>
              <c:numCache>
                <c:formatCode>General</c:formatCode>
                <c:ptCount val="4"/>
                <c:pt idx="0">
                  <c:v>0</c:v>
                </c:pt>
                <c:pt idx="1">
                  <c:v>0</c:v>
                </c:pt>
                <c:pt idx="2">
                  <c:v>0</c:v>
                </c:pt>
                <c:pt idx="3">
                  <c:v>8</c:v>
                </c:pt>
              </c:numCache>
            </c:numRef>
          </c:val>
          <c:extLst>
            <c:ext xmlns:c16="http://schemas.microsoft.com/office/drawing/2014/chart" uri="{C3380CC4-5D6E-409C-BE32-E72D297353CC}">
              <c16:uniqueId val="{00000003-1C59-4A6C-BD34-5386323006F3}"/>
            </c:ext>
          </c:extLst>
        </c:ser>
        <c:ser>
          <c:idx val="4"/>
          <c:order val="4"/>
          <c:tx>
            <c:strRef>
              <c:f>Sheet1!$B$61</c:f>
              <c:strCache>
                <c:ptCount val="1"/>
                <c:pt idx="0">
                  <c:v>25</c:v>
                </c:pt>
              </c:strCache>
            </c:strRef>
          </c:tx>
          <c:spPr>
            <a:solidFill>
              <a:schemeClr val="accent5"/>
            </a:solidFill>
            <a:ln>
              <a:noFill/>
            </a:ln>
            <a:effectLst/>
          </c:spPr>
          <c:invertIfNegative val="0"/>
          <c:cat>
            <c:strRef>
              <c:f>Sheet1!$C$56:$F$56</c:f>
              <c:strCache>
                <c:ptCount val="4"/>
                <c:pt idx="0">
                  <c:v>B. spp</c:v>
                </c:pt>
                <c:pt idx="1">
                  <c:v>S. spp</c:v>
                </c:pt>
                <c:pt idx="2">
                  <c:v>St. spp</c:v>
                </c:pt>
                <c:pt idx="3">
                  <c:v>P. spp</c:v>
                </c:pt>
              </c:strCache>
            </c:strRef>
          </c:cat>
          <c:val>
            <c:numRef>
              <c:f>Sheet1!$C$61:$F$61</c:f>
              <c:numCache>
                <c:formatCode>General</c:formatCode>
                <c:ptCount val="4"/>
                <c:pt idx="0">
                  <c:v>0</c:v>
                </c:pt>
                <c:pt idx="1">
                  <c:v>0</c:v>
                </c:pt>
                <c:pt idx="2">
                  <c:v>0</c:v>
                </c:pt>
                <c:pt idx="3">
                  <c:v>7</c:v>
                </c:pt>
              </c:numCache>
            </c:numRef>
          </c:val>
          <c:extLst>
            <c:ext xmlns:c16="http://schemas.microsoft.com/office/drawing/2014/chart" uri="{C3380CC4-5D6E-409C-BE32-E72D297353CC}">
              <c16:uniqueId val="{00000004-1C59-4A6C-BD34-5386323006F3}"/>
            </c:ext>
          </c:extLst>
        </c:ser>
        <c:ser>
          <c:idx val="5"/>
          <c:order val="5"/>
          <c:tx>
            <c:strRef>
              <c:f>Sheet1!$B$62</c:f>
              <c:strCache>
                <c:ptCount val="1"/>
                <c:pt idx="0">
                  <c:v>Cipro.</c:v>
                </c:pt>
              </c:strCache>
            </c:strRef>
          </c:tx>
          <c:spPr>
            <a:solidFill>
              <a:schemeClr val="accent6"/>
            </a:solidFill>
            <a:ln>
              <a:noFill/>
            </a:ln>
            <a:effectLst/>
          </c:spPr>
          <c:invertIfNegative val="0"/>
          <c:cat>
            <c:strRef>
              <c:f>Sheet1!$C$56:$F$56</c:f>
              <c:strCache>
                <c:ptCount val="4"/>
                <c:pt idx="0">
                  <c:v>B. spp</c:v>
                </c:pt>
                <c:pt idx="1">
                  <c:v>S. spp</c:v>
                </c:pt>
                <c:pt idx="2">
                  <c:v>St. spp</c:v>
                </c:pt>
                <c:pt idx="3">
                  <c:v>P. spp</c:v>
                </c:pt>
              </c:strCache>
            </c:strRef>
          </c:cat>
          <c:val>
            <c:numRef>
              <c:f>Sheet1!$C$62:$F$62</c:f>
              <c:numCache>
                <c:formatCode>General</c:formatCode>
                <c:ptCount val="4"/>
                <c:pt idx="0">
                  <c:v>17</c:v>
                </c:pt>
                <c:pt idx="1">
                  <c:v>22</c:v>
                </c:pt>
                <c:pt idx="2">
                  <c:v>18</c:v>
                </c:pt>
                <c:pt idx="3">
                  <c:v>22</c:v>
                </c:pt>
              </c:numCache>
            </c:numRef>
          </c:val>
          <c:extLst>
            <c:ext xmlns:c16="http://schemas.microsoft.com/office/drawing/2014/chart" uri="{C3380CC4-5D6E-409C-BE32-E72D297353CC}">
              <c16:uniqueId val="{00000005-1C59-4A6C-BD34-5386323006F3}"/>
            </c:ext>
          </c:extLst>
        </c:ser>
        <c:dLbls>
          <c:showLegendKey val="0"/>
          <c:showVal val="0"/>
          <c:showCatName val="0"/>
          <c:showSerName val="0"/>
          <c:showPercent val="0"/>
          <c:showBubbleSize val="0"/>
        </c:dLbls>
        <c:gapWidth val="150"/>
        <c:axId val="1336699311"/>
        <c:axId val="1449183055"/>
      </c:barChart>
      <c:catAx>
        <c:axId val="13366993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a:t>
                </a:r>
                <a:r>
                  <a:rPr lang="en-US" sz="1100" b="1" i="0" baseline="0">
                    <a:solidFill>
                      <a:srgbClr val="FF0000"/>
                    </a:solidFill>
                    <a:effectLst/>
                    <a:latin typeface="Times New Roman" panose="02020603050405020304" pitchFamily="18" charset="0"/>
                    <a:cs typeface="Times New Roman" panose="02020603050405020304" pitchFamily="18" charset="0"/>
                  </a:rPr>
                  <a:t>Bacteria</a:t>
                </a:r>
                <a:endParaRPr lang="en-US" sz="1100">
                  <a:solidFill>
                    <a:srgbClr val="FF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9183055"/>
        <c:crosses val="autoZero"/>
        <c:auto val="1"/>
        <c:lblAlgn val="ctr"/>
        <c:lblOffset val="100"/>
        <c:noMultiLvlLbl val="0"/>
      </c:catAx>
      <c:valAx>
        <c:axId val="144918305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3.0555555555555555E-2"/>
              <c:y val="8.356822485796872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669931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n-hexane extract</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Sheet1!$B$76</c:f>
              <c:strCache>
                <c:ptCount val="1"/>
                <c:pt idx="0">
                  <c:v>200</c:v>
                </c:pt>
              </c:strCache>
            </c:strRef>
          </c:tx>
          <c:spPr>
            <a:solidFill>
              <a:schemeClr val="accent1"/>
            </a:solidFill>
            <a:ln>
              <a:noFill/>
            </a:ln>
            <a:effectLst/>
          </c:spPr>
          <c:invertIfNegative val="0"/>
          <c:cat>
            <c:strRef>
              <c:f>Sheet1!$C$75:$D$75</c:f>
              <c:strCache>
                <c:ptCount val="2"/>
                <c:pt idx="0">
                  <c:v>C. spp</c:v>
                </c:pt>
                <c:pt idx="1">
                  <c:v>A. spp</c:v>
                </c:pt>
              </c:strCache>
            </c:strRef>
          </c:cat>
          <c:val>
            <c:numRef>
              <c:f>Sheet1!$C$76:$D$76</c:f>
              <c:numCache>
                <c:formatCode>General</c:formatCode>
                <c:ptCount val="2"/>
                <c:pt idx="0">
                  <c:v>15</c:v>
                </c:pt>
                <c:pt idx="1">
                  <c:v>17</c:v>
                </c:pt>
              </c:numCache>
            </c:numRef>
          </c:val>
          <c:extLst>
            <c:ext xmlns:c16="http://schemas.microsoft.com/office/drawing/2014/chart" uri="{C3380CC4-5D6E-409C-BE32-E72D297353CC}">
              <c16:uniqueId val="{00000000-8060-4E22-9E5D-DF40F4049EEF}"/>
            </c:ext>
          </c:extLst>
        </c:ser>
        <c:ser>
          <c:idx val="1"/>
          <c:order val="1"/>
          <c:tx>
            <c:strRef>
              <c:f>Sheet1!$B$77</c:f>
              <c:strCache>
                <c:ptCount val="1"/>
                <c:pt idx="0">
                  <c:v>100</c:v>
                </c:pt>
              </c:strCache>
            </c:strRef>
          </c:tx>
          <c:spPr>
            <a:solidFill>
              <a:schemeClr val="accent2"/>
            </a:solidFill>
            <a:ln>
              <a:noFill/>
            </a:ln>
            <a:effectLst/>
          </c:spPr>
          <c:invertIfNegative val="0"/>
          <c:cat>
            <c:strRef>
              <c:f>Sheet1!$C$75:$D$75</c:f>
              <c:strCache>
                <c:ptCount val="2"/>
                <c:pt idx="0">
                  <c:v>C. spp</c:v>
                </c:pt>
                <c:pt idx="1">
                  <c:v>A. spp</c:v>
                </c:pt>
              </c:strCache>
            </c:strRef>
          </c:cat>
          <c:val>
            <c:numRef>
              <c:f>Sheet1!$C$77:$D$77</c:f>
              <c:numCache>
                <c:formatCode>General</c:formatCode>
                <c:ptCount val="2"/>
                <c:pt idx="0">
                  <c:v>11</c:v>
                </c:pt>
                <c:pt idx="1">
                  <c:v>17</c:v>
                </c:pt>
              </c:numCache>
            </c:numRef>
          </c:val>
          <c:extLst>
            <c:ext xmlns:c16="http://schemas.microsoft.com/office/drawing/2014/chart" uri="{C3380CC4-5D6E-409C-BE32-E72D297353CC}">
              <c16:uniqueId val="{00000001-8060-4E22-9E5D-DF40F4049EEF}"/>
            </c:ext>
          </c:extLst>
        </c:ser>
        <c:ser>
          <c:idx val="2"/>
          <c:order val="2"/>
          <c:tx>
            <c:strRef>
              <c:f>Sheet1!$B$78</c:f>
              <c:strCache>
                <c:ptCount val="1"/>
                <c:pt idx="0">
                  <c:v>50</c:v>
                </c:pt>
              </c:strCache>
            </c:strRef>
          </c:tx>
          <c:spPr>
            <a:solidFill>
              <a:schemeClr val="accent3"/>
            </a:solidFill>
            <a:ln>
              <a:noFill/>
            </a:ln>
            <a:effectLst/>
          </c:spPr>
          <c:invertIfNegative val="0"/>
          <c:cat>
            <c:strRef>
              <c:f>Sheet1!$C$75:$D$75</c:f>
              <c:strCache>
                <c:ptCount val="2"/>
                <c:pt idx="0">
                  <c:v>C. spp</c:v>
                </c:pt>
                <c:pt idx="1">
                  <c:v>A. spp</c:v>
                </c:pt>
              </c:strCache>
            </c:strRef>
          </c:cat>
          <c:val>
            <c:numRef>
              <c:f>Sheet1!$C$78:$D$78</c:f>
              <c:numCache>
                <c:formatCode>General</c:formatCode>
                <c:ptCount val="2"/>
                <c:pt idx="0">
                  <c:v>0</c:v>
                </c:pt>
                <c:pt idx="1">
                  <c:v>10</c:v>
                </c:pt>
              </c:numCache>
            </c:numRef>
          </c:val>
          <c:extLst>
            <c:ext xmlns:c16="http://schemas.microsoft.com/office/drawing/2014/chart" uri="{C3380CC4-5D6E-409C-BE32-E72D297353CC}">
              <c16:uniqueId val="{00000002-8060-4E22-9E5D-DF40F4049EEF}"/>
            </c:ext>
          </c:extLst>
        </c:ser>
        <c:ser>
          <c:idx val="3"/>
          <c:order val="3"/>
          <c:tx>
            <c:strRef>
              <c:f>Sheet1!$B$79</c:f>
              <c:strCache>
                <c:ptCount val="1"/>
                <c:pt idx="0">
                  <c:v>Keto</c:v>
                </c:pt>
              </c:strCache>
            </c:strRef>
          </c:tx>
          <c:spPr>
            <a:solidFill>
              <a:schemeClr val="accent4"/>
            </a:solidFill>
            <a:ln>
              <a:noFill/>
            </a:ln>
            <a:effectLst/>
          </c:spPr>
          <c:invertIfNegative val="0"/>
          <c:cat>
            <c:strRef>
              <c:f>Sheet1!$C$75:$D$75</c:f>
              <c:strCache>
                <c:ptCount val="2"/>
                <c:pt idx="0">
                  <c:v>C. spp</c:v>
                </c:pt>
                <c:pt idx="1">
                  <c:v>A. spp</c:v>
                </c:pt>
              </c:strCache>
            </c:strRef>
          </c:cat>
          <c:val>
            <c:numRef>
              <c:f>Sheet1!$C$79:$D$79</c:f>
              <c:numCache>
                <c:formatCode>General</c:formatCode>
                <c:ptCount val="2"/>
                <c:pt idx="0">
                  <c:v>20</c:v>
                </c:pt>
                <c:pt idx="1">
                  <c:v>22</c:v>
                </c:pt>
              </c:numCache>
            </c:numRef>
          </c:val>
          <c:extLst>
            <c:ext xmlns:c16="http://schemas.microsoft.com/office/drawing/2014/chart" uri="{C3380CC4-5D6E-409C-BE32-E72D297353CC}">
              <c16:uniqueId val="{00000003-8060-4E22-9E5D-DF40F4049EEF}"/>
            </c:ext>
          </c:extLst>
        </c:ser>
        <c:dLbls>
          <c:showLegendKey val="0"/>
          <c:showVal val="0"/>
          <c:showCatName val="0"/>
          <c:showSerName val="0"/>
          <c:showPercent val="0"/>
          <c:showBubbleSize val="0"/>
        </c:dLbls>
        <c:gapWidth val="150"/>
        <c:axId val="1320619855"/>
        <c:axId val="1449168911"/>
      </c:barChart>
      <c:catAx>
        <c:axId val="13206198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Pathogenic Fungi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9168911"/>
        <c:crosses val="autoZero"/>
        <c:auto val="1"/>
        <c:lblAlgn val="ctr"/>
        <c:lblOffset val="100"/>
        <c:noMultiLvlLbl val="0"/>
      </c:catAx>
      <c:valAx>
        <c:axId val="144916891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3.6111111111111108E-2"/>
              <c:y val="5.796216510672014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06198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Dichloromethane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Sheet1!$B$90</c:f>
              <c:strCache>
                <c:ptCount val="1"/>
                <c:pt idx="0">
                  <c:v>400</c:v>
                </c:pt>
              </c:strCache>
            </c:strRef>
          </c:tx>
          <c:spPr>
            <a:solidFill>
              <a:schemeClr val="accent1"/>
            </a:solidFill>
            <a:ln>
              <a:noFill/>
            </a:ln>
            <a:effectLst/>
          </c:spPr>
          <c:invertIfNegative val="0"/>
          <c:cat>
            <c:strRef>
              <c:f>Sheet1!$C$89:$D$89</c:f>
              <c:strCache>
                <c:ptCount val="2"/>
                <c:pt idx="0">
                  <c:v>C. spp</c:v>
                </c:pt>
                <c:pt idx="1">
                  <c:v>A. spp</c:v>
                </c:pt>
              </c:strCache>
            </c:strRef>
          </c:cat>
          <c:val>
            <c:numRef>
              <c:f>Sheet1!$C$90:$D$90</c:f>
              <c:numCache>
                <c:formatCode>General</c:formatCode>
                <c:ptCount val="2"/>
                <c:pt idx="0">
                  <c:v>19</c:v>
                </c:pt>
                <c:pt idx="1">
                  <c:v>18</c:v>
                </c:pt>
              </c:numCache>
            </c:numRef>
          </c:val>
          <c:extLst>
            <c:ext xmlns:c16="http://schemas.microsoft.com/office/drawing/2014/chart" uri="{C3380CC4-5D6E-409C-BE32-E72D297353CC}">
              <c16:uniqueId val="{00000000-98BE-4EE5-8521-A77AD3B6C198}"/>
            </c:ext>
          </c:extLst>
        </c:ser>
        <c:ser>
          <c:idx val="1"/>
          <c:order val="1"/>
          <c:tx>
            <c:strRef>
              <c:f>Sheet1!$B$91</c:f>
              <c:strCache>
                <c:ptCount val="1"/>
                <c:pt idx="0">
                  <c:v>200</c:v>
                </c:pt>
              </c:strCache>
            </c:strRef>
          </c:tx>
          <c:spPr>
            <a:solidFill>
              <a:schemeClr val="accent2"/>
            </a:solidFill>
            <a:ln>
              <a:noFill/>
            </a:ln>
            <a:effectLst/>
          </c:spPr>
          <c:invertIfNegative val="0"/>
          <c:cat>
            <c:strRef>
              <c:f>Sheet1!$C$89:$D$89</c:f>
              <c:strCache>
                <c:ptCount val="2"/>
                <c:pt idx="0">
                  <c:v>C. spp</c:v>
                </c:pt>
                <c:pt idx="1">
                  <c:v>A. spp</c:v>
                </c:pt>
              </c:strCache>
            </c:strRef>
          </c:cat>
          <c:val>
            <c:numRef>
              <c:f>Sheet1!$C$91:$D$91</c:f>
              <c:numCache>
                <c:formatCode>General</c:formatCode>
                <c:ptCount val="2"/>
                <c:pt idx="0">
                  <c:v>16</c:v>
                </c:pt>
                <c:pt idx="1">
                  <c:v>16</c:v>
                </c:pt>
              </c:numCache>
            </c:numRef>
          </c:val>
          <c:extLst>
            <c:ext xmlns:c16="http://schemas.microsoft.com/office/drawing/2014/chart" uri="{C3380CC4-5D6E-409C-BE32-E72D297353CC}">
              <c16:uniqueId val="{00000001-98BE-4EE5-8521-A77AD3B6C198}"/>
            </c:ext>
          </c:extLst>
        </c:ser>
        <c:ser>
          <c:idx val="2"/>
          <c:order val="2"/>
          <c:tx>
            <c:strRef>
              <c:f>Sheet1!$B$92</c:f>
              <c:strCache>
                <c:ptCount val="1"/>
                <c:pt idx="0">
                  <c:v>100</c:v>
                </c:pt>
              </c:strCache>
            </c:strRef>
          </c:tx>
          <c:spPr>
            <a:solidFill>
              <a:schemeClr val="accent3"/>
            </a:solidFill>
            <a:ln>
              <a:noFill/>
            </a:ln>
            <a:effectLst/>
          </c:spPr>
          <c:invertIfNegative val="0"/>
          <c:cat>
            <c:strRef>
              <c:f>Sheet1!$C$89:$D$89</c:f>
              <c:strCache>
                <c:ptCount val="2"/>
                <c:pt idx="0">
                  <c:v>C. spp</c:v>
                </c:pt>
                <c:pt idx="1">
                  <c:v>A. spp</c:v>
                </c:pt>
              </c:strCache>
            </c:strRef>
          </c:cat>
          <c:val>
            <c:numRef>
              <c:f>Sheet1!$C$92:$D$92</c:f>
              <c:numCache>
                <c:formatCode>General</c:formatCode>
                <c:ptCount val="2"/>
                <c:pt idx="0">
                  <c:v>14</c:v>
                </c:pt>
                <c:pt idx="1">
                  <c:v>15</c:v>
                </c:pt>
              </c:numCache>
            </c:numRef>
          </c:val>
          <c:extLst>
            <c:ext xmlns:c16="http://schemas.microsoft.com/office/drawing/2014/chart" uri="{C3380CC4-5D6E-409C-BE32-E72D297353CC}">
              <c16:uniqueId val="{00000002-98BE-4EE5-8521-A77AD3B6C198}"/>
            </c:ext>
          </c:extLst>
        </c:ser>
        <c:ser>
          <c:idx val="3"/>
          <c:order val="3"/>
          <c:tx>
            <c:strRef>
              <c:f>Sheet1!$B$93</c:f>
              <c:strCache>
                <c:ptCount val="1"/>
                <c:pt idx="0">
                  <c:v>50</c:v>
                </c:pt>
              </c:strCache>
            </c:strRef>
          </c:tx>
          <c:spPr>
            <a:solidFill>
              <a:schemeClr val="accent4"/>
            </a:solidFill>
            <a:ln>
              <a:noFill/>
            </a:ln>
            <a:effectLst/>
          </c:spPr>
          <c:invertIfNegative val="0"/>
          <c:cat>
            <c:strRef>
              <c:f>Sheet1!$C$89:$D$89</c:f>
              <c:strCache>
                <c:ptCount val="2"/>
                <c:pt idx="0">
                  <c:v>C. spp</c:v>
                </c:pt>
                <c:pt idx="1">
                  <c:v>A. spp</c:v>
                </c:pt>
              </c:strCache>
            </c:strRef>
          </c:cat>
          <c:val>
            <c:numRef>
              <c:f>Sheet1!$C$93:$D$93</c:f>
              <c:numCache>
                <c:formatCode>General</c:formatCode>
                <c:ptCount val="2"/>
                <c:pt idx="0">
                  <c:v>13</c:v>
                </c:pt>
                <c:pt idx="1">
                  <c:v>15</c:v>
                </c:pt>
              </c:numCache>
            </c:numRef>
          </c:val>
          <c:extLst>
            <c:ext xmlns:c16="http://schemas.microsoft.com/office/drawing/2014/chart" uri="{C3380CC4-5D6E-409C-BE32-E72D297353CC}">
              <c16:uniqueId val="{00000003-98BE-4EE5-8521-A77AD3B6C198}"/>
            </c:ext>
          </c:extLst>
        </c:ser>
        <c:ser>
          <c:idx val="4"/>
          <c:order val="4"/>
          <c:tx>
            <c:strRef>
              <c:f>Sheet1!$B$94</c:f>
              <c:strCache>
                <c:ptCount val="1"/>
                <c:pt idx="0">
                  <c:v>25</c:v>
                </c:pt>
              </c:strCache>
            </c:strRef>
          </c:tx>
          <c:spPr>
            <a:solidFill>
              <a:schemeClr val="accent5"/>
            </a:solidFill>
            <a:ln>
              <a:noFill/>
            </a:ln>
            <a:effectLst/>
          </c:spPr>
          <c:invertIfNegative val="0"/>
          <c:cat>
            <c:strRef>
              <c:f>Sheet1!$C$89:$D$89</c:f>
              <c:strCache>
                <c:ptCount val="2"/>
                <c:pt idx="0">
                  <c:v>C. spp</c:v>
                </c:pt>
                <c:pt idx="1">
                  <c:v>A. spp</c:v>
                </c:pt>
              </c:strCache>
            </c:strRef>
          </c:cat>
          <c:val>
            <c:numRef>
              <c:f>Sheet1!$C$94:$D$94</c:f>
              <c:numCache>
                <c:formatCode>General</c:formatCode>
                <c:ptCount val="2"/>
                <c:pt idx="0">
                  <c:v>12</c:v>
                </c:pt>
                <c:pt idx="1">
                  <c:v>14</c:v>
                </c:pt>
              </c:numCache>
            </c:numRef>
          </c:val>
          <c:extLst>
            <c:ext xmlns:c16="http://schemas.microsoft.com/office/drawing/2014/chart" uri="{C3380CC4-5D6E-409C-BE32-E72D297353CC}">
              <c16:uniqueId val="{00000004-98BE-4EE5-8521-A77AD3B6C198}"/>
            </c:ext>
          </c:extLst>
        </c:ser>
        <c:ser>
          <c:idx val="5"/>
          <c:order val="5"/>
          <c:tx>
            <c:strRef>
              <c:f>Sheet1!$B$95</c:f>
              <c:strCache>
                <c:ptCount val="1"/>
                <c:pt idx="0">
                  <c:v>Keto</c:v>
                </c:pt>
              </c:strCache>
            </c:strRef>
          </c:tx>
          <c:spPr>
            <a:solidFill>
              <a:schemeClr val="accent6"/>
            </a:solidFill>
            <a:ln>
              <a:noFill/>
            </a:ln>
            <a:effectLst/>
          </c:spPr>
          <c:invertIfNegative val="0"/>
          <c:cat>
            <c:strRef>
              <c:f>Sheet1!$C$89:$D$89</c:f>
              <c:strCache>
                <c:ptCount val="2"/>
                <c:pt idx="0">
                  <c:v>C. spp</c:v>
                </c:pt>
                <c:pt idx="1">
                  <c:v>A. spp</c:v>
                </c:pt>
              </c:strCache>
            </c:strRef>
          </c:cat>
          <c:val>
            <c:numRef>
              <c:f>Sheet1!$C$95:$D$95</c:f>
              <c:numCache>
                <c:formatCode>General</c:formatCode>
                <c:ptCount val="2"/>
                <c:pt idx="0">
                  <c:v>20</c:v>
                </c:pt>
                <c:pt idx="1">
                  <c:v>22</c:v>
                </c:pt>
              </c:numCache>
            </c:numRef>
          </c:val>
          <c:extLst>
            <c:ext xmlns:c16="http://schemas.microsoft.com/office/drawing/2014/chart" uri="{C3380CC4-5D6E-409C-BE32-E72D297353CC}">
              <c16:uniqueId val="{00000005-98BE-4EE5-8521-A77AD3B6C198}"/>
            </c:ext>
          </c:extLst>
        </c:ser>
        <c:dLbls>
          <c:showLegendKey val="0"/>
          <c:showVal val="0"/>
          <c:showCatName val="0"/>
          <c:showSerName val="0"/>
          <c:showPercent val="0"/>
          <c:showBubbleSize val="0"/>
        </c:dLbls>
        <c:gapWidth val="150"/>
        <c:axId val="1320598655"/>
        <c:axId val="1487777679"/>
      </c:barChart>
      <c:catAx>
        <c:axId val="13205986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Fungi</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7777679"/>
        <c:crosses val="autoZero"/>
        <c:auto val="1"/>
        <c:lblAlgn val="ctr"/>
        <c:lblOffset val="100"/>
        <c:noMultiLvlLbl val="0"/>
      </c:catAx>
      <c:valAx>
        <c:axId val="148777767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5000000000000001E-2"/>
              <c:y val="2.7077292908479891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05986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Ethyl acetate extract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Sheet1!$B$107</c:f>
              <c:strCache>
                <c:ptCount val="1"/>
                <c:pt idx="0">
                  <c:v>400</c:v>
                </c:pt>
              </c:strCache>
            </c:strRef>
          </c:tx>
          <c:spPr>
            <a:solidFill>
              <a:schemeClr val="accent1"/>
            </a:solidFill>
            <a:ln>
              <a:noFill/>
            </a:ln>
            <a:effectLst/>
          </c:spPr>
          <c:invertIfNegative val="0"/>
          <c:cat>
            <c:strRef>
              <c:f>Sheet1!$C$106:$D$106</c:f>
              <c:strCache>
                <c:ptCount val="2"/>
                <c:pt idx="0">
                  <c:v>C. spp</c:v>
                </c:pt>
                <c:pt idx="1">
                  <c:v>A. spp</c:v>
                </c:pt>
              </c:strCache>
            </c:strRef>
          </c:cat>
          <c:val>
            <c:numRef>
              <c:f>Sheet1!$C$107:$D$107</c:f>
              <c:numCache>
                <c:formatCode>General</c:formatCode>
                <c:ptCount val="2"/>
                <c:pt idx="0">
                  <c:v>19</c:v>
                </c:pt>
                <c:pt idx="1">
                  <c:v>31</c:v>
                </c:pt>
              </c:numCache>
            </c:numRef>
          </c:val>
          <c:extLst>
            <c:ext xmlns:c16="http://schemas.microsoft.com/office/drawing/2014/chart" uri="{C3380CC4-5D6E-409C-BE32-E72D297353CC}">
              <c16:uniqueId val="{00000000-B53E-4928-8FB6-8B4478E69FDF}"/>
            </c:ext>
          </c:extLst>
        </c:ser>
        <c:ser>
          <c:idx val="1"/>
          <c:order val="1"/>
          <c:tx>
            <c:strRef>
              <c:f>Sheet1!$B$108</c:f>
              <c:strCache>
                <c:ptCount val="1"/>
                <c:pt idx="0">
                  <c:v>200</c:v>
                </c:pt>
              </c:strCache>
            </c:strRef>
          </c:tx>
          <c:spPr>
            <a:solidFill>
              <a:schemeClr val="accent2"/>
            </a:solidFill>
            <a:ln>
              <a:noFill/>
            </a:ln>
            <a:effectLst/>
          </c:spPr>
          <c:invertIfNegative val="0"/>
          <c:cat>
            <c:strRef>
              <c:f>Sheet1!$C$106:$D$106</c:f>
              <c:strCache>
                <c:ptCount val="2"/>
                <c:pt idx="0">
                  <c:v>C. spp</c:v>
                </c:pt>
                <c:pt idx="1">
                  <c:v>A. spp</c:v>
                </c:pt>
              </c:strCache>
            </c:strRef>
          </c:cat>
          <c:val>
            <c:numRef>
              <c:f>Sheet1!$C$108:$D$108</c:f>
              <c:numCache>
                <c:formatCode>General</c:formatCode>
                <c:ptCount val="2"/>
                <c:pt idx="0">
                  <c:v>15</c:v>
                </c:pt>
                <c:pt idx="1">
                  <c:v>24</c:v>
                </c:pt>
              </c:numCache>
            </c:numRef>
          </c:val>
          <c:extLst>
            <c:ext xmlns:c16="http://schemas.microsoft.com/office/drawing/2014/chart" uri="{C3380CC4-5D6E-409C-BE32-E72D297353CC}">
              <c16:uniqueId val="{00000001-B53E-4928-8FB6-8B4478E69FDF}"/>
            </c:ext>
          </c:extLst>
        </c:ser>
        <c:ser>
          <c:idx val="2"/>
          <c:order val="2"/>
          <c:tx>
            <c:strRef>
              <c:f>Sheet1!$B$109</c:f>
              <c:strCache>
                <c:ptCount val="1"/>
                <c:pt idx="0">
                  <c:v>100</c:v>
                </c:pt>
              </c:strCache>
            </c:strRef>
          </c:tx>
          <c:spPr>
            <a:solidFill>
              <a:schemeClr val="accent3"/>
            </a:solidFill>
            <a:ln>
              <a:noFill/>
            </a:ln>
            <a:effectLst/>
          </c:spPr>
          <c:invertIfNegative val="0"/>
          <c:cat>
            <c:strRef>
              <c:f>Sheet1!$C$106:$D$106</c:f>
              <c:strCache>
                <c:ptCount val="2"/>
                <c:pt idx="0">
                  <c:v>C. spp</c:v>
                </c:pt>
                <c:pt idx="1">
                  <c:v>A. spp</c:v>
                </c:pt>
              </c:strCache>
            </c:strRef>
          </c:cat>
          <c:val>
            <c:numRef>
              <c:f>Sheet1!$C$109:$D$109</c:f>
              <c:numCache>
                <c:formatCode>General</c:formatCode>
                <c:ptCount val="2"/>
                <c:pt idx="0">
                  <c:v>14</c:v>
                </c:pt>
                <c:pt idx="1">
                  <c:v>22</c:v>
                </c:pt>
              </c:numCache>
            </c:numRef>
          </c:val>
          <c:extLst>
            <c:ext xmlns:c16="http://schemas.microsoft.com/office/drawing/2014/chart" uri="{C3380CC4-5D6E-409C-BE32-E72D297353CC}">
              <c16:uniqueId val="{00000002-B53E-4928-8FB6-8B4478E69FDF}"/>
            </c:ext>
          </c:extLst>
        </c:ser>
        <c:ser>
          <c:idx val="3"/>
          <c:order val="3"/>
          <c:tx>
            <c:strRef>
              <c:f>Sheet1!$B$110</c:f>
              <c:strCache>
                <c:ptCount val="1"/>
                <c:pt idx="0">
                  <c:v>50</c:v>
                </c:pt>
              </c:strCache>
            </c:strRef>
          </c:tx>
          <c:spPr>
            <a:solidFill>
              <a:schemeClr val="accent4"/>
            </a:solidFill>
            <a:ln>
              <a:noFill/>
            </a:ln>
            <a:effectLst/>
          </c:spPr>
          <c:invertIfNegative val="0"/>
          <c:cat>
            <c:strRef>
              <c:f>Sheet1!$C$106:$D$106</c:f>
              <c:strCache>
                <c:ptCount val="2"/>
                <c:pt idx="0">
                  <c:v>C. spp</c:v>
                </c:pt>
                <c:pt idx="1">
                  <c:v>A. spp</c:v>
                </c:pt>
              </c:strCache>
            </c:strRef>
          </c:cat>
          <c:val>
            <c:numRef>
              <c:f>Sheet1!$C$110:$D$110</c:f>
              <c:numCache>
                <c:formatCode>General</c:formatCode>
                <c:ptCount val="2"/>
                <c:pt idx="0">
                  <c:v>14</c:v>
                </c:pt>
                <c:pt idx="1">
                  <c:v>22</c:v>
                </c:pt>
              </c:numCache>
            </c:numRef>
          </c:val>
          <c:extLst>
            <c:ext xmlns:c16="http://schemas.microsoft.com/office/drawing/2014/chart" uri="{C3380CC4-5D6E-409C-BE32-E72D297353CC}">
              <c16:uniqueId val="{00000003-B53E-4928-8FB6-8B4478E69FDF}"/>
            </c:ext>
          </c:extLst>
        </c:ser>
        <c:ser>
          <c:idx val="4"/>
          <c:order val="4"/>
          <c:tx>
            <c:strRef>
              <c:f>Sheet1!$B$111</c:f>
              <c:strCache>
                <c:ptCount val="1"/>
                <c:pt idx="0">
                  <c:v>25</c:v>
                </c:pt>
              </c:strCache>
            </c:strRef>
          </c:tx>
          <c:spPr>
            <a:solidFill>
              <a:schemeClr val="accent5"/>
            </a:solidFill>
            <a:ln>
              <a:noFill/>
            </a:ln>
            <a:effectLst/>
          </c:spPr>
          <c:invertIfNegative val="0"/>
          <c:cat>
            <c:strRef>
              <c:f>Sheet1!$C$106:$D$106</c:f>
              <c:strCache>
                <c:ptCount val="2"/>
                <c:pt idx="0">
                  <c:v>C. spp</c:v>
                </c:pt>
                <c:pt idx="1">
                  <c:v>A. spp</c:v>
                </c:pt>
              </c:strCache>
            </c:strRef>
          </c:cat>
          <c:val>
            <c:numRef>
              <c:f>Sheet1!$C$111:$D$111</c:f>
              <c:numCache>
                <c:formatCode>General</c:formatCode>
                <c:ptCount val="2"/>
                <c:pt idx="0">
                  <c:v>13</c:v>
                </c:pt>
                <c:pt idx="1">
                  <c:v>15</c:v>
                </c:pt>
              </c:numCache>
            </c:numRef>
          </c:val>
          <c:extLst>
            <c:ext xmlns:c16="http://schemas.microsoft.com/office/drawing/2014/chart" uri="{C3380CC4-5D6E-409C-BE32-E72D297353CC}">
              <c16:uniqueId val="{00000004-B53E-4928-8FB6-8B4478E69FDF}"/>
            </c:ext>
          </c:extLst>
        </c:ser>
        <c:ser>
          <c:idx val="5"/>
          <c:order val="5"/>
          <c:tx>
            <c:strRef>
              <c:f>Sheet1!$B$112</c:f>
              <c:strCache>
                <c:ptCount val="1"/>
                <c:pt idx="0">
                  <c:v>Keto</c:v>
                </c:pt>
              </c:strCache>
            </c:strRef>
          </c:tx>
          <c:spPr>
            <a:solidFill>
              <a:schemeClr val="accent6"/>
            </a:solidFill>
            <a:ln>
              <a:noFill/>
            </a:ln>
            <a:effectLst/>
          </c:spPr>
          <c:invertIfNegative val="0"/>
          <c:cat>
            <c:strRef>
              <c:f>Sheet1!$C$106:$D$106</c:f>
              <c:strCache>
                <c:ptCount val="2"/>
                <c:pt idx="0">
                  <c:v>C. spp</c:v>
                </c:pt>
                <c:pt idx="1">
                  <c:v>A. spp</c:v>
                </c:pt>
              </c:strCache>
            </c:strRef>
          </c:cat>
          <c:val>
            <c:numRef>
              <c:f>Sheet1!$C$112:$D$112</c:f>
              <c:numCache>
                <c:formatCode>General</c:formatCode>
                <c:ptCount val="2"/>
                <c:pt idx="0">
                  <c:v>20</c:v>
                </c:pt>
                <c:pt idx="1">
                  <c:v>22</c:v>
                </c:pt>
              </c:numCache>
            </c:numRef>
          </c:val>
          <c:extLst>
            <c:ext xmlns:c16="http://schemas.microsoft.com/office/drawing/2014/chart" uri="{C3380CC4-5D6E-409C-BE32-E72D297353CC}">
              <c16:uniqueId val="{00000005-B53E-4928-8FB6-8B4478E69FDF}"/>
            </c:ext>
          </c:extLst>
        </c:ser>
        <c:dLbls>
          <c:showLegendKey val="0"/>
          <c:showVal val="0"/>
          <c:showCatName val="0"/>
          <c:showSerName val="0"/>
          <c:showPercent val="0"/>
          <c:showBubbleSize val="0"/>
        </c:dLbls>
        <c:gapWidth val="150"/>
        <c:axId val="1436521455"/>
        <c:axId val="1487790159"/>
      </c:barChart>
      <c:catAx>
        <c:axId val="14365214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Fungi</a:t>
                </a:r>
                <a:endParaRPr lang="en-US" sz="11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7790159"/>
        <c:crosses val="autoZero"/>
        <c:auto val="1"/>
        <c:lblAlgn val="ctr"/>
        <c:lblOffset val="100"/>
        <c:noMultiLvlLbl val="0"/>
      </c:catAx>
      <c:valAx>
        <c:axId val="148779015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3.0555555555555555E-2"/>
              <c:y val="4.676056338028168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652145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Methanol</a:t>
            </a:r>
            <a:r>
              <a:rPr lang="en-US" sz="1200" b="1" baseline="0">
                <a:latin typeface="Times New Roman" panose="02020603050405020304" pitchFamily="18" charset="0"/>
                <a:cs typeface="Times New Roman" panose="02020603050405020304" pitchFamily="18" charset="0"/>
              </a:rPr>
              <a:t> extract</a:t>
            </a:r>
            <a:endParaRPr lang="en-US" sz="1200" b="1">
              <a:latin typeface="Times New Roman" panose="02020603050405020304" pitchFamily="18" charset="0"/>
              <a:cs typeface="Times New Roman" panose="02020603050405020304" pitchFamily="18" charset="0"/>
            </a:endParaRPr>
          </a:p>
        </c:rich>
      </c:tx>
      <c:layout>
        <c:manualLayout>
          <c:xMode val="edge"/>
          <c:yMode val="edge"/>
          <c:x val="0.38554645027823659"/>
          <c:y val="3.9548022598870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559178066081863"/>
          <c:y val="3.1031184661239379E-2"/>
          <c:w val="0.74089388520935906"/>
          <c:h val="0.62936296098580902"/>
        </c:manualLayout>
      </c:layout>
      <c:barChart>
        <c:barDir val="col"/>
        <c:grouping val="clustered"/>
        <c:varyColors val="0"/>
        <c:ser>
          <c:idx val="0"/>
          <c:order val="0"/>
          <c:tx>
            <c:strRef>
              <c:f>Sheet1!$B$139</c:f>
              <c:strCache>
                <c:ptCount val="1"/>
                <c:pt idx="0">
                  <c:v>400</c:v>
                </c:pt>
              </c:strCache>
            </c:strRef>
          </c:tx>
          <c:spPr>
            <a:solidFill>
              <a:schemeClr val="accent1"/>
            </a:solidFill>
            <a:ln>
              <a:noFill/>
            </a:ln>
            <a:effectLst/>
          </c:spPr>
          <c:invertIfNegative val="0"/>
          <c:cat>
            <c:strRef>
              <c:f>Sheet1!$C$138:$D$138</c:f>
              <c:strCache>
                <c:ptCount val="2"/>
                <c:pt idx="0">
                  <c:v>C. spp</c:v>
                </c:pt>
                <c:pt idx="1">
                  <c:v>A. spp</c:v>
                </c:pt>
              </c:strCache>
            </c:strRef>
          </c:cat>
          <c:val>
            <c:numRef>
              <c:f>Sheet1!$C$139:$D$139</c:f>
              <c:numCache>
                <c:formatCode>General</c:formatCode>
                <c:ptCount val="2"/>
                <c:pt idx="0">
                  <c:v>11</c:v>
                </c:pt>
                <c:pt idx="1">
                  <c:v>17</c:v>
                </c:pt>
              </c:numCache>
            </c:numRef>
          </c:val>
          <c:extLst>
            <c:ext xmlns:c16="http://schemas.microsoft.com/office/drawing/2014/chart" uri="{C3380CC4-5D6E-409C-BE32-E72D297353CC}">
              <c16:uniqueId val="{00000000-24D3-4617-80FA-40D369E9A690}"/>
            </c:ext>
          </c:extLst>
        </c:ser>
        <c:ser>
          <c:idx val="1"/>
          <c:order val="1"/>
          <c:tx>
            <c:strRef>
              <c:f>Sheet1!$B$140</c:f>
              <c:strCache>
                <c:ptCount val="1"/>
                <c:pt idx="0">
                  <c:v>200</c:v>
                </c:pt>
              </c:strCache>
            </c:strRef>
          </c:tx>
          <c:spPr>
            <a:solidFill>
              <a:schemeClr val="accent2"/>
            </a:solidFill>
            <a:ln>
              <a:noFill/>
            </a:ln>
            <a:effectLst/>
          </c:spPr>
          <c:invertIfNegative val="0"/>
          <c:cat>
            <c:strRef>
              <c:f>Sheet1!$C$138:$D$138</c:f>
              <c:strCache>
                <c:ptCount val="2"/>
                <c:pt idx="0">
                  <c:v>C. spp</c:v>
                </c:pt>
                <c:pt idx="1">
                  <c:v>A. spp</c:v>
                </c:pt>
              </c:strCache>
            </c:strRef>
          </c:cat>
          <c:val>
            <c:numRef>
              <c:f>Sheet1!$C$140:$D$140</c:f>
              <c:numCache>
                <c:formatCode>General</c:formatCode>
                <c:ptCount val="2"/>
                <c:pt idx="0">
                  <c:v>10</c:v>
                </c:pt>
                <c:pt idx="1">
                  <c:v>15</c:v>
                </c:pt>
              </c:numCache>
            </c:numRef>
          </c:val>
          <c:extLst>
            <c:ext xmlns:c16="http://schemas.microsoft.com/office/drawing/2014/chart" uri="{C3380CC4-5D6E-409C-BE32-E72D297353CC}">
              <c16:uniqueId val="{00000001-24D3-4617-80FA-40D369E9A690}"/>
            </c:ext>
          </c:extLst>
        </c:ser>
        <c:ser>
          <c:idx val="2"/>
          <c:order val="2"/>
          <c:tx>
            <c:strRef>
              <c:f>Sheet1!$B$141</c:f>
              <c:strCache>
                <c:ptCount val="1"/>
                <c:pt idx="0">
                  <c:v>100</c:v>
                </c:pt>
              </c:strCache>
            </c:strRef>
          </c:tx>
          <c:spPr>
            <a:solidFill>
              <a:schemeClr val="accent3"/>
            </a:solidFill>
            <a:ln>
              <a:noFill/>
            </a:ln>
            <a:effectLst/>
          </c:spPr>
          <c:invertIfNegative val="0"/>
          <c:cat>
            <c:strRef>
              <c:f>Sheet1!$C$138:$D$138</c:f>
              <c:strCache>
                <c:ptCount val="2"/>
                <c:pt idx="0">
                  <c:v>C. spp</c:v>
                </c:pt>
                <c:pt idx="1">
                  <c:v>A. spp</c:v>
                </c:pt>
              </c:strCache>
            </c:strRef>
          </c:cat>
          <c:val>
            <c:numRef>
              <c:f>Sheet1!$C$141:$D$141</c:f>
              <c:numCache>
                <c:formatCode>General</c:formatCode>
                <c:ptCount val="2"/>
                <c:pt idx="0">
                  <c:v>10</c:v>
                </c:pt>
                <c:pt idx="1">
                  <c:v>12</c:v>
                </c:pt>
              </c:numCache>
            </c:numRef>
          </c:val>
          <c:extLst>
            <c:ext xmlns:c16="http://schemas.microsoft.com/office/drawing/2014/chart" uri="{C3380CC4-5D6E-409C-BE32-E72D297353CC}">
              <c16:uniqueId val="{00000002-24D3-4617-80FA-40D369E9A690}"/>
            </c:ext>
          </c:extLst>
        </c:ser>
        <c:ser>
          <c:idx val="3"/>
          <c:order val="3"/>
          <c:tx>
            <c:strRef>
              <c:f>Sheet1!$B$142</c:f>
              <c:strCache>
                <c:ptCount val="1"/>
                <c:pt idx="0">
                  <c:v>50</c:v>
                </c:pt>
              </c:strCache>
            </c:strRef>
          </c:tx>
          <c:spPr>
            <a:solidFill>
              <a:schemeClr val="accent4"/>
            </a:solidFill>
            <a:ln>
              <a:noFill/>
            </a:ln>
            <a:effectLst/>
          </c:spPr>
          <c:invertIfNegative val="0"/>
          <c:cat>
            <c:strRef>
              <c:f>Sheet1!$C$138:$D$138</c:f>
              <c:strCache>
                <c:ptCount val="2"/>
                <c:pt idx="0">
                  <c:v>C. spp</c:v>
                </c:pt>
                <c:pt idx="1">
                  <c:v>A. spp</c:v>
                </c:pt>
              </c:strCache>
            </c:strRef>
          </c:cat>
          <c:val>
            <c:numRef>
              <c:f>Sheet1!$C$142:$D$142</c:f>
              <c:numCache>
                <c:formatCode>General</c:formatCode>
                <c:ptCount val="2"/>
                <c:pt idx="0">
                  <c:v>10</c:v>
                </c:pt>
                <c:pt idx="1">
                  <c:v>12</c:v>
                </c:pt>
              </c:numCache>
            </c:numRef>
          </c:val>
          <c:extLst>
            <c:ext xmlns:c16="http://schemas.microsoft.com/office/drawing/2014/chart" uri="{C3380CC4-5D6E-409C-BE32-E72D297353CC}">
              <c16:uniqueId val="{00000003-24D3-4617-80FA-40D369E9A690}"/>
            </c:ext>
          </c:extLst>
        </c:ser>
        <c:ser>
          <c:idx val="4"/>
          <c:order val="4"/>
          <c:tx>
            <c:strRef>
              <c:f>Sheet1!$B$143</c:f>
              <c:strCache>
                <c:ptCount val="1"/>
                <c:pt idx="0">
                  <c:v>25</c:v>
                </c:pt>
              </c:strCache>
            </c:strRef>
          </c:tx>
          <c:spPr>
            <a:solidFill>
              <a:schemeClr val="accent5"/>
            </a:solidFill>
            <a:ln>
              <a:noFill/>
            </a:ln>
            <a:effectLst/>
          </c:spPr>
          <c:invertIfNegative val="0"/>
          <c:cat>
            <c:strRef>
              <c:f>Sheet1!$C$138:$D$138</c:f>
              <c:strCache>
                <c:ptCount val="2"/>
                <c:pt idx="0">
                  <c:v>C. spp</c:v>
                </c:pt>
                <c:pt idx="1">
                  <c:v>A. spp</c:v>
                </c:pt>
              </c:strCache>
            </c:strRef>
          </c:cat>
          <c:val>
            <c:numRef>
              <c:f>Sheet1!$C$143:$D$143</c:f>
              <c:numCache>
                <c:formatCode>General</c:formatCode>
                <c:ptCount val="2"/>
                <c:pt idx="0">
                  <c:v>9</c:v>
                </c:pt>
                <c:pt idx="1">
                  <c:v>10</c:v>
                </c:pt>
              </c:numCache>
            </c:numRef>
          </c:val>
          <c:extLst>
            <c:ext xmlns:c16="http://schemas.microsoft.com/office/drawing/2014/chart" uri="{C3380CC4-5D6E-409C-BE32-E72D297353CC}">
              <c16:uniqueId val="{00000004-24D3-4617-80FA-40D369E9A690}"/>
            </c:ext>
          </c:extLst>
        </c:ser>
        <c:ser>
          <c:idx val="5"/>
          <c:order val="5"/>
          <c:tx>
            <c:strRef>
              <c:f>Sheet1!$B$144</c:f>
              <c:strCache>
                <c:ptCount val="1"/>
                <c:pt idx="0">
                  <c:v>Keto</c:v>
                </c:pt>
              </c:strCache>
            </c:strRef>
          </c:tx>
          <c:spPr>
            <a:solidFill>
              <a:schemeClr val="accent6"/>
            </a:solidFill>
            <a:ln>
              <a:noFill/>
            </a:ln>
            <a:effectLst/>
          </c:spPr>
          <c:invertIfNegative val="0"/>
          <c:cat>
            <c:strRef>
              <c:f>Sheet1!$C$138:$D$138</c:f>
              <c:strCache>
                <c:ptCount val="2"/>
                <c:pt idx="0">
                  <c:v>C. spp</c:v>
                </c:pt>
                <c:pt idx="1">
                  <c:v>A. spp</c:v>
                </c:pt>
              </c:strCache>
            </c:strRef>
          </c:cat>
          <c:val>
            <c:numRef>
              <c:f>Sheet1!$C$144:$D$144</c:f>
              <c:numCache>
                <c:formatCode>General</c:formatCode>
                <c:ptCount val="2"/>
                <c:pt idx="0">
                  <c:v>20</c:v>
                </c:pt>
                <c:pt idx="1">
                  <c:v>22</c:v>
                </c:pt>
              </c:numCache>
            </c:numRef>
          </c:val>
          <c:extLst>
            <c:ext xmlns:c16="http://schemas.microsoft.com/office/drawing/2014/chart" uri="{C3380CC4-5D6E-409C-BE32-E72D297353CC}">
              <c16:uniqueId val="{00000005-24D3-4617-80FA-40D369E9A690}"/>
            </c:ext>
          </c:extLst>
        </c:ser>
        <c:dLbls>
          <c:showLegendKey val="0"/>
          <c:showVal val="0"/>
          <c:showCatName val="0"/>
          <c:showSerName val="0"/>
          <c:showPercent val="0"/>
          <c:showBubbleSize val="0"/>
        </c:dLbls>
        <c:gapWidth val="150"/>
        <c:axId val="1500703519"/>
        <c:axId val="1503063167"/>
      </c:barChart>
      <c:catAx>
        <c:axId val="15007035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Pathogenic Fungi</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0.39084518712146726"/>
              <c:y val="0.7885986921126385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063167"/>
        <c:crosses val="autoZero"/>
        <c:auto val="1"/>
        <c:lblAlgn val="ctr"/>
        <c:lblOffset val="100"/>
        <c:noMultiLvlLbl val="0"/>
      </c:catAx>
      <c:valAx>
        <c:axId val="150306316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i="0" baseline="0">
                    <a:effectLst/>
                    <a:latin typeface="Times New Roman" panose="02020603050405020304" pitchFamily="18" charset="0"/>
                    <a:cs typeface="Times New Roman" panose="02020603050405020304" pitchFamily="18" charset="0"/>
                  </a:rPr>
                  <a:t>Zones of Inhibition (mm)</a:t>
                </a:r>
                <a:endParaRPr lang="en-US" sz="1100">
                  <a:effectLst/>
                  <a:latin typeface="Times New Roman" panose="02020603050405020304" pitchFamily="18" charset="0"/>
                  <a:cs typeface="Times New Roman" panose="02020603050405020304" pitchFamily="18" charset="0"/>
                </a:endParaRPr>
              </a:p>
            </c:rich>
          </c:tx>
          <c:layout>
            <c:manualLayout>
              <c:xMode val="edge"/>
              <c:yMode val="edge"/>
              <c:x val="2.7777688685044717E-2"/>
              <c:y val="2.8320919344541385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70351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587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E4582-B7D7-49AA-8E40-54E904297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24</Pages>
  <Words>9726</Words>
  <Characters>55442</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Itohowo Okon Akpan</dc:creator>
  <cp:keywords/>
  <dc:description/>
  <cp:lastModifiedBy>SDI 1087</cp:lastModifiedBy>
  <cp:revision>187</cp:revision>
  <dcterms:created xsi:type="dcterms:W3CDTF">2026-06-28T10:47:00Z</dcterms:created>
  <dcterms:modified xsi:type="dcterms:W3CDTF">2026-07-04T11:22:00Z</dcterms:modified>
</cp:coreProperties>
</file>