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54E45" w14:textId="77777777" w:rsidR="00A51E9A" w:rsidRPr="00A51E9A" w:rsidRDefault="00A51E9A" w:rsidP="00CB6EE7">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A51E9A">
        <w:rPr>
          <w:rFonts w:ascii="Times New Roman" w:eastAsia="Times New Roman" w:hAnsi="Times New Roman" w:cs="Times New Roman"/>
          <w:b/>
          <w:bCs/>
          <w:i/>
          <w:iCs/>
          <w:sz w:val="36"/>
          <w:szCs w:val="36"/>
          <w:u w:val="single"/>
          <w:lang w:val="en-US" w:eastAsia="en-GB"/>
        </w:rPr>
        <w:t>Review Article</w:t>
      </w:r>
    </w:p>
    <w:p w14:paraId="41C8736D" w14:textId="77777777" w:rsidR="002E6E04" w:rsidRPr="005D6A18" w:rsidRDefault="002E6E04" w:rsidP="00CB6EE7">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D6A18">
        <w:rPr>
          <w:rFonts w:ascii="Times New Roman" w:eastAsia="Times New Roman" w:hAnsi="Times New Roman" w:cs="Times New Roman"/>
          <w:b/>
          <w:bCs/>
          <w:sz w:val="36"/>
          <w:szCs w:val="36"/>
          <w:lang w:eastAsia="en-GB"/>
        </w:rPr>
        <w:t>Herbal Drugs and Monoclonal Antibody-Based Approaches in Cancer Management: A Critical Review</w:t>
      </w:r>
    </w:p>
    <w:p w14:paraId="4200E594"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37743575"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Abstract</w:t>
      </w:r>
    </w:p>
    <w:p w14:paraId="0033A96B"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Cancer remains a foremost cause of morbidity and mortality worldwide, and conventional treatment modalities — surgery, radiotherapy, and systemic chemotherapy — are frequently constrained by inadequate efficacy and significant toxicity. Two broad therapeutic paradigms have attracted substantial and accelerating scientific interest: the use of herbal drugs and their bioactive phytochemical constituents, and the development of monoclonal antibody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)-based </w:t>
      </w:r>
      <w:proofErr w:type="spellStart"/>
      <w:r w:rsidRPr="005D6A18">
        <w:rPr>
          <w:rFonts w:ascii="Times New Roman" w:eastAsia="Times New Roman" w:hAnsi="Times New Roman" w:cs="Times New Roman"/>
          <w:sz w:val="24"/>
          <w:szCs w:val="24"/>
          <w:lang w:eastAsia="en-GB"/>
        </w:rPr>
        <w:t>immunotherapeutics</w:t>
      </w:r>
      <w:proofErr w:type="spellEnd"/>
      <w:r w:rsidRPr="005D6A18">
        <w:rPr>
          <w:rFonts w:ascii="Times New Roman" w:eastAsia="Times New Roman" w:hAnsi="Times New Roman" w:cs="Times New Roman"/>
          <w:sz w:val="24"/>
          <w:szCs w:val="24"/>
          <w:lang w:eastAsia="en-GB"/>
        </w:rPr>
        <w:t xml:space="preserve">. This review critically evaluates the mechanistic basis, clinical evidence, translational challenges, and emerging synergistic potential of these two approaches in cancer management. Key phytochemicals examined include curcumin, resveratrol, berberine, epigallocatechin-3-gallate (EGCG), artemisinin and its semi-synthetic derivatives, and the established plant-derived chemotherapeutics — taxanes and vinca alkaloids. In parallel, the review appraises major classes of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encompassing naked antibodies targeting HER2, VEGF, EGFR, and CD20; immune checkpoint inhibitors against CTLA-4, PD-1, and PD-L1; antibody–drug conjugates (ADCs); and bispecific antibodies. Accumulating preclinical evidence suggests that selected phytochemicals can synergise with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through modulation of overlapping oncogenic signalling pathways, remodelling of the tumour microenvironment, and potentiation of anti-tumour immune responses. Nevertheless, poor bioavailability of phytochemicals,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immunogenicity, resistance mechanisms, and high treatment costs remain significant barriers to clinical translation. Advances in nanotechnology-based delivery systems, antibody engineering, and predictive biomarker discovery are anticipated to facilitate rational integration of these two therapeutic streams. This review identifies priority research gaps and proposes directions for future investigation.</w:t>
      </w:r>
    </w:p>
    <w:p w14:paraId="58F70E2A"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Keywords:</w:t>
      </w:r>
      <w:r w:rsidRPr="005D6A18">
        <w:rPr>
          <w:rFonts w:ascii="Times New Roman" w:eastAsia="Times New Roman" w:hAnsi="Times New Roman" w:cs="Times New Roman"/>
          <w:sz w:val="24"/>
          <w:szCs w:val="24"/>
          <w:lang w:eastAsia="en-GB"/>
        </w:rPr>
        <w:t xml:space="preserve"> herbal drugs; monoclonal antibodies; phytochemicals; cancer immunotherapy; checkpoint inhibitors; curcumin; trastuzumab; antibody–drug conjugates; combination therapy; tumour microenvironment</w:t>
      </w:r>
    </w:p>
    <w:p w14:paraId="18E7461E"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7B799B20"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1. Introduction</w:t>
      </w:r>
    </w:p>
    <w:p w14:paraId="03411D9B" w14:textId="77777777" w:rsidR="002E6E04" w:rsidRPr="00CB6EE7"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B6EE7">
        <w:rPr>
          <w:rFonts w:ascii="Times New Roman" w:eastAsia="Times New Roman" w:hAnsi="Times New Roman" w:cs="Times New Roman"/>
          <w:sz w:val="24"/>
          <w:szCs w:val="24"/>
          <w:lang w:eastAsia="en-GB"/>
        </w:rPr>
        <w:t>Cancer is a multifactorial disease defined by uncontrolled cellular proliferation, resistance to apoptosis, invasion of surrounding tissues, and metastatic spread to distant organs. Its management ranks among the greatest challenges in contemporary medicine, not merely because of the biological complexity of the disease but also because of the enormous clinical diversity it presents across different tissues and patient populations. Despite remarkable progress in surgical technique, radiation delivery, and systemic pharmacotherapy over the past century, the global cancer burden continues to grow, underscoring the persistent need for novel, more effective, and better-tolerated treatments (Sung et al., 2021; Siegel et al., 2023).</w:t>
      </w:r>
      <w:r w:rsidRPr="00CB6EE7">
        <w:t xml:space="preserve"> </w:t>
      </w:r>
      <w:r w:rsidRPr="00CB6EE7">
        <w:rPr>
          <w:highlight w:val="yellow"/>
        </w:rPr>
        <w:lastRenderedPageBreak/>
        <w:t>Updated GLOBOCAN 2022 estimates further reinforce this need, reporting close to 20 million new cancer cases and 9.7 million cancer-related deaths worldwide in 2022, with the annual number of new cases projected to reach 35 million by 2050 (Bray et al., 2024).</w:t>
      </w:r>
    </w:p>
    <w:p w14:paraId="741963E6" w14:textId="77777777" w:rsidR="002E6E04" w:rsidRPr="00CB6EE7"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B6EE7">
        <w:rPr>
          <w:rFonts w:ascii="Times New Roman" w:eastAsia="Times New Roman" w:hAnsi="Times New Roman" w:cs="Times New Roman"/>
          <w:sz w:val="24"/>
          <w:szCs w:val="24"/>
          <w:lang w:eastAsia="en-GB"/>
        </w:rPr>
        <w:t xml:space="preserve">The pharmacological investigation of plants as sources of anti-cancer agents is ancient in origin. Many of the world's most consequential oncological drugs were derived from — or directly inspired by — natural plant products. Paclitaxel, extracted from the bark of the Pacific yew </w:t>
      </w:r>
      <w:r w:rsidRPr="00CB6EE7">
        <w:rPr>
          <w:rFonts w:ascii="Times New Roman" w:eastAsia="Times New Roman" w:hAnsi="Times New Roman" w:cs="Times New Roman"/>
          <w:i/>
          <w:iCs/>
          <w:sz w:val="24"/>
          <w:szCs w:val="24"/>
          <w:lang w:eastAsia="en-GB"/>
        </w:rPr>
        <w:t>Taxus brevifolia</w:t>
      </w:r>
      <w:r w:rsidRPr="00CB6EE7">
        <w:rPr>
          <w:rFonts w:ascii="Times New Roman" w:eastAsia="Times New Roman" w:hAnsi="Times New Roman" w:cs="Times New Roman"/>
          <w:sz w:val="24"/>
          <w:szCs w:val="24"/>
          <w:lang w:eastAsia="en-GB"/>
        </w:rPr>
        <w:t xml:space="preserve"> Nutt., and vincristine, isolated from the Madagascar periwinkle </w:t>
      </w:r>
      <w:r w:rsidRPr="00CB6EE7">
        <w:rPr>
          <w:rFonts w:ascii="Times New Roman" w:eastAsia="Times New Roman" w:hAnsi="Times New Roman" w:cs="Times New Roman"/>
          <w:i/>
          <w:iCs/>
          <w:sz w:val="24"/>
          <w:szCs w:val="24"/>
          <w:lang w:eastAsia="en-GB"/>
        </w:rPr>
        <w:t>Catharanthus roseus</w:t>
      </w:r>
      <w:r w:rsidRPr="00CB6EE7">
        <w:rPr>
          <w:rFonts w:ascii="Times New Roman" w:eastAsia="Times New Roman" w:hAnsi="Times New Roman" w:cs="Times New Roman"/>
          <w:sz w:val="24"/>
          <w:szCs w:val="24"/>
          <w:lang w:eastAsia="en-GB"/>
        </w:rPr>
        <w:t xml:space="preserve"> (L.) </w:t>
      </w:r>
      <w:proofErr w:type="spellStart"/>
      <w:proofErr w:type="gramStart"/>
      <w:r w:rsidRPr="00CB6EE7">
        <w:rPr>
          <w:rFonts w:ascii="Times New Roman" w:eastAsia="Times New Roman" w:hAnsi="Times New Roman" w:cs="Times New Roman"/>
          <w:sz w:val="24"/>
          <w:szCs w:val="24"/>
          <w:lang w:eastAsia="en-GB"/>
        </w:rPr>
        <w:t>G.Don</w:t>
      </w:r>
      <w:proofErr w:type="spellEnd"/>
      <w:proofErr w:type="gramEnd"/>
      <w:r w:rsidRPr="00CB6EE7">
        <w:rPr>
          <w:rFonts w:ascii="Times New Roman" w:eastAsia="Times New Roman" w:hAnsi="Times New Roman" w:cs="Times New Roman"/>
          <w:sz w:val="24"/>
          <w:szCs w:val="24"/>
          <w:lang w:eastAsia="en-GB"/>
        </w:rPr>
        <w:t>, remain among the most clinically important anti-cancer drugs ever discovered and continue to feature in standard treatment regimens worldwide (Jordan &amp; Wilson, 2004). In recent decades, the systematic investigation of polyphenols, alkaloids, terpenoids, and related phytochemical classes — including curcumin, resveratrol, berberine, EGCG, and artemisinin derivatives — has gained considerable momentum, propelled by advances in molecular biology, genomics, and high-throughput pharmacological screening (Newman &amp; Cragg, 2020; Aggarwal &amp; Harikumar, 2009).</w:t>
      </w:r>
      <w:r w:rsidRPr="00CB6EE7">
        <w:t xml:space="preserve"> </w:t>
      </w:r>
      <w:r w:rsidRPr="00CB6EE7">
        <w:rPr>
          <w:highlight w:val="yellow"/>
        </w:rPr>
        <w:t>Recent synthesis of natural-product oncology literature further supports the continued relevance of plant-derived compounds as sources of mechanistically diverse anti-cancer leads, while emphasising that pharmacokinetic optimisation and clinically validated delivery strategies remain necessary for translation (Ghosh et al., 2024).</w:t>
      </w:r>
    </w:p>
    <w:p w14:paraId="0D1A6F4A" w14:textId="77777777" w:rsidR="002E6E04" w:rsidRPr="00CB6EE7"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B6EE7">
        <w:rPr>
          <w:rFonts w:ascii="Times New Roman" w:eastAsia="Times New Roman" w:hAnsi="Times New Roman" w:cs="Times New Roman"/>
          <w:sz w:val="24"/>
          <w:szCs w:val="24"/>
          <w:lang w:eastAsia="en-GB"/>
        </w:rPr>
        <w:t xml:space="preserve">Quite separately, the development of monoclonal antibody technology has transformed cancer therapeutics. Since the approval of rituximab for B-cell non-Hodgkin lymphoma in 1997, the field has expanded to include antibodies targeting growth factor receptors such as HER2 and EGFR, angiogenesis-promoting ligands such as VEGF, and immune checkpoint molecules including CTLA-4, PD-1, and PD-L1 (Scott et al., 2012; Ribas &amp; </w:t>
      </w:r>
      <w:proofErr w:type="spellStart"/>
      <w:r w:rsidRPr="00CB6EE7">
        <w:rPr>
          <w:rFonts w:ascii="Times New Roman" w:eastAsia="Times New Roman" w:hAnsi="Times New Roman" w:cs="Times New Roman"/>
          <w:sz w:val="24"/>
          <w:szCs w:val="24"/>
          <w:lang w:eastAsia="en-GB"/>
        </w:rPr>
        <w:t>Wolchok</w:t>
      </w:r>
      <w:proofErr w:type="spellEnd"/>
      <w:r w:rsidRPr="00CB6EE7">
        <w:rPr>
          <w:rFonts w:ascii="Times New Roman" w:eastAsia="Times New Roman" w:hAnsi="Times New Roman" w:cs="Times New Roman"/>
          <w:sz w:val="24"/>
          <w:szCs w:val="24"/>
          <w:lang w:eastAsia="en-GB"/>
        </w:rPr>
        <w:t xml:space="preserve">, 2018). More recently, antibody–drug conjugates (ADCs) and bispecific antibodies have widened the clinical reach of </w:t>
      </w:r>
      <w:proofErr w:type="spellStart"/>
      <w:r w:rsidRPr="00CB6EE7">
        <w:rPr>
          <w:rFonts w:ascii="Times New Roman" w:eastAsia="Times New Roman" w:hAnsi="Times New Roman" w:cs="Times New Roman"/>
          <w:sz w:val="24"/>
          <w:szCs w:val="24"/>
          <w:lang w:eastAsia="en-GB"/>
        </w:rPr>
        <w:t>mAb</w:t>
      </w:r>
      <w:proofErr w:type="spellEnd"/>
      <w:r w:rsidRPr="00CB6EE7">
        <w:rPr>
          <w:rFonts w:ascii="Times New Roman" w:eastAsia="Times New Roman" w:hAnsi="Times New Roman" w:cs="Times New Roman"/>
          <w:sz w:val="24"/>
          <w:szCs w:val="24"/>
          <w:lang w:eastAsia="en-GB"/>
        </w:rPr>
        <w:t xml:space="preserve">-based platforms by enabling targeted cytotoxic payload delivery and simultaneous engagement of multiple tumour antigens or immune effector cells (Drago et al., 2021; </w:t>
      </w:r>
      <w:proofErr w:type="spellStart"/>
      <w:r w:rsidRPr="00CB6EE7">
        <w:rPr>
          <w:rFonts w:ascii="Times New Roman" w:eastAsia="Times New Roman" w:hAnsi="Times New Roman" w:cs="Times New Roman"/>
          <w:sz w:val="24"/>
          <w:szCs w:val="24"/>
          <w:lang w:eastAsia="en-GB"/>
        </w:rPr>
        <w:t>Labrijn</w:t>
      </w:r>
      <w:proofErr w:type="spellEnd"/>
      <w:r w:rsidRPr="00CB6EE7">
        <w:rPr>
          <w:rFonts w:ascii="Times New Roman" w:eastAsia="Times New Roman" w:hAnsi="Times New Roman" w:cs="Times New Roman"/>
          <w:sz w:val="24"/>
          <w:szCs w:val="24"/>
          <w:lang w:eastAsia="en-GB"/>
        </w:rPr>
        <w:t xml:space="preserve"> et al., 2019).</w:t>
      </w:r>
      <w:r w:rsidRPr="00CB6EE7">
        <w:t xml:space="preserve"> </w:t>
      </w:r>
      <w:r w:rsidRPr="00CB6EE7">
        <w:rPr>
          <w:highlight w:val="yellow"/>
        </w:rPr>
        <w:t>Recent reviews of antibody-based oncology also indicate that therapeutic antibodies now encompass direct target blockade, immune-checkpoint inhibition, ADCs, and bispecific platforms, with continuing innovation focused on improving tumour selectivity and therapeutic index (Paul et al., 2024; Dumontet et al., 2023).</w:t>
      </w:r>
    </w:p>
    <w:p w14:paraId="4A2C1052"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Even so,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-based therapies carry important limitations. Resistance to checkpoint inhibitors, the cost and complexity of antibody manufacturing, immune-related adverse events, and variable efficacy across tumour subtypes all represent unresolved clinical problems (Holohan et al., 2013; Topalian et al., 2015). Phytochemicals, with their inherently pleiotropic pharmacology, offer a complementary strategy. Growing preclinical evidence indicates that certain herbal bioactive compounds can potentiate the anti-tumour activity of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through shared mechanistic targets, modulation of the tumour microenvironment, and sensitisation of drug-resistant cancer cells to antibody-mediated killing (Verdura et al., 2020). The convergence of these two fields, then, is not merely conceptually appealing — it is scientifically grounded.</w:t>
      </w:r>
    </w:p>
    <w:p w14:paraId="177AFA99"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1.1 Scope, Research Gap, and Objectives</w:t>
      </w:r>
    </w:p>
    <w:p w14:paraId="63EC8D22"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Despite the large volume of research on phytochemicals and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as independent therapeutic domains, a dedicated critical synthesis of their combined potential — covering mechanistic underpinnings, available clinical evidence, translational challenges, and integrative strategies — is absent from the literature. Most existing reviews treat these two </w:t>
      </w:r>
      <w:r w:rsidRPr="005D6A18">
        <w:rPr>
          <w:rFonts w:ascii="Times New Roman" w:eastAsia="Times New Roman" w:hAnsi="Times New Roman" w:cs="Times New Roman"/>
          <w:sz w:val="24"/>
          <w:szCs w:val="24"/>
          <w:lang w:eastAsia="en-GB"/>
        </w:rPr>
        <w:lastRenderedPageBreak/>
        <w:t xml:space="preserve">fields separately, and the cross-disciplinary perspective needed to guide rational combinatorial drug development remains underdeveloped. This review addresses that gap by critically synthesising available evidence on herbal drugs and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-based approaches in cancer management, evaluating their respective mechanistic profiles, clinical standing, limitations, and the scientific basis for their combined application. The specific objectives are: (1) to provide an updated critical appraisal of the anti-cancer phytochemical landscape; (2) to evaluate the current status and limitations of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in oncology; (3) to analyse the scientific rationale and available preclinical and early clinical evidence for combining herbal bioactive compounds with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(4) to discuss translational barriers and regulatory considerations; and (5) to identify priority areas for future research.</w:t>
      </w:r>
    </w:p>
    <w:p w14:paraId="04EF2B1F"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6655E89A"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2. Methods for Literature Selection</w:t>
      </w:r>
    </w:p>
    <w:p w14:paraId="08C93976"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2.1 Databases and Search Strategy</w:t>
      </w:r>
    </w:p>
    <w:p w14:paraId="2AAE0B5B"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 comprehensive narrative literature search was conducted across multiple bibliographic databases. The four primary general-purpose databases searched were Web of Science, Scopus, Google Scholar, and PubMed/MEDLINE. In addition, six field-specific databases were consulted to ensure adequate coverage: EMBASE (pharmacological and clinical trial data); the Cochrane Library (systematic reviews and meta-analyses of cancer treatment outcomes); Natural Products Alert (NAPRALERT), the dedicated resource for ethnobotanical and phytochemical research; ClinicalTrials.gov, for registered and completed trials involving herbal compounds or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in oncology; the WHO Global Health Library, for international cancer burden data and health policy documents; and </w:t>
      </w:r>
      <w:proofErr w:type="spellStart"/>
      <w:r w:rsidRPr="005D6A18">
        <w:rPr>
          <w:rFonts w:ascii="Times New Roman" w:eastAsia="Times New Roman" w:hAnsi="Times New Roman" w:cs="Times New Roman"/>
          <w:sz w:val="24"/>
          <w:szCs w:val="24"/>
          <w:lang w:eastAsia="en-GB"/>
        </w:rPr>
        <w:t>ChemSpider</w:t>
      </w:r>
      <w:proofErr w:type="spellEnd"/>
      <w:r w:rsidRPr="005D6A18">
        <w:rPr>
          <w:rFonts w:ascii="Times New Roman" w:eastAsia="Times New Roman" w:hAnsi="Times New Roman" w:cs="Times New Roman"/>
          <w:sz w:val="24"/>
          <w:szCs w:val="24"/>
          <w:lang w:eastAsia="en-GB"/>
        </w:rPr>
        <w:t>, for chemical identity verification of bioactive compounds.</w:t>
      </w:r>
    </w:p>
    <w:p w14:paraId="71F67154" w14:textId="55BEF079"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search strategy used Boolean operators combining Medical Subject Headings (</w:t>
      </w:r>
      <w:proofErr w:type="spellStart"/>
      <w:r w:rsidRPr="005D6A18">
        <w:rPr>
          <w:rFonts w:ascii="Times New Roman" w:eastAsia="Times New Roman" w:hAnsi="Times New Roman" w:cs="Times New Roman"/>
          <w:sz w:val="24"/>
          <w:szCs w:val="24"/>
          <w:lang w:eastAsia="en-GB"/>
        </w:rPr>
        <w:t>MeSH</w:t>
      </w:r>
      <w:proofErr w:type="spellEnd"/>
      <w:r w:rsidRPr="005D6A18">
        <w:rPr>
          <w:rFonts w:ascii="Times New Roman" w:eastAsia="Times New Roman" w:hAnsi="Times New Roman" w:cs="Times New Roman"/>
          <w:sz w:val="24"/>
          <w:szCs w:val="24"/>
          <w:lang w:eastAsia="en-GB"/>
        </w:rPr>
        <w:t>) terms and free-text keywords. The principal search strings applied across databases were: ("herbal drugs" OR "phytochemicals" OR "plant-derived compounds" OR "natural products") AND ("cancer" OR "tumour" OR "neoplasm" OR "oncology"); ("monoclonal antibodies" OR "immunotherapy" OR "checkpoint inhibitors" OR "antibody-drug conjugates") AND ("cancer" OR "neoplasm" OR "tumour"); ("curcumin" OR "resveratrol" OR "berberine" OR "EGCG" OR "epigallocatechin" OR "artemisinin" OR "quercetin") AND ("anti-cancer" OR "antitumour" OR "apoptosis" OR "signalling pathway"); ("trastuzumab" OR "bevacizumab" OR "rituximab" OR "cetuximab" OR "pembrolizumab" OR "nivolumab" OR "ipilimumab" OR "atezolizumab") AND ("cancer therapy" OR "clinical trial" OR "randomised controlled trial"); and ("phytochemical" AND "monoclonal antibody") AND ("synergy" OR "combination therapy" OR "sensitisation" OR "tumour microenvironment"). The date range for the primary search was January 2000 to March 2026. Foundational publications predating 2000 — particularly those central to the history of plant-derived anti-cancer drug discovery and the early development of therapeutic antibodies — were included as supplementary classic references without a lower date restriction.</w:t>
      </w:r>
    </w:p>
    <w:p w14:paraId="1666AA77"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2.2 Inclusion and Exclusion Criteria</w:t>
      </w:r>
    </w:p>
    <w:p w14:paraId="7BA64FF3"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Peer-reviewed original research articles, clinical trial reports, and review articles published in English in reputable academic journals were eligible for inclusion. Studies were included if they reported original data or substantive analysis on anti-cancer phytochemicals and their </w:t>
      </w:r>
      <w:r w:rsidRPr="005D6A18">
        <w:rPr>
          <w:rFonts w:ascii="Times New Roman" w:eastAsia="Times New Roman" w:hAnsi="Times New Roman" w:cs="Times New Roman"/>
          <w:sz w:val="24"/>
          <w:szCs w:val="24"/>
          <w:lang w:eastAsia="en-GB"/>
        </w:rPr>
        <w:lastRenderedPageBreak/>
        <w:t xml:space="preserve">molecular mechanisms;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and their clinical applications in oncology; or the combination of herbal bioactive compounds with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-based therapies, whether studied in vitro, in vivo, or in clinical settings. Authoritative reports from recognised international bodies, such as the World Health Organization, were included where verifiable URLs were available and where no equivalent peer-reviewed source supplied the required data.</w:t>
      </w:r>
    </w:p>
    <w:p w14:paraId="36560A60"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Excluded from consideration were: books, grey literature, conference abstracts and proceedings, trade magazine articles, preprint manuscripts (including those deposited on bioRxiv and </w:t>
      </w:r>
      <w:proofErr w:type="spellStart"/>
      <w:r w:rsidRPr="005D6A18">
        <w:rPr>
          <w:rFonts w:ascii="Times New Roman" w:eastAsia="Times New Roman" w:hAnsi="Times New Roman" w:cs="Times New Roman"/>
          <w:sz w:val="24"/>
          <w:szCs w:val="24"/>
          <w:lang w:eastAsia="en-GB"/>
        </w:rPr>
        <w:t>medRxiv</w:t>
      </w:r>
      <w:proofErr w:type="spellEnd"/>
      <w:r w:rsidRPr="005D6A18">
        <w:rPr>
          <w:rFonts w:ascii="Times New Roman" w:eastAsia="Times New Roman" w:hAnsi="Times New Roman" w:cs="Times New Roman"/>
          <w:sz w:val="24"/>
          <w:szCs w:val="24"/>
          <w:lang w:eastAsia="en-GB"/>
        </w:rPr>
        <w:t>), patents, and all non-peer-reviewed sources. Studies reported exclusively in languages other than English, and those lacking sufficient methodological detail, were also excluded. Priority was given to large-scale clinical trials, rigorous mechanistic studies in high-impact journals, and well-designed reviews.</w:t>
      </w:r>
    </w:p>
    <w:p w14:paraId="1DD8CA56"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2.3 Rationale for Narrative Review Approach</w:t>
      </w:r>
    </w:p>
    <w:p w14:paraId="20D7075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This work adopted a narrative rather than systematic review design. The breadth of the topic — spanning phytochemistry, molecular oncology, antibody engineering, translational pharmacology, and clinical medicine — means that a formal systematic review with meta-analysis would be methodologically inappropriate. The primary literature is highly heterogeneous in terms of study design, model systems, populations, outcome measures, and the specific agents investigated; quantitative synthesis across these dimensions is not feasible. A narrative approach enables integrative, critical synthesis across distinct but overlapping scientific domains and is particularly well suited to topics where the goal is to develop conceptual and mechanistic frameworks rather than pool statistical estimates. This choice is supported by established methodological guidance on narrative review conduct (Green et al., 2006).</w:t>
      </w:r>
    </w:p>
    <w:p w14:paraId="7441034B"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2.4 Screening Workflow, Duplicate Handling, and Selection Criteria</w:t>
      </w:r>
    </w:p>
    <w:p w14:paraId="7D28560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Following completion of the database searches, titles and abstracts were reviewed for relevance to the stated objectives. Duplicate records arising from database overlap were identified and removed at this stage. Full-text articles were retrieved for all records judged to be potentially relevant. Studies that did not meet the inclusion criteria upon full-text review were excluded. Within the eligible literature, further prioritisation favoured studies with stronger designs: large clinical trials, mechanistic studies in high-impact peer-reviewed journals, and rigorous reviews were weighted accordingly. In silico and purely computational studies lacking corroborating experimental validation were noted but used only cautiously as secondary evidence. Table 1 summarises the complete search strategy adopted for this review.</w:t>
      </w:r>
    </w:p>
    <w:p w14:paraId="0F78EEBD"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Table 1. Summary of Literature Search Strategy</w:t>
      </w:r>
    </w:p>
    <w:tbl>
      <w:tblPr>
        <w:tblStyle w:val="TableGrid"/>
        <w:tblW w:w="0" w:type="auto"/>
        <w:tblLook w:val="04A0" w:firstRow="1" w:lastRow="0" w:firstColumn="1" w:lastColumn="0" w:noHBand="0" w:noVBand="1"/>
      </w:tblPr>
      <w:tblGrid>
        <w:gridCol w:w="1443"/>
        <w:gridCol w:w="7799"/>
      </w:tblGrid>
      <w:tr w:rsidR="002E6E04" w:rsidRPr="005D6A18" w14:paraId="11939A3A" w14:textId="77777777" w:rsidTr="005D6A18">
        <w:tc>
          <w:tcPr>
            <w:tcW w:w="0" w:type="auto"/>
            <w:hideMark/>
          </w:tcPr>
          <w:p w14:paraId="2D6B71F2"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Search Element</w:t>
            </w:r>
          </w:p>
        </w:tc>
        <w:tc>
          <w:tcPr>
            <w:tcW w:w="0" w:type="auto"/>
            <w:hideMark/>
          </w:tcPr>
          <w:p w14:paraId="0DFF2DFA"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Details</w:t>
            </w:r>
          </w:p>
        </w:tc>
      </w:tr>
      <w:tr w:rsidR="002E6E04" w:rsidRPr="005D6A18" w14:paraId="257E0A22" w14:textId="77777777" w:rsidTr="005D6A18">
        <w:tc>
          <w:tcPr>
            <w:tcW w:w="0" w:type="auto"/>
            <w:hideMark/>
          </w:tcPr>
          <w:p w14:paraId="669064B5"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Primary databases</w:t>
            </w:r>
          </w:p>
        </w:tc>
        <w:tc>
          <w:tcPr>
            <w:tcW w:w="0" w:type="auto"/>
            <w:hideMark/>
          </w:tcPr>
          <w:p w14:paraId="4C745217"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Web of Science, Scopus, Google Scholar, PubMed/MEDLINE</w:t>
            </w:r>
          </w:p>
        </w:tc>
      </w:tr>
      <w:tr w:rsidR="002E6E04" w:rsidRPr="005D6A18" w14:paraId="233249EF" w14:textId="77777777" w:rsidTr="005D6A18">
        <w:tc>
          <w:tcPr>
            <w:tcW w:w="0" w:type="auto"/>
            <w:hideMark/>
          </w:tcPr>
          <w:p w14:paraId="6F5782A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Field-specific databases</w:t>
            </w:r>
          </w:p>
        </w:tc>
        <w:tc>
          <w:tcPr>
            <w:tcW w:w="0" w:type="auto"/>
            <w:hideMark/>
          </w:tcPr>
          <w:p w14:paraId="0B3C4BBD"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EMBASE, Cochrane Library, NAPRALERT, ClinicalTrials.gov, WHO Global Health Library, </w:t>
            </w:r>
            <w:proofErr w:type="spellStart"/>
            <w:r w:rsidRPr="005D6A18">
              <w:rPr>
                <w:rFonts w:ascii="Times New Roman" w:eastAsia="Times New Roman" w:hAnsi="Times New Roman" w:cs="Times New Roman"/>
                <w:sz w:val="24"/>
                <w:szCs w:val="24"/>
                <w:lang w:eastAsia="en-GB"/>
              </w:rPr>
              <w:t>ChemSpider</w:t>
            </w:r>
            <w:proofErr w:type="spellEnd"/>
          </w:p>
        </w:tc>
      </w:tr>
      <w:tr w:rsidR="002E6E04" w:rsidRPr="005D6A18" w14:paraId="3F18FA43" w14:textId="77777777" w:rsidTr="005D6A18">
        <w:tc>
          <w:tcPr>
            <w:tcW w:w="0" w:type="auto"/>
            <w:hideMark/>
          </w:tcPr>
          <w:p w14:paraId="5B4B191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Search date </w:t>
            </w:r>
            <w:r w:rsidRPr="005D6A18">
              <w:rPr>
                <w:rFonts w:ascii="Times New Roman" w:eastAsia="Times New Roman" w:hAnsi="Times New Roman" w:cs="Times New Roman"/>
                <w:sz w:val="24"/>
                <w:szCs w:val="24"/>
                <w:lang w:eastAsia="en-GB"/>
              </w:rPr>
              <w:lastRenderedPageBreak/>
              <w:t>range</w:t>
            </w:r>
          </w:p>
        </w:tc>
        <w:tc>
          <w:tcPr>
            <w:tcW w:w="0" w:type="auto"/>
            <w:hideMark/>
          </w:tcPr>
          <w:p w14:paraId="6B0F255B"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January 2000 – 27 March 2026</w:t>
            </w:r>
          </w:p>
        </w:tc>
      </w:tr>
      <w:tr w:rsidR="002E6E04" w:rsidRPr="005D6A18" w14:paraId="0847428D" w14:textId="77777777" w:rsidTr="005D6A18">
        <w:tc>
          <w:tcPr>
            <w:tcW w:w="0" w:type="auto"/>
            <w:hideMark/>
          </w:tcPr>
          <w:p w14:paraId="3C45ACE3"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Boolean operators</w:t>
            </w:r>
          </w:p>
        </w:tc>
        <w:tc>
          <w:tcPr>
            <w:tcW w:w="0" w:type="auto"/>
            <w:hideMark/>
          </w:tcPr>
          <w:p w14:paraId="5806646B"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AND, OR, NOT</w:t>
            </w:r>
          </w:p>
        </w:tc>
      </w:tr>
      <w:tr w:rsidR="002E6E04" w:rsidRPr="005D6A18" w14:paraId="4B6AFD31" w14:textId="77777777" w:rsidTr="005D6A18">
        <w:tc>
          <w:tcPr>
            <w:tcW w:w="0" w:type="auto"/>
            <w:hideMark/>
          </w:tcPr>
          <w:p w14:paraId="30D0E15B"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Key search terms</w:t>
            </w:r>
          </w:p>
        </w:tc>
        <w:tc>
          <w:tcPr>
            <w:tcW w:w="0" w:type="auto"/>
            <w:hideMark/>
          </w:tcPr>
          <w:p w14:paraId="58623A7F"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w:t>
            </w:r>
            <w:proofErr w:type="gramStart"/>
            <w:r w:rsidRPr="005D6A18">
              <w:rPr>
                <w:rFonts w:ascii="Times New Roman" w:eastAsia="Times New Roman" w:hAnsi="Times New Roman" w:cs="Times New Roman"/>
                <w:sz w:val="24"/>
                <w:szCs w:val="24"/>
                <w:lang w:eastAsia="en-GB"/>
              </w:rPr>
              <w:t>herbal</w:t>
            </w:r>
            <w:proofErr w:type="gramEnd"/>
            <w:r w:rsidRPr="005D6A18">
              <w:rPr>
                <w:rFonts w:ascii="Times New Roman" w:eastAsia="Times New Roman" w:hAnsi="Times New Roman" w:cs="Times New Roman"/>
                <w:sz w:val="24"/>
                <w:szCs w:val="24"/>
                <w:lang w:eastAsia="en-GB"/>
              </w:rPr>
              <w:t xml:space="preserve"> drugs", "phytochemicals", "natural products", "plant-derived compounds", "monoclonal antibodies", "immunotherapy", "checkpoint inhibitors", "antibody-drug conjugates", "cancer", "tumour", "neoplasm", "curcumin", "resveratrol", "berberine", "EGCG", "artemisinin", "quercetin", "trastuzumab", "bevacizumab", "rituximab", "cetuximab", "pembrolizumab", "nivolumab", "ipilimumab", "atezolizumab", "combination therapy", "synergy", "tumour microenvironment"</w:t>
            </w:r>
          </w:p>
        </w:tc>
      </w:tr>
      <w:tr w:rsidR="002E6E04" w:rsidRPr="005D6A18" w14:paraId="4297D86C" w14:textId="77777777" w:rsidTr="005D6A18">
        <w:tc>
          <w:tcPr>
            <w:tcW w:w="0" w:type="auto"/>
            <w:hideMark/>
          </w:tcPr>
          <w:p w14:paraId="62801F95"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Language restriction</w:t>
            </w:r>
          </w:p>
        </w:tc>
        <w:tc>
          <w:tcPr>
            <w:tcW w:w="0" w:type="auto"/>
            <w:hideMark/>
          </w:tcPr>
          <w:p w14:paraId="68488EB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English only</w:t>
            </w:r>
          </w:p>
        </w:tc>
      </w:tr>
      <w:tr w:rsidR="002E6E04" w:rsidRPr="005D6A18" w14:paraId="0B5A4EA9" w14:textId="77777777" w:rsidTr="005D6A18">
        <w:tc>
          <w:tcPr>
            <w:tcW w:w="0" w:type="auto"/>
            <w:hideMark/>
          </w:tcPr>
          <w:p w14:paraId="56568E2F"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Study types included</w:t>
            </w:r>
          </w:p>
        </w:tc>
        <w:tc>
          <w:tcPr>
            <w:tcW w:w="0" w:type="auto"/>
            <w:hideMark/>
          </w:tcPr>
          <w:p w14:paraId="519990F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Peer-reviewed original articles, randomised clinical trials, systematic reviews, meta-analyses, authoritative institutional reports with verifiable URLs</w:t>
            </w:r>
          </w:p>
        </w:tc>
      </w:tr>
      <w:tr w:rsidR="002E6E04" w:rsidRPr="005D6A18" w14:paraId="5E0D2438" w14:textId="77777777" w:rsidTr="005D6A18">
        <w:tc>
          <w:tcPr>
            <w:tcW w:w="0" w:type="auto"/>
            <w:hideMark/>
          </w:tcPr>
          <w:p w14:paraId="22886C75"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Excluded sources</w:t>
            </w:r>
          </w:p>
        </w:tc>
        <w:tc>
          <w:tcPr>
            <w:tcW w:w="0" w:type="auto"/>
            <w:hideMark/>
          </w:tcPr>
          <w:p w14:paraId="66B58DC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Books, grey literature, conference papers, preprints, patents, trade publications, non-peer-reviewed sources</w:t>
            </w:r>
          </w:p>
        </w:tc>
      </w:tr>
      <w:tr w:rsidR="002E6E04" w:rsidRPr="005D6A18" w14:paraId="0B760FFF" w14:textId="77777777" w:rsidTr="005D6A18">
        <w:tc>
          <w:tcPr>
            <w:tcW w:w="0" w:type="auto"/>
            <w:hideMark/>
          </w:tcPr>
          <w:p w14:paraId="39336E2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Duplicate handling</w:t>
            </w:r>
          </w:p>
        </w:tc>
        <w:tc>
          <w:tcPr>
            <w:tcW w:w="0" w:type="auto"/>
            <w:hideMark/>
          </w:tcPr>
          <w:p w14:paraId="0514D683"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Removed at title/abstract screening stage</w:t>
            </w:r>
          </w:p>
        </w:tc>
      </w:tr>
      <w:tr w:rsidR="002E6E04" w:rsidRPr="005D6A18" w14:paraId="4A2B0A9E" w14:textId="77777777" w:rsidTr="005D6A18">
        <w:tc>
          <w:tcPr>
            <w:tcW w:w="0" w:type="auto"/>
            <w:hideMark/>
          </w:tcPr>
          <w:p w14:paraId="4B506A2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Review type</w:t>
            </w:r>
          </w:p>
        </w:tc>
        <w:tc>
          <w:tcPr>
            <w:tcW w:w="0" w:type="auto"/>
            <w:hideMark/>
          </w:tcPr>
          <w:p w14:paraId="67051CB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Narrative</w:t>
            </w:r>
          </w:p>
        </w:tc>
      </w:tr>
    </w:tbl>
    <w:p w14:paraId="70433872"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Sources: Green et al. (2006); Newman &amp; Cragg (2020); Sung et al. (2021).</w:t>
      </w:r>
    </w:p>
    <w:p w14:paraId="5DD96094"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775AEEA5"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3. Global Cancer Burden and the Need for Complementary Approaches</w:t>
      </w:r>
    </w:p>
    <w:p w14:paraId="76822AD2"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scale of the global cancer burden is striking. According to GLOBOCAN 2020 estimates, approximately 19.3 million new cancer cases and nearly 10.0 million cancer-related deaths occurred worldwide in 2020 — with breast cancer, for the first time, overtaking lung cancer as the most commonly diagnosed malignancy globally (Sung et al., 2021). Updated US figures for 2023 recorded approximately 1.96 million new cases and over 609,000 deaths from cancer in that country alone (Siegel et al., 2023). Looking ahead, GLOBOCAN projections suggest global cancer incidence will rise to approximately 28.4 million new cases per year by 2040, driven by population ageing, urbanisation, and the increasing global prevalence of obesity and sedentary behaviour (Sung et al., 2021). Meanwhile, the World Health Organization has highlighted the mounting pressure these trends will place on health systems, particularly in low- and middle-income countries (World Health Organization, 2024).</w:t>
      </w:r>
    </w:p>
    <w:p w14:paraId="7AB1B64B"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biological complexity underlying this burden is considerable. Hanahan and Weinberg (2011) enumerated the functional hallmarks that cancer cells acquire to sustain their malignant behaviour — including sustained proliferative signalling, evasion of growth suppressors, resistance to apoptosis, replicative immortality, angiogenesis, and activation of invasion and metastasis. In a more recent update, Hanahan (2022) proposed additional hallmarks: phenotypic plasticity, non-mutational epigenetic reprogramming, polymorphic microbiomes, and the pro-</w:t>
      </w:r>
      <w:proofErr w:type="spellStart"/>
      <w:r w:rsidRPr="005D6A18">
        <w:rPr>
          <w:rFonts w:ascii="Times New Roman" w:eastAsia="Times New Roman" w:hAnsi="Times New Roman" w:cs="Times New Roman"/>
          <w:sz w:val="24"/>
          <w:szCs w:val="24"/>
          <w:lang w:eastAsia="en-GB"/>
        </w:rPr>
        <w:t>tumourigenic</w:t>
      </w:r>
      <w:proofErr w:type="spellEnd"/>
      <w:r w:rsidRPr="005D6A18">
        <w:rPr>
          <w:rFonts w:ascii="Times New Roman" w:eastAsia="Times New Roman" w:hAnsi="Times New Roman" w:cs="Times New Roman"/>
          <w:sz w:val="24"/>
          <w:szCs w:val="24"/>
          <w:lang w:eastAsia="en-GB"/>
        </w:rPr>
        <w:t xml:space="preserve"> activities of senescent cells. The practical implication is that single-target therapeutic strategies face an intrinsic ceiling, since tumours can frequently circumvent blockade of any one molecular node by exploiting parallel or compensatory pathways.</w:t>
      </w:r>
    </w:p>
    <w:p w14:paraId="0EAB4CC4"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Conventional treatments — surgery, radiotherapy, and cytotoxic chemotherapy — continue to underpin cancer management worldwide. Yet they come with well-documented costs. Systemic chemotherapy affects rapidly dividing normal cells alongside malignant ones, producing myelosuppression, gastrointestinal toxicity, peripheral neuropathy, cardiotoxicity, and immunosuppression (DeVita &amp; Chu, 2008). More fundamentally, the emergence of drug resistance — whether present at diagnosis or acquired under treatment-induced selective pressure — limits the durability of responses and remains one of the central unsolved problems in oncology (Holohan et al., 2013). These realities have driven sustained investment in targeted therapies and </w:t>
      </w:r>
      <w:proofErr w:type="spellStart"/>
      <w:r w:rsidRPr="005D6A18">
        <w:rPr>
          <w:rFonts w:ascii="Times New Roman" w:eastAsia="Times New Roman" w:hAnsi="Times New Roman" w:cs="Times New Roman"/>
          <w:sz w:val="24"/>
          <w:szCs w:val="24"/>
          <w:lang w:eastAsia="en-GB"/>
        </w:rPr>
        <w:t>immunotherapeutics</w:t>
      </w:r>
      <w:proofErr w:type="spellEnd"/>
      <w:r w:rsidRPr="005D6A18">
        <w:rPr>
          <w:rFonts w:ascii="Times New Roman" w:eastAsia="Times New Roman" w:hAnsi="Times New Roman" w:cs="Times New Roman"/>
          <w:sz w:val="24"/>
          <w:szCs w:val="24"/>
          <w:lang w:eastAsia="en-GB"/>
        </w:rPr>
        <w:t xml:space="preserve"> capable of selectively engaging cancer cells while sparing normal tissues. Herbal phytochemicals and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-based immunotherapies have both emerged as scientifically credible — and, in many instances, clinically validated — contributions to this effort.</w:t>
      </w:r>
    </w:p>
    <w:p w14:paraId="5CACB5DF"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68CA0E77"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4. Herbal Drugs in Cancer Management</w:t>
      </w:r>
    </w:p>
    <w:p w14:paraId="2A99DEFF"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4.1 Historical Context and Phytochemical Drug Discovery</w:t>
      </w:r>
    </w:p>
    <w:p w14:paraId="6C0CA876"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use of medicinal plants against disease, including cancer, predates written history. Traditional medicine systems — Ayurveda in South Asia, Traditional Chinese Medicine (TCM), and African herbal medicine among others — have long used plants with putative anti-tumour activity, providing an empirical foundation that modern pharmacology has sought to test systematically (Cragg &amp; Newman, 2005). The parallel development of rigorous ethnopharmacological methods and increasingly powerful isolation chemistry, structural biology, and high-throughput screening tools has accelerated the translation of these traditional observations into actionable pharmacological leads.</w:t>
      </w:r>
    </w:p>
    <w:p w14:paraId="3CA7B02D"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 landmark analysis by Newman and Cragg (2020), covering all new drugs approved between January 1981 and September 2019, found that natural products and their derivatives account for approximately one-third of all small-molecule anti-cancer drugs approved in that period — a striking figure that confirms the continuing productivity of natural product-based drug discovery. The field's most celebrated milestones include the isolation of paclitaxel from </w:t>
      </w:r>
      <w:r w:rsidRPr="005D6A18">
        <w:rPr>
          <w:rFonts w:ascii="Times New Roman" w:eastAsia="Times New Roman" w:hAnsi="Times New Roman" w:cs="Times New Roman"/>
          <w:i/>
          <w:iCs/>
          <w:sz w:val="24"/>
          <w:szCs w:val="24"/>
          <w:lang w:eastAsia="en-GB"/>
        </w:rPr>
        <w:t>Taxus brevifolia</w:t>
      </w:r>
      <w:r w:rsidRPr="005D6A18">
        <w:rPr>
          <w:rFonts w:ascii="Times New Roman" w:eastAsia="Times New Roman" w:hAnsi="Times New Roman" w:cs="Times New Roman"/>
          <w:sz w:val="24"/>
          <w:szCs w:val="24"/>
          <w:lang w:eastAsia="en-GB"/>
        </w:rPr>
        <w:t xml:space="preserve"> Nutt. in 1971 (Wani et al., 1971), the clinical development of vinca alkaloids from </w:t>
      </w:r>
      <w:r w:rsidRPr="005D6A18">
        <w:rPr>
          <w:rFonts w:ascii="Times New Roman" w:eastAsia="Times New Roman" w:hAnsi="Times New Roman" w:cs="Times New Roman"/>
          <w:i/>
          <w:iCs/>
          <w:sz w:val="24"/>
          <w:szCs w:val="24"/>
          <w:lang w:eastAsia="en-GB"/>
        </w:rPr>
        <w:t>Catharanthus roseus</w:t>
      </w:r>
      <w:r w:rsidRPr="005D6A18">
        <w:rPr>
          <w:rFonts w:ascii="Times New Roman" w:eastAsia="Times New Roman" w:hAnsi="Times New Roman" w:cs="Times New Roman"/>
          <w:sz w:val="24"/>
          <w:szCs w:val="24"/>
          <w:lang w:eastAsia="en-GB"/>
        </w:rPr>
        <w:t xml:space="preserve"> (L.) </w:t>
      </w:r>
      <w:proofErr w:type="spellStart"/>
      <w:proofErr w:type="gramStart"/>
      <w:r w:rsidRPr="005D6A18">
        <w:rPr>
          <w:rFonts w:ascii="Times New Roman" w:eastAsia="Times New Roman" w:hAnsi="Times New Roman" w:cs="Times New Roman"/>
          <w:sz w:val="24"/>
          <w:szCs w:val="24"/>
          <w:lang w:eastAsia="en-GB"/>
        </w:rPr>
        <w:t>G.Don</w:t>
      </w:r>
      <w:proofErr w:type="spellEnd"/>
      <w:proofErr w:type="gramEnd"/>
      <w:r w:rsidRPr="005D6A18">
        <w:rPr>
          <w:rFonts w:ascii="Times New Roman" w:eastAsia="Times New Roman" w:hAnsi="Times New Roman" w:cs="Times New Roman"/>
          <w:sz w:val="24"/>
          <w:szCs w:val="24"/>
          <w:lang w:eastAsia="en-GB"/>
        </w:rPr>
        <w:t xml:space="preserve">, and the identification of </w:t>
      </w:r>
      <w:proofErr w:type="spellStart"/>
      <w:r w:rsidRPr="005D6A18">
        <w:rPr>
          <w:rFonts w:ascii="Times New Roman" w:eastAsia="Times New Roman" w:hAnsi="Times New Roman" w:cs="Times New Roman"/>
          <w:sz w:val="24"/>
          <w:szCs w:val="24"/>
          <w:lang w:eastAsia="en-GB"/>
        </w:rPr>
        <w:t>camptothecin</w:t>
      </w:r>
      <w:proofErr w:type="spellEnd"/>
      <w:r w:rsidRPr="005D6A18">
        <w:rPr>
          <w:rFonts w:ascii="Times New Roman" w:eastAsia="Times New Roman" w:hAnsi="Times New Roman" w:cs="Times New Roman"/>
          <w:sz w:val="24"/>
          <w:szCs w:val="24"/>
          <w:lang w:eastAsia="en-GB"/>
        </w:rPr>
        <w:t xml:space="preserve"> and its clinically used derivatives (topotecan, irinotecan) from </w:t>
      </w:r>
      <w:proofErr w:type="spellStart"/>
      <w:r w:rsidRPr="005D6A18">
        <w:rPr>
          <w:rFonts w:ascii="Times New Roman" w:eastAsia="Times New Roman" w:hAnsi="Times New Roman" w:cs="Times New Roman"/>
          <w:i/>
          <w:iCs/>
          <w:sz w:val="24"/>
          <w:szCs w:val="24"/>
          <w:lang w:eastAsia="en-GB"/>
        </w:rPr>
        <w:t>Camptotheca</w:t>
      </w:r>
      <w:proofErr w:type="spellEnd"/>
      <w:r w:rsidRPr="005D6A18">
        <w:rPr>
          <w:rFonts w:ascii="Times New Roman" w:eastAsia="Times New Roman" w:hAnsi="Times New Roman" w:cs="Times New Roman"/>
          <w:i/>
          <w:iCs/>
          <w:sz w:val="24"/>
          <w:szCs w:val="24"/>
          <w:lang w:eastAsia="en-GB"/>
        </w:rPr>
        <w:t xml:space="preserve"> acuminata</w:t>
      </w:r>
      <w:r w:rsidRPr="005D6A18">
        <w:rPr>
          <w:rFonts w:ascii="Times New Roman" w:eastAsia="Times New Roman" w:hAnsi="Times New Roman" w:cs="Times New Roman"/>
          <w:sz w:val="24"/>
          <w:szCs w:val="24"/>
          <w:lang w:eastAsia="en-GB"/>
        </w:rPr>
        <w:t xml:space="preserve"> </w:t>
      </w:r>
      <w:proofErr w:type="spellStart"/>
      <w:r w:rsidRPr="005D6A18">
        <w:rPr>
          <w:rFonts w:ascii="Times New Roman" w:eastAsia="Times New Roman" w:hAnsi="Times New Roman" w:cs="Times New Roman"/>
          <w:sz w:val="24"/>
          <w:szCs w:val="24"/>
          <w:lang w:eastAsia="en-GB"/>
        </w:rPr>
        <w:t>Decne</w:t>
      </w:r>
      <w:proofErr w:type="spellEnd"/>
      <w:r w:rsidRPr="005D6A18">
        <w:rPr>
          <w:rFonts w:ascii="Times New Roman" w:eastAsia="Times New Roman" w:hAnsi="Times New Roman" w:cs="Times New Roman"/>
          <w:sz w:val="24"/>
          <w:szCs w:val="24"/>
          <w:lang w:eastAsia="en-GB"/>
        </w:rPr>
        <w:t>. Together, these achievements established beyond doubt that plant secondary metabolites represent a structurally diverse and biologically rich source of anti-cancer leads (DeVita &amp; Chu, 2008; Cragg &amp; Newman, 2005).</w:t>
      </w:r>
    </w:p>
    <w:p w14:paraId="081E8B30"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4.2 Key Bioactive Compounds and Mechanisms of Action</w:t>
      </w:r>
    </w:p>
    <w:p w14:paraId="16CE65F0"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4.2.1 Curcumin</w:t>
      </w:r>
    </w:p>
    <w:p w14:paraId="07297631"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Curcumin (1,7-bis(4-hydroxy-3-methoxyphenyl)-1,6-heptadiene-3,5-dione), the principal polyphenolic constituent of the rhizome of </w:t>
      </w:r>
      <w:r w:rsidRPr="005D6A18">
        <w:rPr>
          <w:rFonts w:ascii="Times New Roman" w:eastAsia="Times New Roman" w:hAnsi="Times New Roman" w:cs="Times New Roman"/>
          <w:i/>
          <w:iCs/>
          <w:sz w:val="24"/>
          <w:szCs w:val="24"/>
          <w:lang w:eastAsia="en-GB"/>
        </w:rPr>
        <w:t>Curcuma longa</w:t>
      </w:r>
      <w:r w:rsidRPr="005D6A18">
        <w:rPr>
          <w:rFonts w:ascii="Times New Roman" w:eastAsia="Times New Roman" w:hAnsi="Times New Roman" w:cs="Times New Roman"/>
          <w:sz w:val="24"/>
          <w:szCs w:val="24"/>
          <w:lang w:eastAsia="en-GB"/>
        </w:rPr>
        <w:t xml:space="preserve"> L. (turmeric), is one of the most extensively studied phytochemicals in oncology. What makes curcumin particularly attractive, pharmacologically speaking, is its capacity to modulate multiple and interacting signalling cascades simultaneously. These include the nuclear factor kappa-B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pathway, activator protein-1 (AP-1), signal transducer and activator of transcription 3 </w:t>
      </w:r>
      <w:r w:rsidRPr="005D6A18">
        <w:rPr>
          <w:rFonts w:ascii="Times New Roman" w:eastAsia="Times New Roman" w:hAnsi="Times New Roman" w:cs="Times New Roman"/>
          <w:sz w:val="24"/>
          <w:szCs w:val="24"/>
          <w:lang w:eastAsia="en-GB"/>
        </w:rPr>
        <w:lastRenderedPageBreak/>
        <w:t>(STAT3), the phosphatidylinositol 3-kinase/protein kinase B (PI3K/Akt) axis, and the mitogen-activated protein kinase (MAPK) cascade (Aggarwal &amp; Harikumar, 2009). Through these targets, curcumin suppresses tumour cell proliferation, induces apoptosis via both intrinsic and extrinsic pathways, inhibits tumour-associated angiogenesis, and attenuates the invasive and metastatic capacity of cancer cells across multiple tumour types including breast, colorectal, pancreatic, and lung cancer. Its anti-inflammatory properties are also mechanistically relevant, given the well-established contribution of chronic inflammatory signalling to tumour initiation and progression. Despite these attributes, curcumin's clinical translation has been substantially held back by its poor aqueous solubility, rapid metabolic conjugation, and consequent low oral bioavailability — a challenge addressed in Section 4.3.</w:t>
      </w:r>
    </w:p>
    <w:p w14:paraId="5CA7ECA6"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4.2.2 Resveratrol</w:t>
      </w:r>
    </w:p>
    <w:p w14:paraId="312E74A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Resveratrol (3,5,4′-trihydroxystilbene) is a </w:t>
      </w:r>
      <w:proofErr w:type="spellStart"/>
      <w:r w:rsidRPr="005D6A18">
        <w:rPr>
          <w:rFonts w:ascii="Times New Roman" w:eastAsia="Times New Roman" w:hAnsi="Times New Roman" w:cs="Times New Roman"/>
          <w:sz w:val="24"/>
          <w:szCs w:val="24"/>
          <w:lang w:eastAsia="en-GB"/>
        </w:rPr>
        <w:t>stilbenoid</w:t>
      </w:r>
      <w:proofErr w:type="spellEnd"/>
      <w:r w:rsidRPr="005D6A18">
        <w:rPr>
          <w:rFonts w:ascii="Times New Roman" w:eastAsia="Times New Roman" w:hAnsi="Times New Roman" w:cs="Times New Roman"/>
          <w:sz w:val="24"/>
          <w:szCs w:val="24"/>
          <w:lang w:eastAsia="en-GB"/>
        </w:rPr>
        <w:t xml:space="preserve"> polyphenol produced as a phytoalexin by several plant species, notably </w:t>
      </w:r>
      <w:r w:rsidRPr="005D6A18">
        <w:rPr>
          <w:rFonts w:ascii="Times New Roman" w:eastAsia="Times New Roman" w:hAnsi="Times New Roman" w:cs="Times New Roman"/>
          <w:i/>
          <w:iCs/>
          <w:sz w:val="24"/>
          <w:szCs w:val="24"/>
          <w:lang w:eastAsia="en-GB"/>
        </w:rPr>
        <w:t>Vitis vinifera</w:t>
      </w:r>
      <w:r w:rsidRPr="005D6A18">
        <w:rPr>
          <w:rFonts w:ascii="Times New Roman" w:eastAsia="Times New Roman" w:hAnsi="Times New Roman" w:cs="Times New Roman"/>
          <w:sz w:val="24"/>
          <w:szCs w:val="24"/>
          <w:lang w:eastAsia="en-GB"/>
        </w:rPr>
        <w:t xml:space="preserve"> L. (grape), various </w:t>
      </w:r>
      <w:r w:rsidRPr="005D6A18">
        <w:rPr>
          <w:rFonts w:ascii="Times New Roman" w:eastAsia="Times New Roman" w:hAnsi="Times New Roman" w:cs="Times New Roman"/>
          <w:i/>
          <w:iCs/>
          <w:sz w:val="24"/>
          <w:szCs w:val="24"/>
          <w:lang w:eastAsia="en-GB"/>
        </w:rPr>
        <w:t>Vaccinium</w:t>
      </w:r>
      <w:r w:rsidRPr="005D6A18">
        <w:rPr>
          <w:rFonts w:ascii="Times New Roman" w:eastAsia="Times New Roman" w:hAnsi="Times New Roman" w:cs="Times New Roman"/>
          <w:sz w:val="24"/>
          <w:szCs w:val="24"/>
          <w:lang w:eastAsia="en-GB"/>
        </w:rPr>
        <w:t xml:space="preserve"> species (berries), and </w:t>
      </w:r>
      <w:r w:rsidRPr="005D6A18">
        <w:rPr>
          <w:rFonts w:ascii="Times New Roman" w:eastAsia="Times New Roman" w:hAnsi="Times New Roman" w:cs="Times New Roman"/>
          <w:i/>
          <w:iCs/>
          <w:sz w:val="24"/>
          <w:szCs w:val="24"/>
          <w:lang w:eastAsia="en-GB"/>
        </w:rPr>
        <w:t>Arachis hypogaea</w:t>
      </w:r>
      <w:r w:rsidRPr="005D6A18">
        <w:rPr>
          <w:rFonts w:ascii="Times New Roman" w:eastAsia="Times New Roman" w:hAnsi="Times New Roman" w:cs="Times New Roman"/>
          <w:sz w:val="24"/>
          <w:szCs w:val="24"/>
          <w:lang w:eastAsia="en-GB"/>
        </w:rPr>
        <w:t xml:space="preserve"> L. (peanut), in response to environmental stress or pathogen challenge. Across a broad range of cancer cell models, resveratrol demonstrates anti-proliferative, pro-apoptotic, anti-angiogenic, and anti-metastatic properties. Mechanistically, it activates the tumour suppressor p53, inhibits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and cyclo-oxygenase-2 (COX-2), suppresses VEGF expression, and modulates cell cycle regulatory proteins to arrest tumour cells in S or G2/M phase (Baur &amp; Sinclair, 2006). Of particular contemporary interest is resveratrol's relationship with the immune checkpoint molecule PD-L1. Verdura et al. (2020) demonstrated that resveratrol disrupts PD-L1 glycosylation — a post-translational modification essential for PD-L1 surface stability — and promotes its proteasomal degradation, thereby restoring anti-tumour T-cell activity. This finding is directly relevant to potential combinations with anti-PD-L1 checkpoint inhibitors and is discussed further in Section 6.3. Like curcumin, resveratrol suffers from rapid first-pass metabolism and low systemic bioavailability, which constrains its clinical utility in the absence of formulation strategies.</w:t>
      </w:r>
    </w:p>
    <w:p w14:paraId="5E3DBDB3"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4.2.3 Berberine</w:t>
      </w:r>
    </w:p>
    <w:p w14:paraId="01A35B1E"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Berberine is a quaternary </w:t>
      </w:r>
      <w:proofErr w:type="spellStart"/>
      <w:r w:rsidRPr="005D6A18">
        <w:rPr>
          <w:rFonts w:ascii="Times New Roman" w:eastAsia="Times New Roman" w:hAnsi="Times New Roman" w:cs="Times New Roman"/>
          <w:sz w:val="24"/>
          <w:szCs w:val="24"/>
          <w:lang w:eastAsia="en-GB"/>
        </w:rPr>
        <w:t>isoquinoline</w:t>
      </w:r>
      <w:proofErr w:type="spellEnd"/>
      <w:r w:rsidRPr="005D6A18">
        <w:rPr>
          <w:rFonts w:ascii="Times New Roman" w:eastAsia="Times New Roman" w:hAnsi="Times New Roman" w:cs="Times New Roman"/>
          <w:sz w:val="24"/>
          <w:szCs w:val="24"/>
          <w:lang w:eastAsia="en-GB"/>
        </w:rPr>
        <w:t xml:space="preserve"> alkaloid found in several pharmacologically important plant species, including </w:t>
      </w:r>
      <w:r w:rsidRPr="005D6A18">
        <w:rPr>
          <w:rFonts w:ascii="Times New Roman" w:eastAsia="Times New Roman" w:hAnsi="Times New Roman" w:cs="Times New Roman"/>
          <w:i/>
          <w:iCs/>
          <w:sz w:val="24"/>
          <w:szCs w:val="24"/>
          <w:lang w:eastAsia="en-GB"/>
        </w:rPr>
        <w:t>Berberis vulgaris</w:t>
      </w:r>
      <w:r w:rsidRPr="005D6A18">
        <w:rPr>
          <w:rFonts w:ascii="Times New Roman" w:eastAsia="Times New Roman" w:hAnsi="Times New Roman" w:cs="Times New Roman"/>
          <w:sz w:val="24"/>
          <w:szCs w:val="24"/>
          <w:lang w:eastAsia="en-GB"/>
        </w:rPr>
        <w:t xml:space="preserve"> L. (barberry), </w:t>
      </w:r>
      <w:r w:rsidRPr="005D6A18">
        <w:rPr>
          <w:rFonts w:ascii="Times New Roman" w:eastAsia="Times New Roman" w:hAnsi="Times New Roman" w:cs="Times New Roman"/>
          <w:i/>
          <w:iCs/>
          <w:sz w:val="24"/>
          <w:szCs w:val="24"/>
          <w:lang w:eastAsia="en-GB"/>
        </w:rPr>
        <w:t>Berberis aristata</w:t>
      </w:r>
      <w:r w:rsidRPr="005D6A18">
        <w:rPr>
          <w:rFonts w:ascii="Times New Roman" w:eastAsia="Times New Roman" w:hAnsi="Times New Roman" w:cs="Times New Roman"/>
          <w:sz w:val="24"/>
          <w:szCs w:val="24"/>
          <w:lang w:eastAsia="en-GB"/>
        </w:rPr>
        <w:t xml:space="preserve"> DC., </w:t>
      </w:r>
      <w:proofErr w:type="spellStart"/>
      <w:r w:rsidRPr="005D6A18">
        <w:rPr>
          <w:rFonts w:ascii="Times New Roman" w:eastAsia="Times New Roman" w:hAnsi="Times New Roman" w:cs="Times New Roman"/>
          <w:i/>
          <w:iCs/>
          <w:sz w:val="24"/>
          <w:szCs w:val="24"/>
          <w:lang w:eastAsia="en-GB"/>
        </w:rPr>
        <w:t>Coptis</w:t>
      </w:r>
      <w:proofErr w:type="spellEnd"/>
      <w:r w:rsidRPr="005D6A18">
        <w:rPr>
          <w:rFonts w:ascii="Times New Roman" w:eastAsia="Times New Roman" w:hAnsi="Times New Roman" w:cs="Times New Roman"/>
          <w:i/>
          <w:iCs/>
          <w:sz w:val="24"/>
          <w:szCs w:val="24"/>
          <w:lang w:eastAsia="en-GB"/>
        </w:rPr>
        <w:t xml:space="preserve"> chinensis</w:t>
      </w:r>
      <w:r w:rsidRPr="005D6A18">
        <w:rPr>
          <w:rFonts w:ascii="Times New Roman" w:eastAsia="Times New Roman" w:hAnsi="Times New Roman" w:cs="Times New Roman"/>
          <w:sz w:val="24"/>
          <w:szCs w:val="24"/>
          <w:lang w:eastAsia="en-GB"/>
        </w:rPr>
        <w:t xml:space="preserve"> Franch. (goldthread), and </w:t>
      </w:r>
      <w:proofErr w:type="spellStart"/>
      <w:r w:rsidRPr="005D6A18">
        <w:rPr>
          <w:rFonts w:ascii="Times New Roman" w:eastAsia="Times New Roman" w:hAnsi="Times New Roman" w:cs="Times New Roman"/>
          <w:i/>
          <w:iCs/>
          <w:sz w:val="24"/>
          <w:szCs w:val="24"/>
          <w:lang w:eastAsia="en-GB"/>
        </w:rPr>
        <w:t>Hydrastis</w:t>
      </w:r>
      <w:proofErr w:type="spellEnd"/>
      <w:r w:rsidRPr="005D6A18">
        <w:rPr>
          <w:rFonts w:ascii="Times New Roman" w:eastAsia="Times New Roman" w:hAnsi="Times New Roman" w:cs="Times New Roman"/>
          <w:i/>
          <w:iCs/>
          <w:sz w:val="24"/>
          <w:szCs w:val="24"/>
          <w:lang w:eastAsia="en-GB"/>
        </w:rPr>
        <w:t xml:space="preserve"> canadensis</w:t>
      </w:r>
      <w:r w:rsidRPr="005D6A18">
        <w:rPr>
          <w:rFonts w:ascii="Times New Roman" w:eastAsia="Times New Roman" w:hAnsi="Times New Roman" w:cs="Times New Roman"/>
          <w:sz w:val="24"/>
          <w:szCs w:val="24"/>
          <w:lang w:eastAsia="en-GB"/>
        </w:rPr>
        <w:t xml:space="preserve"> L. (goldenseal). Its anti-tumour activity spans multiple cancer types and operates through several distinct mechanisms: inhibition of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-driven transcription, induction of G1 or G2/M cell cycle arrest, activation of p53-dependent apoptotic programmes, and suppression of matrix metalloproteinases (MMPs) involved in tumour invasion and metastasis (</w:t>
      </w:r>
      <w:proofErr w:type="spellStart"/>
      <w:r w:rsidRPr="005D6A18">
        <w:rPr>
          <w:rFonts w:ascii="Times New Roman" w:eastAsia="Times New Roman" w:hAnsi="Times New Roman" w:cs="Times New Roman"/>
          <w:sz w:val="24"/>
          <w:szCs w:val="24"/>
          <w:lang w:eastAsia="en-GB"/>
        </w:rPr>
        <w:t>Imenshahidi</w:t>
      </w:r>
      <w:proofErr w:type="spellEnd"/>
      <w:r w:rsidRPr="005D6A18">
        <w:rPr>
          <w:rFonts w:ascii="Times New Roman" w:eastAsia="Times New Roman" w:hAnsi="Times New Roman" w:cs="Times New Roman"/>
          <w:sz w:val="24"/>
          <w:szCs w:val="24"/>
          <w:lang w:eastAsia="en-GB"/>
        </w:rPr>
        <w:t xml:space="preserve"> &amp; Hosseinzadeh, 2016). Berberine also inhibits the mammalian target of rapamycin complex 1 (mTORC1) and downregulates hypoxia-inducible factor-1 alpha (HIF-1α), attenuating both metabolic adaptation and hypoxia-driven angiogenesis within tumours. Of additional clinical relevance, berberine has shown capacity to suppress cancer stem cell (CSC) self-renewal — a cellular subpopulation closely implicated in treatment resistance and disease recurrence (Phi et al., 2018) — through inhibition of the </w:t>
      </w:r>
      <w:proofErr w:type="spellStart"/>
      <w:r w:rsidRPr="005D6A18">
        <w:rPr>
          <w:rFonts w:ascii="Times New Roman" w:eastAsia="Times New Roman" w:hAnsi="Times New Roman" w:cs="Times New Roman"/>
          <w:sz w:val="24"/>
          <w:szCs w:val="24"/>
          <w:lang w:eastAsia="en-GB"/>
        </w:rPr>
        <w:t>Wnt</w:t>
      </w:r>
      <w:proofErr w:type="spellEnd"/>
      <w:r w:rsidRPr="005D6A18">
        <w:rPr>
          <w:rFonts w:ascii="Times New Roman" w:eastAsia="Times New Roman" w:hAnsi="Times New Roman" w:cs="Times New Roman"/>
          <w:sz w:val="24"/>
          <w:szCs w:val="24"/>
          <w:lang w:eastAsia="en-GB"/>
        </w:rPr>
        <w:t>/β-catenin and hedgehog signalling pathways. Its relatively low cost and long history of clinical use in traditional medicine make it an attractive candidate for further translational work.</w:t>
      </w:r>
    </w:p>
    <w:p w14:paraId="72EB2E44"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4.2.4 Epigallocatechin-3-Gallate (EGCG)</w:t>
      </w:r>
    </w:p>
    <w:p w14:paraId="435AD287"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Epigallocatechin-3-gallate (EGCG) is the most abundant and biologically active catechin in green tea, derived from the leaves of </w:t>
      </w:r>
      <w:r w:rsidRPr="005D6A18">
        <w:rPr>
          <w:rFonts w:ascii="Times New Roman" w:eastAsia="Times New Roman" w:hAnsi="Times New Roman" w:cs="Times New Roman"/>
          <w:i/>
          <w:iCs/>
          <w:sz w:val="24"/>
          <w:szCs w:val="24"/>
          <w:lang w:eastAsia="en-GB"/>
        </w:rPr>
        <w:t>Camellia sinensis</w:t>
      </w:r>
      <w:r w:rsidRPr="005D6A18">
        <w:rPr>
          <w:rFonts w:ascii="Times New Roman" w:eastAsia="Times New Roman" w:hAnsi="Times New Roman" w:cs="Times New Roman"/>
          <w:sz w:val="24"/>
          <w:szCs w:val="24"/>
          <w:lang w:eastAsia="en-GB"/>
        </w:rPr>
        <w:t xml:space="preserve"> (L.) Kuntze. It inhibits multiple receptor tyrosine kinases and their downstream effectors, including EGFR, HER2/ErbB2, VEGFR2,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STAT3, and the PI3K/Akt axis (Khan et al., 2006). The fact that EGCG targets both EGFR and HER2 — the same receptors engaged by the approved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cetuximab and trastuzumab, respectively — is of particular interest from the perspective of combination therapy, and is explored in Section 6.2. EGCG also exhibits epigenetic modulatory activity, including inhibition of DNA methyltransferases and histone deacetylases, which can reshape the gene expression landscape relevant to cancer cell survival and differentiation. These overlapping mechanisms make EGCG one of the most pharmacologically versatile phytochemicals from a multi-target oncology perspective.</w:t>
      </w:r>
    </w:p>
    <w:p w14:paraId="0E4B52BF"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4.2.5 Artemisinin and Derivatives</w:t>
      </w:r>
    </w:p>
    <w:p w14:paraId="7AB22AB9"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Artemisinin, a sesquiterpene lactone endoperoxide isolated from </w:t>
      </w:r>
      <w:r w:rsidRPr="005D6A18">
        <w:rPr>
          <w:rFonts w:ascii="Times New Roman" w:eastAsia="Times New Roman" w:hAnsi="Times New Roman" w:cs="Times New Roman"/>
          <w:i/>
          <w:iCs/>
          <w:sz w:val="24"/>
          <w:szCs w:val="24"/>
          <w:lang w:eastAsia="en-GB"/>
        </w:rPr>
        <w:t>Artemisia annua</w:t>
      </w:r>
      <w:r w:rsidRPr="005D6A18">
        <w:rPr>
          <w:rFonts w:ascii="Times New Roman" w:eastAsia="Times New Roman" w:hAnsi="Times New Roman" w:cs="Times New Roman"/>
          <w:sz w:val="24"/>
          <w:szCs w:val="24"/>
          <w:lang w:eastAsia="en-GB"/>
        </w:rPr>
        <w:t xml:space="preserve"> L. (sweet wormwood), and its semi-synthetic derivatives — artesunate, artemether, and </w:t>
      </w:r>
      <w:proofErr w:type="spellStart"/>
      <w:r w:rsidRPr="005D6A18">
        <w:rPr>
          <w:rFonts w:ascii="Times New Roman" w:eastAsia="Times New Roman" w:hAnsi="Times New Roman" w:cs="Times New Roman"/>
          <w:sz w:val="24"/>
          <w:szCs w:val="24"/>
          <w:lang w:eastAsia="en-GB"/>
        </w:rPr>
        <w:t>dihydroartemisinin</w:t>
      </w:r>
      <w:proofErr w:type="spellEnd"/>
      <w:r w:rsidRPr="005D6A18">
        <w:rPr>
          <w:rFonts w:ascii="Times New Roman" w:eastAsia="Times New Roman" w:hAnsi="Times New Roman" w:cs="Times New Roman"/>
          <w:sz w:val="24"/>
          <w:szCs w:val="24"/>
          <w:lang w:eastAsia="en-GB"/>
        </w:rPr>
        <w:t xml:space="preserve"> — were originally developed as anti-malarial agents. A growing body of preclinical work has established that these compounds also exert anti-cancer activity across a range of tumour types, including haematological malignancies and solid tumours of the colorectum, liver, ovary, and lung (</w:t>
      </w: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2017). Proposed mechanisms include generation of reactive oxygen species (ROS) via iron-catalysed cleavage of the endoperoxide bridge, induction of apoptosis through both mitochondrial and endoplasmic reticulum stress pathways, inhibition of angiogenesis through suppression of VEGF signalling, and disruption of the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and </w:t>
      </w:r>
      <w:proofErr w:type="spellStart"/>
      <w:r w:rsidRPr="005D6A18">
        <w:rPr>
          <w:rFonts w:ascii="Times New Roman" w:eastAsia="Times New Roman" w:hAnsi="Times New Roman" w:cs="Times New Roman"/>
          <w:sz w:val="24"/>
          <w:szCs w:val="24"/>
          <w:lang w:eastAsia="en-GB"/>
        </w:rPr>
        <w:t>Wnt</w:t>
      </w:r>
      <w:proofErr w:type="spellEnd"/>
      <w:r w:rsidRPr="005D6A18">
        <w:rPr>
          <w:rFonts w:ascii="Times New Roman" w:eastAsia="Times New Roman" w:hAnsi="Times New Roman" w:cs="Times New Roman"/>
          <w:sz w:val="24"/>
          <w:szCs w:val="24"/>
          <w:lang w:eastAsia="en-GB"/>
        </w:rPr>
        <w:t>/β-catenin cascades. The extensive clinical safety record accumulated through anti-malarial use over decades provides a meaningful head-start for cancer repurposing efforts, and several early-phase clinical trials of artesunate in colorectal and other cancers are underway (</w:t>
      </w: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2017).</w:t>
      </w:r>
    </w:p>
    <w:p w14:paraId="201DE409"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4.2.6 Plant-Derived Chemotherapeutics: Taxanes and Vinca Alkaloids</w:t>
      </w:r>
    </w:p>
    <w:p w14:paraId="35C1E53E"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taxanes and vinca alkaloids occupy a different position from the phytochemicals discussed above: they are not merely investigational agents but are already pillars of global oncological practice. Paclitaxel, first reported from the bark of </w:t>
      </w:r>
      <w:r w:rsidRPr="005D6A18">
        <w:rPr>
          <w:rFonts w:ascii="Times New Roman" w:eastAsia="Times New Roman" w:hAnsi="Times New Roman" w:cs="Times New Roman"/>
          <w:i/>
          <w:iCs/>
          <w:sz w:val="24"/>
          <w:szCs w:val="24"/>
          <w:lang w:eastAsia="en-GB"/>
        </w:rPr>
        <w:t>Taxus brevifolia</w:t>
      </w:r>
      <w:r w:rsidRPr="005D6A18">
        <w:rPr>
          <w:rFonts w:ascii="Times New Roman" w:eastAsia="Times New Roman" w:hAnsi="Times New Roman" w:cs="Times New Roman"/>
          <w:sz w:val="24"/>
          <w:szCs w:val="24"/>
          <w:lang w:eastAsia="en-GB"/>
        </w:rPr>
        <w:t xml:space="preserve"> Nutt. by Wani et al. (1971), and its semi-synthetic analogue docetaxel, act by stabilising polymerised microtubule structures, preventing the spindle disassembly needed for mitotic progression and arresting cells in G2/M phase (Jordan &amp; Wilson, 2004). Both agents are core components of treatment regimens for breast, ovarian, lung, and gastric cancers, and are frequently combined in clinical practice with targeted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such as trastuzumab and bevacizumab.</w:t>
      </w:r>
    </w:p>
    <w:p w14:paraId="6A84494C"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vinca alkaloids — vincristine, vinblastine, and vinorelbine — operate by the opposing mechanism: they inhibit tubulin polymerisation, preventing mitotic spindle assembly and halting cells in metaphase (van der Heijden et al., 2004). Vincristine and vinblastine are isolated directly from </w:t>
      </w:r>
      <w:r w:rsidRPr="005D6A18">
        <w:rPr>
          <w:rFonts w:ascii="Times New Roman" w:eastAsia="Times New Roman" w:hAnsi="Times New Roman" w:cs="Times New Roman"/>
          <w:i/>
          <w:iCs/>
          <w:sz w:val="24"/>
          <w:szCs w:val="24"/>
          <w:lang w:eastAsia="en-GB"/>
        </w:rPr>
        <w:t>Catharanthus roseus</w:t>
      </w:r>
      <w:r w:rsidRPr="005D6A18">
        <w:rPr>
          <w:rFonts w:ascii="Times New Roman" w:eastAsia="Times New Roman" w:hAnsi="Times New Roman" w:cs="Times New Roman"/>
          <w:sz w:val="24"/>
          <w:szCs w:val="24"/>
          <w:lang w:eastAsia="en-GB"/>
        </w:rPr>
        <w:t xml:space="preserve"> (L.) </w:t>
      </w:r>
      <w:proofErr w:type="spellStart"/>
      <w:proofErr w:type="gramStart"/>
      <w:r w:rsidRPr="005D6A18">
        <w:rPr>
          <w:rFonts w:ascii="Times New Roman" w:eastAsia="Times New Roman" w:hAnsi="Times New Roman" w:cs="Times New Roman"/>
          <w:sz w:val="24"/>
          <w:szCs w:val="24"/>
          <w:lang w:eastAsia="en-GB"/>
        </w:rPr>
        <w:t>G.Don</w:t>
      </w:r>
      <w:proofErr w:type="spellEnd"/>
      <w:proofErr w:type="gramEnd"/>
      <w:r w:rsidRPr="005D6A18">
        <w:rPr>
          <w:rFonts w:ascii="Times New Roman" w:eastAsia="Times New Roman" w:hAnsi="Times New Roman" w:cs="Times New Roman"/>
          <w:sz w:val="24"/>
          <w:szCs w:val="24"/>
          <w:lang w:eastAsia="en-GB"/>
        </w:rPr>
        <w:t>, while vinorelbine is a semi-synthetic derivative produced from catharanthine and vindoline, themselves natural products of the same plant. These agents remain integral to treatment regimens for acute lymphoblastic leukaemia, Hodgkin and non-Hodgkin lymphoma, and NSCLC. Their clinical success provides both scientific and commercial precedent for continued phytochemical drug development.</w:t>
      </w:r>
    </w:p>
    <w:p w14:paraId="6FFCD747"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4.3 Bioavailability and Delivery Challenges</w:t>
      </w:r>
    </w:p>
    <w:p w14:paraId="51DBA37F"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A recurring problem in phytochemical oncology is the large gap between in vitro potency and in vivo performance. Many phytochemicals show striking anti-cancer activity in cell culture yet achieve negligible plasma concentrations after oral administration. The underlying reasons vary by compound but typically involve poor aqueous solubility, chemical instability under physiological conditions, susceptibility to extensive first-pass hepatic and intestinal metabolism, and physicochemical characteristics that impede intestinal absorption. Curcumin is the most cited example: its oral bioavailability is extremely low even at gram-level doses, and several clinical trials have failed to detect meaningful systemic exposure using conventional formulations (Prasad et al., 2014).</w:t>
      </w:r>
    </w:p>
    <w:p w14:paraId="721C1DC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Practical solutions have been pursued along several lines. Co-administration of curcumin with piperine, the major alkaloid of </w:t>
      </w:r>
      <w:r w:rsidRPr="005D6A18">
        <w:rPr>
          <w:rFonts w:ascii="Times New Roman" w:eastAsia="Times New Roman" w:hAnsi="Times New Roman" w:cs="Times New Roman"/>
          <w:i/>
          <w:iCs/>
          <w:sz w:val="24"/>
          <w:szCs w:val="24"/>
          <w:lang w:eastAsia="en-GB"/>
        </w:rPr>
        <w:t>Piper nigrum</w:t>
      </w:r>
      <w:r w:rsidRPr="005D6A18">
        <w:rPr>
          <w:rFonts w:ascii="Times New Roman" w:eastAsia="Times New Roman" w:hAnsi="Times New Roman" w:cs="Times New Roman"/>
          <w:sz w:val="24"/>
          <w:szCs w:val="24"/>
          <w:lang w:eastAsia="en-GB"/>
        </w:rPr>
        <w:t xml:space="preserve"> L. (black pepper), improves curcumin bioavailability approximately 20-fold in human volunteers by inhibiting hepatic and intestinal glucuronidation (Shoba et al., 1998). More broadly applicable are nanotechnology-based delivery systems: curcumin encapsulated in polymeric nanoparticles, liposomes, </w:t>
      </w:r>
      <w:proofErr w:type="spellStart"/>
      <w:r w:rsidRPr="005D6A18">
        <w:rPr>
          <w:rFonts w:ascii="Times New Roman" w:eastAsia="Times New Roman" w:hAnsi="Times New Roman" w:cs="Times New Roman"/>
          <w:sz w:val="24"/>
          <w:szCs w:val="24"/>
          <w:lang w:eastAsia="en-GB"/>
        </w:rPr>
        <w:t>nanoemulsions</w:t>
      </w:r>
      <w:proofErr w:type="spellEnd"/>
      <w:r w:rsidRPr="005D6A18">
        <w:rPr>
          <w:rFonts w:ascii="Times New Roman" w:eastAsia="Times New Roman" w:hAnsi="Times New Roman" w:cs="Times New Roman"/>
          <w:sz w:val="24"/>
          <w:szCs w:val="24"/>
          <w:lang w:eastAsia="en-GB"/>
        </w:rPr>
        <w:t>, or solid lipid nanoparticles consistently demonstrates enhanced bioavailability, sustained release, and superior in vivo anti-tumour efficacy compared with free curcumin (</w:t>
      </w: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et al., 2012). Similarly, EGCG formulated as biodegradable polymeric nanoparticles achieved greater anti-tumour and anti-metastatic activity in xenograft models of human prostate cancer than the equivalent dose of free EGCG (Siddiqui et al., 2009). Beyond improving single-agent delivery, nanoplatforms offer the further advantage of co-delivering multiple agents — including phytochemicals alongside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or antibody fragments — in a spatiotemporally coordinated manner to the tumour site, a concept explored further in Section 6.4. Table 2 consolidates the key phytochemical agents discussed in this section, together with their plant sources, molecular targets, major cancer type associations, and current stage of clinical development.</w:t>
      </w:r>
    </w:p>
    <w:p w14:paraId="3BAEF837"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Table 2. Key Herbal Bioactive Compounds in Cancer Management</w:t>
      </w:r>
    </w:p>
    <w:tbl>
      <w:tblPr>
        <w:tblStyle w:val="TableGrid"/>
        <w:tblW w:w="0" w:type="auto"/>
        <w:tblLook w:val="04A0" w:firstRow="1" w:lastRow="0" w:firstColumn="1" w:lastColumn="0" w:noHBand="0" w:noVBand="1"/>
      </w:tblPr>
      <w:tblGrid>
        <w:gridCol w:w="1365"/>
        <w:gridCol w:w="1897"/>
        <w:gridCol w:w="2143"/>
        <w:gridCol w:w="1987"/>
        <w:gridCol w:w="1850"/>
      </w:tblGrid>
      <w:tr w:rsidR="002E6E04" w:rsidRPr="005D6A18" w14:paraId="3DAB20CE" w14:textId="77777777" w:rsidTr="005D6A18">
        <w:tc>
          <w:tcPr>
            <w:tcW w:w="0" w:type="auto"/>
            <w:hideMark/>
          </w:tcPr>
          <w:p w14:paraId="42753451"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Compound</w:t>
            </w:r>
          </w:p>
        </w:tc>
        <w:tc>
          <w:tcPr>
            <w:tcW w:w="0" w:type="auto"/>
            <w:hideMark/>
          </w:tcPr>
          <w:p w14:paraId="2564D534"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Plant Source</w:t>
            </w:r>
          </w:p>
        </w:tc>
        <w:tc>
          <w:tcPr>
            <w:tcW w:w="0" w:type="auto"/>
            <w:hideMark/>
          </w:tcPr>
          <w:p w14:paraId="2853F433"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Molecular Target(s)</w:t>
            </w:r>
          </w:p>
        </w:tc>
        <w:tc>
          <w:tcPr>
            <w:tcW w:w="0" w:type="auto"/>
            <w:hideMark/>
          </w:tcPr>
          <w:p w14:paraId="37CC06DE"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Cancer Type(s)</w:t>
            </w:r>
          </w:p>
        </w:tc>
        <w:tc>
          <w:tcPr>
            <w:tcW w:w="0" w:type="auto"/>
            <w:hideMark/>
          </w:tcPr>
          <w:p w14:paraId="29305149"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Development Stage</w:t>
            </w:r>
          </w:p>
        </w:tc>
      </w:tr>
      <w:tr w:rsidR="002E6E04" w:rsidRPr="005D6A18" w14:paraId="29EC41BD" w14:textId="77777777" w:rsidTr="005D6A18">
        <w:tc>
          <w:tcPr>
            <w:tcW w:w="0" w:type="auto"/>
            <w:hideMark/>
          </w:tcPr>
          <w:p w14:paraId="69165D05"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Curcumin</w:t>
            </w:r>
          </w:p>
        </w:tc>
        <w:tc>
          <w:tcPr>
            <w:tcW w:w="0" w:type="auto"/>
            <w:hideMark/>
          </w:tcPr>
          <w:p w14:paraId="19FB6F05"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Curcuma longa</w:t>
            </w:r>
            <w:r w:rsidRPr="005D6A18">
              <w:rPr>
                <w:rFonts w:ascii="Times New Roman" w:eastAsia="Times New Roman" w:hAnsi="Times New Roman" w:cs="Times New Roman"/>
                <w:sz w:val="24"/>
                <w:szCs w:val="24"/>
                <w:lang w:eastAsia="en-GB"/>
              </w:rPr>
              <w:t xml:space="preserve"> L.</w:t>
            </w:r>
          </w:p>
        </w:tc>
        <w:tc>
          <w:tcPr>
            <w:tcW w:w="0" w:type="auto"/>
            <w:hideMark/>
          </w:tcPr>
          <w:p w14:paraId="5DDEE35D"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STAT3, PI3K/Akt, MAPK, HIF-1α</w:t>
            </w:r>
          </w:p>
        </w:tc>
        <w:tc>
          <w:tcPr>
            <w:tcW w:w="0" w:type="auto"/>
            <w:hideMark/>
          </w:tcPr>
          <w:p w14:paraId="4AC54ABD"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Colorectal, breast, pancreatic, lung, prostate</w:t>
            </w:r>
          </w:p>
        </w:tc>
        <w:tc>
          <w:tcPr>
            <w:tcW w:w="0" w:type="auto"/>
            <w:hideMark/>
          </w:tcPr>
          <w:p w14:paraId="0DD11A57"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multiple Phase I/II trials</w:t>
            </w:r>
          </w:p>
        </w:tc>
      </w:tr>
      <w:tr w:rsidR="002E6E04" w:rsidRPr="005D6A18" w14:paraId="018301A7" w14:textId="77777777" w:rsidTr="005D6A18">
        <w:tc>
          <w:tcPr>
            <w:tcW w:w="0" w:type="auto"/>
            <w:hideMark/>
          </w:tcPr>
          <w:p w14:paraId="67A2CA1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Resveratrol</w:t>
            </w:r>
          </w:p>
        </w:tc>
        <w:tc>
          <w:tcPr>
            <w:tcW w:w="0" w:type="auto"/>
            <w:hideMark/>
          </w:tcPr>
          <w:p w14:paraId="6B300423"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Vitis vinifera</w:t>
            </w:r>
            <w:r w:rsidRPr="005D6A18">
              <w:rPr>
                <w:rFonts w:ascii="Times New Roman" w:eastAsia="Times New Roman" w:hAnsi="Times New Roman" w:cs="Times New Roman"/>
                <w:sz w:val="24"/>
                <w:szCs w:val="24"/>
                <w:lang w:eastAsia="en-GB"/>
              </w:rPr>
              <w:t xml:space="preserve"> L., </w:t>
            </w:r>
            <w:r w:rsidRPr="005D6A18">
              <w:rPr>
                <w:rFonts w:ascii="Times New Roman" w:eastAsia="Times New Roman" w:hAnsi="Times New Roman" w:cs="Times New Roman"/>
                <w:i/>
                <w:iCs/>
                <w:sz w:val="24"/>
                <w:szCs w:val="24"/>
                <w:lang w:eastAsia="en-GB"/>
              </w:rPr>
              <w:t>Vaccinium</w:t>
            </w:r>
            <w:r w:rsidRPr="005D6A18">
              <w:rPr>
                <w:rFonts w:ascii="Times New Roman" w:eastAsia="Times New Roman" w:hAnsi="Times New Roman" w:cs="Times New Roman"/>
                <w:sz w:val="24"/>
                <w:szCs w:val="24"/>
                <w:lang w:eastAsia="en-GB"/>
              </w:rPr>
              <w:t xml:space="preserve"> spp.</w:t>
            </w:r>
          </w:p>
        </w:tc>
        <w:tc>
          <w:tcPr>
            <w:tcW w:w="0" w:type="auto"/>
            <w:hideMark/>
          </w:tcPr>
          <w:p w14:paraId="2C1B9180"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p53,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VEGF, COX-2, PD-L1</w:t>
            </w:r>
          </w:p>
        </w:tc>
        <w:tc>
          <w:tcPr>
            <w:tcW w:w="0" w:type="auto"/>
            <w:hideMark/>
          </w:tcPr>
          <w:p w14:paraId="38A9ACC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Colorectal, breast, prostate, melanoma</w:t>
            </w:r>
          </w:p>
        </w:tc>
        <w:tc>
          <w:tcPr>
            <w:tcW w:w="0" w:type="auto"/>
            <w:hideMark/>
          </w:tcPr>
          <w:p w14:paraId="6056EB05"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Phase I/II trials</w:t>
            </w:r>
          </w:p>
        </w:tc>
      </w:tr>
      <w:tr w:rsidR="002E6E04" w:rsidRPr="005D6A18" w14:paraId="7FC6C55D" w14:textId="77777777" w:rsidTr="005D6A18">
        <w:tc>
          <w:tcPr>
            <w:tcW w:w="0" w:type="auto"/>
            <w:hideMark/>
          </w:tcPr>
          <w:p w14:paraId="19E30730"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Berberine</w:t>
            </w:r>
          </w:p>
        </w:tc>
        <w:tc>
          <w:tcPr>
            <w:tcW w:w="0" w:type="auto"/>
            <w:hideMark/>
          </w:tcPr>
          <w:p w14:paraId="359773A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Berberis vulgaris</w:t>
            </w:r>
            <w:r w:rsidRPr="005D6A18">
              <w:rPr>
                <w:rFonts w:ascii="Times New Roman" w:eastAsia="Times New Roman" w:hAnsi="Times New Roman" w:cs="Times New Roman"/>
                <w:sz w:val="24"/>
                <w:szCs w:val="24"/>
                <w:lang w:eastAsia="en-GB"/>
              </w:rPr>
              <w:t xml:space="preserve"> L., </w:t>
            </w:r>
            <w:proofErr w:type="spellStart"/>
            <w:r w:rsidRPr="005D6A18">
              <w:rPr>
                <w:rFonts w:ascii="Times New Roman" w:eastAsia="Times New Roman" w:hAnsi="Times New Roman" w:cs="Times New Roman"/>
                <w:i/>
                <w:iCs/>
                <w:sz w:val="24"/>
                <w:szCs w:val="24"/>
                <w:lang w:eastAsia="en-GB"/>
              </w:rPr>
              <w:t>Coptis</w:t>
            </w:r>
            <w:proofErr w:type="spellEnd"/>
            <w:r w:rsidRPr="005D6A18">
              <w:rPr>
                <w:rFonts w:ascii="Times New Roman" w:eastAsia="Times New Roman" w:hAnsi="Times New Roman" w:cs="Times New Roman"/>
                <w:i/>
                <w:iCs/>
                <w:sz w:val="24"/>
                <w:szCs w:val="24"/>
                <w:lang w:eastAsia="en-GB"/>
              </w:rPr>
              <w:t xml:space="preserve"> chinensis</w:t>
            </w:r>
            <w:r w:rsidRPr="005D6A18">
              <w:rPr>
                <w:rFonts w:ascii="Times New Roman" w:eastAsia="Times New Roman" w:hAnsi="Times New Roman" w:cs="Times New Roman"/>
                <w:sz w:val="24"/>
                <w:szCs w:val="24"/>
                <w:lang w:eastAsia="en-GB"/>
              </w:rPr>
              <w:t xml:space="preserve"> Franch.</w:t>
            </w:r>
          </w:p>
        </w:tc>
        <w:tc>
          <w:tcPr>
            <w:tcW w:w="0" w:type="auto"/>
            <w:hideMark/>
          </w:tcPr>
          <w:p w14:paraId="0E3CFAB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mTOR, HIF-1α, MMP, </w:t>
            </w:r>
            <w:proofErr w:type="spellStart"/>
            <w:r w:rsidRPr="005D6A18">
              <w:rPr>
                <w:rFonts w:ascii="Times New Roman" w:eastAsia="Times New Roman" w:hAnsi="Times New Roman" w:cs="Times New Roman"/>
                <w:sz w:val="24"/>
                <w:szCs w:val="24"/>
                <w:lang w:eastAsia="en-GB"/>
              </w:rPr>
              <w:t>Wnt</w:t>
            </w:r>
            <w:proofErr w:type="spellEnd"/>
            <w:r w:rsidRPr="005D6A18">
              <w:rPr>
                <w:rFonts w:ascii="Times New Roman" w:eastAsia="Times New Roman" w:hAnsi="Times New Roman" w:cs="Times New Roman"/>
                <w:sz w:val="24"/>
                <w:szCs w:val="24"/>
                <w:lang w:eastAsia="en-GB"/>
              </w:rPr>
              <w:t>/β-catenin</w:t>
            </w:r>
          </w:p>
        </w:tc>
        <w:tc>
          <w:tcPr>
            <w:tcW w:w="0" w:type="auto"/>
            <w:hideMark/>
          </w:tcPr>
          <w:p w14:paraId="546B183E"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Colorectal, hepatocellular, gastric, breast</w:t>
            </w:r>
          </w:p>
        </w:tc>
        <w:tc>
          <w:tcPr>
            <w:tcW w:w="0" w:type="auto"/>
            <w:hideMark/>
          </w:tcPr>
          <w:p w14:paraId="2B8DF39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early clinical investigation</w:t>
            </w:r>
          </w:p>
        </w:tc>
      </w:tr>
      <w:tr w:rsidR="002E6E04" w:rsidRPr="005D6A18" w14:paraId="0F3D055A" w14:textId="77777777" w:rsidTr="005D6A18">
        <w:tc>
          <w:tcPr>
            <w:tcW w:w="0" w:type="auto"/>
            <w:hideMark/>
          </w:tcPr>
          <w:p w14:paraId="078E750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EGCG</w:t>
            </w:r>
          </w:p>
        </w:tc>
        <w:tc>
          <w:tcPr>
            <w:tcW w:w="0" w:type="auto"/>
            <w:hideMark/>
          </w:tcPr>
          <w:p w14:paraId="7F2B505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Camellia sinensis</w:t>
            </w:r>
            <w:r w:rsidRPr="005D6A18">
              <w:rPr>
                <w:rFonts w:ascii="Times New Roman" w:eastAsia="Times New Roman" w:hAnsi="Times New Roman" w:cs="Times New Roman"/>
                <w:sz w:val="24"/>
                <w:szCs w:val="24"/>
                <w:lang w:eastAsia="en-GB"/>
              </w:rPr>
              <w:t xml:space="preserve"> (L.) Kuntze</w:t>
            </w:r>
          </w:p>
        </w:tc>
        <w:tc>
          <w:tcPr>
            <w:tcW w:w="0" w:type="auto"/>
            <w:hideMark/>
          </w:tcPr>
          <w:p w14:paraId="3BB64DE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EGFR, HER2, VEGFR2, STAT3, NF-</w:t>
            </w:r>
            <w:proofErr w:type="spellStart"/>
            <w:r w:rsidRPr="005D6A18">
              <w:rPr>
                <w:rFonts w:ascii="Times New Roman" w:eastAsia="Times New Roman" w:hAnsi="Times New Roman" w:cs="Times New Roman"/>
                <w:sz w:val="24"/>
                <w:szCs w:val="24"/>
                <w:lang w:eastAsia="en-GB"/>
              </w:rPr>
              <w:t>κB</w:t>
            </w:r>
            <w:proofErr w:type="spellEnd"/>
          </w:p>
        </w:tc>
        <w:tc>
          <w:tcPr>
            <w:tcW w:w="0" w:type="auto"/>
            <w:hideMark/>
          </w:tcPr>
          <w:p w14:paraId="5BD6B223"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Lung, breast, prostate, colorectal</w:t>
            </w:r>
          </w:p>
        </w:tc>
        <w:tc>
          <w:tcPr>
            <w:tcW w:w="0" w:type="auto"/>
            <w:hideMark/>
          </w:tcPr>
          <w:p w14:paraId="567CDD27"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Phase I/II trials</w:t>
            </w:r>
          </w:p>
        </w:tc>
      </w:tr>
      <w:tr w:rsidR="002E6E04" w:rsidRPr="005D6A18" w14:paraId="0DF2C0C2" w14:textId="77777777" w:rsidTr="005D6A18">
        <w:tc>
          <w:tcPr>
            <w:tcW w:w="0" w:type="auto"/>
            <w:hideMark/>
          </w:tcPr>
          <w:p w14:paraId="3302FB8D"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Artesunate</w:t>
            </w:r>
          </w:p>
        </w:tc>
        <w:tc>
          <w:tcPr>
            <w:tcW w:w="0" w:type="auto"/>
            <w:hideMark/>
          </w:tcPr>
          <w:p w14:paraId="1479305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Artemisia annua</w:t>
            </w:r>
            <w:r w:rsidRPr="005D6A18">
              <w:rPr>
                <w:rFonts w:ascii="Times New Roman" w:eastAsia="Times New Roman" w:hAnsi="Times New Roman" w:cs="Times New Roman"/>
                <w:sz w:val="24"/>
                <w:szCs w:val="24"/>
                <w:lang w:eastAsia="en-GB"/>
              </w:rPr>
              <w:t xml:space="preserve"> L.</w:t>
            </w:r>
          </w:p>
        </w:tc>
        <w:tc>
          <w:tcPr>
            <w:tcW w:w="0" w:type="auto"/>
            <w:hideMark/>
          </w:tcPr>
          <w:p w14:paraId="0840EEA0"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ROS generation,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w:t>
            </w:r>
            <w:proofErr w:type="spellStart"/>
            <w:r w:rsidRPr="005D6A18">
              <w:rPr>
                <w:rFonts w:ascii="Times New Roman" w:eastAsia="Times New Roman" w:hAnsi="Times New Roman" w:cs="Times New Roman"/>
                <w:sz w:val="24"/>
                <w:szCs w:val="24"/>
                <w:lang w:eastAsia="en-GB"/>
              </w:rPr>
              <w:t>Wnt</w:t>
            </w:r>
            <w:proofErr w:type="spellEnd"/>
            <w:r w:rsidRPr="005D6A18">
              <w:rPr>
                <w:rFonts w:ascii="Times New Roman" w:eastAsia="Times New Roman" w:hAnsi="Times New Roman" w:cs="Times New Roman"/>
                <w:sz w:val="24"/>
                <w:szCs w:val="24"/>
                <w:lang w:eastAsia="en-GB"/>
              </w:rPr>
              <w:t>/β-catenin, VEGF</w:t>
            </w:r>
          </w:p>
        </w:tc>
        <w:tc>
          <w:tcPr>
            <w:tcW w:w="0" w:type="auto"/>
            <w:hideMark/>
          </w:tcPr>
          <w:p w14:paraId="3E0F224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Leukaemia, colorectal, hepatocellular, ovarian</w:t>
            </w:r>
          </w:p>
        </w:tc>
        <w:tc>
          <w:tcPr>
            <w:tcW w:w="0" w:type="auto"/>
            <w:hideMark/>
          </w:tcPr>
          <w:p w14:paraId="65A1DEF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Phase I/II repurposing trials</w:t>
            </w:r>
          </w:p>
        </w:tc>
      </w:tr>
      <w:tr w:rsidR="002E6E04" w:rsidRPr="005D6A18" w14:paraId="0B9BEFEB" w14:textId="77777777" w:rsidTr="005D6A18">
        <w:tc>
          <w:tcPr>
            <w:tcW w:w="0" w:type="auto"/>
            <w:hideMark/>
          </w:tcPr>
          <w:p w14:paraId="34D999F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Quercetin</w:t>
            </w:r>
          </w:p>
        </w:tc>
        <w:tc>
          <w:tcPr>
            <w:tcW w:w="0" w:type="auto"/>
            <w:hideMark/>
          </w:tcPr>
          <w:p w14:paraId="1AF430C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Allium cepa</w:t>
            </w:r>
            <w:r w:rsidRPr="005D6A18">
              <w:rPr>
                <w:rFonts w:ascii="Times New Roman" w:eastAsia="Times New Roman" w:hAnsi="Times New Roman" w:cs="Times New Roman"/>
                <w:sz w:val="24"/>
                <w:szCs w:val="24"/>
                <w:lang w:eastAsia="en-GB"/>
              </w:rPr>
              <w:t xml:space="preserve"> L., </w:t>
            </w:r>
            <w:r w:rsidRPr="005D6A18">
              <w:rPr>
                <w:rFonts w:ascii="Times New Roman" w:eastAsia="Times New Roman" w:hAnsi="Times New Roman" w:cs="Times New Roman"/>
                <w:i/>
                <w:iCs/>
                <w:sz w:val="24"/>
                <w:szCs w:val="24"/>
                <w:lang w:eastAsia="en-GB"/>
              </w:rPr>
              <w:t>Hypericum</w:t>
            </w:r>
            <w:r w:rsidRPr="005D6A18">
              <w:rPr>
                <w:rFonts w:ascii="Times New Roman" w:eastAsia="Times New Roman" w:hAnsi="Times New Roman" w:cs="Times New Roman"/>
                <w:sz w:val="24"/>
                <w:szCs w:val="24"/>
                <w:lang w:eastAsia="en-GB"/>
              </w:rPr>
              <w:t xml:space="preserve"> spp.</w:t>
            </w:r>
          </w:p>
        </w:tc>
        <w:tc>
          <w:tcPr>
            <w:tcW w:w="0" w:type="auto"/>
            <w:hideMark/>
          </w:tcPr>
          <w:p w14:paraId="25004E43"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PI3K/Akt, Bcl-2, EGFR, </w:t>
            </w:r>
            <w:proofErr w:type="spellStart"/>
            <w:r w:rsidRPr="005D6A18">
              <w:rPr>
                <w:rFonts w:ascii="Times New Roman" w:eastAsia="Times New Roman" w:hAnsi="Times New Roman" w:cs="Times New Roman"/>
                <w:sz w:val="24"/>
                <w:szCs w:val="24"/>
                <w:lang w:eastAsia="en-GB"/>
              </w:rPr>
              <w:t>Wnt</w:t>
            </w:r>
            <w:proofErr w:type="spellEnd"/>
            <w:r w:rsidRPr="005D6A18">
              <w:rPr>
                <w:rFonts w:ascii="Times New Roman" w:eastAsia="Times New Roman" w:hAnsi="Times New Roman" w:cs="Times New Roman"/>
                <w:sz w:val="24"/>
                <w:szCs w:val="24"/>
                <w:lang w:eastAsia="en-GB"/>
              </w:rPr>
              <w:t>, PD-L1</w:t>
            </w:r>
          </w:p>
        </w:tc>
        <w:tc>
          <w:tcPr>
            <w:tcW w:w="0" w:type="auto"/>
            <w:hideMark/>
          </w:tcPr>
          <w:p w14:paraId="17C71F8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Prostate, ovarian, lung, breast, colorectal</w:t>
            </w:r>
          </w:p>
        </w:tc>
        <w:tc>
          <w:tcPr>
            <w:tcW w:w="0" w:type="auto"/>
            <w:hideMark/>
          </w:tcPr>
          <w:p w14:paraId="4D10766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Preclinical; Phase I/II trials</w:t>
            </w:r>
          </w:p>
        </w:tc>
      </w:tr>
      <w:tr w:rsidR="002E6E04" w:rsidRPr="005D6A18" w14:paraId="6987EB87" w14:textId="77777777" w:rsidTr="005D6A18">
        <w:tc>
          <w:tcPr>
            <w:tcW w:w="0" w:type="auto"/>
            <w:hideMark/>
          </w:tcPr>
          <w:p w14:paraId="784FC650"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Paclitaxel</w:t>
            </w:r>
          </w:p>
        </w:tc>
        <w:tc>
          <w:tcPr>
            <w:tcW w:w="0" w:type="auto"/>
            <w:hideMark/>
          </w:tcPr>
          <w:p w14:paraId="2777D0E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Taxus brevifolia</w:t>
            </w:r>
            <w:r w:rsidRPr="005D6A18">
              <w:rPr>
                <w:rFonts w:ascii="Times New Roman" w:eastAsia="Times New Roman" w:hAnsi="Times New Roman" w:cs="Times New Roman"/>
                <w:sz w:val="24"/>
                <w:szCs w:val="24"/>
                <w:lang w:eastAsia="en-GB"/>
              </w:rPr>
              <w:t xml:space="preserve"> Nutt.</w:t>
            </w:r>
          </w:p>
        </w:tc>
        <w:tc>
          <w:tcPr>
            <w:tcW w:w="0" w:type="auto"/>
            <w:hideMark/>
          </w:tcPr>
          <w:p w14:paraId="3A958EF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Microtubule stabilisation (β-tubulin)</w:t>
            </w:r>
          </w:p>
        </w:tc>
        <w:tc>
          <w:tcPr>
            <w:tcW w:w="0" w:type="auto"/>
            <w:hideMark/>
          </w:tcPr>
          <w:p w14:paraId="169ABFA0"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Breast, ovarian, NSCLC, gastric</w:t>
            </w:r>
          </w:p>
        </w:tc>
        <w:tc>
          <w:tcPr>
            <w:tcW w:w="0" w:type="auto"/>
            <w:hideMark/>
          </w:tcPr>
          <w:p w14:paraId="49B6167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Approved; standard of care</w:t>
            </w:r>
          </w:p>
        </w:tc>
      </w:tr>
      <w:tr w:rsidR="002E6E04" w:rsidRPr="005D6A18" w14:paraId="590C29EE" w14:textId="77777777" w:rsidTr="005D6A18">
        <w:tc>
          <w:tcPr>
            <w:tcW w:w="0" w:type="auto"/>
            <w:hideMark/>
          </w:tcPr>
          <w:p w14:paraId="1E638B43"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Vincristine</w:t>
            </w:r>
          </w:p>
        </w:tc>
        <w:tc>
          <w:tcPr>
            <w:tcW w:w="0" w:type="auto"/>
            <w:hideMark/>
          </w:tcPr>
          <w:p w14:paraId="6BE24E6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i/>
                <w:iCs/>
                <w:sz w:val="24"/>
                <w:szCs w:val="24"/>
                <w:lang w:eastAsia="en-GB"/>
              </w:rPr>
              <w:t>Catharanthus roseus</w:t>
            </w:r>
            <w:r w:rsidRPr="005D6A18">
              <w:rPr>
                <w:rFonts w:ascii="Times New Roman" w:eastAsia="Times New Roman" w:hAnsi="Times New Roman" w:cs="Times New Roman"/>
                <w:sz w:val="24"/>
                <w:szCs w:val="24"/>
                <w:lang w:eastAsia="en-GB"/>
              </w:rPr>
              <w:t xml:space="preserve"> (L.) </w:t>
            </w:r>
            <w:proofErr w:type="spellStart"/>
            <w:proofErr w:type="gramStart"/>
            <w:r w:rsidRPr="005D6A18">
              <w:rPr>
                <w:rFonts w:ascii="Times New Roman" w:eastAsia="Times New Roman" w:hAnsi="Times New Roman" w:cs="Times New Roman"/>
                <w:sz w:val="24"/>
                <w:szCs w:val="24"/>
                <w:lang w:eastAsia="en-GB"/>
              </w:rPr>
              <w:t>G.Don</w:t>
            </w:r>
            <w:proofErr w:type="spellEnd"/>
            <w:proofErr w:type="gramEnd"/>
          </w:p>
        </w:tc>
        <w:tc>
          <w:tcPr>
            <w:tcW w:w="0" w:type="auto"/>
            <w:hideMark/>
          </w:tcPr>
          <w:p w14:paraId="63E7713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Microtubule destabilisation (tubulin polymerisation)</w:t>
            </w:r>
          </w:p>
        </w:tc>
        <w:tc>
          <w:tcPr>
            <w:tcW w:w="0" w:type="auto"/>
            <w:hideMark/>
          </w:tcPr>
          <w:p w14:paraId="40EECE5A"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ALL, lymphoma, NSCLC</w:t>
            </w:r>
          </w:p>
        </w:tc>
        <w:tc>
          <w:tcPr>
            <w:tcW w:w="0" w:type="auto"/>
            <w:hideMark/>
          </w:tcPr>
          <w:p w14:paraId="246F333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Approved; standard of care</w:t>
            </w:r>
          </w:p>
        </w:tc>
      </w:tr>
    </w:tbl>
    <w:p w14:paraId="42B179B6"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Sources: Aggarwal &amp; Harikumar (2009); Baur &amp; Sinclair (2006); Cragg &amp; Newman (2005); </w:t>
      </w: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xml:space="preserve"> (2017); </w:t>
      </w:r>
      <w:proofErr w:type="spellStart"/>
      <w:r w:rsidRPr="005D6A18">
        <w:rPr>
          <w:rFonts w:ascii="Times New Roman" w:eastAsia="Times New Roman" w:hAnsi="Times New Roman" w:cs="Times New Roman"/>
          <w:sz w:val="24"/>
          <w:szCs w:val="24"/>
          <w:lang w:eastAsia="en-GB"/>
        </w:rPr>
        <w:t>Imenshahidi</w:t>
      </w:r>
      <w:proofErr w:type="spellEnd"/>
      <w:r w:rsidRPr="005D6A18">
        <w:rPr>
          <w:rFonts w:ascii="Times New Roman" w:eastAsia="Times New Roman" w:hAnsi="Times New Roman" w:cs="Times New Roman"/>
          <w:sz w:val="24"/>
          <w:szCs w:val="24"/>
          <w:lang w:eastAsia="en-GB"/>
        </w:rPr>
        <w:t xml:space="preserve"> &amp; Hosseinzadeh (2016); Jordan &amp; Wilson (2004); Khan et al. </w:t>
      </w:r>
      <w:r w:rsidRPr="007D6FBC">
        <w:rPr>
          <w:rFonts w:ascii="Times New Roman" w:eastAsia="Times New Roman" w:hAnsi="Times New Roman" w:cs="Times New Roman"/>
          <w:sz w:val="24"/>
          <w:szCs w:val="24"/>
          <w:lang w:val="nl-BE" w:eastAsia="en-GB"/>
        </w:rPr>
        <w:t xml:space="preserve">(2006); Newman &amp; Cragg (2020); Russo et al. (2012); Siddiqui et al. (2009); van der Heijden et al. </w:t>
      </w:r>
      <w:r w:rsidRPr="005D6A18">
        <w:rPr>
          <w:rFonts w:ascii="Times New Roman" w:eastAsia="Times New Roman" w:hAnsi="Times New Roman" w:cs="Times New Roman"/>
          <w:sz w:val="24"/>
          <w:szCs w:val="24"/>
          <w:lang w:eastAsia="en-GB"/>
        </w:rPr>
        <w:t>(2004); Verdura et al. (2020); Wani et al. (1971).</w:t>
      </w:r>
    </w:p>
    <w:p w14:paraId="2D970453"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Abbreviations: ALL = acute lymphoblastic leukaemia; COX-2 = cyclo-oxygenase-2; HIF-1α = hypoxia-inducible factor-1 alpha; MMP = matrix metalloproteinase; mTOR = mammalian target of rapamycin;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 nuclear factor kappa-B; NSCLC = non-small-cell lung cancer; ROS = reactive oxygen species; STAT3 = signal transducer and activator of transcription 3.</w:t>
      </w:r>
    </w:p>
    <w:p w14:paraId="158DA964"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76A80E82"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5. Monoclonal Antibody-Based Approaches in Cancer Management</w:t>
      </w:r>
    </w:p>
    <w:p w14:paraId="28417F5F"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5.1 Principles and Classification of Therapeutic Monoclonal Antibodies</w:t>
      </w:r>
    </w:p>
    <w:p w14:paraId="73C039F3"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Monoclonal antibodies are monospecific immunoglobulin molecules produced by clonally identical B cells, engineered to bind a single defined epitope on a target antigen with high affinity and precision. The hybridoma technology described by Köhler and Milstein in 1975 made large-scale production of such antibodies practically feasible. Since then, successive generations of antibody engineering — from murine and chimeric constructs to fully humanised and fully human molecules — have progressively reduced immunogenicity and improved clinical tolerability (Weiner et al., 2010; Scott et al., 2012). The approval of muromonab-CD3 in 1986 marked the formal entry of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into medicine, but it was the approval of rituximab for B-cell lymphoma in 1997 that opened the modern era of antibody-based cancer treatment.</w:t>
      </w:r>
    </w:p>
    <w:p w14:paraId="307C025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in oncology fall into four broad functional categories: naked (unconjugated) antibodies that mediate anti-tumour effects through receptor signalling blockade, antibody-dependent cellular cytotoxicity (ADCC), or complement-dependent cytotoxicity (CDC); immune checkpoint inhibitors that reverse tumour-imposed suppression of T-cell anti-cancer immunity; antibody–drug conjugates (ADCs) that deliver highly cytotoxic payloads selectively to tumour cells; and bispecific antibodies engineered to bind two distinct antigens simultaneously (Zahavi &amp; Weiner, 2020; Drago et al., 2021; </w:t>
      </w:r>
      <w:proofErr w:type="spellStart"/>
      <w:r w:rsidRPr="005D6A18">
        <w:rPr>
          <w:rFonts w:ascii="Times New Roman" w:eastAsia="Times New Roman" w:hAnsi="Times New Roman" w:cs="Times New Roman"/>
          <w:sz w:val="24"/>
          <w:szCs w:val="24"/>
          <w:lang w:eastAsia="en-GB"/>
        </w:rPr>
        <w:t>Labrijn</w:t>
      </w:r>
      <w:proofErr w:type="spellEnd"/>
      <w:r w:rsidRPr="005D6A18">
        <w:rPr>
          <w:rFonts w:ascii="Times New Roman" w:eastAsia="Times New Roman" w:hAnsi="Times New Roman" w:cs="Times New Roman"/>
          <w:sz w:val="24"/>
          <w:szCs w:val="24"/>
          <w:lang w:eastAsia="en-GB"/>
        </w:rPr>
        <w:t xml:space="preserve"> et al., 2019). Each class carries distinct mechanisms, clinical applications, and toxicity profiles.</w:t>
      </w:r>
    </w:p>
    <w:p w14:paraId="207255D1"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5.2 Naked Monoclonal Antibodies</w:t>
      </w:r>
    </w:p>
    <w:p w14:paraId="5D52EBB8"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5.2.1 Anti-VEGF: Bevacizumab</w:t>
      </w:r>
    </w:p>
    <w:p w14:paraId="5129E5E8"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Bevacizumab (Avastin®), a recombinant humanised IgG1 antibody targeting vascular endothelial growth factor A (VEGF-A), was the first anti-angiogenic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to reach clinical </w:t>
      </w:r>
      <w:r w:rsidRPr="005D6A18">
        <w:rPr>
          <w:rFonts w:ascii="Times New Roman" w:eastAsia="Times New Roman" w:hAnsi="Times New Roman" w:cs="Times New Roman"/>
          <w:sz w:val="24"/>
          <w:szCs w:val="24"/>
          <w:lang w:eastAsia="en-GB"/>
        </w:rPr>
        <w:lastRenderedPageBreak/>
        <w:t>approval in cancer. By capturing circulating VEGF-A and preventing its interaction with VEGFR-1 and VEGFR-2 on vascular endothelial cells, bevacizumab suppresses neovascularisation and deprives tumours of the blood supply they need to sustain growth and metastatic spread (Ferrara et al., 2004). A pivotal Phase III trial demonstrated that adding bevacizumab to a regimen of irinotecan, fluorouracil, and leucovorin (IFL) significantly improved median overall survival in metastatic colorectal cancer compared with IFL plus placebo (Hurwitz et al., 2004). That result secured bevacizumab's place as the first approved anti-angiogenic therapy in solid tumours and initiated a now-established paradigm of combining it with cytotoxic chemotherapy across multiple cancer types including NSCLC, renal cell, cervical, ovarian, and glioblastoma multiforme.</w:t>
      </w:r>
    </w:p>
    <w:p w14:paraId="4F65DCFB"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5.2.2 Anti-HER2: Trastuzumab</w:t>
      </w:r>
    </w:p>
    <w:p w14:paraId="11DB7203"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Trastuzumab (Herceptin®), a humanised IgG1 antibody targeting extracellular domain IV of HER2 (ErbB2), has become a cornerstone of treatment for the approximately 15–20% of breast cancers that overexpress this receptor — a subtype that historically carried a markedly worse prognosis. By binding HER2, trastuzumab inhibits downstream PI3K/Akt and MAPK signalling, promotes receptor internalisation and degradation, and mediates potent ADCC principally through engagement of </w:t>
      </w:r>
      <w:proofErr w:type="spellStart"/>
      <w:r w:rsidRPr="005D6A18">
        <w:rPr>
          <w:rFonts w:ascii="Times New Roman" w:eastAsia="Times New Roman" w:hAnsi="Times New Roman" w:cs="Times New Roman"/>
          <w:sz w:val="24"/>
          <w:szCs w:val="24"/>
          <w:lang w:eastAsia="en-GB"/>
        </w:rPr>
        <w:t>FcγRIII</w:t>
      </w:r>
      <w:proofErr w:type="spellEnd"/>
      <w:r w:rsidRPr="005D6A18">
        <w:rPr>
          <w:rFonts w:ascii="Times New Roman" w:eastAsia="Times New Roman" w:hAnsi="Times New Roman" w:cs="Times New Roman"/>
          <w:sz w:val="24"/>
          <w:szCs w:val="24"/>
          <w:lang w:eastAsia="en-GB"/>
        </w:rPr>
        <w:t xml:space="preserve"> (CD16a) on NK cells (Slamon et al., 2001). A landmark randomised trial showed that adding trastuzumab to first-line chemotherapy significantly prolonged time to disease progression and overall survival in patients with metastatic HER2-overexpressing breast cancer (Slamon et al., 2001) — the finding that definitively established biomarker-driven targeted therapy as a viable paradigm in solid tumours. Trastuzumab subsequently received approval for adjuvant and neoadjuvant treatment of HER2-positive early breast cancer and for HER2-positive gastric and gastro-oesophageal junction adenocarcinoma.</w:t>
      </w:r>
    </w:p>
    <w:p w14:paraId="2AB194FD"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5.2.3 Anti-CD20: Rituximab</w:t>
      </w:r>
    </w:p>
    <w:p w14:paraId="79AD74B7"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Rituximab (Rituxan®, </w:t>
      </w:r>
      <w:proofErr w:type="spellStart"/>
      <w:r w:rsidRPr="005D6A18">
        <w:rPr>
          <w:rFonts w:ascii="Times New Roman" w:eastAsia="Times New Roman" w:hAnsi="Times New Roman" w:cs="Times New Roman"/>
          <w:sz w:val="24"/>
          <w:szCs w:val="24"/>
          <w:lang w:eastAsia="en-GB"/>
        </w:rPr>
        <w:t>MabThera</w:t>
      </w:r>
      <w:proofErr w:type="spellEnd"/>
      <w:r w:rsidRPr="005D6A18">
        <w:rPr>
          <w:rFonts w:ascii="Times New Roman" w:eastAsia="Times New Roman" w:hAnsi="Times New Roman" w:cs="Times New Roman"/>
          <w:sz w:val="24"/>
          <w:szCs w:val="24"/>
          <w:lang w:eastAsia="en-GB"/>
        </w:rPr>
        <w:t xml:space="preserve">®), a chimeric mouse/human IgG1 antibody targeting CD20 on B lymphocytes, was the first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approved for cancer treatment. Its anti-tumour activity combines multiple effector mechanisms: complement-dependent cytotoxicity, ADCC mediated by NK cells and monocytes, and direct apoptotic signalling in CD20-expressing cells (Maloney et al., 1997). Early clinical trials in relapsed or refractory low-grade non-Hodgkin lymphoma demonstrated objective response rates of approximately 48%, a result that was remarkable in that therapeutic context (Maloney et al., 1997). Subsequent incorporation of rituximab into combination chemotherapy — most notably the R-CHOP regimen for diffuse large B-cell lymphoma — substantially improved patient outcomes and transformed the standard of care for B-cell malignancies. The clinical success of rituximab catalysed the development of dozens of successor antibodies and established the broader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-based oncology field.</w:t>
      </w:r>
    </w:p>
    <w:p w14:paraId="0E638346"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5.2.4 Anti-EGFR: Cetuximab</w:t>
      </w:r>
    </w:p>
    <w:p w14:paraId="1AAFD266"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Cetuximab (Erbitux®), a chimeric IgG1 antibody against the extracellular domain of EGFR, blocks ligand binding to the receptor and thereby inhibits downstream RAS/RAF/MEK/ERK and PI3K/Akt/mTOR signalling. A Phase III trial demonstrated that cetuximab combined with irinotecan improved tumour response rates over irinotecan monotherapy in patients with irinotecan-refractory metastatic colorectal cancer (Cunningham et al., 2004). The subsequent discovery that activating mutations in KRAS — and later NRAS — confer primary resistance </w:t>
      </w:r>
      <w:r w:rsidRPr="005D6A18">
        <w:rPr>
          <w:rFonts w:ascii="Times New Roman" w:eastAsia="Times New Roman" w:hAnsi="Times New Roman" w:cs="Times New Roman"/>
          <w:sz w:val="24"/>
          <w:szCs w:val="24"/>
          <w:lang w:eastAsia="en-GB"/>
        </w:rPr>
        <w:lastRenderedPageBreak/>
        <w:t>to cetuximab was as scientifically important as the trial result itself, restricting the approved use of this agent to KRAS/NRAS wild-type tumours and establishing a mutation-based patient selection paradigm that has since informed the development of many other targeted therapies.</w:t>
      </w:r>
    </w:p>
    <w:p w14:paraId="66274ED8"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5.3 Immune Checkpoint Inhibitors</w:t>
      </w:r>
    </w:p>
    <w:p w14:paraId="0D08B2BA"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recognition that tumours exploit co-inhibitory signalling pathways to evade immune surveillance has fundamentally shifted the cancer immunotherapy landscape. The two most clinically productive checkpoint axes — CTLA-4 and PD-1/PD-L1 — have been targeted by a growing family of approved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producing clinical outcomes that were not previously thought achievable in many tumour types (Topalian et al., 2015; Sharma &amp; Allison, 2015).</w:t>
      </w:r>
    </w:p>
    <w:p w14:paraId="21BD3F85"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5.3.1 Anti-CTLA-4: Ipilimumab</w:t>
      </w:r>
    </w:p>
    <w:p w14:paraId="743AA2C3"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CTLA-4 is an inhibitory receptor on activated T cells and regulatory T cells that attenuates early T-cell activation by outcompeting the co-stimulatory receptor CD28 for its shared B7 ligands (CD80 and CD86) on antigen-presenting cells. Ipilimumab (</w:t>
      </w:r>
      <w:proofErr w:type="spellStart"/>
      <w:r w:rsidRPr="005D6A18">
        <w:rPr>
          <w:rFonts w:ascii="Times New Roman" w:eastAsia="Times New Roman" w:hAnsi="Times New Roman" w:cs="Times New Roman"/>
          <w:sz w:val="24"/>
          <w:szCs w:val="24"/>
          <w:lang w:eastAsia="en-GB"/>
        </w:rPr>
        <w:t>Yervoy</w:t>
      </w:r>
      <w:proofErr w:type="spellEnd"/>
      <w:r w:rsidRPr="005D6A18">
        <w:rPr>
          <w:rFonts w:ascii="Times New Roman" w:eastAsia="Times New Roman" w:hAnsi="Times New Roman" w:cs="Times New Roman"/>
          <w:sz w:val="24"/>
          <w:szCs w:val="24"/>
          <w:lang w:eastAsia="en-GB"/>
        </w:rPr>
        <w:t>®), a fully human anti-CTLA-4 IgG1 antibody, was the first immune checkpoint inhibitor to show a statistically significant survival benefit in a randomised Phase III trial. In that study, ipilimumab substantially improved overall survival in previously treated patients with metastatic melanoma compared with a glycoprotein 100 (gp100) peptide vaccine, with some patients achieving durable responses lasting several years (Hodi et al., 2010). This was a pivotal moment: it was the first demonstration that releasing immune brakes on T cells could extend long-term survival in a metastatic solid tumour. Ipilimumab is now approved in several indications, including melanoma, NSCLC, hepatocellular carcinoma, and MSI-H colorectal cancer, and its combination with nivolumab has proven particularly active across multiple tumour types.</w:t>
      </w:r>
    </w:p>
    <w:p w14:paraId="0882FDB1" w14:textId="77777777" w:rsidR="002E6E04" w:rsidRPr="005D6A18" w:rsidRDefault="002E6E04" w:rsidP="00CB6EE7">
      <w:pPr>
        <w:spacing w:before="100" w:beforeAutospacing="1" w:after="100" w:afterAutospacing="1" w:line="240" w:lineRule="auto"/>
        <w:jc w:val="both"/>
        <w:outlineLvl w:val="4"/>
        <w:rPr>
          <w:rFonts w:ascii="Times New Roman" w:eastAsia="Times New Roman" w:hAnsi="Times New Roman" w:cs="Times New Roman"/>
          <w:b/>
          <w:bCs/>
          <w:sz w:val="20"/>
          <w:szCs w:val="20"/>
          <w:lang w:eastAsia="en-GB"/>
        </w:rPr>
      </w:pPr>
      <w:r w:rsidRPr="005D6A18">
        <w:rPr>
          <w:rFonts w:ascii="Times New Roman" w:eastAsia="Times New Roman" w:hAnsi="Times New Roman" w:cs="Times New Roman"/>
          <w:b/>
          <w:bCs/>
          <w:sz w:val="20"/>
          <w:szCs w:val="20"/>
          <w:lang w:eastAsia="en-GB"/>
        </w:rPr>
        <w:t>5.3.2 Anti-PD-1 and Anti-PD-L1 Antibodies</w:t>
      </w:r>
    </w:p>
    <w:p w14:paraId="244B23AD"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Programmed death protein 1 (PD-1) is expressed on chronically activated T cells and, when engaged by its ligands PD-L1 (CD274) or PD-L2 (CD273), suppresses effector T-cell function and promotes immune tolerance. Many tumours exploit this checkpoint by upregulating PD-L1 on their surface and on surrounding immune cells, creating a localised immune-suppressive shield (Chen &amp; Han, 2015). Blockade of the PD-1/PD-L1 axis restores T-cell-mediated anti-tumour activity and has produced durable responses, even after treatment discontinuation, across a remarkably wide range of cancer types (Ribas &amp; </w:t>
      </w:r>
      <w:proofErr w:type="spellStart"/>
      <w:r w:rsidRPr="005D6A18">
        <w:rPr>
          <w:rFonts w:ascii="Times New Roman" w:eastAsia="Times New Roman" w:hAnsi="Times New Roman" w:cs="Times New Roman"/>
          <w:sz w:val="24"/>
          <w:szCs w:val="24"/>
          <w:lang w:eastAsia="en-GB"/>
        </w:rPr>
        <w:t>Wolchok</w:t>
      </w:r>
      <w:proofErr w:type="spellEnd"/>
      <w:r w:rsidRPr="005D6A18">
        <w:rPr>
          <w:rFonts w:ascii="Times New Roman" w:eastAsia="Times New Roman" w:hAnsi="Times New Roman" w:cs="Times New Roman"/>
          <w:sz w:val="24"/>
          <w:szCs w:val="24"/>
          <w:lang w:eastAsia="en-GB"/>
        </w:rPr>
        <w:t>, 2018; Topalian et al., 2012).</w:t>
      </w:r>
    </w:p>
    <w:p w14:paraId="71A47C69"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Nivolumab (Opdivo®), a fully human IgG4 anti-PD-1 antibody, improved overall survival over docetaxel in previously treated patients with advanced non-squamous NSCLC in a pivotal Phase III trial (</w:t>
      </w:r>
      <w:proofErr w:type="spellStart"/>
      <w:r w:rsidRPr="005D6A18">
        <w:rPr>
          <w:rFonts w:ascii="Times New Roman" w:eastAsia="Times New Roman" w:hAnsi="Times New Roman" w:cs="Times New Roman"/>
          <w:sz w:val="24"/>
          <w:szCs w:val="24"/>
          <w:lang w:eastAsia="en-GB"/>
        </w:rPr>
        <w:t>Borghaei</w:t>
      </w:r>
      <w:proofErr w:type="spellEnd"/>
      <w:r w:rsidRPr="005D6A18">
        <w:rPr>
          <w:rFonts w:ascii="Times New Roman" w:eastAsia="Times New Roman" w:hAnsi="Times New Roman" w:cs="Times New Roman"/>
          <w:sz w:val="24"/>
          <w:szCs w:val="24"/>
          <w:lang w:eastAsia="en-GB"/>
        </w:rPr>
        <w:t xml:space="preserve"> et al., 2015). Pembrolizumab (Keytruda®), a humanised anti-PD-1 antibody, demonstrated superior overall survival compared with ipilimumab in a head-to-head randomised trial in patients with advanced melanoma (Robert et al., 2015). Atezolizumab, a humanised anti-PD-L1 IgG1 antibody, similarly outperformed docetaxel in previously treated NSCLC in the randomised Phase III OAK trial (Rittmeyer et al., 2017). The breadth of tumour types now demonstrating clinically meaningful responses to PD-1/PD-L1 blockade — including melanoma, NSCLC, urothelial carcinoma, renal cell, </w:t>
      </w:r>
      <w:r w:rsidRPr="005D6A18">
        <w:rPr>
          <w:rFonts w:ascii="Times New Roman" w:eastAsia="Times New Roman" w:hAnsi="Times New Roman" w:cs="Times New Roman"/>
          <w:sz w:val="24"/>
          <w:szCs w:val="24"/>
          <w:lang w:eastAsia="en-GB"/>
        </w:rPr>
        <w:lastRenderedPageBreak/>
        <w:t>hepatocellular, head and neck squamous cell, gastric, endometrial, MSI-H colorectal, and triple-negative breast cancers — makes this the most broadly active class of anti-cancer agents to emerge in the past two decades.</w:t>
      </w:r>
    </w:p>
    <w:p w14:paraId="4E45BCCF"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5.4 Antibody–Drug Conjugates</w:t>
      </w:r>
    </w:p>
    <w:p w14:paraId="646923FE"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ADCs are engineered constructs in which a cytotoxic small molecule (the payload) is covalently linked to an antibody via a specialised chemical linker. The antibody targets a tumour-associated surface antigen, triggering receptor-mediated internalisation of the conjugate; intracellular processing then releases the payload within the cancer cell, where it exerts its lethal effect (Drago et al., 2021). This architecture enables the deployment of agents — such as </w:t>
      </w:r>
      <w:proofErr w:type="spellStart"/>
      <w:r w:rsidRPr="005D6A18">
        <w:rPr>
          <w:rFonts w:ascii="Times New Roman" w:eastAsia="Times New Roman" w:hAnsi="Times New Roman" w:cs="Times New Roman"/>
          <w:sz w:val="24"/>
          <w:szCs w:val="24"/>
          <w:lang w:eastAsia="en-GB"/>
        </w:rPr>
        <w:t>maytansinoids</w:t>
      </w:r>
      <w:proofErr w:type="spellEnd"/>
      <w:r w:rsidRPr="005D6A18">
        <w:rPr>
          <w:rFonts w:ascii="Times New Roman" w:eastAsia="Times New Roman" w:hAnsi="Times New Roman" w:cs="Times New Roman"/>
          <w:sz w:val="24"/>
          <w:szCs w:val="24"/>
          <w:lang w:eastAsia="en-GB"/>
        </w:rPr>
        <w:t xml:space="preserve">, auristatins, and </w:t>
      </w:r>
      <w:proofErr w:type="spellStart"/>
      <w:r w:rsidRPr="005D6A18">
        <w:rPr>
          <w:rFonts w:ascii="Times New Roman" w:eastAsia="Times New Roman" w:hAnsi="Times New Roman" w:cs="Times New Roman"/>
          <w:sz w:val="24"/>
          <w:szCs w:val="24"/>
          <w:lang w:eastAsia="en-GB"/>
        </w:rPr>
        <w:t>pyrrolobenzodiazepines</w:t>
      </w:r>
      <w:proofErr w:type="spellEnd"/>
      <w:r w:rsidRPr="005D6A18">
        <w:rPr>
          <w:rFonts w:ascii="Times New Roman" w:eastAsia="Times New Roman" w:hAnsi="Times New Roman" w:cs="Times New Roman"/>
          <w:sz w:val="24"/>
          <w:szCs w:val="24"/>
          <w:lang w:eastAsia="en-GB"/>
        </w:rPr>
        <w:t xml:space="preserve"> — that are far too toxic for systemic administration as free drugs. The result is a precision "armed antibody" strategy that couples the selectivity of an immunoglobulin with the potency of a targeted cytotoxin.</w:t>
      </w:r>
    </w:p>
    <w:p w14:paraId="3096BC76"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Trastuzumab emtansine (T-DM1, Kadcyla®), combining trastuzumab with the </w:t>
      </w:r>
      <w:proofErr w:type="spellStart"/>
      <w:r w:rsidRPr="005D6A18">
        <w:rPr>
          <w:rFonts w:ascii="Times New Roman" w:eastAsia="Times New Roman" w:hAnsi="Times New Roman" w:cs="Times New Roman"/>
          <w:sz w:val="24"/>
          <w:szCs w:val="24"/>
          <w:lang w:eastAsia="en-GB"/>
        </w:rPr>
        <w:t>maytansinoid</w:t>
      </w:r>
      <w:proofErr w:type="spellEnd"/>
      <w:r w:rsidRPr="005D6A18">
        <w:rPr>
          <w:rFonts w:ascii="Times New Roman" w:eastAsia="Times New Roman" w:hAnsi="Times New Roman" w:cs="Times New Roman"/>
          <w:sz w:val="24"/>
          <w:szCs w:val="24"/>
          <w:lang w:eastAsia="en-GB"/>
        </w:rPr>
        <w:t xml:space="preserve"> DM1 via a non-cleavable thioether linker, was a landmark clinical achievement. The EMILIA Phase III trial demonstrated that T-DM1 significantly improved both progression-free and overall survival compared with lapatinib plus capecitabine in patients with HER2-positive advanced breast cancer that had progressed on prior trastuzumab and taxane therapy (Verma et al., 2012). This result validated the ADC concept as a means of overcoming resistance to naked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Newer ADCs, including trastuzumab deruxtecan (T-</w:t>
      </w:r>
      <w:proofErr w:type="spellStart"/>
      <w:r w:rsidRPr="005D6A18">
        <w:rPr>
          <w:rFonts w:ascii="Times New Roman" w:eastAsia="Times New Roman" w:hAnsi="Times New Roman" w:cs="Times New Roman"/>
          <w:sz w:val="24"/>
          <w:szCs w:val="24"/>
          <w:lang w:eastAsia="en-GB"/>
        </w:rPr>
        <w:t>DXd</w:t>
      </w:r>
      <w:proofErr w:type="spellEnd"/>
      <w:r w:rsidRPr="005D6A18">
        <w:rPr>
          <w:rFonts w:ascii="Times New Roman" w:eastAsia="Times New Roman" w:hAnsi="Times New Roman" w:cs="Times New Roman"/>
          <w:sz w:val="24"/>
          <w:szCs w:val="24"/>
          <w:lang w:eastAsia="en-GB"/>
        </w:rPr>
        <w:t xml:space="preserve">, </w:t>
      </w:r>
      <w:proofErr w:type="spellStart"/>
      <w:r w:rsidRPr="005D6A18">
        <w:rPr>
          <w:rFonts w:ascii="Times New Roman" w:eastAsia="Times New Roman" w:hAnsi="Times New Roman" w:cs="Times New Roman"/>
          <w:sz w:val="24"/>
          <w:szCs w:val="24"/>
          <w:lang w:eastAsia="en-GB"/>
        </w:rPr>
        <w:t>Enhertu</w:t>
      </w:r>
      <w:proofErr w:type="spellEnd"/>
      <w:r w:rsidRPr="005D6A18">
        <w:rPr>
          <w:rFonts w:ascii="Times New Roman" w:eastAsia="Times New Roman" w:hAnsi="Times New Roman" w:cs="Times New Roman"/>
          <w:sz w:val="24"/>
          <w:szCs w:val="24"/>
          <w:lang w:eastAsia="en-GB"/>
        </w:rPr>
        <w:t xml:space="preserve">®) and </w:t>
      </w:r>
      <w:proofErr w:type="spellStart"/>
      <w:r w:rsidRPr="005D6A18">
        <w:rPr>
          <w:rFonts w:ascii="Times New Roman" w:eastAsia="Times New Roman" w:hAnsi="Times New Roman" w:cs="Times New Roman"/>
          <w:sz w:val="24"/>
          <w:szCs w:val="24"/>
          <w:lang w:eastAsia="en-GB"/>
        </w:rPr>
        <w:t>sacituzumab</w:t>
      </w:r>
      <w:proofErr w:type="spellEnd"/>
      <w:r w:rsidRPr="005D6A18">
        <w:rPr>
          <w:rFonts w:ascii="Times New Roman" w:eastAsia="Times New Roman" w:hAnsi="Times New Roman" w:cs="Times New Roman"/>
          <w:sz w:val="24"/>
          <w:szCs w:val="24"/>
          <w:lang w:eastAsia="en-GB"/>
        </w:rPr>
        <w:t xml:space="preserve"> </w:t>
      </w:r>
      <w:proofErr w:type="spellStart"/>
      <w:r w:rsidRPr="005D6A18">
        <w:rPr>
          <w:rFonts w:ascii="Times New Roman" w:eastAsia="Times New Roman" w:hAnsi="Times New Roman" w:cs="Times New Roman"/>
          <w:sz w:val="24"/>
          <w:szCs w:val="24"/>
          <w:lang w:eastAsia="en-GB"/>
        </w:rPr>
        <w:t>govitecan</w:t>
      </w:r>
      <w:proofErr w:type="spellEnd"/>
      <w:r w:rsidRPr="005D6A18">
        <w:rPr>
          <w:rFonts w:ascii="Times New Roman" w:eastAsia="Times New Roman" w:hAnsi="Times New Roman" w:cs="Times New Roman"/>
          <w:sz w:val="24"/>
          <w:szCs w:val="24"/>
          <w:lang w:eastAsia="en-GB"/>
        </w:rPr>
        <w:t xml:space="preserve"> (</w:t>
      </w:r>
      <w:proofErr w:type="spellStart"/>
      <w:r w:rsidRPr="005D6A18">
        <w:rPr>
          <w:rFonts w:ascii="Times New Roman" w:eastAsia="Times New Roman" w:hAnsi="Times New Roman" w:cs="Times New Roman"/>
          <w:sz w:val="24"/>
          <w:szCs w:val="24"/>
          <w:lang w:eastAsia="en-GB"/>
        </w:rPr>
        <w:t>Trodelvy</w:t>
      </w:r>
      <w:proofErr w:type="spellEnd"/>
      <w:r w:rsidRPr="005D6A18">
        <w:rPr>
          <w:rFonts w:ascii="Times New Roman" w:eastAsia="Times New Roman" w:hAnsi="Times New Roman" w:cs="Times New Roman"/>
          <w:sz w:val="24"/>
          <w:szCs w:val="24"/>
          <w:lang w:eastAsia="en-GB"/>
        </w:rPr>
        <w:t>®), have extended this approach to lower HER2-expressing tumours and triple-negative breast cancer, respectively, substantially widening the addressable patient population.</w:t>
      </w:r>
    </w:p>
    <w:p w14:paraId="21C8D801"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5.5 Bispecific Antibodies</w:t>
      </w:r>
    </w:p>
    <w:p w14:paraId="31136FBD"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Bispecific antibodies are engineered to bind two distinct antigens simultaneously. The bispecific T-cell engager (</w:t>
      </w:r>
      <w:proofErr w:type="spellStart"/>
      <w:r w:rsidRPr="005D6A18">
        <w:rPr>
          <w:rFonts w:ascii="Times New Roman" w:eastAsia="Times New Roman" w:hAnsi="Times New Roman" w:cs="Times New Roman"/>
          <w:sz w:val="24"/>
          <w:szCs w:val="24"/>
          <w:lang w:eastAsia="en-GB"/>
        </w:rPr>
        <w:t>BiTE</w:t>
      </w:r>
      <w:proofErr w:type="spellEnd"/>
      <w:r w:rsidRPr="005D6A18">
        <w:rPr>
          <w:rFonts w:ascii="Times New Roman" w:eastAsia="Times New Roman" w:hAnsi="Times New Roman" w:cs="Times New Roman"/>
          <w:sz w:val="24"/>
          <w:szCs w:val="24"/>
          <w:lang w:eastAsia="en-GB"/>
        </w:rPr>
        <w:t xml:space="preserve">) format, in which one domain binds a tumour surface antigen while the other engages CD3ε on T lymphocytes, is among the most clinically advanced applications. By physically bridging cytotoxic T cells and cancer cells, </w:t>
      </w:r>
      <w:proofErr w:type="spellStart"/>
      <w:r w:rsidRPr="005D6A18">
        <w:rPr>
          <w:rFonts w:ascii="Times New Roman" w:eastAsia="Times New Roman" w:hAnsi="Times New Roman" w:cs="Times New Roman"/>
          <w:sz w:val="24"/>
          <w:szCs w:val="24"/>
          <w:lang w:eastAsia="en-GB"/>
        </w:rPr>
        <w:t>BiTEs</w:t>
      </w:r>
      <w:proofErr w:type="spellEnd"/>
      <w:r w:rsidRPr="005D6A18">
        <w:rPr>
          <w:rFonts w:ascii="Times New Roman" w:eastAsia="Times New Roman" w:hAnsi="Times New Roman" w:cs="Times New Roman"/>
          <w:sz w:val="24"/>
          <w:szCs w:val="24"/>
          <w:lang w:eastAsia="en-GB"/>
        </w:rPr>
        <w:t xml:space="preserve"> activate T-cell killing in an MHC-independent fashion — an important distinction from conventional T-cell immunity, which requires intact antigen presentation (</w:t>
      </w:r>
      <w:proofErr w:type="spellStart"/>
      <w:r w:rsidRPr="005D6A18">
        <w:rPr>
          <w:rFonts w:ascii="Times New Roman" w:eastAsia="Times New Roman" w:hAnsi="Times New Roman" w:cs="Times New Roman"/>
          <w:sz w:val="24"/>
          <w:szCs w:val="24"/>
          <w:lang w:eastAsia="en-GB"/>
        </w:rPr>
        <w:t>Labrijn</w:t>
      </w:r>
      <w:proofErr w:type="spellEnd"/>
      <w:r w:rsidRPr="005D6A18">
        <w:rPr>
          <w:rFonts w:ascii="Times New Roman" w:eastAsia="Times New Roman" w:hAnsi="Times New Roman" w:cs="Times New Roman"/>
          <w:sz w:val="24"/>
          <w:szCs w:val="24"/>
          <w:lang w:eastAsia="en-GB"/>
        </w:rPr>
        <w:t xml:space="preserve"> et al., 2019). Blinatumomab, a CD19 × CD3 </w:t>
      </w:r>
      <w:proofErr w:type="spellStart"/>
      <w:r w:rsidRPr="005D6A18">
        <w:rPr>
          <w:rFonts w:ascii="Times New Roman" w:eastAsia="Times New Roman" w:hAnsi="Times New Roman" w:cs="Times New Roman"/>
          <w:sz w:val="24"/>
          <w:szCs w:val="24"/>
          <w:lang w:eastAsia="en-GB"/>
        </w:rPr>
        <w:t>BiTE</w:t>
      </w:r>
      <w:proofErr w:type="spellEnd"/>
      <w:r w:rsidRPr="005D6A18">
        <w:rPr>
          <w:rFonts w:ascii="Times New Roman" w:eastAsia="Times New Roman" w:hAnsi="Times New Roman" w:cs="Times New Roman"/>
          <w:sz w:val="24"/>
          <w:szCs w:val="24"/>
          <w:lang w:eastAsia="en-GB"/>
        </w:rPr>
        <w:t>, has demonstrated striking activity in relapsed and refractory acute lymphoblastic leukaemia, including in patients with minimal residual disease, and has opened a productive pipeline of new bispecific constructs targeting diverse tumour antigens and effector cell populations.</w:t>
      </w:r>
    </w:p>
    <w:p w14:paraId="51B2632D"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5.6 Adverse Effects and Resistance Mechanisms</w:t>
      </w:r>
    </w:p>
    <w:p w14:paraId="4393940F"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clinical impact of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therapies is real and substantial, but so are their limitations. Immune checkpoint inhibitors produce a characteristic spectrum of immune-related adverse events (</w:t>
      </w:r>
      <w:proofErr w:type="spellStart"/>
      <w:r w:rsidRPr="005D6A18">
        <w:rPr>
          <w:rFonts w:ascii="Times New Roman" w:eastAsia="Times New Roman" w:hAnsi="Times New Roman" w:cs="Times New Roman"/>
          <w:sz w:val="24"/>
          <w:szCs w:val="24"/>
          <w:lang w:eastAsia="en-GB"/>
        </w:rPr>
        <w:t>irAEs</w:t>
      </w:r>
      <w:proofErr w:type="spellEnd"/>
      <w:r w:rsidRPr="005D6A18">
        <w:rPr>
          <w:rFonts w:ascii="Times New Roman" w:eastAsia="Times New Roman" w:hAnsi="Times New Roman" w:cs="Times New Roman"/>
          <w:sz w:val="24"/>
          <w:szCs w:val="24"/>
          <w:lang w:eastAsia="en-GB"/>
        </w:rPr>
        <w:t xml:space="preserve">) reflecting their mechanism of broad immune activation. These can affect almost any organ system — most commonly skin (rash, vitiligo), gut (colitis), liver (hepatitis), endocrine glands (thyroiditis, adrenalitis, hypophysitis), and lungs (pneumonitis) — and in rarer cases the heart (myocarditis) and nervous system, with potentially life-threatening consequences (Topalian et al., 2015). Severe </w:t>
      </w:r>
      <w:proofErr w:type="spellStart"/>
      <w:r w:rsidRPr="005D6A18">
        <w:rPr>
          <w:rFonts w:ascii="Times New Roman" w:eastAsia="Times New Roman" w:hAnsi="Times New Roman" w:cs="Times New Roman"/>
          <w:sz w:val="24"/>
          <w:szCs w:val="24"/>
          <w:lang w:eastAsia="en-GB"/>
        </w:rPr>
        <w:t>irAEs</w:t>
      </w:r>
      <w:proofErr w:type="spellEnd"/>
      <w:r w:rsidRPr="005D6A18">
        <w:rPr>
          <w:rFonts w:ascii="Times New Roman" w:eastAsia="Times New Roman" w:hAnsi="Times New Roman" w:cs="Times New Roman"/>
          <w:sz w:val="24"/>
          <w:szCs w:val="24"/>
          <w:lang w:eastAsia="en-GB"/>
        </w:rPr>
        <w:t xml:space="preserve"> require prompt immunosuppressive management, and some patients must discontinue checkpoint therapy permanently.</w:t>
      </w:r>
    </w:p>
    <w:p w14:paraId="0FA3CDB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Resistance is the other major constraint. Both primary resistance (absence of initial response) and acquired resistance (response followed by progression) occur with all classes of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The mechanisms are varied and context-dependent: loss of the target antigen, activation of alternative proliferative pathways, upregulation of additional checkpoint molecules (TIM-3, LAG-3, TIGIT), physical exclusion of T cells from the tumour core by stromal barriers, accumulation of immunosuppressive regulatory T cells and myeloid-derived suppressor cells, and impaired antigen presentation through loss of β2-microglobulin (Holohan et al., 2013; Phi et al., 2018). Addressing these resistance mechanisms is a central challenge in contemporary oncological research and provides a strong mechanistic rationale for combination strategies, including those involving phytochemicals. Table 3 provides an overview of the key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currently approved for oncological use, including their targets, types, principal cancer indications, and year of initial FDA approval.</w:t>
      </w:r>
    </w:p>
    <w:p w14:paraId="1A174C7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Table 3. Key Therapeutic Monoclonal Antibodies Approved in Oncology</w:t>
      </w:r>
    </w:p>
    <w:tbl>
      <w:tblPr>
        <w:tblStyle w:val="TableGrid"/>
        <w:tblW w:w="0" w:type="auto"/>
        <w:tblLook w:val="04A0" w:firstRow="1" w:lastRow="0" w:firstColumn="1" w:lastColumn="0" w:noHBand="0" w:noVBand="1"/>
      </w:tblPr>
      <w:tblGrid>
        <w:gridCol w:w="2051"/>
        <w:gridCol w:w="1709"/>
        <w:gridCol w:w="1833"/>
        <w:gridCol w:w="2254"/>
        <w:gridCol w:w="1395"/>
      </w:tblGrid>
      <w:tr w:rsidR="002E6E04" w:rsidRPr="005D6A18" w14:paraId="35EEAA79" w14:textId="77777777" w:rsidTr="005D6A18">
        <w:tc>
          <w:tcPr>
            <w:tcW w:w="0" w:type="auto"/>
            <w:hideMark/>
          </w:tcPr>
          <w:p w14:paraId="0ADCE4B9"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Antibody</w:t>
            </w:r>
          </w:p>
        </w:tc>
        <w:tc>
          <w:tcPr>
            <w:tcW w:w="0" w:type="auto"/>
            <w:hideMark/>
          </w:tcPr>
          <w:p w14:paraId="573F33DE"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Target</w:t>
            </w:r>
          </w:p>
        </w:tc>
        <w:tc>
          <w:tcPr>
            <w:tcW w:w="0" w:type="auto"/>
            <w:hideMark/>
          </w:tcPr>
          <w:p w14:paraId="2EB5C15D"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Antibody Type</w:t>
            </w:r>
          </w:p>
        </w:tc>
        <w:tc>
          <w:tcPr>
            <w:tcW w:w="0" w:type="auto"/>
            <w:hideMark/>
          </w:tcPr>
          <w:p w14:paraId="0DC7CDFA"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Key Cancer Indication(s)</w:t>
            </w:r>
          </w:p>
        </w:tc>
        <w:tc>
          <w:tcPr>
            <w:tcW w:w="0" w:type="auto"/>
            <w:hideMark/>
          </w:tcPr>
          <w:p w14:paraId="4535A458"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FDA Approval Year</w:t>
            </w:r>
          </w:p>
        </w:tc>
      </w:tr>
      <w:tr w:rsidR="002E6E04" w:rsidRPr="005D6A18" w14:paraId="6FDCE574" w14:textId="77777777" w:rsidTr="005D6A18">
        <w:tc>
          <w:tcPr>
            <w:tcW w:w="0" w:type="auto"/>
            <w:hideMark/>
          </w:tcPr>
          <w:p w14:paraId="200EAA0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Rituximab</w:t>
            </w:r>
          </w:p>
        </w:tc>
        <w:tc>
          <w:tcPr>
            <w:tcW w:w="0" w:type="auto"/>
            <w:hideMark/>
          </w:tcPr>
          <w:p w14:paraId="6D9D2EE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CD20</w:t>
            </w:r>
          </w:p>
        </w:tc>
        <w:tc>
          <w:tcPr>
            <w:tcW w:w="0" w:type="auto"/>
            <w:hideMark/>
          </w:tcPr>
          <w:p w14:paraId="421DFAE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Chimeric IgG1</w:t>
            </w:r>
          </w:p>
        </w:tc>
        <w:tc>
          <w:tcPr>
            <w:tcW w:w="0" w:type="auto"/>
            <w:hideMark/>
          </w:tcPr>
          <w:p w14:paraId="132F9B2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B-cell NHL, CLL</w:t>
            </w:r>
          </w:p>
        </w:tc>
        <w:tc>
          <w:tcPr>
            <w:tcW w:w="0" w:type="auto"/>
            <w:hideMark/>
          </w:tcPr>
          <w:p w14:paraId="245F1CB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1997</w:t>
            </w:r>
          </w:p>
        </w:tc>
      </w:tr>
      <w:tr w:rsidR="002E6E04" w:rsidRPr="005D6A18" w14:paraId="6ECE5E9C" w14:textId="77777777" w:rsidTr="005D6A18">
        <w:tc>
          <w:tcPr>
            <w:tcW w:w="0" w:type="auto"/>
            <w:hideMark/>
          </w:tcPr>
          <w:p w14:paraId="085B789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Trastuzumab</w:t>
            </w:r>
          </w:p>
        </w:tc>
        <w:tc>
          <w:tcPr>
            <w:tcW w:w="0" w:type="auto"/>
            <w:hideMark/>
          </w:tcPr>
          <w:p w14:paraId="382E36F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HER2/ErbB2</w:t>
            </w:r>
          </w:p>
        </w:tc>
        <w:tc>
          <w:tcPr>
            <w:tcW w:w="0" w:type="auto"/>
            <w:hideMark/>
          </w:tcPr>
          <w:p w14:paraId="5FFF49BE"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Humanised IgG1</w:t>
            </w:r>
          </w:p>
        </w:tc>
        <w:tc>
          <w:tcPr>
            <w:tcW w:w="0" w:type="auto"/>
            <w:hideMark/>
          </w:tcPr>
          <w:p w14:paraId="5FBCD7B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 breast cancer, HER2+ gastric cancer</w:t>
            </w:r>
          </w:p>
        </w:tc>
        <w:tc>
          <w:tcPr>
            <w:tcW w:w="0" w:type="auto"/>
            <w:hideMark/>
          </w:tcPr>
          <w:p w14:paraId="6AAC4B37"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1998</w:t>
            </w:r>
          </w:p>
        </w:tc>
      </w:tr>
      <w:tr w:rsidR="002E6E04" w:rsidRPr="005D6A18" w14:paraId="289FF180" w14:textId="77777777" w:rsidTr="005D6A18">
        <w:tc>
          <w:tcPr>
            <w:tcW w:w="0" w:type="auto"/>
            <w:hideMark/>
          </w:tcPr>
          <w:p w14:paraId="7E107A8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Bevacizumab</w:t>
            </w:r>
          </w:p>
        </w:tc>
        <w:tc>
          <w:tcPr>
            <w:tcW w:w="0" w:type="auto"/>
            <w:hideMark/>
          </w:tcPr>
          <w:p w14:paraId="5938C68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VEGF-A</w:t>
            </w:r>
          </w:p>
        </w:tc>
        <w:tc>
          <w:tcPr>
            <w:tcW w:w="0" w:type="auto"/>
            <w:hideMark/>
          </w:tcPr>
          <w:p w14:paraId="7225529A"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Humanised IgG1</w:t>
            </w:r>
          </w:p>
        </w:tc>
        <w:tc>
          <w:tcPr>
            <w:tcW w:w="0" w:type="auto"/>
            <w:hideMark/>
          </w:tcPr>
          <w:p w14:paraId="1CDEE02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CRC, NSCLC, RCC, GBM, ovarian, cervical</w:t>
            </w:r>
          </w:p>
        </w:tc>
        <w:tc>
          <w:tcPr>
            <w:tcW w:w="0" w:type="auto"/>
            <w:hideMark/>
          </w:tcPr>
          <w:p w14:paraId="2D4AC623"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2004</w:t>
            </w:r>
          </w:p>
        </w:tc>
      </w:tr>
      <w:tr w:rsidR="002E6E04" w:rsidRPr="005D6A18" w14:paraId="0D0C8A9B" w14:textId="77777777" w:rsidTr="005D6A18">
        <w:tc>
          <w:tcPr>
            <w:tcW w:w="0" w:type="auto"/>
            <w:hideMark/>
          </w:tcPr>
          <w:p w14:paraId="1B008B9A"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Cetuximab</w:t>
            </w:r>
          </w:p>
        </w:tc>
        <w:tc>
          <w:tcPr>
            <w:tcW w:w="0" w:type="auto"/>
            <w:hideMark/>
          </w:tcPr>
          <w:p w14:paraId="7EF84D1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EGFR</w:t>
            </w:r>
          </w:p>
        </w:tc>
        <w:tc>
          <w:tcPr>
            <w:tcW w:w="0" w:type="auto"/>
            <w:hideMark/>
          </w:tcPr>
          <w:p w14:paraId="16B2436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Chimeric IgG1</w:t>
            </w:r>
          </w:p>
        </w:tc>
        <w:tc>
          <w:tcPr>
            <w:tcW w:w="0" w:type="auto"/>
            <w:hideMark/>
          </w:tcPr>
          <w:p w14:paraId="4FD06404" w14:textId="77777777" w:rsidR="002E6E04" w:rsidRPr="007D6FBC" w:rsidRDefault="002E6E04" w:rsidP="00CB6EE7">
            <w:pPr>
              <w:jc w:val="both"/>
              <w:rPr>
                <w:rFonts w:ascii="Times New Roman" w:eastAsia="Times New Roman" w:hAnsi="Times New Roman" w:cs="Times New Roman"/>
                <w:sz w:val="24"/>
                <w:szCs w:val="24"/>
                <w:lang w:val="nl-BE" w:eastAsia="en-GB"/>
              </w:rPr>
            </w:pPr>
            <w:r w:rsidRPr="007D6FBC">
              <w:rPr>
                <w:rFonts w:ascii="Times New Roman" w:eastAsia="Times New Roman" w:hAnsi="Times New Roman" w:cs="Times New Roman"/>
                <w:sz w:val="24"/>
                <w:szCs w:val="24"/>
                <w:lang w:val="nl-BE" w:eastAsia="en-GB"/>
              </w:rPr>
              <w:t>CRC (KRAS/NRAS wt), SCCHN</w:t>
            </w:r>
          </w:p>
        </w:tc>
        <w:tc>
          <w:tcPr>
            <w:tcW w:w="0" w:type="auto"/>
            <w:hideMark/>
          </w:tcPr>
          <w:p w14:paraId="0899BDA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2004</w:t>
            </w:r>
          </w:p>
        </w:tc>
      </w:tr>
      <w:tr w:rsidR="002E6E04" w:rsidRPr="005D6A18" w14:paraId="58A7887A" w14:textId="77777777" w:rsidTr="005D6A18">
        <w:tc>
          <w:tcPr>
            <w:tcW w:w="0" w:type="auto"/>
            <w:hideMark/>
          </w:tcPr>
          <w:p w14:paraId="352E09DE"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Ipilimumab</w:t>
            </w:r>
          </w:p>
        </w:tc>
        <w:tc>
          <w:tcPr>
            <w:tcW w:w="0" w:type="auto"/>
            <w:hideMark/>
          </w:tcPr>
          <w:p w14:paraId="423D4DE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CTLA-4</w:t>
            </w:r>
          </w:p>
        </w:tc>
        <w:tc>
          <w:tcPr>
            <w:tcW w:w="0" w:type="auto"/>
            <w:hideMark/>
          </w:tcPr>
          <w:p w14:paraId="44E2A95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Fully human IgG1</w:t>
            </w:r>
          </w:p>
        </w:tc>
        <w:tc>
          <w:tcPr>
            <w:tcW w:w="0" w:type="auto"/>
            <w:hideMark/>
          </w:tcPr>
          <w:p w14:paraId="4686D28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Melanoma, NSCLC, HCC, CRC (MSI-H)</w:t>
            </w:r>
          </w:p>
        </w:tc>
        <w:tc>
          <w:tcPr>
            <w:tcW w:w="0" w:type="auto"/>
            <w:hideMark/>
          </w:tcPr>
          <w:p w14:paraId="3D469AA5"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2011</w:t>
            </w:r>
          </w:p>
        </w:tc>
      </w:tr>
      <w:tr w:rsidR="002E6E04" w:rsidRPr="005D6A18" w14:paraId="20B49E57" w14:textId="77777777" w:rsidTr="005D6A18">
        <w:tc>
          <w:tcPr>
            <w:tcW w:w="0" w:type="auto"/>
            <w:hideMark/>
          </w:tcPr>
          <w:p w14:paraId="2E2B96A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Nivolumab</w:t>
            </w:r>
          </w:p>
        </w:tc>
        <w:tc>
          <w:tcPr>
            <w:tcW w:w="0" w:type="auto"/>
            <w:hideMark/>
          </w:tcPr>
          <w:p w14:paraId="594022F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PD-1</w:t>
            </w:r>
          </w:p>
        </w:tc>
        <w:tc>
          <w:tcPr>
            <w:tcW w:w="0" w:type="auto"/>
            <w:hideMark/>
          </w:tcPr>
          <w:p w14:paraId="0C8A5FCF"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Fully human IgG4</w:t>
            </w:r>
          </w:p>
        </w:tc>
        <w:tc>
          <w:tcPr>
            <w:tcW w:w="0" w:type="auto"/>
            <w:hideMark/>
          </w:tcPr>
          <w:p w14:paraId="338A484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Melanoma, NSCLC, RCC, HCC, HNSCC, others</w:t>
            </w:r>
          </w:p>
        </w:tc>
        <w:tc>
          <w:tcPr>
            <w:tcW w:w="0" w:type="auto"/>
            <w:hideMark/>
          </w:tcPr>
          <w:p w14:paraId="5B0317CB"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2014</w:t>
            </w:r>
          </w:p>
        </w:tc>
      </w:tr>
      <w:tr w:rsidR="002E6E04" w:rsidRPr="005D6A18" w14:paraId="29701243" w14:textId="77777777" w:rsidTr="005D6A18">
        <w:tc>
          <w:tcPr>
            <w:tcW w:w="0" w:type="auto"/>
            <w:hideMark/>
          </w:tcPr>
          <w:p w14:paraId="4C2B300B"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Pembrolizumab</w:t>
            </w:r>
          </w:p>
        </w:tc>
        <w:tc>
          <w:tcPr>
            <w:tcW w:w="0" w:type="auto"/>
            <w:hideMark/>
          </w:tcPr>
          <w:p w14:paraId="2FDEF7EE"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PD-1</w:t>
            </w:r>
          </w:p>
        </w:tc>
        <w:tc>
          <w:tcPr>
            <w:tcW w:w="0" w:type="auto"/>
            <w:hideMark/>
          </w:tcPr>
          <w:p w14:paraId="17DA2873"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Humanised IgG4</w:t>
            </w:r>
          </w:p>
        </w:tc>
        <w:tc>
          <w:tcPr>
            <w:tcW w:w="0" w:type="auto"/>
            <w:hideMark/>
          </w:tcPr>
          <w:p w14:paraId="274E8617"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Melanoma, NSCLC, multiple solid tumours</w:t>
            </w:r>
          </w:p>
        </w:tc>
        <w:tc>
          <w:tcPr>
            <w:tcW w:w="0" w:type="auto"/>
            <w:hideMark/>
          </w:tcPr>
          <w:p w14:paraId="0A7AF0AF"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2014</w:t>
            </w:r>
          </w:p>
        </w:tc>
      </w:tr>
      <w:tr w:rsidR="002E6E04" w:rsidRPr="005D6A18" w14:paraId="07783826" w14:textId="77777777" w:rsidTr="005D6A18">
        <w:tc>
          <w:tcPr>
            <w:tcW w:w="0" w:type="auto"/>
            <w:hideMark/>
          </w:tcPr>
          <w:p w14:paraId="4B79600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Atezolizumab</w:t>
            </w:r>
          </w:p>
        </w:tc>
        <w:tc>
          <w:tcPr>
            <w:tcW w:w="0" w:type="auto"/>
            <w:hideMark/>
          </w:tcPr>
          <w:p w14:paraId="0A6564D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PD-L1</w:t>
            </w:r>
          </w:p>
        </w:tc>
        <w:tc>
          <w:tcPr>
            <w:tcW w:w="0" w:type="auto"/>
            <w:hideMark/>
          </w:tcPr>
          <w:p w14:paraId="6ED9D7A7"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Humanised IgG1</w:t>
            </w:r>
          </w:p>
        </w:tc>
        <w:tc>
          <w:tcPr>
            <w:tcW w:w="0" w:type="auto"/>
            <w:hideMark/>
          </w:tcPr>
          <w:p w14:paraId="36331C2D"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NSCLC, TNBC, urothelial carcinoma</w:t>
            </w:r>
          </w:p>
        </w:tc>
        <w:tc>
          <w:tcPr>
            <w:tcW w:w="0" w:type="auto"/>
            <w:hideMark/>
          </w:tcPr>
          <w:p w14:paraId="61CCC39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2016</w:t>
            </w:r>
          </w:p>
        </w:tc>
      </w:tr>
      <w:tr w:rsidR="002E6E04" w:rsidRPr="005D6A18" w14:paraId="7FC9ADF4" w14:textId="77777777" w:rsidTr="005D6A18">
        <w:tc>
          <w:tcPr>
            <w:tcW w:w="0" w:type="auto"/>
            <w:hideMark/>
          </w:tcPr>
          <w:p w14:paraId="2A0EB770"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T-DM1 (Trastuzumab emtansine)</w:t>
            </w:r>
          </w:p>
        </w:tc>
        <w:tc>
          <w:tcPr>
            <w:tcW w:w="0" w:type="auto"/>
            <w:hideMark/>
          </w:tcPr>
          <w:p w14:paraId="11A00EEB"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 (ADC with DM1)</w:t>
            </w:r>
          </w:p>
        </w:tc>
        <w:tc>
          <w:tcPr>
            <w:tcW w:w="0" w:type="auto"/>
            <w:hideMark/>
          </w:tcPr>
          <w:p w14:paraId="44690EEF"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Humanised IgG1–</w:t>
            </w:r>
            <w:proofErr w:type="spellStart"/>
            <w:r w:rsidRPr="005D6A18">
              <w:rPr>
                <w:rFonts w:ascii="Times New Roman" w:eastAsia="Times New Roman" w:hAnsi="Times New Roman" w:cs="Times New Roman"/>
                <w:sz w:val="24"/>
                <w:szCs w:val="24"/>
                <w:lang w:eastAsia="en-GB"/>
              </w:rPr>
              <w:t>maytansinoid</w:t>
            </w:r>
            <w:proofErr w:type="spellEnd"/>
          </w:p>
        </w:tc>
        <w:tc>
          <w:tcPr>
            <w:tcW w:w="0" w:type="auto"/>
            <w:hideMark/>
          </w:tcPr>
          <w:p w14:paraId="0D6EBE3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 breast cancer (second line)</w:t>
            </w:r>
          </w:p>
        </w:tc>
        <w:tc>
          <w:tcPr>
            <w:tcW w:w="0" w:type="auto"/>
            <w:hideMark/>
          </w:tcPr>
          <w:p w14:paraId="6C832FB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2013</w:t>
            </w:r>
          </w:p>
        </w:tc>
      </w:tr>
    </w:tbl>
    <w:p w14:paraId="7723783A" w14:textId="77777777" w:rsidR="002E6E04" w:rsidRPr="007D6FBC"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val="nl-BE" w:eastAsia="en-GB"/>
        </w:rPr>
      </w:pPr>
      <w:r w:rsidRPr="007D6FBC">
        <w:rPr>
          <w:rFonts w:ascii="Times New Roman" w:eastAsia="Times New Roman" w:hAnsi="Times New Roman" w:cs="Times New Roman"/>
          <w:sz w:val="24"/>
          <w:szCs w:val="24"/>
          <w:lang w:val="nl-BE" w:eastAsia="en-GB"/>
        </w:rPr>
        <w:t>Sources: Borghaei et al. (2015); Cunningham et al. (2004); Drago et al. (2021); Hodi et al. (2010); Hurwitz et al. (2004); Labrijn et al. (2019); Maloney et al. (1997); Ribas &amp; Wolchok (2018); Rittmeyer et al. (2017); Robert et al. (2015); Scott et al. (2012); Slamon et al. (2001); Topalian et al. (2012); Verma et al. (2012); Zahavi &amp; Weiner (2020).</w:t>
      </w:r>
    </w:p>
    <w:p w14:paraId="26C83C63"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Abbreviations: CLL = chronic lymphocytic leukaemia; CRC = colorectal cancer; GBM = glioblastoma multiforme; HCC = hepatocellular carcinoma; HNSCC = head and neck squamous cell carcinoma; MSI-H = microsatellite instability-high; NHL = non-Hodgkin lymphoma; NSCLC = non-small-cell lung cancer; RCC = renal cell carcinoma; SCCHN = </w:t>
      </w:r>
      <w:r w:rsidRPr="005D6A18">
        <w:rPr>
          <w:rFonts w:ascii="Times New Roman" w:eastAsia="Times New Roman" w:hAnsi="Times New Roman" w:cs="Times New Roman"/>
          <w:sz w:val="24"/>
          <w:szCs w:val="24"/>
          <w:lang w:eastAsia="en-GB"/>
        </w:rPr>
        <w:lastRenderedPageBreak/>
        <w:t xml:space="preserve">squamous cell carcinoma of the head and neck; TNBC = triple-negative breast cancer; </w:t>
      </w:r>
      <w:proofErr w:type="spellStart"/>
      <w:r w:rsidRPr="005D6A18">
        <w:rPr>
          <w:rFonts w:ascii="Times New Roman" w:eastAsia="Times New Roman" w:hAnsi="Times New Roman" w:cs="Times New Roman"/>
          <w:sz w:val="24"/>
          <w:szCs w:val="24"/>
          <w:lang w:eastAsia="en-GB"/>
        </w:rPr>
        <w:t>wt</w:t>
      </w:r>
      <w:proofErr w:type="spellEnd"/>
      <w:r w:rsidRPr="005D6A18">
        <w:rPr>
          <w:rFonts w:ascii="Times New Roman" w:eastAsia="Times New Roman" w:hAnsi="Times New Roman" w:cs="Times New Roman"/>
          <w:sz w:val="24"/>
          <w:szCs w:val="24"/>
          <w:lang w:eastAsia="en-GB"/>
        </w:rPr>
        <w:t xml:space="preserve"> = wild-type.</w:t>
      </w:r>
    </w:p>
    <w:p w14:paraId="6AC16A6B"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191C7D84"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6. Synergistic Potential: Combining Herbal Compounds with Monoclonal Antibodies</w:t>
      </w:r>
    </w:p>
    <w:p w14:paraId="7507E0FB"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6.1 Rationale for Combination Approaches</w:t>
      </w:r>
    </w:p>
    <w:p w14:paraId="4A4EE79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case for integrating herbal bioactive compounds with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-based therapies rests on several converging lines of reasoning. Phytochemicals, by virtue of their pleiotropic pharmacology, can modulate the same oncogenic signalling networks targeted by therapeutic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applying complementary or synergistic inhibitory pressure across multiple cancer survival pathways. They can sensitise tumour cells to antibody-mediated killing, attenuate resistance mechanisms that undermine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efficacy, and reduce the therapeutic doses required of each partner — potentially alleviating adverse effects. The tumour microenvironment (TME) is particularly germane here. The TME is an ecosystem of cancer cells, stromal cells, immune cells, vasculature, and extracellular matrix that critically shapes treatment response (Whiteside, 2008), and several phytochemicals have demonstrated capacity to shift it from an immunosuppressive to an immune-permissive state — a shift that could substantially augment the efficacy of checkpoint inhibitor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Conversely,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bring to any combination the target specificity, pharmacokinetic predictability, and immunological engagement that small-molecule phytochemicals cannot replicate on their own.</w:t>
      </w:r>
    </w:p>
    <w:p w14:paraId="50171645"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6.2 Preclinical Evidence for Phytochemical–</w:t>
      </w:r>
      <w:proofErr w:type="spellStart"/>
      <w:r w:rsidRPr="005D6A18">
        <w:rPr>
          <w:rFonts w:ascii="Times New Roman" w:eastAsia="Times New Roman" w:hAnsi="Times New Roman" w:cs="Times New Roman"/>
          <w:b/>
          <w:bCs/>
          <w:sz w:val="24"/>
          <w:szCs w:val="24"/>
          <w:lang w:eastAsia="en-GB"/>
        </w:rPr>
        <w:t>mAb</w:t>
      </w:r>
      <w:proofErr w:type="spellEnd"/>
      <w:r w:rsidRPr="005D6A18">
        <w:rPr>
          <w:rFonts w:ascii="Times New Roman" w:eastAsia="Times New Roman" w:hAnsi="Times New Roman" w:cs="Times New Roman"/>
          <w:b/>
          <w:bCs/>
          <w:sz w:val="24"/>
          <w:szCs w:val="24"/>
          <w:lang w:eastAsia="en-GB"/>
        </w:rPr>
        <w:t xml:space="preserve"> Synergy</w:t>
      </w:r>
    </w:p>
    <w:p w14:paraId="20BE386C"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preclinical evidence base for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combinations has grown meaningfully in recent years. Curcumin has been shown to downregulate HER2 expression at both the transcriptional and post-translational levels, potentially sensitising HER2-overexpressing cells to trastuzumab and pre-empting HER2-mediated resistance. In vitro studies in HER2-overexpressing breast cancer cell lines have demonstrated that curcumin and trastuzumab together produce greater apoptotic induction and proliferation suppression than either agent alone, with the combination acting synergistically through the PI3K/Akt/mTOR axis (Aggarwal &amp; Harikumar, 2009; </w:t>
      </w: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et al., 2012). The mechanistic logic is clear: curcumin suppresses upstream and parallel inputs to HER2-driven proliferative networks, while trastuzumab directly blocks HER2 receptor function and mediates NK cell-driven ADCC. These are complementary rather than redundant mechanisms.</w:t>
      </w:r>
    </w:p>
    <w:p w14:paraId="3C875B87"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EGCG's documented capacity to inhibit both EGFR and HER2 signalling has been explored in combination with cetuximab in EGFR-expressing colorectal and NSCLC cell lines. The results have indicated additive or synergistic growth inhibition, enhanced apoptosis, and further suppression of VEGF-associated angiogenic signalling, providing mechanistic evidence for broadened pathway coverage when these agents are used together (Khan et al., 2006). Curcumin's anti-angiogenic effects, mediated through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-dependent suppression of VEGF transcription, may similarly complement bevacizumab by targeting VEGF production at its source while the antibody neutralises circulating VEGF-A (Aggarwal &amp; Harikumar, 2009).</w:t>
      </w:r>
    </w:p>
    <w:p w14:paraId="2FCF312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 xml:space="preserve">Berberine has attracted interest as a sensitiser for checkpoint inhibitor therapy. Studies in colon cancer models suggest it can suppress PD-L1 expression on cancer cells, reduce MDSC accumulation in the TME, and attenuate regulatory T-cell function — collectively creating a more immune-permissive environment for anti-PD-1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activity (</w:t>
      </w:r>
      <w:proofErr w:type="spellStart"/>
      <w:r w:rsidRPr="005D6A18">
        <w:rPr>
          <w:rFonts w:ascii="Times New Roman" w:eastAsia="Times New Roman" w:hAnsi="Times New Roman" w:cs="Times New Roman"/>
          <w:sz w:val="24"/>
          <w:szCs w:val="24"/>
          <w:lang w:eastAsia="en-GB"/>
        </w:rPr>
        <w:t>Imenshahidi</w:t>
      </w:r>
      <w:proofErr w:type="spellEnd"/>
      <w:r w:rsidRPr="005D6A18">
        <w:rPr>
          <w:rFonts w:ascii="Times New Roman" w:eastAsia="Times New Roman" w:hAnsi="Times New Roman" w:cs="Times New Roman"/>
          <w:sz w:val="24"/>
          <w:szCs w:val="24"/>
          <w:lang w:eastAsia="en-GB"/>
        </w:rPr>
        <w:t xml:space="preserve"> &amp; Hosseinzadeh, 2016). Its capacity to suppress CSC self-renewal (Phi et al., 2018) adds a further dimension, targeting a drug-resistant cellular compartment that checkpoint inhibitors do not efficiently eradicate. Artesunate has been reported to downregulate PD-L1 expression on tumour cells and to promote M1-type macrophage polarisation at the expense of the tumour-supportive M2 phenotype within the TME, suggesting an ability to remodel the immunosuppressive TME in ways that could amplify the effects of anti-PD-1/PD-L1 antibodies (</w:t>
      </w: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2017).</w:t>
      </w:r>
    </w:p>
    <w:p w14:paraId="3A9D2FE2"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Two caveats must be stated plainly here. First, the great majority of this evidence derives from in vitro cell line studies, with a more limited number of in vivo xenograft experiments; both model systems inadequately reflect the immunological complexity of human tumours, particularly for compounds proposed to modulate immune responses. Second, the potential for antagonistic pharmacodynamic or pharmacokinetic interactions between phytochemicals and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 or their concurrent chemotherapy partners — cannot be assumed away. Curcumin, for example, modulates several cytochrome P450 isoforms and drug efflux transporters, raising legitimate concerns about altered drug exposure in combination regimens. These questions require rigorous investigation before combination strategies advance to the clinic.</w:t>
      </w:r>
    </w:p>
    <w:p w14:paraId="3B42C9F8"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6.3 Phytochemicals as Immune Checkpoint Modulators</w:t>
      </w:r>
    </w:p>
    <w:p w14:paraId="0C4AF2E8"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Perhaps the most scientifically compelling development at the interface of herbal pharmacology and cancer immunotherapy is the discovery that certain phytochemicals can directly modulate immune checkpoint molecule expression on tumour cells. Resveratrol's mechanism is the most clearly characterised: Verdura et al. (2020) demonstrated that resveratrol disrupts PD-L1 glycosylation — a post-translational modification essential for PD-L1 surface stability and its engagement of PD-1 on T cells — and promotes PD-L1 proteasomal degradation. This is mechanistically distinct from the action of anti-PD-L1 antibodies such as atezolizumab, which block the PD-1/PD-L1 interaction at the cell surface without depleting PD-L1 itself. A combination of intracellular PD-L1 depletion (via resveratrol) with extracellular checkpoint blockade (via atezolizumab) could theoretically achieve more complete abrogation of this immunosuppressive axis than either mechanism alone.</w:t>
      </w:r>
    </w:p>
    <w:p w14:paraId="3255708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Quercetin, a </w:t>
      </w:r>
      <w:proofErr w:type="spellStart"/>
      <w:r w:rsidRPr="005D6A18">
        <w:rPr>
          <w:rFonts w:ascii="Times New Roman" w:eastAsia="Times New Roman" w:hAnsi="Times New Roman" w:cs="Times New Roman"/>
          <w:sz w:val="24"/>
          <w:szCs w:val="24"/>
          <w:lang w:eastAsia="en-GB"/>
        </w:rPr>
        <w:t>flavonol</w:t>
      </w:r>
      <w:proofErr w:type="spellEnd"/>
      <w:r w:rsidRPr="005D6A18">
        <w:rPr>
          <w:rFonts w:ascii="Times New Roman" w:eastAsia="Times New Roman" w:hAnsi="Times New Roman" w:cs="Times New Roman"/>
          <w:sz w:val="24"/>
          <w:szCs w:val="24"/>
          <w:lang w:eastAsia="en-GB"/>
        </w:rPr>
        <w:t xml:space="preserve"> found in </w:t>
      </w:r>
      <w:r w:rsidRPr="005D6A18">
        <w:rPr>
          <w:rFonts w:ascii="Times New Roman" w:eastAsia="Times New Roman" w:hAnsi="Times New Roman" w:cs="Times New Roman"/>
          <w:i/>
          <w:iCs/>
          <w:sz w:val="24"/>
          <w:szCs w:val="24"/>
          <w:lang w:eastAsia="en-GB"/>
        </w:rPr>
        <w:t>Allium cepa</w:t>
      </w:r>
      <w:r w:rsidRPr="005D6A18">
        <w:rPr>
          <w:rFonts w:ascii="Times New Roman" w:eastAsia="Times New Roman" w:hAnsi="Times New Roman" w:cs="Times New Roman"/>
          <w:sz w:val="24"/>
          <w:szCs w:val="24"/>
          <w:lang w:eastAsia="en-GB"/>
        </w:rPr>
        <w:t xml:space="preserve"> L. (onion), various </w:t>
      </w:r>
      <w:r w:rsidRPr="005D6A18">
        <w:rPr>
          <w:rFonts w:ascii="Times New Roman" w:eastAsia="Times New Roman" w:hAnsi="Times New Roman" w:cs="Times New Roman"/>
          <w:i/>
          <w:iCs/>
          <w:sz w:val="24"/>
          <w:szCs w:val="24"/>
          <w:lang w:eastAsia="en-GB"/>
        </w:rPr>
        <w:t>Hypericum</w:t>
      </w:r>
      <w:r w:rsidRPr="005D6A18">
        <w:rPr>
          <w:rFonts w:ascii="Times New Roman" w:eastAsia="Times New Roman" w:hAnsi="Times New Roman" w:cs="Times New Roman"/>
          <w:sz w:val="24"/>
          <w:szCs w:val="24"/>
          <w:lang w:eastAsia="en-GB"/>
        </w:rPr>
        <w:t xml:space="preserve"> species, and many Brassicaceae, has been reported to suppress PD-L1 transcription in cancer cells through inhibition of STAT3 and 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 xml:space="preserve">, both of which are established transcriptional drivers of PD-L1 in the context of inflammatory cytokine signalling (Russo et al., 2012). Curcumin's well-documented inhibitory effects on these same transcriptional regulators (Aggarwal &amp; Harikumar, 2009) suggest it may similarly attenuate PD-L1 expression, though this mechanistic inference requires dedicated experimental validation. If borne out, it would imply that multiple phytochemicals could function as "checkpoint sensitisers" when used alongside anti-PD-1/PD-L1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potentially expanding the fraction of patients who benefit from immunotherapy.</w:t>
      </w:r>
    </w:p>
    <w:p w14:paraId="12CA67AD" w14:textId="77777777" w:rsidR="002E6E04" w:rsidRPr="005D6A18" w:rsidRDefault="002E6E04" w:rsidP="00CB6E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 xml:space="preserve">6.4 </w:t>
      </w:r>
      <w:proofErr w:type="spellStart"/>
      <w:r w:rsidRPr="005D6A18">
        <w:rPr>
          <w:rFonts w:ascii="Times New Roman" w:eastAsia="Times New Roman" w:hAnsi="Times New Roman" w:cs="Times New Roman"/>
          <w:b/>
          <w:bCs/>
          <w:sz w:val="24"/>
          <w:szCs w:val="24"/>
          <w:lang w:eastAsia="en-GB"/>
        </w:rPr>
        <w:t>Nanoformulation</w:t>
      </w:r>
      <w:proofErr w:type="spellEnd"/>
      <w:r w:rsidRPr="005D6A18">
        <w:rPr>
          <w:rFonts w:ascii="Times New Roman" w:eastAsia="Times New Roman" w:hAnsi="Times New Roman" w:cs="Times New Roman"/>
          <w:b/>
          <w:bCs/>
          <w:sz w:val="24"/>
          <w:szCs w:val="24"/>
          <w:lang w:eastAsia="en-GB"/>
        </w:rPr>
        <w:t xml:space="preserve"> Strategies for Combination Delivery</w:t>
      </w:r>
    </w:p>
    <w:p w14:paraId="79F804A7"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Practical delivery of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combinations to tumours faces an inherent pharmacological challenge: the enormous disparity in molecular scale and pharmacokinetic behaviour between small-molecule phytochemicals and large protein-based antibodies. Nanotechnology platforms offer structurally elegant solutions. Nanoparticulate systems — liposomes, polymeric nanoparticles, or lipid nanostructures — can be surface-functionalised with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or antibody fragments (Fab fragments, single-chain variable fragments) to enable simultaneous and tumour-targeted delivery of both therapeutic moieties. Such </w:t>
      </w:r>
      <w:proofErr w:type="spellStart"/>
      <w:r w:rsidRPr="005D6A18">
        <w:rPr>
          <w:rFonts w:ascii="Times New Roman" w:eastAsia="Times New Roman" w:hAnsi="Times New Roman" w:cs="Times New Roman"/>
          <w:sz w:val="24"/>
          <w:szCs w:val="24"/>
          <w:lang w:eastAsia="en-GB"/>
        </w:rPr>
        <w:t>immunonanoparticle</w:t>
      </w:r>
      <w:proofErr w:type="spellEnd"/>
      <w:r w:rsidRPr="005D6A18">
        <w:rPr>
          <w:rFonts w:ascii="Times New Roman" w:eastAsia="Times New Roman" w:hAnsi="Times New Roman" w:cs="Times New Roman"/>
          <w:sz w:val="24"/>
          <w:szCs w:val="24"/>
          <w:lang w:eastAsia="en-GB"/>
        </w:rPr>
        <w:t xml:space="preserve"> constructs exploit the passive enhanced permeability and retention (EPR) effect characteristic of tumour vasculature, augmented by active targeting from the antibody component.</w:t>
      </w:r>
    </w:p>
    <w:p w14:paraId="3AD76C56"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Liposomal systems co-loading curcumin alongside HER2-targeting ligands have demonstrated superior anti-tumour efficacy in preclinical breast cancer models relative to individual agents, particularly in trastuzumab-resistant cell lines (</w:t>
      </w: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et al., 2012). Polymeric nanoparticle platforms functionalised with anti-EGFR antibody fragments for active EGCG delivery to EGFR-overexpressing tumours have also shown proof-of-concept in preclinical models (Siddiqui et al., 2009). These strategies are technically promising, but the regulatory and manufacturing complexity of combination </w:t>
      </w:r>
      <w:proofErr w:type="spellStart"/>
      <w:r w:rsidRPr="005D6A18">
        <w:rPr>
          <w:rFonts w:ascii="Times New Roman" w:eastAsia="Times New Roman" w:hAnsi="Times New Roman" w:cs="Times New Roman"/>
          <w:sz w:val="24"/>
          <w:szCs w:val="24"/>
          <w:lang w:eastAsia="en-GB"/>
        </w:rPr>
        <w:t>nanoformulations</w:t>
      </w:r>
      <w:proofErr w:type="spellEnd"/>
      <w:r w:rsidRPr="005D6A18">
        <w:rPr>
          <w:rFonts w:ascii="Times New Roman" w:eastAsia="Times New Roman" w:hAnsi="Times New Roman" w:cs="Times New Roman"/>
          <w:sz w:val="24"/>
          <w:szCs w:val="24"/>
          <w:lang w:eastAsia="en-GB"/>
        </w:rPr>
        <w:t xml:space="preserve"> substantially exceeds that of either constituent alone. Scale-up, stability, quality control, and the design of first-in-human pharmacokinetic studies all represent non-trivial hurdles. Table 4 summarises the principal preclinical combination evidence described in this section, together with the proposed mechanisms and observed effects.</w:t>
      </w:r>
    </w:p>
    <w:p w14:paraId="7563E7D8"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Table 4. Preclinical Evidence for Phytochemical–Monoclonal Antibody Combinations in Cancer</w:t>
      </w:r>
    </w:p>
    <w:tbl>
      <w:tblPr>
        <w:tblStyle w:val="TableGrid"/>
        <w:tblW w:w="0" w:type="auto"/>
        <w:tblLook w:val="04A0" w:firstRow="1" w:lastRow="0" w:firstColumn="1" w:lastColumn="0" w:noHBand="0" w:noVBand="1"/>
      </w:tblPr>
      <w:tblGrid>
        <w:gridCol w:w="1689"/>
        <w:gridCol w:w="1624"/>
        <w:gridCol w:w="1963"/>
        <w:gridCol w:w="1846"/>
        <w:gridCol w:w="2120"/>
      </w:tblGrid>
      <w:tr w:rsidR="002E6E04" w:rsidRPr="005D6A18" w14:paraId="48C89B8D" w14:textId="77777777" w:rsidTr="005D6A18">
        <w:tc>
          <w:tcPr>
            <w:tcW w:w="0" w:type="auto"/>
            <w:hideMark/>
          </w:tcPr>
          <w:p w14:paraId="14C24A0C"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Phytochemical</w:t>
            </w:r>
          </w:p>
        </w:tc>
        <w:tc>
          <w:tcPr>
            <w:tcW w:w="0" w:type="auto"/>
            <w:hideMark/>
          </w:tcPr>
          <w:p w14:paraId="7C9F7C82" w14:textId="77777777" w:rsidR="002E6E04" w:rsidRPr="005D6A18" w:rsidRDefault="002E6E04" w:rsidP="00CB6EE7">
            <w:pPr>
              <w:jc w:val="both"/>
              <w:rPr>
                <w:rFonts w:ascii="Times New Roman" w:eastAsia="Times New Roman" w:hAnsi="Times New Roman" w:cs="Times New Roman"/>
                <w:b/>
                <w:bCs/>
                <w:sz w:val="24"/>
                <w:szCs w:val="24"/>
                <w:lang w:eastAsia="en-GB"/>
              </w:rPr>
            </w:pPr>
            <w:proofErr w:type="spellStart"/>
            <w:r w:rsidRPr="005D6A18">
              <w:rPr>
                <w:rFonts w:ascii="Times New Roman" w:eastAsia="Times New Roman" w:hAnsi="Times New Roman" w:cs="Times New Roman"/>
                <w:b/>
                <w:bCs/>
                <w:sz w:val="24"/>
                <w:szCs w:val="24"/>
                <w:lang w:eastAsia="en-GB"/>
              </w:rPr>
              <w:t>mAb</w:t>
            </w:r>
            <w:proofErr w:type="spellEnd"/>
            <w:r w:rsidRPr="005D6A18">
              <w:rPr>
                <w:rFonts w:ascii="Times New Roman" w:eastAsia="Times New Roman" w:hAnsi="Times New Roman" w:cs="Times New Roman"/>
                <w:b/>
                <w:bCs/>
                <w:sz w:val="24"/>
                <w:szCs w:val="24"/>
                <w:lang w:eastAsia="en-GB"/>
              </w:rPr>
              <w:t xml:space="preserve"> Partner</w:t>
            </w:r>
          </w:p>
        </w:tc>
        <w:tc>
          <w:tcPr>
            <w:tcW w:w="0" w:type="auto"/>
            <w:hideMark/>
          </w:tcPr>
          <w:p w14:paraId="0D787261"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Cancer Model</w:t>
            </w:r>
          </w:p>
        </w:tc>
        <w:tc>
          <w:tcPr>
            <w:tcW w:w="0" w:type="auto"/>
            <w:hideMark/>
          </w:tcPr>
          <w:p w14:paraId="60C89D1F"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Proposed Mechanism</w:t>
            </w:r>
          </w:p>
        </w:tc>
        <w:tc>
          <w:tcPr>
            <w:tcW w:w="0" w:type="auto"/>
            <w:hideMark/>
          </w:tcPr>
          <w:p w14:paraId="0B409CB6"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Observed Effect</w:t>
            </w:r>
          </w:p>
        </w:tc>
      </w:tr>
      <w:tr w:rsidR="002E6E04" w:rsidRPr="005D6A18" w14:paraId="09121F65" w14:textId="77777777" w:rsidTr="005D6A18">
        <w:tc>
          <w:tcPr>
            <w:tcW w:w="0" w:type="auto"/>
            <w:hideMark/>
          </w:tcPr>
          <w:p w14:paraId="53045B3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Curcumin</w:t>
            </w:r>
          </w:p>
        </w:tc>
        <w:tc>
          <w:tcPr>
            <w:tcW w:w="0" w:type="auto"/>
            <w:hideMark/>
          </w:tcPr>
          <w:p w14:paraId="692C5BDE"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Trastuzumab</w:t>
            </w:r>
          </w:p>
        </w:tc>
        <w:tc>
          <w:tcPr>
            <w:tcW w:w="0" w:type="auto"/>
            <w:hideMark/>
          </w:tcPr>
          <w:p w14:paraId="65CD3C65"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 breast cancer cell lines/xenografts</w:t>
            </w:r>
          </w:p>
        </w:tc>
        <w:tc>
          <w:tcPr>
            <w:tcW w:w="0" w:type="auto"/>
            <w:hideMark/>
          </w:tcPr>
          <w:p w14:paraId="0D92EC5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HER2 downregulation; synergistic PI3K/Akt/mTOR inhibition</w:t>
            </w:r>
          </w:p>
        </w:tc>
        <w:tc>
          <w:tcPr>
            <w:tcW w:w="0" w:type="auto"/>
            <w:hideMark/>
          </w:tcPr>
          <w:p w14:paraId="5881DD4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Enhanced apoptosis; reduced proliferation</w:t>
            </w:r>
          </w:p>
        </w:tc>
      </w:tr>
      <w:tr w:rsidR="002E6E04" w:rsidRPr="005D6A18" w14:paraId="7D4AB550" w14:textId="77777777" w:rsidTr="005D6A18">
        <w:tc>
          <w:tcPr>
            <w:tcW w:w="0" w:type="auto"/>
            <w:hideMark/>
          </w:tcPr>
          <w:p w14:paraId="174B272E"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EGCG</w:t>
            </w:r>
          </w:p>
        </w:tc>
        <w:tc>
          <w:tcPr>
            <w:tcW w:w="0" w:type="auto"/>
            <w:hideMark/>
          </w:tcPr>
          <w:p w14:paraId="392AE01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Cetuximab</w:t>
            </w:r>
          </w:p>
        </w:tc>
        <w:tc>
          <w:tcPr>
            <w:tcW w:w="0" w:type="auto"/>
            <w:hideMark/>
          </w:tcPr>
          <w:p w14:paraId="3CE4683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EGFR+ colorectal/NSCLC cell lines</w:t>
            </w:r>
          </w:p>
        </w:tc>
        <w:tc>
          <w:tcPr>
            <w:tcW w:w="0" w:type="auto"/>
            <w:hideMark/>
          </w:tcPr>
          <w:p w14:paraId="217DE75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Dual EGFR/HER2 pathway inhibition; VEGF suppression</w:t>
            </w:r>
          </w:p>
        </w:tc>
        <w:tc>
          <w:tcPr>
            <w:tcW w:w="0" w:type="auto"/>
            <w:hideMark/>
          </w:tcPr>
          <w:p w14:paraId="762179CD"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Additive/synergistic growth inhibition</w:t>
            </w:r>
          </w:p>
        </w:tc>
      </w:tr>
      <w:tr w:rsidR="002E6E04" w:rsidRPr="005D6A18" w14:paraId="0567382D" w14:textId="77777777" w:rsidTr="005D6A18">
        <w:tc>
          <w:tcPr>
            <w:tcW w:w="0" w:type="auto"/>
            <w:hideMark/>
          </w:tcPr>
          <w:p w14:paraId="361ACA67"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Resveratrol</w:t>
            </w:r>
          </w:p>
        </w:tc>
        <w:tc>
          <w:tcPr>
            <w:tcW w:w="0" w:type="auto"/>
            <w:hideMark/>
          </w:tcPr>
          <w:p w14:paraId="3CD3B380"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Anti-PD-L1 (atezolizumab)</w:t>
            </w:r>
          </w:p>
        </w:tc>
        <w:tc>
          <w:tcPr>
            <w:tcW w:w="0" w:type="auto"/>
            <w:hideMark/>
          </w:tcPr>
          <w:p w14:paraId="209A066D"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Melanoma and breast cancer models</w:t>
            </w:r>
          </w:p>
        </w:tc>
        <w:tc>
          <w:tcPr>
            <w:tcW w:w="0" w:type="auto"/>
            <w:hideMark/>
          </w:tcPr>
          <w:p w14:paraId="4FF53DAB"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PD-L1 glycosylation disruption; proteasomal degradation</w:t>
            </w:r>
          </w:p>
        </w:tc>
        <w:tc>
          <w:tcPr>
            <w:tcW w:w="0" w:type="auto"/>
            <w:hideMark/>
          </w:tcPr>
          <w:p w14:paraId="0E4B9A3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Enhanced T-cell-mediated tumour killing</w:t>
            </w:r>
          </w:p>
        </w:tc>
      </w:tr>
      <w:tr w:rsidR="002E6E04" w:rsidRPr="005D6A18" w14:paraId="70446D94" w14:textId="77777777" w:rsidTr="005D6A18">
        <w:tc>
          <w:tcPr>
            <w:tcW w:w="0" w:type="auto"/>
            <w:hideMark/>
          </w:tcPr>
          <w:p w14:paraId="63E2B8D0"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Berberine</w:t>
            </w:r>
          </w:p>
        </w:tc>
        <w:tc>
          <w:tcPr>
            <w:tcW w:w="0" w:type="auto"/>
            <w:hideMark/>
          </w:tcPr>
          <w:p w14:paraId="0BD8F2AF"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Anti-PD-1 </w:t>
            </w:r>
            <w:proofErr w:type="spellStart"/>
            <w:r w:rsidRPr="005D6A18">
              <w:rPr>
                <w:rFonts w:ascii="Times New Roman" w:eastAsia="Times New Roman" w:hAnsi="Times New Roman" w:cs="Times New Roman"/>
                <w:sz w:val="24"/>
                <w:szCs w:val="24"/>
                <w:lang w:eastAsia="en-GB"/>
              </w:rPr>
              <w:t>mAbs</w:t>
            </w:r>
            <w:proofErr w:type="spellEnd"/>
          </w:p>
        </w:tc>
        <w:tc>
          <w:tcPr>
            <w:tcW w:w="0" w:type="auto"/>
            <w:hideMark/>
          </w:tcPr>
          <w:p w14:paraId="1CE2E55D"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Colon cancer cell lines/xenografts</w:t>
            </w:r>
          </w:p>
        </w:tc>
        <w:tc>
          <w:tcPr>
            <w:tcW w:w="0" w:type="auto"/>
            <w:hideMark/>
          </w:tcPr>
          <w:p w14:paraId="4785E6B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PD-L1 transcriptional suppression; MDSC reduction in TME</w:t>
            </w:r>
          </w:p>
        </w:tc>
        <w:tc>
          <w:tcPr>
            <w:tcW w:w="0" w:type="auto"/>
            <w:hideMark/>
          </w:tcPr>
          <w:p w14:paraId="76F0003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Improved anti-tumour immune response</w:t>
            </w:r>
          </w:p>
        </w:tc>
      </w:tr>
      <w:tr w:rsidR="002E6E04" w:rsidRPr="005D6A18" w14:paraId="74E4B719" w14:textId="77777777" w:rsidTr="005D6A18">
        <w:tc>
          <w:tcPr>
            <w:tcW w:w="0" w:type="auto"/>
            <w:hideMark/>
          </w:tcPr>
          <w:p w14:paraId="0C2CCADE"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Artesunate</w:t>
            </w:r>
          </w:p>
        </w:tc>
        <w:tc>
          <w:tcPr>
            <w:tcW w:w="0" w:type="auto"/>
            <w:hideMark/>
          </w:tcPr>
          <w:p w14:paraId="2D6F631E"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Anti-PD-1/PD-L1 </w:t>
            </w:r>
            <w:proofErr w:type="spellStart"/>
            <w:r w:rsidRPr="005D6A18">
              <w:rPr>
                <w:rFonts w:ascii="Times New Roman" w:eastAsia="Times New Roman" w:hAnsi="Times New Roman" w:cs="Times New Roman"/>
                <w:sz w:val="24"/>
                <w:szCs w:val="24"/>
                <w:lang w:eastAsia="en-GB"/>
              </w:rPr>
              <w:t>mAbs</w:t>
            </w:r>
            <w:proofErr w:type="spellEnd"/>
          </w:p>
        </w:tc>
        <w:tc>
          <w:tcPr>
            <w:tcW w:w="0" w:type="auto"/>
            <w:hideMark/>
          </w:tcPr>
          <w:p w14:paraId="253A3FC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Hepatocellular carcinoma models</w:t>
            </w:r>
          </w:p>
        </w:tc>
        <w:tc>
          <w:tcPr>
            <w:tcW w:w="0" w:type="auto"/>
            <w:hideMark/>
          </w:tcPr>
          <w:p w14:paraId="46AD92E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PD-L1 downregulation; M2→M1 macrophage repolarisation</w:t>
            </w:r>
          </w:p>
        </w:tc>
        <w:tc>
          <w:tcPr>
            <w:tcW w:w="0" w:type="auto"/>
            <w:hideMark/>
          </w:tcPr>
          <w:p w14:paraId="0BE89690"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TME remodelling; augmented checkpoint inhibitor efficacy</w:t>
            </w:r>
          </w:p>
        </w:tc>
      </w:tr>
      <w:tr w:rsidR="002E6E04" w:rsidRPr="005D6A18" w14:paraId="022F0971" w14:textId="77777777" w:rsidTr="005D6A18">
        <w:tc>
          <w:tcPr>
            <w:tcW w:w="0" w:type="auto"/>
            <w:hideMark/>
          </w:tcPr>
          <w:p w14:paraId="0551416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Curcumin</w:t>
            </w:r>
          </w:p>
        </w:tc>
        <w:tc>
          <w:tcPr>
            <w:tcW w:w="0" w:type="auto"/>
            <w:hideMark/>
          </w:tcPr>
          <w:p w14:paraId="1946E80F"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Bevacizumab</w:t>
            </w:r>
          </w:p>
        </w:tc>
        <w:tc>
          <w:tcPr>
            <w:tcW w:w="0" w:type="auto"/>
            <w:hideMark/>
          </w:tcPr>
          <w:p w14:paraId="5041408B"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Colorectal cancer cell lines/xenografts</w:t>
            </w:r>
          </w:p>
        </w:tc>
        <w:tc>
          <w:tcPr>
            <w:tcW w:w="0" w:type="auto"/>
            <w:hideMark/>
          </w:tcPr>
          <w:p w14:paraId="7255FE1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NF-</w:t>
            </w:r>
            <w:proofErr w:type="spellStart"/>
            <w:r w:rsidRPr="005D6A18">
              <w:rPr>
                <w:rFonts w:ascii="Times New Roman" w:eastAsia="Times New Roman" w:hAnsi="Times New Roman" w:cs="Times New Roman"/>
                <w:sz w:val="24"/>
                <w:szCs w:val="24"/>
                <w:lang w:eastAsia="en-GB"/>
              </w:rPr>
              <w:t>κB</w:t>
            </w:r>
            <w:proofErr w:type="spellEnd"/>
            <w:r w:rsidRPr="005D6A18">
              <w:rPr>
                <w:rFonts w:ascii="Times New Roman" w:eastAsia="Times New Roman" w:hAnsi="Times New Roman" w:cs="Times New Roman"/>
                <w:sz w:val="24"/>
                <w:szCs w:val="24"/>
                <w:lang w:eastAsia="en-GB"/>
              </w:rPr>
              <w:t>-mediated VEGF transcriptional suppression</w:t>
            </w:r>
          </w:p>
        </w:tc>
        <w:tc>
          <w:tcPr>
            <w:tcW w:w="0" w:type="auto"/>
            <w:hideMark/>
          </w:tcPr>
          <w:p w14:paraId="6800CFC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Additive anti-angiogenic and anti-proliferative effects</w:t>
            </w:r>
          </w:p>
        </w:tc>
      </w:tr>
    </w:tbl>
    <w:p w14:paraId="6189DDDC"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Sources: Aggarwal &amp; Harikumar (2009); </w:t>
      </w:r>
      <w:proofErr w:type="spellStart"/>
      <w:r w:rsidRPr="005D6A18">
        <w:rPr>
          <w:rFonts w:ascii="Times New Roman" w:eastAsia="Times New Roman" w:hAnsi="Times New Roman" w:cs="Times New Roman"/>
          <w:sz w:val="24"/>
          <w:szCs w:val="24"/>
          <w:lang w:eastAsia="en-GB"/>
        </w:rPr>
        <w:t>Efferth</w:t>
      </w:r>
      <w:proofErr w:type="spellEnd"/>
      <w:r w:rsidRPr="005D6A18">
        <w:rPr>
          <w:rFonts w:ascii="Times New Roman" w:eastAsia="Times New Roman" w:hAnsi="Times New Roman" w:cs="Times New Roman"/>
          <w:sz w:val="24"/>
          <w:szCs w:val="24"/>
          <w:lang w:eastAsia="en-GB"/>
        </w:rPr>
        <w:t xml:space="preserve"> (2017); </w:t>
      </w:r>
      <w:proofErr w:type="spellStart"/>
      <w:r w:rsidRPr="005D6A18">
        <w:rPr>
          <w:rFonts w:ascii="Times New Roman" w:eastAsia="Times New Roman" w:hAnsi="Times New Roman" w:cs="Times New Roman"/>
          <w:sz w:val="24"/>
          <w:szCs w:val="24"/>
          <w:lang w:eastAsia="en-GB"/>
        </w:rPr>
        <w:t>Imenshahidi</w:t>
      </w:r>
      <w:proofErr w:type="spellEnd"/>
      <w:r w:rsidRPr="005D6A18">
        <w:rPr>
          <w:rFonts w:ascii="Times New Roman" w:eastAsia="Times New Roman" w:hAnsi="Times New Roman" w:cs="Times New Roman"/>
          <w:sz w:val="24"/>
          <w:szCs w:val="24"/>
          <w:lang w:eastAsia="en-GB"/>
        </w:rPr>
        <w:t xml:space="preserve"> &amp; Hosseinzadeh (2016); Khan et al. (2006); Phi et al. (2018); Verdura et al. (2020); </w:t>
      </w: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et al. (2012).</w:t>
      </w:r>
    </w:p>
    <w:p w14:paraId="01112868"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Note: Evidence in this table is derived predominantly from in vitro and in vivo preclinical studies. Clinical validation of these combination strategies in human subjects remains largely pending.</w:t>
      </w:r>
    </w:p>
    <w:p w14:paraId="0A47BBFB"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7D034760"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7. Clinical Translation and Regulatory Considerations</w:t>
      </w:r>
    </w:p>
    <w:p w14:paraId="01D62640"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Moving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combinations from preclinical models to clinical practice requires navigating a dense set of scientific, regulatory, and commercial challenges that must be squarely addressed. Unlike conventional synthetic drugs, phytochemicals derived from botanical sources are intrinsically susceptible to batch-to-batch variation in composition and potency, arising from differences in plant genetics, cultivation conditions, post-harvest processing, and storage. This variability creates real difficulties for dose standardisation and quality control. Regulatory agencies including the EMA and FDA apply rigorous standards of product quality, safety, and efficacy that have historically been difficult to satisfy for complex botanical preparations.</w:t>
      </w:r>
    </w:p>
    <w:p w14:paraId="0F862491"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Clinical trial design for these combinations adds further complexity. Standard oncology trial frameworks presuppose well-characterised, stably formulated single agents administered at reproducible doses; introducing </w:t>
      </w:r>
      <w:proofErr w:type="gramStart"/>
      <w:r w:rsidRPr="005D6A18">
        <w:rPr>
          <w:rFonts w:ascii="Times New Roman" w:eastAsia="Times New Roman" w:hAnsi="Times New Roman" w:cs="Times New Roman"/>
          <w:sz w:val="24"/>
          <w:szCs w:val="24"/>
          <w:lang w:eastAsia="en-GB"/>
        </w:rPr>
        <w:t>a</w:t>
      </w:r>
      <w:proofErr w:type="gramEnd"/>
      <w:r w:rsidRPr="005D6A18">
        <w:rPr>
          <w:rFonts w:ascii="Times New Roman" w:eastAsia="Times New Roman" w:hAnsi="Times New Roman" w:cs="Times New Roman"/>
          <w:sz w:val="24"/>
          <w:szCs w:val="24"/>
          <w:lang w:eastAsia="en-GB"/>
        </w:rPr>
        <w:t xml:space="preserve"> herbal phytochemical unsettles each of these assumptions. Inter-patient variability in phytochemical absorption and metabolism, the need for validated pharmacodynamic endpoints, potential herb–drug pharmacokinetic interactions, and appropriate primary endpoint selection all require careful a priori design (Prasad et al., 2014; Holohan et al., 2013). Phase I dose-escalation studies for such combinations must specifically characterise interactions between phytochemicals and their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or chemotherapy partners, since many phytochemicals modulate cytochrome P450 isoforms and ATP-binding cassette (ABC) efflux transporters in ways that could alter systemic drug exposure.</w:t>
      </w:r>
    </w:p>
    <w:p w14:paraId="283594D0"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Resistance to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therapy — through target antigen loss, bypass signalling, immune exclusion, or CSC repopulation (Holohan et al., 2013; Phi et al., 2018) — also needs to be factored into trial design. The specific resistance mechanism most relevant to the chosen cancer type may determine which phytochemical partner is most rational, and predictive biomarker stratification of enrolled patients is essential for interpreting combination data. Adaptive trial designs, which permit protocol modification based on accumulating interim data including molecular biomarker results, offer a promising and efficient framework for this purpose.</w:t>
      </w:r>
    </w:p>
    <w:p w14:paraId="2A9ABAA4"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lastRenderedPageBreak/>
        <w:t>Intellectual property also shapes what combinations reach clinical evaluation. Natural products in their unmodified form are not patentable, which limits commercial investment in phytochemical clinical development. Novel formulations — proprietary nanocarriers, for instance — specific combination regimens, or structurally optimised synthetic analogues may attract patent protection, and academic–industry partnerships are likely necessary to bridge this gap. Public research funding and philanthropic investment will be important complementary mechanisms.</w:t>
      </w:r>
    </w:p>
    <w:p w14:paraId="0CF6FF92"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Finally, patient safety warrants explicit attention. Clinical surveys across cancer populations consistently show that a substantial fraction of patients use herbal products during anti-cancer treatment without disclosing this to their oncology team (Russo et al., 2012). The pharmacodynamic implications — immune stimulation during checkpoint inhibitor therapy, for instance — could be clinically meaningful. Oncology clinicians should routinely and non-judgementally enquire about herbal supplement use and provide evidence-based guidance on potential risks. Table 5 consolidates the principal translational barriers discussed in this section, together with the available mitigation strategies.</w:t>
      </w:r>
    </w:p>
    <w:p w14:paraId="7AB73D48"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b/>
          <w:bCs/>
          <w:sz w:val="24"/>
          <w:szCs w:val="24"/>
          <w:lang w:eastAsia="en-GB"/>
        </w:rPr>
        <w:t>Table 5. Translational Barriers and Strategies for Herbal Drug–</w:t>
      </w:r>
      <w:proofErr w:type="spellStart"/>
      <w:r w:rsidRPr="005D6A18">
        <w:rPr>
          <w:rFonts w:ascii="Times New Roman" w:eastAsia="Times New Roman" w:hAnsi="Times New Roman" w:cs="Times New Roman"/>
          <w:b/>
          <w:bCs/>
          <w:sz w:val="24"/>
          <w:szCs w:val="24"/>
          <w:lang w:eastAsia="en-GB"/>
        </w:rPr>
        <w:t>mAb</w:t>
      </w:r>
      <w:proofErr w:type="spellEnd"/>
      <w:r w:rsidRPr="005D6A18">
        <w:rPr>
          <w:rFonts w:ascii="Times New Roman" w:eastAsia="Times New Roman" w:hAnsi="Times New Roman" w:cs="Times New Roman"/>
          <w:b/>
          <w:bCs/>
          <w:sz w:val="24"/>
          <w:szCs w:val="24"/>
          <w:lang w:eastAsia="en-GB"/>
        </w:rPr>
        <w:t xml:space="preserve"> Combination Development in Oncology</w:t>
      </w:r>
    </w:p>
    <w:tbl>
      <w:tblPr>
        <w:tblStyle w:val="TableGrid"/>
        <w:tblW w:w="0" w:type="auto"/>
        <w:tblLook w:val="04A0" w:firstRow="1" w:lastRow="0" w:firstColumn="1" w:lastColumn="0" w:noHBand="0" w:noVBand="1"/>
      </w:tblPr>
      <w:tblGrid>
        <w:gridCol w:w="2100"/>
        <w:gridCol w:w="2929"/>
        <w:gridCol w:w="4213"/>
      </w:tblGrid>
      <w:tr w:rsidR="002E6E04" w:rsidRPr="005D6A18" w14:paraId="0665EEC5" w14:textId="77777777" w:rsidTr="005D6A18">
        <w:tc>
          <w:tcPr>
            <w:tcW w:w="0" w:type="auto"/>
            <w:hideMark/>
          </w:tcPr>
          <w:p w14:paraId="62B6EAAA"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Barrier</w:t>
            </w:r>
          </w:p>
        </w:tc>
        <w:tc>
          <w:tcPr>
            <w:tcW w:w="0" w:type="auto"/>
            <w:hideMark/>
          </w:tcPr>
          <w:p w14:paraId="1E55712C"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Nature of Challenge</w:t>
            </w:r>
          </w:p>
        </w:tc>
        <w:tc>
          <w:tcPr>
            <w:tcW w:w="0" w:type="auto"/>
            <w:hideMark/>
          </w:tcPr>
          <w:p w14:paraId="4EE370A9" w14:textId="77777777" w:rsidR="002E6E04" w:rsidRPr="005D6A18" w:rsidRDefault="002E6E04" w:rsidP="00CB6EE7">
            <w:pPr>
              <w:jc w:val="both"/>
              <w:rPr>
                <w:rFonts w:ascii="Times New Roman" w:eastAsia="Times New Roman" w:hAnsi="Times New Roman" w:cs="Times New Roman"/>
                <w:b/>
                <w:bCs/>
                <w:sz w:val="24"/>
                <w:szCs w:val="24"/>
                <w:lang w:eastAsia="en-GB"/>
              </w:rPr>
            </w:pPr>
            <w:r w:rsidRPr="005D6A18">
              <w:rPr>
                <w:rFonts w:ascii="Times New Roman" w:eastAsia="Times New Roman" w:hAnsi="Times New Roman" w:cs="Times New Roman"/>
                <w:b/>
                <w:bCs/>
                <w:sz w:val="24"/>
                <w:szCs w:val="24"/>
                <w:lang w:eastAsia="en-GB"/>
              </w:rPr>
              <w:t>Potential Mitigation Strategy</w:t>
            </w:r>
          </w:p>
        </w:tc>
      </w:tr>
      <w:tr w:rsidR="002E6E04" w:rsidRPr="005D6A18" w14:paraId="4A05ED07" w14:textId="77777777" w:rsidTr="005D6A18">
        <w:tc>
          <w:tcPr>
            <w:tcW w:w="0" w:type="auto"/>
            <w:hideMark/>
          </w:tcPr>
          <w:p w14:paraId="0F85BA3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Phytochemical bioavailability</w:t>
            </w:r>
          </w:p>
        </w:tc>
        <w:tc>
          <w:tcPr>
            <w:tcW w:w="0" w:type="auto"/>
            <w:hideMark/>
          </w:tcPr>
          <w:p w14:paraId="18455767"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Poor solubility; rapid first-pass metabolism; low systemic exposure</w:t>
            </w:r>
          </w:p>
        </w:tc>
        <w:tc>
          <w:tcPr>
            <w:tcW w:w="0" w:type="auto"/>
            <w:hideMark/>
          </w:tcPr>
          <w:p w14:paraId="3736BD38" w14:textId="77777777" w:rsidR="002E6E04" w:rsidRPr="005D6A18" w:rsidRDefault="002E6E04" w:rsidP="00CB6EE7">
            <w:pPr>
              <w:jc w:val="both"/>
              <w:rPr>
                <w:rFonts w:ascii="Times New Roman" w:eastAsia="Times New Roman" w:hAnsi="Times New Roman" w:cs="Times New Roman"/>
                <w:sz w:val="24"/>
                <w:szCs w:val="24"/>
                <w:lang w:eastAsia="en-GB"/>
              </w:rPr>
            </w:pPr>
            <w:proofErr w:type="spellStart"/>
            <w:r w:rsidRPr="005D6A18">
              <w:rPr>
                <w:rFonts w:ascii="Times New Roman" w:eastAsia="Times New Roman" w:hAnsi="Times New Roman" w:cs="Times New Roman"/>
                <w:sz w:val="24"/>
                <w:szCs w:val="24"/>
                <w:lang w:eastAsia="en-GB"/>
              </w:rPr>
              <w:t>Nanoformulations</w:t>
            </w:r>
            <w:proofErr w:type="spellEnd"/>
            <w:r w:rsidRPr="005D6A18">
              <w:rPr>
                <w:rFonts w:ascii="Times New Roman" w:eastAsia="Times New Roman" w:hAnsi="Times New Roman" w:cs="Times New Roman"/>
                <w:sz w:val="24"/>
                <w:szCs w:val="24"/>
                <w:lang w:eastAsia="en-GB"/>
              </w:rPr>
              <w:t xml:space="preserve"> (liposomes, polymeric nanoparticles, </w:t>
            </w:r>
            <w:proofErr w:type="spellStart"/>
            <w:r w:rsidRPr="005D6A18">
              <w:rPr>
                <w:rFonts w:ascii="Times New Roman" w:eastAsia="Times New Roman" w:hAnsi="Times New Roman" w:cs="Times New Roman"/>
                <w:sz w:val="24"/>
                <w:szCs w:val="24"/>
                <w:lang w:eastAsia="en-GB"/>
              </w:rPr>
              <w:t>nanoemulsions</w:t>
            </w:r>
            <w:proofErr w:type="spellEnd"/>
            <w:r w:rsidRPr="005D6A18">
              <w:rPr>
                <w:rFonts w:ascii="Times New Roman" w:eastAsia="Times New Roman" w:hAnsi="Times New Roman" w:cs="Times New Roman"/>
                <w:sz w:val="24"/>
                <w:szCs w:val="24"/>
                <w:lang w:eastAsia="en-GB"/>
              </w:rPr>
              <w:t>); piperine co-administration; structural analogue development</w:t>
            </w:r>
          </w:p>
        </w:tc>
      </w:tr>
      <w:tr w:rsidR="002E6E04" w:rsidRPr="005D6A18" w14:paraId="598B93D9" w14:textId="77777777" w:rsidTr="005D6A18">
        <w:tc>
          <w:tcPr>
            <w:tcW w:w="0" w:type="auto"/>
            <w:hideMark/>
          </w:tcPr>
          <w:p w14:paraId="6062FDA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Product standardisation</w:t>
            </w:r>
          </w:p>
        </w:tc>
        <w:tc>
          <w:tcPr>
            <w:tcW w:w="0" w:type="auto"/>
            <w:hideMark/>
          </w:tcPr>
          <w:p w14:paraId="50AA073F"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Batch-to-batch variability in botanical preparations</w:t>
            </w:r>
          </w:p>
        </w:tc>
        <w:tc>
          <w:tcPr>
            <w:tcW w:w="0" w:type="auto"/>
            <w:hideMark/>
          </w:tcPr>
          <w:p w14:paraId="25E4E75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Use of isolated, chemically characterised pure compounds; stringent quality control; standardised quantification</w:t>
            </w:r>
          </w:p>
        </w:tc>
      </w:tr>
      <w:tr w:rsidR="002E6E04" w:rsidRPr="005D6A18" w14:paraId="7375D536" w14:textId="77777777" w:rsidTr="005D6A18">
        <w:tc>
          <w:tcPr>
            <w:tcW w:w="0" w:type="auto"/>
            <w:hideMark/>
          </w:tcPr>
          <w:p w14:paraId="5AB3E23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Pharmacokinetic interactions</w:t>
            </w:r>
          </w:p>
        </w:tc>
        <w:tc>
          <w:tcPr>
            <w:tcW w:w="0" w:type="auto"/>
            <w:hideMark/>
          </w:tcPr>
          <w:p w14:paraId="41FA57E2"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CYP enzyme modulation; ABC transporter effects on concurrent agents</w:t>
            </w:r>
          </w:p>
        </w:tc>
        <w:tc>
          <w:tcPr>
            <w:tcW w:w="0" w:type="auto"/>
            <w:hideMark/>
          </w:tcPr>
          <w:p w14:paraId="3C0A554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Rigorous Phase I PK characterisation; in vitro CYP and transporter inhibition profiling</w:t>
            </w:r>
          </w:p>
        </w:tc>
      </w:tr>
      <w:tr w:rsidR="002E6E04" w:rsidRPr="005D6A18" w14:paraId="5D03D437" w14:textId="77777777" w:rsidTr="005D6A18">
        <w:tc>
          <w:tcPr>
            <w:tcW w:w="0" w:type="auto"/>
            <w:hideMark/>
          </w:tcPr>
          <w:p w14:paraId="0A816BB6"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Clinical trial design</w:t>
            </w:r>
          </w:p>
        </w:tc>
        <w:tc>
          <w:tcPr>
            <w:tcW w:w="0" w:type="auto"/>
            <w:hideMark/>
          </w:tcPr>
          <w:p w14:paraId="220DD898"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Variable phytochemical exposure; endpoint selection; dose–schedule optimisation</w:t>
            </w:r>
          </w:p>
        </w:tc>
        <w:tc>
          <w:tcPr>
            <w:tcW w:w="0" w:type="auto"/>
            <w:hideMark/>
          </w:tcPr>
          <w:p w14:paraId="083B10E5"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Adaptive designs; biomarker-stratified enrolment; validated pharmacodynamic endpoints</w:t>
            </w:r>
          </w:p>
        </w:tc>
      </w:tr>
      <w:tr w:rsidR="002E6E04" w:rsidRPr="005D6A18" w14:paraId="66238EF5" w14:textId="77777777" w:rsidTr="005D6A18">
        <w:tc>
          <w:tcPr>
            <w:tcW w:w="0" w:type="auto"/>
            <w:hideMark/>
          </w:tcPr>
          <w:p w14:paraId="76F13691"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Regulatory pathway</w:t>
            </w:r>
          </w:p>
        </w:tc>
        <w:tc>
          <w:tcPr>
            <w:tcW w:w="0" w:type="auto"/>
            <w:hideMark/>
          </w:tcPr>
          <w:p w14:paraId="1EC74ACB"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No established framework for herbal–biologic combination products</w:t>
            </w:r>
          </w:p>
        </w:tc>
        <w:tc>
          <w:tcPr>
            <w:tcW w:w="0" w:type="auto"/>
            <w:hideMark/>
          </w:tcPr>
          <w:p w14:paraId="5E8D19C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Early regulatory scientific advice; phased approval strategies; quality-by-design approaches</w:t>
            </w:r>
          </w:p>
        </w:tc>
      </w:tr>
      <w:tr w:rsidR="002E6E04" w:rsidRPr="005D6A18" w14:paraId="038FAC17" w14:textId="77777777" w:rsidTr="005D6A18">
        <w:tc>
          <w:tcPr>
            <w:tcW w:w="0" w:type="auto"/>
            <w:hideMark/>
          </w:tcPr>
          <w:p w14:paraId="7D3043C3"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Commercial and IP constraints</w:t>
            </w:r>
          </w:p>
        </w:tc>
        <w:tc>
          <w:tcPr>
            <w:tcW w:w="0" w:type="auto"/>
            <w:hideMark/>
          </w:tcPr>
          <w:p w14:paraId="3FA48C3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Limited patentability of natural compounds; reduced industry investment</w:t>
            </w:r>
          </w:p>
        </w:tc>
        <w:tc>
          <w:tcPr>
            <w:tcW w:w="0" w:type="auto"/>
            <w:hideMark/>
          </w:tcPr>
          <w:p w14:paraId="26A42E44"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Novel formulation patents; academic–industry consortia; public and philanthropic funding</w:t>
            </w:r>
          </w:p>
        </w:tc>
      </w:tr>
      <w:tr w:rsidR="002E6E04" w:rsidRPr="005D6A18" w14:paraId="2C82C172" w14:textId="77777777" w:rsidTr="005D6A18">
        <w:tc>
          <w:tcPr>
            <w:tcW w:w="0" w:type="auto"/>
            <w:hideMark/>
          </w:tcPr>
          <w:p w14:paraId="39C9A979"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Resistance mechanisms</w:t>
            </w:r>
          </w:p>
        </w:tc>
        <w:tc>
          <w:tcPr>
            <w:tcW w:w="0" w:type="auto"/>
            <w:hideMark/>
          </w:tcPr>
          <w:p w14:paraId="08776CDD"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Target antigen loss; bypass signalling; immune exclusion; CSC persistence</w:t>
            </w:r>
          </w:p>
        </w:tc>
        <w:tc>
          <w:tcPr>
            <w:tcW w:w="0" w:type="auto"/>
            <w:hideMark/>
          </w:tcPr>
          <w:p w14:paraId="68980EF5"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Biomarker-guided partner selection; sequential therapy design; CSC-targeting strategies</w:t>
            </w:r>
          </w:p>
        </w:tc>
      </w:tr>
      <w:tr w:rsidR="002E6E04" w:rsidRPr="005D6A18" w14:paraId="402A1509" w14:textId="77777777" w:rsidTr="005D6A18">
        <w:tc>
          <w:tcPr>
            <w:tcW w:w="0" w:type="auto"/>
            <w:hideMark/>
          </w:tcPr>
          <w:p w14:paraId="2F43F03B"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Patient safety risks</w:t>
            </w:r>
          </w:p>
        </w:tc>
        <w:tc>
          <w:tcPr>
            <w:tcW w:w="0" w:type="auto"/>
            <w:hideMark/>
          </w:tcPr>
          <w:p w14:paraId="5C63DBA7"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Unsupervised herbal self-medication during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therapy</w:t>
            </w:r>
          </w:p>
        </w:tc>
        <w:tc>
          <w:tcPr>
            <w:tcW w:w="0" w:type="auto"/>
            <w:hideMark/>
          </w:tcPr>
          <w:p w14:paraId="7DEE75CC" w14:textId="77777777" w:rsidR="002E6E04" w:rsidRPr="005D6A18" w:rsidRDefault="002E6E04" w:rsidP="00CB6EE7">
            <w:pPr>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Structured supplement disclosure at clinic visits; patient education; clinical pharmacist review</w:t>
            </w:r>
          </w:p>
        </w:tc>
      </w:tr>
    </w:tbl>
    <w:p w14:paraId="2975D2E9"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D6FBC">
        <w:rPr>
          <w:rFonts w:ascii="Times New Roman" w:eastAsia="Times New Roman" w:hAnsi="Times New Roman" w:cs="Times New Roman"/>
          <w:sz w:val="24"/>
          <w:szCs w:val="24"/>
          <w:lang w:val="nl-BE" w:eastAsia="en-GB"/>
        </w:rPr>
        <w:lastRenderedPageBreak/>
        <w:t xml:space="preserve">Sources: Drago et al. (2021); Holohan et al. (2013); Labrijn et al. (2019); Phi et al. (2018); Prasad et al. (2014); Russo et al. (2012); Siddiqui et al. </w:t>
      </w:r>
      <w:r w:rsidRPr="005D6A18">
        <w:rPr>
          <w:rFonts w:ascii="Times New Roman" w:eastAsia="Times New Roman" w:hAnsi="Times New Roman" w:cs="Times New Roman"/>
          <w:sz w:val="24"/>
          <w:szCs w:val="24"/>
          <w:lang w:eastAsia="en-GB"/>
        </w:rPr>
        <w:t xml:space="preserve">(2009); </w:t>
      </w:r>
      <w:proofErr w:type="spellStart"/>
      <w:r w:rsidRPr="005D6A18">
        <w:rPr>
          <w:rFonts w:ascii="Times New Roman" w:eastAsia="Times New Roman" w:hAnsi="Times New Roman" w:cs="Times New Roman"/>
          <w:sz w:val="24"/>
          <w:szCs w:val="24"/>
          <w:lang w:eastAsia="en-GB"/>
        </w:rPr>
        <w:t>Yallapu</w:t>
      </w:r>
      <w:proofErr w:type="spellEnd"/>
      <w:r w:rsidRPr="005D6A18">
        <w:rPr>
          <w:rFonts w:ascii="Times New Roman" w:eastAsia="Times New Roman" w:hAnsi="Times New Roman" w:cs="Times New Roman"/>
          <w:sz w:val="24"/>
          <w:szCs w:val="24"/>
          <w:lang w:eastAsia="en-GB"/>
        </w:rPr>
        <w:t xml:space="preserve"> et al. (2012).</w:t>
      </w:r>
    </w:p>
    <w:p w14:paraId="282909EA"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496E249B"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8. Future Directions</w:t>
      </w:r>
    </w:p>
    <w:p w14:paraId="217F3CE8"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integration of herbal pharmacology with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-based oncotherapy is at a productive but early stage. Several research directions stand out as priorities for the coming decade.</w:t>
      </w:r>
    </w:p>
    <w:p w14:paraId="295047A8"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most immediate need is rigorous, systematic characterisation of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pharmacodynamic and pharmacokinetic interactions. Most combination data to date come from cell culture studies or xenograft experiments without comprehensive assessment of how these agents interact at molecular, cellular, and systemic levels. Well-designed in vivo studies incorporating pharmacokinetic modelling, biomarker discovery, and detailed immune profiling are essential before first-in-human combination trials can be rationally designed. Equally important is the development of validated, clinically applicable pharmacodynamic assays — including tumour biopsy-based pathway activation readouts and circulating immune cell phenotyping — that can confirm mechanism of action in the clinical setting rather than merely inferring it from preclinical data.</w:t>
      </w:r>
    </w:p>
    <w:p w14:paraId="07D9B46D"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Next-generation nanotechnology platforms represent a compelling engineering frontier. Nanocarriers incorporating stimuli-responsive drug release mechanisms — pH-sensitive, redox-sensitive, or enzyme-cleavable linkers — could enable selective payload release within the biochemical microenvironment of the tumour, improving the therapeutic ratio of combination approaches and allowing more predictable drug interactions at the site of disease. The co-delivery of phytochemicals with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fragments through such platforms could overcome current limitations of administering agents with vastly different pharmacokinetic profiles simultaneously.</w:t>
      </w:r>
    </w:p>
    <w:p w14:paraId="45EB7C82"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Artificial intelligence and machine learning offer transformative potential in this space. Computational tools capable of integrating multi-</w:t>
      </w:r>
      <w:proofErr w:type="spellStart"/>
      <w:r w:rsidRPr="005D6A18">
        <w:rPr>
          <w:rFonts w:ascii="Times New Roman" w:eastAsia="Times New Roman" w:hAnsi="Times New Roman" w:cs="Times New Roman"/>
          <w:sz w:val="24"/>
          <w:szCs w:val="24"/>
          <w:lang w:eastAsia="en-GB"/>
        </w:rPr>
        <w:t>omic</w:t>
      </w:r>
      <w:proofErr w:type="spellEnd"/>
      <w:r w:rsidRPr="005D6A18">
        <w:rPr>
          <w:rFonts w:ascii="Times New Roman" w:eastAsia="Times New Roman" w:hAnsi="Times New Roman" w:cs="Times New Roman"/>
          <w:sz w:val="24"/>
          <w:szCs w:val="24"/>
          <w:lang w:eastAsia="en-GB"/>
        </w:rPr>
        <w:t xml:space="preserve"> datasets — genomics, transcriptomics, proteomics, metabolomics — with structural </w:t>
      </w:r>
      <w:proofErr w:type="spellStart"/>
      <w:r w:rsidRPr="005D6A18">
        <w:rPr>
          <w:rFonts w:ascii="Times New Roman" w:eastAsia="Times New Roman" w:hAnsi="Times New Roman" w:cs="Times New Roman"/>
          <w:sz w:val="24"/>
          <w:szCs w:val="24"/>
          <w:lang w:eastAsia="en-GB"/>
        </w:rPr>
        <w:t>pharmacochemistry</w:t>
      </w:r>
      <w:proofErr w:type="spellEnd"/>
      <w:r w:rsidRPr="005D6A18">
        <w:rPr>
          <w:rFonts w:ascii="Times New Roman" w:eastAsia="Times New Roman" w:hAnsi="Times New Roman" w:cs="Times New Roman"/>
          <w:sz w:val="24"/>
          <w:szCs w:val="24"/>
          <w:lang w:eastAsia="en-GB"/>
        </w:rPr>
        <w:t xml:space="preserve"> data from phytochemical libraries and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binding profiles could rapidly narrow the combinatorial space to the most pharmacologically rational pairings. AI-driven patient stratification, using tumour molecular profiles to predict response to specific combinations, could substantially improve trial efficiency and the probability of clinical success.</w:t>
      </w:r>
    </w:p>
    <w:p w14:paraId="761468EE"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preclinical findings on phytochemical modulation of PD-L1 expression, MDSC function, and TME immunosuppression warrant dedicated early-phase clinical investigation. Carefully designed trials with built-in biomarker stratification — including PD-L1 expression level, tumour mutational burden, and serial tumour immunophenotyping — would provide the first robust human evidence for or against the immunomodulatory potential of phytochemicals in the context of checkpoint inhibitor therapy.</w:t>
      </w:r>
    </w:p>
    <w:p w14:paraId="080A6D46"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gut microbiome represents another underexplored dimension. Several phytochemicals have prebiotic activity and can substantially alter microbiome composition; concurrently, microbiome composition is now recognised as a predictor of response to anti-PD-1 checkpoint inhibitors. The three-way interplay between phytochemicals, microbiome, and </w:t>
      </w:r>
      <w:proofErr w:type="spellStart"/>
      <w:r w:rsidRPr="005D6A18">
        <w:rPr>
          <w:rFonts w:ascii="Times New Roman" w:eastAsia="Times New Roman" w:hAnsi="Times New Roman" w:cs="Times New Roman"/>
          <w:sz w:val="24"/>
          <w:szCs w:val="24"/>
          <w:lang w:eastAsia="en-GB"/>
        </w:rPr>
        <w:lastRenderedPageBreak/>
        <w:t>mAb</w:t>
      </w:r>
      <w:proofErr w:type="spellEnd"/>
      <w:r w:rsidRPr="005D6A18">
        <w:rPr>
          <w:rFonts w:ascii="Times New Roman" w:eastAsia="Times New Roman" w:hAnsi="Times New Roman" w:cs="Times New Roman"/>
          <w:sz w:val="24"/>
          <w:szCs w:val="24"/>
          <w:lang w:eastAsia="en-GB"/>
        </w:rPr>
        <w:t>-mediated immune responses is mechanistically plausible and could yield important translational insights.</w:t>
      </w:r>
    </w:p>
    <w:p w14:paraId="130EBED2"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Regulatory frameworks specifically designed for herbal–biologic combination products are needed. Early and proactive engagement with regulatory agencies will be essential to establish acceptable quality standards, safety assessment requirements, and efficient clinical development pathways. Finally, the equity dimension of this research agenda must be stated explicitly: anti-cancer </w:t>
      </w:r>
      <w:proofErr w:type="spellStart"/>
      <w:r w:rsidRPr="005D6A18">
        <w:rPr>
          <w:rFonts w:ascii="Times New Roman" w:eastAsia="Times New Roman" w:hAnsi="Times New Roman" w:cs="Times New Roman"/>
          <w:sz w:val="24"/>
          <w:szCs w:val="24"/>
          <w:lang w:eastAsia="en-GB"/>
        </w:rPr>
        <w:t>mAbs</w:t>
      </w:r>
      <w:proofErr w:type="spellEnd"/>
      <w:r w:rsidRPr="005D6A18">
        <w:rPr>
          <w:rFonts w:ascii="Times New Roman" w:eastAsia="Times New Roman" w:hAnsi="Times New Roman" w:cs="Times New Roman"/>
          <w:sz w:val="24"/>
          <w:szCs w:val="24"/>
          <w:lang w:eastAsia="en-GB"/>
        </w:rPr>
        <w:t xml:space="preserve"> remain unaffordable in much of the world, precisely where cancer incidence is rising fastest. Phytochemical-based strategies, given their relative cost and accessibility, may have particular relevance in resource-limited settings — but only if adequate clinical evidence is generated for those populations.</w:t>
      </w:r>
    </w:p>
    <w:p w14:paraId="37BB2E18"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22E42437"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9. Conclusions</w:t>
      </w:r>
    </w:p>
    <w:p w14:paraId="254E0F20"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Herbal drugs and monoclonal antibody-based immunotherapies represent two of the most scientifically productive and clinically impactful therapeutic strategies in contemporary cancer management. Plant-derived phytochemicals — curcumin, resveratrol, berberine, EGCG, artemisinin derivatives, and others — act through pleiotropic molecular mechanisms to inhibit tumour growth, induce cancer cell apoptosis, suppress angiogenesis, and remodel the immunosuppressive tumour microenvironment. Established plant-derived chemotherapeutics, particularly the taxanes and vinca alkaloids, remain irreplaceable components of standard oncological practice worldwide. Therapeutic monoclonal antibodies — naked antibodies, immune checkpoint inhibitors, ADCs, and bispecific constructs — have substantially extended survival across many cancer types and continue to evolve at a rapid pace.</w:t>
      </w:r>
    </w:p>
    <w:p w14:paraId="3EA6FA7E"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evidence reviewed here reveals a mechanistically coherent and scientifically credible rationale for integrating these two approaches. Shared oncogenic pathway targets, phytochemical modulation of checkpoint molecule expression, remodelling of the immunosuppressive TME, and the practical opportunities offered by nanotechnology-enabled co-delivery collectively constitute a sound foundation for combination development. That said, this potential remains overwhelmingly preclinical, and robust, well-designed clinical trials are essential before combinatorial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strategies can be considered for routine practice.</w:t>
      </w:r>
    </w:p>
    <w:p w14:paraId="26E492A2"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Realising this potential will require sustained and coordinated effort from academia, industry, and regulatory agencies, guided by mechanistically rational drug development, adaptive clinical trial design, and rigorous biomarker science. The therapeutic integration of plant-derived pharmacology with the precision of modern antibody engineering may yet produce a meaningful new paradigm in cancer management. The scientific groundwork is encouraging; clinical translation is the work that remains.</w:t>
      </w:r>
    </w:p>
    <w:p w14:paraId="29DA290B"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31655CD2"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10. Limitations</w:t>
      </w:r>
    </w:p>
    <w:p w14:paraId="18A6A541"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Several limitations of this review should be openly acknowledged. As a narrative rather than systematic review, the work reflects deliberate judgement in the selection, synthesis, and </w:t>
      </w:r>
      <w:r w:rsidRPr="005D6A18">
        <w:rPr>
          <w:rFonts w:ascii="Times New Roman" w:eastAsia="Times New Roman" w:hAnsi="Times New Roman" w:cs="Times New Roman"/>
          <w:sz w:val="24"/>
          <w:szCs w:val="24"/>
          <w:lang w:eastAsia="en-GB"/>
        </w:rPr>
        <w:lastRenderedPageBreak/>
        <w:t>interpretation of the literature and is therefore subject to selection bias. The breadth of the topic — spanning phytochemistry, molecular oncology, immunology, antibody engineering, translational pharmacology, and clinical medicine — means that comprehensive coverage of all relevant sub-disciplines within a single article is not achievable, and some areas of the literature may have received more or less attention than their absolute weight in the field would strictly warrant.</w:t>
      </w:r>
    </w:p>
    <w:p w14:paraId="4C1E7499"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The preclinical evidence base for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combinations, while growing, remains predominantly derived from in vitro cell culture and in vivo xenograft models. These systems do not adequately reproduce the immunological architecture of human tumours, particularly in the context of assessing immune-modulatory phytochemical effects that are proposed to enhance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immunotherapy. Findings from xenograft studies conducted in immunodeficient mice are especially unsuitable for evaluating the immunomodulatory effects central to checkpoint inhibitor combinations. Clinical trial data specifically addressing phytochemical–</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combinations are still sparse, and definitive conclusions about efficacy and safety cannot yet be drawn from what is available.</w:t>
      </w:r>
    </w:p>
    <w:p w14:paraId="476BDE15" w14:textId="77777777" w:rsidR="002E6E04" w:rsidRPr="005D6A18" w:rsidRDefault="002E6E04" w:rsidP="00CB6E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D6A18">
        <w:rPr>
          <w:rFonts w:ascii="Times New Roman" w:eastAsia="Times New Roman" w:hAnsi="Times New Roman" w:cs="Times New Roman"/>
          <w:sz w:val="24"/>
          <w:szCs w:val="24"/>
          <w:lang w:eastAsia="en-GB"/>
        </w:rPr>
        <w:t xml:space="preserve">The quality, reproducibility, and methodological rigor of phytochemical studies vary substantially across the literature, with many earlier investigations lacking standardised compound preparation, validated pharmacodynamic endpoints, or rigorous controls. This heterogeneity in study quality complicates synthesis and is a recognised limitation of narrative reviews in this domain. Finally, the rapidly evolving nature of both the </w:t>
      </w:r>
      <w:proofErr w:type="spellStart"/>
      <w:r w:rsidRPr="005D6A18">
        <w:rPr>
          <w:rFonts w:ascii="Times New Roman" w:eastAsia="Times New Roman" w:hAnsi="Times New Roman" w:cs="Times New Roman"/>
          <w:sz w:val="24"/>
          <w:szCs w:val="24"/>
          <w:lang w:eastAsia="en-GB"/>
        </w:rPr>
        <w:t>mAb</w:t>
      </w:r>
      <w:proofErr w:type="spellEnd"/>
      <w:r w:rsidRPr="005D6A18">
        <w:rPr>
          <w:rFonts w:ascii="Times New Roman" w:eastAsia="Times New Roman" w:hAnsi="Times New Roman" w:cs="Times New Roman"/>
          <w:sz w:val="24"/>
          <w:szCs w:val="24"/>
          <w:lang w:eastAsia="en-GB"/>
        </w:rPr>
        <w:t xml:space="preserve"> and phytochemical fields means that, although this review reflects the literature up to 27 March 2026, it will require timely updating as new clinical trial results, regulatory approvals, and mechanistic discoveries emerge. Readers should consult current primary literature and clinical guidelines for the most up-to-date recommendations.</w:t>
      </w:r>
    </w:p>
    <w:p w14:paraId="1033B6EE" w14:textId="77777777" w:rsidR="00A51E9A" w:rsidRPr="000839CE" w:rsidRDefault="00A51E9A" w:rsidP="00CB6EE7">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2AFD8022" w14:textId="77777777" w:rsidR="00A51E9A" w:rsidRPr="000839CE" w:rsidRDefault="00A51E9A" w:rsidP="00CB6EE7">
      <w:pPr>
        <w:spacing w:after="0" w:line="240" w:lineRule="auto"/>
        <w:jc w:val="both"/>
        <w:rPr>
          <w:rFonts w:ascii="Times New Roman" w:hAnsi="Times New Roman" w:cs="Times New Roman"/>
        </w:rPr>
      </w:pPr>
    </w:p>
    <w:p w14:paraId="5A29709E" w14:textId="77777777" w:rsidR="00A51E9A" w:rsidRPr="000839CE" w:rsidRDefault="00A51E9A" w:rsidP="00CB6EE7">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2D23631" w14:textId="77777777" w:rsidR="002E6E04" w:rsidRPr="005D6A18" w:rsidRDefault="002E6E04" w:rsidP="00CB6EE7">
      <w:pPr>
        <w:spacing w:after="0" w:line="240" w:lineRule="auto"/>
        <w:jc w:val="both"/>
        <w:rPr>
          <w:rFonts w:ascii="Times New Roman" w:eastAsia="Times New Roman" w:hAnsi="Times New Roman" w:cs="Times New Roman"/>
          <w:sz w:val="24"/>
          <w:szCs w:val="24"/>
          <w:lang w:eastAsia="en-GB"/>
        </w:rPr>
      </w:pPr>
    </w:p>
    <w:p w14:paraId="5575B2A4" w14:textId="77777777" w:rsidR="002E6E04" w:rsidRPr="005D6A18" w:rsidRDefault="002E6E04" w:rsidP="00CB6E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D6A18">
        <w:rPr>
          <w:rFonts w:ascii="Times New Roman" w:eastAsia="Times New Roman" w:hAnsi="Times New Roman" w:cs="Times New Roman"/>
          <w:b/>
          <w:bCs/>
          <w:sz w:val="27"/>
          <w:szCs w:val="27"/>
          <w:lang w:eastAsia="en-GB"/>
        </w:rPr>
        <w:t>References</w:t>
      </w:r>
    </w:p>
    <w:p w14:paraId="35E2B0FA"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Aggarwal, B. B., &amp; Harikumar, K. B. (2009). Potential therapeutic effects of curcumin, the anti-inflammatory agent, against neurodegenerative, cardiovascular, pulmonary, metabolic, autoimmune, and neoplastic diseases. </w:t>
      </w:r>
      <w:r w:rsidRPr="007D6FBC">
        <w:rPr>
          <w:rFonts w:ascii="Times New Roman" w:eastAsia="Times New Roman" w:hAnsi="Times New Roman" w:cs="Times New Roman"/>
          <w:i/>
          <w:iCs/>
          <w:sz w:val="24"/>
          <w:szCs w:val="24"/>
          <w:lang w:val="en-US"/>
        </w:rPr>
        <w:t>International Journal of Biochemistry &amp; Cell Biology, 41</w:t>
      </w:r>
      <w:r w:rsidRPr="007D6FBC">
        <w:rPr>
          <w:rFonts w:ascii="Times New Roman" w:eastAsia="Times New Roman" w:hAnsi="Times New Roman" w:cs="Times New Roman"/>
          <w:sz w:val="24"/>
          <w:szCs w:val="24"/>
          <w:lang w:val="en-US"/>
        </w:rPr>
        <w:t xml:space="preserve">(1), 40–59. </w:t>
      </w:r>
      <w:hyperlink r:id="rId6" w:tgtFrame="_new" w:history="1">
        <w:r w:rsidRPr="007D6FBC">
          <w:rPr>
            <w:rFonts w:ascii="Times New Roman" w:eastAsia="Times New Roman" w:hAnsi="Times New Roman" w:cs="Times New Roman"/>
            <w:color w:val="0000FF"/>
            <w:sz w:val="24"/>
            <w:szCs w:val="24"/>
            <w:u w:val="single"/>
            <w:lang w:val="en-US"/>
          </w:rPr>
          <w:t>https://doi.org/10.1016/j.biocel.2008.06.010</w:t>
        </w:r>
      </w:hyperlink>
    </w:p>
    <w:p w14:paraId="54AC30C6"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Baur, J. A., &amp; Sinclair, D. A. (2006). Therapeutic potential of resveratrol: The in vivo evidence. </w:t>
      </w:r>
      <w:r w:rsidRPr="007D6FBC">
        <w:rPr>
          <w:rFonts w:ascii="Times New Roman" w:eastAsia="Times New Roman" w:hAnsi="Times New Roman" w:cs="Times New Roman"/>
          <w:i/>
          <w:iCs/>
          <w:sz w:val="24"/>
          <w:szCs w:val="24"/>
          <w:lang w:val="en-US"/>
        </w:rPr>
        <w:t>Nature Reviews Drug Discovery, 5</w:t>
      </w:r>
      <w:r w:rsidRPr="007D6FBC">
        <w:rPr>
          <w:rFonts w:ascii="Times New Roman" w:eastAsia="Times New Roman" w:hAnsi="Times New Roman" w:cs="Times New Roman"/>
          <w:sz w:val="24"/>
          <w:szCs w:val="24"/>
          <w:lang w:val="en-US"/>
        </w:rPr>
        <w:t xml:space="preserve">(6), 493–506. </w:t>
      </w:r>
      <w:hyperlink r:id="rId7" w:tgtFrame="_new" w:history="1">
        <w:r w:rsidRPr="007D6FBC">
          <w:rPr>
            <w:rFonts w:ascii="Times New Roman" w:eastAsia="Times New Roman" w:hAnsi="Times New Roman" w:cs="Times New Roman"/>
            <w:color w:val="0000FF"/>
            <w:sz w:val="24"/>
            <w:szCs w:val="24"/>
            <w:u w:val="single"/>
            <w:lang w:val="en-US"/>
          </w:rPr>
          <w:t>https://doi.org/10.1038/nrd2060</w:t>
        </w:r>
      </w:hyperlink>
    </w:p>
    <w:p w14:paraId="6CD8007B"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7D6FBC">
        <w:rPr>
          <w:rFonts w:ascii="Times New Roman" w:eastAsia="Times New Roman" w:hAnsi="Times New Roman" w:cs="Times New Roman"/>
          <w:sz w:val="24"/>
          <w:szCs w:val="24"/>
          <w:lang w:val="en-US"/>
        </w:rPr>
        <w:lastRenderedPageBreak/>
        <w:t>Borghaei</w:t>
      </w:r>
      <w:proofErr w:type="spellEnd"/>
      <w:r w:rsidRPr="007D6FBC">
        <w:rPr>
          <w:rFonts w:ascii="Times New Roman" w:eastAsia="Times New Roman" w:hAnsi="Times New Roman" w:cs="Times New Roman"/>
          <w:sz w:val="24"/>
          <w:szCs w:val="24"/>
          <w:lang w:val="en-US"/>
        </w:rPr>
        <w:t xml:space="preserve">, H., Paz-Ares, L., Horn, L., Spigel, D. R., Steins, M., Ready, N. E., Chow, L. Q., Vokes, E. E., Felip, E., Holgado, E., </w:t>
      </w:r>
      <w:proofErr w:type="spellStart"/>
      <w:r w:rsidRPr="007D6FBC">
        <w:rPr>
          <w:rFonts w:ascii="Times New Roman" w:eastAsia="Times New Roman" w:hAnsi="Times New Roman" w:cs="Times New Roman"/>
          <w:sz w:val="24"/>
          <w:szCs w:val="24"/>
          <w:lang w:val="en-US"/>
        </w:rPr>
        <w:t>Barlesi</w:t>
      </w:r>
      <w:proofErr w:type="spellEnd"/>
      <w:r w:rsidRPr="007D6FBC">
        <w:rPr>
          <w:rFonts w:ascii="Times New Roman" w:eastAsia="Times New Roman" w:hAnsi="Times New Roman" w:cs="Times New Roman"/>
          <w:sz w:val="24"/>
          <w:szCs w:val="24"/>
          <w:lang w:val="en-US"/>
        </w:rPr>
        <w:t xml:space="preserve">, F., </w:t>
      </w:r>
      <w:proofErr w:type="spellStart"/>
      <w:r w:rsidRPr="007D6FBC">
        <w:rPr>
          <w:rFonts w:ascii="Times New Roman" w:eastAsia="Times New Roman" w:hAnsi="Times New Roman" w:cs="Times New Roman"/>
          <w:sz w:val="24"/>
          <w:szCs w:val="24"/>
          <w:lang w:val="en-US"/>
        </w:rPr>
        <w:t>Kohlhäufl</w:t>
      </w:r>
      <w:proofErr w:type="spellEnd"/>
      <w:r w:rsidRPr="007D6FBC">
        <w:rPr>
          <w:rFonts w:ascii="Times New Roman" w:eastAsia="Times New Roman" w:hAnsi="Times New Roman" w:cs="Times New Roman"/>
          <w:sz w:val="24"/>
          <w:szCs w:val="24"/>
          <w:lang w:val="en-US"/>
        </w:rPr>
        <w:t xml:space="preserve">, M., Arrieta, O., Burgio, M. A., Fayette, J., Lena, H., </w:t>
      </w:r>
      <w:proofErr w:type="spellStart"/>
      <w:r w:rsidRPr="007D6FBC">
        <w:rPr>
          <w:rFonts w:ascii="Times New Roman" w:eastAsia="Times New Roman" w:hAnsi="Times New Roman" w:cs="Times New Roman"/>
          <w:sz w:val="24"/>
          <w:szCs w:val="24"/>
          <w:lang w:val="en-US"/>
        </w:rPr>
        <w:t>Poddubskaya</w:t>
      </w:r>
      <w:proofErr w:type="spellEnd"/>
      <w:r w:rsidRPr="007D6FBC">
        <w:rPr>
          <w:rFonts w:ascii="Times New Roman" w:eastAsia="Times New Roman" w:hAnsi="Times New Roman" w:cs="Times New Roman"/>
          <w:sz w:val="24"/>
          <w:szCs w:val="24"/>
          <w:lang w:val="en-US"/>
        </w:rPr>
        <w:t xml:space="preserve">, E., Gerber, D. E., Gettinger, S. N., … Brahmer, J. R. (2015). Nivolumab versus docetaxel in advanced </w:t>
      </w:r>
      <w:proofErr w:type="spellStart"/>
      <w:r w:rsidRPr="007D6FBC">
        <w:rPr>
          <w:rFonts w:ascii="Times New Roman" w:eastAsia="Times New Roman" w:hAnsi="Times New Roman" w:cs="Times New Roman"/>
          <w:sz w:val="24"/>
          <w:szCs w:val="24"/>
          <w:lang w:val="en-US"/>
        </w:rPr>
        <w:t>nonsquamous</w:t>
      </w:r>
      <w:proofErr w:type="spellEnd"/>
      <w:r w:rsidRPr="007D6FBC">
        <w:rPr>
          <w:rFonts w:ascii="Times New Roman" w:eastAsia="Times New Roman" w:hAnsi="Times New Roman" w:cs="Times New Roman"/>
          <w:sz w:val="24"/>
          <w:szCs w:val="24"/>
          <w:lang w:val="en-US"/>
        </w:rPr>
        <w:t xml:space="preserve"> non–small-cell lung cancer. </w:t>
      </w:r>
      <w:r w:rsidRPr="007D6FBC">
        <w:rPr>
          <w:rFonts w:ascii="Times New Roman" w:eastAsia="Times New Roman" w:hAnsi="Times New Roman" w:cs="Times New Roman"/>
          <w:i/>
          <w:iCs/>
          <w:sz w:val="24"/>
          <w:szCs w:val="24"/>
          <w:lang w:val="en-US"/>
        </w:rPr>
        <w:t>New England Journal of Medicine, 373</w:t>
      </w:r>
      <w:r w:rsidRPr="007D6FBC">
        <w:rPr>
          <w:rFonts w:ascii="Times New Roman" w:eastAsia="Times New Roman" w:hAnsi="Times New Roman" w:cs="Times New Roman"/>
          <w:sz w:val="24"/>
          <w:szCs w:val="24"/>
          <w:lang w:val="en-US"/>
        </w:rPr>
        <w:t xml:space="preserve">(17), 1627–1639. </w:t>
      </w:r>
      <w:hyperlink r:id="rId8" w:tgtFrame="_new" w:history="1">
        <w:r w:rsidRPr="007D6FBC">
          <w:rPr>
            <w:rFonts w:ascii="Times New Roman" w:eastAsia="Times New Roman" w:hAnsi="Times New Roman" w:cs="Times New Roman"/>
            <w:color w:val="0000FF"/>
            <w:sz w:val="24"/>
            <w:szCs w:val="24"/>
            <w:u w:val="single"/>
            <w:lang w:val="en-US"/>
          </w:rPr>
          <w:t>https://doi.org/10.1056/NEJMoa1507643</w:t>
        </w:r>
      </w:hyperlink>
    </w:p>
    <w:p w14:paraId="359765BF"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Bray, F., </w:t>
      </w:r>
      <w:proofErr w:type="spellStart"/>
      <w:r w:rsidRPr="007D6FBC">
        <w:rPr>
          <w:rFonts w:ascii="Times New Roman" w:eastAsia="Times New Roman" w:hAnsi="Times New Roman" w:cs="Times New Roman"/>
          <w:sz w:val="24"/>
          <w:szCs w:val="24"/>
          <w:lang w:val="en-US"/>
        </w:rPr>
        <w:t>Laversanne</w:t>
      </w:r>
      <w:proofErr w:type="spellEnd"/>
      <w:r w:rsidRPr="007D6FBC">
        <w:rPr>
          <w:rFonts w:ascii="Times New Roman" w:eastAsia="Times New Roman" w:hAnsi="Times New Roman" w:cs="Times New Roman"/>
          <w:sz w:val="24"/>
          <w:szCs w:val="24"/>
          <w:lang w:val="en-US"/>
        </w:rPr>
        <w:t xml:space="preserve">, M., Sung, H., </w:t>
      </w:r>
      <w:proofErr w:type="spellStart"/>
      <w:r w:rsidRPr="007D6FBC">
        <w:rPr>
          <w:rFonts w:ascii="Times New Roman" w:eastAsia="Times New Roman" w:hAnsi="Times New Roman" w:cs="Times New Roman"/>
          <w:sz w:val="24"/>
          <w:szCs w:val="24"/>
          <w:lang w:val="en-US"/>
        </w:rPr>
        <w:t>Ferlay</w:t>
      </w:r>
      <w:proofErr w:type="spellEnd"/>
      <w:r w:rsidRPr="007D6FBC">
        <w:rPr>
          <w:rFonts w:ascii="Times New Roman" w:eastAsia="Times New Roman" w:hAnsi="Times New Roman" w:cs="Times New Roman"/>
          <w:sz w:val="24"/>
          <w:szCs w:val="24"/>
          <w:lang w:val="en-US"/>
        </w:rPr>
        <w:t xml:space="preserve">, J., Siegel, R. L., </w:t>
      </w:r>
      <w:proofErr w:type="spellStart"/>
      <w:r w:rsidRPr="007D6FBC">
        <w:rPr>
          <w:rFonts w:ascii="Times New Roman" w:eastAsia="Times New Roman" w:hAnsi="Times New Roman" w:cs="Times New Roman"/>
          <w:sz w:val="24"/>
          <w:szCs w:val="24"/>
          <w:lang w:val="en-US"/>
        </w:rPr>
        <w:t>Soerjomataram</w:t>
      </w:r>
      <w:proofErr w:type="spellEnd"/>
      <w:r w:rsidRPr="007D6FBC">
        <w:rPr>
          <w:rFonts w:ascii="Times New Roman" w:eastAsia="Times New Roman" w:hAnsi="Times New Roman" w:cs="Times New Roman"/>
          <w:sz w:val="24"/>
          <w:szCs w:val="24"/>
          <w:lang w:val="en-US"/>
        </w:rPr>
        <w:t xml:space="preserve">, I., &amp; Jemal, A. (2024). Global cancer statistics 2022: GLOBOCAN estimates of incidence and mortality worldwide for 36 cancers in 185 countries. </w:t>
      </w:r>
      <w:r w:rsidRPr="007D6FBC">
        <w:rPr>
          <w:rFonts w:ascii="Times New Roman" w:eastAsia="Times New Roman" w:hAnsi="Times New Roman" w:cs="Times New Roman"/>
          <w:i/>
          <w:iCs/>
          <w:sz w:val="24"/>
          <w:szCs w:val="24"/>
          <w:lang w:val="en-US"/>
        </w:rPr>
        <w:t>CA: A Cancer Journal for Clinicians, 74</w:t>
      </w:r>
      <w:r w:rsidRPr="007D6FBC">
        <w:rPr>
          <w:rFonts w:ascii="Times New Roman" w:eastAsia="Times New Roman" w:hAnsi="Times New Roman" w:cs="Times New Roman"/>
          <w:sz w:val="24"/>
          <w:szCs w:val="24"/>
          <w:lang w:val="en-US"/>
        </w:rPr>
        <w:t xml:space="preserve">(3), 229–263. </w:t>
      </w:r>
      <w:hyperlink r:id="rId9" w:tgtFrame="_new" w:history="1">
        <w:r w:rsidRPr="007D6FBC">
          <w:rPr>
            <w:rFonts w:ascii="Times New Roman" w:eastAsia="Times New Roman" w:hAnsi="Times New Roman" w:cs="Times New Roman"/>
            <w:color w:val="0000FF"/>
            <w:sz w:val="24"/>
            <w:szCs w:val="24"/>
            <w:u w:val="single"/>
            <w:lang w:val="en-US"/>
          </w:rPr>
          <w:t>https://doi.org/10.3322/caac.21834</w:t>
        </w:r>
      </w:hyperlink>
    </w:p>
    <w:p w14:paraId="0C271BFE"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Chen, L., &amp; Han, X. (2015). Anti-PD-1/PD-L1 therapy of human cancer: Past, present, and future. </w:t>
      </w:r>
      <w:r w:rsidRPr="007D6FBC">
        <w:rPr>
          <w:rFonts w:ascii="Times New Roman" w:eastAsia="Times New Roman" w:hAnsi="Times New Roman" w:cs="Times New Roman"/>
          <w:i/>
          <w:iCs/>
          <w:sz w:val="24"/>
          <w:szCs w:val="24"/>
          <w:lang w:val="en-US"/>
        </w:rPr>
        <w:t>Journal of Clinical Investigation, 125</w:t>
      </w:r>
      <w:r w:rsidRPr="007D6FBC">
        <w:rPr>
          <w:rFonts w:ascii="Times New Roman" w:eastAsia="Times New Roman" w:hAnsi="Times New Roman" w:cs="Times New Roman"/>
          <w:sz w:val="24"/>
          <w:szCs w:val="24"/>
          <w:lang w:val="en-US"/>
        </w:rPr>
        <w:t xml:space="preserve">(9), 3384–3391. </w:t>
      </w:r>
      <w:hyperlink r:id="rId10" w:tgtFrame="_new" w:history="1">
        <w:r w:rsidRPr="007D6FBC">
          <w:rPr>
            <w:rFonts w:ascii="Times New Roman" w:eastAsia="Times New Roman" w:hAnsi="Times New Roman" w:cs="Times New Roman"/>
            <w:color w:val="0000FF"/>
            <w:sz w:val="24"/>
            <w:szCs w:val="24"/>
            <w:u w:val="single"/>
            <w:lang w:val="en-US"/>
          </w:rPr>
          <w:t>https://doi.org/10.1172/JCI80011</w:t>
        </w:r>
      </w:hyperlink>
    </w:p>
    <w:p w14:paraId="53699D50"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Cragg, G. M., &amp; Newman, D. J. (2005). Plants as a source of anti-cancer agents. </w:t>
      </w:r>
      <w:r w:rsidRPr="007D6FBC">
        <w:rPr>
          <w:rFonts w:ascii="Times New Roman" w:eastAsia="Times New Roman" w:hAnsi="Times New Roman" w:cs="Times New Roman"/>
          <w:i/>
          <w:iCs/>
          <w:sz w:val="24"/>
          <w:szCs w:val="24"/>
          <w:lang w:val="en-US"/>
        </w:rPr>
        <w:t>Journal of Ethnopharmacology, 100</w:t>
      </w:r>
      <w:r w:rsidRPr="007D6FBC">
        <w:rPr>
          <w:rFonts w:ascii="Times New Roman" w:eastAsia="Times New Roman" w:hAnsi="Times New Roman" w:cs="Times New Roman"/>
          <w:sz w:val="24"/>
          <w:szCs w:val="24"/>
          <w:lang w:val="en-US"/>
        </w:rPr>
        <w:t xml:space="preserve">(1–2), 72–79. </w:t>
      </w:r>
      <w:hyperlink r:id="rId11" w:tgtFrame="_new" w:history="1">
        <w:r w:rsidRPr="007D6FBC">
          <w:rPr>
            <w:rFonts w:ascii="Times New Roman" w:eastAsia="Times New Roman" w:hAnsi="Times New Roman" w:cs="Times New Roman"/>
            <w:color w:val="0000FF"/>
            <w:sz w:val="24"/>
            <w:szCs w:val="24"/>
            <w:u w:val="single"/>
            <w:lang w:val="en-US"/>
          </w:rPr>
          <w:t>https://doi.org/10.1016/j.jep.2005.05.011</w:t>
        </w:r>
      </w:hyperlink>
    </w:p>
    <w:p w14:paraId="15C4EF31"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Cunningham, D., </w:t>
      </w:r>
      <w:proofErr w:type="spellStart"/>
      <w:r w:rsidRPr="007D6FBC">
        <w:rPr>
          <w:rFonts w:ascii="Times New Roman" w:eastAsia="Times New Roman" w:hAnsi="Times New Roman" w:cs="Times New Roman"/>
          <w:sz w:val="24"/>
          <w:szCs w:val="24"/>
          <w:lang w:val="en-US"/>
        </w:rPr>
        <w:t>Humblet</w:t>
      </w:r>
      <w:proofErr w:type="spellEnd"/>
      <w:r w:rsidRPr="007D6FBC">
        <w:rPr>
          <w:rFonts w:ascii="Times New Roman" w:eastAsia="Times New Roman" w:hAnsi="Times New Roman" w:cs="Times New Roman"/>
          <w:sz w:val="24"/>
          <w:szCs w:val="24"/>
          <w:lang w:val="en-US"/>
        </w:rPr>
        <w:t xml:space="preserve">, Y., Siena, S., Khayat, D., Bleiberg, H., Santoro, A., Bets, D., </w:t>
      </w:r>
      <w:proofErr w:type="spellStart"/>
      <w:r w:rsidRPr="007D6FBC">
        <w:rPr>
          <w:rFonts w:ascii="Times New Roman" w:eastAsia="Times New Roman" w:hAnsi="Times New Roman" w:cs="Times New Roman"/>
          <w:sz w:val="24"/>
          <w:szCs w:val="24"/>
          <w:lang w:val="en-US"/>
        </w:rPr>
        <w:t>Mueser</w:t>
      </w:r>
      <w:proofErr w:type="spellEnd"/>
      <w:r w:rsidRPr="007D6FBC">
        <w:rPr>
          <w:rFonts w:ascii="Times New Roman" w:eastAsia="Times New Roman" w:hAnsi="Times New Roman" w:cs="Times New Roman"/>
          <w:sz w:val="24"/>
          <w:szCs w:val="24"/>
          <w:lang w:val="en-US"/>
        </w:rPr>
        <w:t xml:space="preserve">, M., Harstrick, A., </w:t>
      </w:r>
      <w:proofErr w:type="spellStart"/>
      <w:r w:rsidRPr="007D6FBC">
        <w:rPr>
          <w:rFonts w:ascii="Times New Roman" w:eastAsia="Times New Roman" w:hAnsi="Times New Roman" w:cs="Times New Roman"/>
          <w:sz w:val="24"/>
          <w:szCs w:val="24"/>
          <w:lang w:val="en-US"/>
        </w:rPr>
        <w:t>Verslype</w:t>
      </w:r>
      <w:proofErr w:type="spellEnd"/>
      <w:r w:rsidRPr="007D6FBC">
        <w:rPr>
          <w:rFonts w:ascii="Times New Roman" w:eastAsia="Times New Roman" w:hAnsi="Times New Roman" w:cs="Times New Roman"/>
          <w:sz w:val="24"/>
          <w:szCs w:val="24"/>
          <w:lang w:val="en-US"/>
        </w:rPr>
        <w:t xml:space="preserve">, C., Chau, I., &amp; Van Cutsem, E. (2004). Cetuximab monotherapy and cetuximab plus irinotecan in irinotecan-refractory metastatic colorectal cancer. </w:t>
      </w:r>
      <w:r w:rsidRPr="007D6FBC">
        <w:rPr>
          <w:rFonts w:ascii="Times New Roman" w:eastAsia="Times New Roman" w:hAnsi="Times New Roman" w:cs="Times New Roman"/>
          <w:i/>
          <w:iCs/>
          <w:sz w:val="24"/>
          <w:szCs w:val="24"/>
          <w:lang w:val="en-US"/>
        </w:rPr>
        <w:t>New England Journal of Medicine, 351</w:t>
      </w:r>
      <w:r w:rsidRPr="007D6FBC">
        <w:rPr>
          <w:rFonts w:ascii="Times New Roman" w:eastAsia="Times New Roman" w:hAnsi="Times New Roman" w:cs="Times New Roman"/>
          <w:sz w:val="24"/>
          <w:szCs w:val="24"/>
          <w:lang w:val="en-US"/>
        </w:rPr>
        <w:t xml:space="preserve">(4), 337–345. </w:t>
      </w:r>
      <w:hyperlink r:id="rId12" w:tgtFrame="_new" w:history="1">
        <w:r w:rsidRPr="007D6FBC">
          <w:rPr>
            <w:rFonts w:ascii="Times New Roman" w:eastAsia="Times New Roman" w:hAnsi="Times New Roman" w:cs="Times New Roman"/>
            <w:color w:val="0000FF"/>
            <w:sz w:val="24"/>
            <w:szCs w:val="24"/>
            <w:u w:val="single"/>
            <w:lang w:val="en-US"/>
          </w:rPr>
          <w:t>https://doi.org/10.1056/NEJMoa033025</w:t>
        </w:r>
      </w:hyperlink>
    </w:p>
    <w:p w14:paraId="3F18D835"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DeVita, V. T., &amp; Chu, E. (2008). A history of cancer chemotherapy. </w:t>
      </w:r>
      <w:r w:rsidRPr="007D6FBC">
        <w:rPr>
          <w:rFonts w:ascii="Times New Roman" w:eastAsia="Times New Roman" w:hAnsi="Times New Roman" w:cs="Times New Roman"/>
          <w:i/>
          <w:iCs/>
          <w:sz w:val="24"/>
          <w:szCs w:val="24"/>
          <w:lang w:val="en-US"/>
        </w:rPr>
        <w:t>Cancer Research, 68</w:t>
      </w:r>
      <w:r w:rsidRPr="007D6FBC">
        <w:rPr>
          <w:rFonts w:ascii="Times New Roman" w:eastAsia="Times New Roman" w:hAnsi="Times New Roman" w:cs="Times New Roman"/>
          <w:sz w:val="24"/>
          <w:szCs w:val="24"/>
          <w:lang w:val="en-US"/>
        </w:rPr>
        <w:t xml:space="preserve">(21), 8643–8653. </w:t>
      </w:r>
      <w:hyperlink r:id="rId13" w:tgtFrame="_new" w:history="1">
        <w:r w:rsidRPr="007D6FBC">
          <w:rPr>
            <w:rFonts w:ascii="Times New Roman" w:eastAsia="Times New Roman" w:hAnsi="Times New Roman" w:cs="Times New Roman"/>
            <w:color w:val="0000FF"/>
            <w:sz w:val="24"/>
            <w:szCs w:val="24"/>
            <w:u w:val="single"/>
            <w:lang w:val="en-US"/>
          </w:rPr>
          <w:t>https://doi.org/10.1158/0008-5472.CAN-07-6611</w:t>
        </w:r>
      </w:hyperlink>
    </w:p>
    <w:p w14:paraId="372B45F1"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Drago, J. Z., Modi, S., &amp; </w:t>
      </w:r>
      <w:proofErr w:type="spellStart"/>
      <w:r w:rsidRPr="007D6FBC">
        <w:rPr>
          <w:rFonts w:ascii="Times New Roman" w:eastAsia="Times New Roman" w:hAnsi="Times New Roman" w:cs="Times New Roman"/>
          <w:sz w:val="24"/>
          <w:szCs w:val="24"/>
          <w:lang w:val="en-US"/>
        </w:rPr>
        <w:t>Chandarlapaty</w:t>
      </w:r>
      <w:proofErr w:type="spellEnd"/>
      <w:r w:rsidRPr="007D6FBC">
        <w:rPr>
          <w:rFonts w:ascii="Times New Roman" w:eastAsia="Times New Roman" w:hAnsi="Times New Roman" w:cs="Times New Roman"/>
          <w:sz w:val="24"/>
          <w:szCs w:val="24"/>
          <w:lang w:val="en-US"/>
        </w:rPr>
        <w:t xml:space="preserve">, S. (2021). Unlocking the potential of antibody–drug conjugates for cancer therapy. </w:t>
      </w:r>
      <w:r w:rsidRPr="007D6FBC">
        <w:rPr>
          <w:rFonts w:ascii="Times New Roman" w:eastAsia="Times New Roman" w:hAnsi="Times New Roman" w:cs="Times New Roman"/>
          <w:i/>
          <w:iCs/>
          <w:sz w:val="24"/>
          <w:szCs w:val="24"/>
          <w:lang w:val="en-US"/>
        </w:rPr>
        <w:t>Nature Reviews Clinical Oncology, 18</w:t>
      </w:r>
      <w:r w:rsidRPr="007D6FBC">
        <w:rPr>
          <w:rFonts w:ascii="Times New Roman" w:eastAsia="Times New Roman" w:hAnsi="Times New Roman" w:cs="Times New Roman"/>
          <w:sz w:val="24"/>
          <w:szCs w:val="24"/>
          <w:lang w:val="en-US"/>
        </w:rPr>
        <w:t xml:space="preserve">(6), 327–344. </w:t>
      </w:r>
      <w:hyperlink r:id="rId14" w:tgtFrame="_new" w:history="1">
        <w:r w:rsidRPr="007D6FBC">
          <w:rPr>
            <w:rFonts w:ascii="Times New Roman" w:eastAsia="Times New Roman" w:hAnsi="Times New Roman" w:cs="Times New Roman"/>
            <w:color w:val="0000FF"/>
            <w:sz w:val="24"/>
            <w:szCs w:val="24"/>
            <w:u w:val="single"/>
            <w:lang w:val="en-US"/>
          </w:rPr>
          <w:t>https://doi.org/10.1038/s41571-021-00470-8</w:t>
        </w:r>
      </w:hyperlink>
    </w:p>
    <w:p w14:paraId="1226FC7B"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7D6FBC">
        <w:rPr>
          <w:rFonts w:ascii="Times New Roman" w:eastAsia="Times New Roman" w:hAnsi="Times New Roman" w:cs="Times New Roman"/>
          <w:sz w:val="24"/>
          <w:szCs w:val="24"/>
          <w:lang w:val="en-US"/>
        </w:rPr>
        <w:t>Dumontet</w:t>
      </w:r>
      <w:proofErr w:type="spellEnd"/>
      <w:r w:rsidRPr="007D6FBC">
        <w:rPr>
          <w:rFonts w:ascii="Times New Roman" w:eastAsia="Times New Roman" w:hAnsi="Times New Roman" w:cs="Times New Roman"/>
          <w:sz w:val="24"/>
          <w:szCs w:val="24"/>
          <w:lang w:val="en-US"/>
        </w:rPr>
        <w:t xml:space="preserve">, C., Reichert, J. M., Senter, P. D., Lambert, J. M., &amp; Beck, A. (2023). Antibody–drug conjugates come of age in oncology. </w:t>
      </w:r>
      <w:r w:rsidRPr="007D6FBC">
        <w:rPr>
          <w:rFonts w:ascii="Times New Roman" w:eastAsia="Times New Roman" w:hAnsi="Times New Roman" w:cs="Times New Roman"/>
          <w:i/>
          <w:iCs/>
          <w:sz w:val="24"/>
          <w:szCs w:val="24"/>
          <w:lang w:val="en-US"/>
        </w:rPr>
        <w:t>Nature Reviews Drug Discovery, 22</w:t>
      </w:r>
      <w:r w:rsidRPr="007D6FBC">
        <w:rPr>
          <w:rFonts w:ascii="Times New Roman" w:eastAsia="Times New Roman" w:hAnsi="Times New Roman" w:cs="Times New Roman"/>
          <w:sz w:val="24"/>
          <w:szCs w:val="24"/>
          <w:lang w:val="en-US"/>
        </w:rPr>
        <w:t xml:space="preserve">(8), 641–661. </w:t>
      </w:r>
      <w:hyperlink r:id="rId15" w:tgtFrame="_new" w:history="1">
        <w:r w:rsidRPr="007D6FBC">
          <w:rPr>
            <w:rFonts w:ascii="Times New Roman" w:eastAsia="Times New Roman" w:hAnsi="Times New Roman" w:cs="Times New Roman"/>
            <w:color w:val="0000FF"/>
            <w:sz w:val="24"/>
            <w:szCs w:val="24"/>
            <w:u w:val="single"/>
            <w:lang w:val="en-US"/>
          </w:rPr>
          <w:t>https://doi.org/10.1038/s41573-023-00709-2</w:t>
        </w:r>
      </w:hyperlink>
    </w:p>
    <w:p w14:paraId="7CB0AA8F"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7D6FBC">
        <w:rPr>
          <w:rFonts w:ascii="Times New Roman" w:eastAsia="Times New Roman" w:hAnsi="Times New Roman" w:cs="Times New Roman"/>
          <w:sz w:val="24"/>
          <w:szCs w:val="24"/>
          <w:lang w:val="en-US"/>
        </w:rPr>
        <w:t>Efferth</w:t>
      </w:r>
      <w:proofErr w:type="spellEnd"/>
      <w:r w:rsidRPr="007D6FBC">
        <w:rPr>
          <w:rFonts w:ascii="Times New Roman" w:eastAsia="Times New Roman" w:hAnsi="Times New Roman" w:cs="Times New Roman"/>
          <w:sz w:val="24"/>
          <w:szCs w:val="24"/>
          <w:lang w:val="en-US"/>
        </w:rPr>
        <w:t xml:space="preserve">, T. (2017). From ancient herb to modern drug: </w:t>
      </w:r>
      <w:r w:rsidRPr="007D6FBC">
        <w:rPr>
          <w:rFonts w:ascii="Times New Roman" w:eastAsia="Times New Roman" w:hAnsi="Times New Roman" w:cs="Times New Roman"/>
          <w:i/>
          <w:iCs/>
          <w:sz w:val="24"/>
          <w:szCs w:val="24"/>
          <w:lang w:val="en-US"/>
        </w:rPr>
        <w:t>Artemisia annua</w:t>
      </w:r>
      <w:r w:rsidRPr="007D6FBC">
        <w:rPr>
          <w:rFonts w:ascii="Times New Roman" w:eastAsia="Times New Roman" w:hAnsi="Times New Roman" w:cs="Times New Roman"/>
          <w:sz w:val="24"/>
          <w:szCs w:val="24"/>
          <w:lang w:val="en-US"/>
        </w:rPr>
        <w:t xml:space="preserve"> and artemisinin for cancer therapy. </w:t>
      </w:r>
      <w:r w:rsidRPr="007D6FBC">
        <w:rPr>
          <w:rFonts w:ascii="Times New Roman" w:eastAsia="Times New Roman" w:hAnsi="Times New Roman" w:cs="Times New Roman"/>
          <w:i/>
          <w:iCs/>
          <w:sz w:val="24"/>
          <w:szCs w:val="24"/>
          <w:lang w:val="en-US"/>
        </w:rPr>
        <w:t>Seminars in Cancer Biology, 46</w:t>
      </w:r>
      <w:r w:rsidRPr="007D6FBC">
        <w:rPr>
          <w:rFonts w:ascii="Times New Roman" w:eastAsia="Times New Roman" w:hAnsi="Times New Roman" w:cs="Times New Roman"/>
          <w:sz w:val="24"/>
          <w:szCs w:val="24"/>
          <w:lang w:val="en-US"/>
        </w:rPr>
        <w:t xml:space="preserve">, 65–83. </w:t>
      </w:r>
      <w:hyperlink r:id="rId16" w:tgtFrame="_new" w:history="1">
        <w:r w:rsidRPr="007D6FBC">
          <w:rPr>
            <w:rFonts w:ascii="Times New Roman" w:eastAsia="Times New Roman" w:hAnsi="Times New Roman" w:cs="Times New Roman"/>
            <w:color w:val="0000FF"/>
            <w:sz w:val="24"/>
            <w:szCs w:val="24"/>
            <w:u w:val="single"/>
            <w:lang w:val="en-US"/>
          </w:rPr>
          <w:t>https://doi.org/10.1016/j.semcancer.2017.02.009</w:t>
        </w:r>
      </w:hyperlink>
    </w:p>
    <w:p w14:paraId="208C32C7"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Ferrara, N., Hillan, K. J., Gerber, H.-P., &amp; Novotny, W. (2004). Discovery and development of bevacizumab, an anti-VEGF antibody for treating cancer. </w:t>
      </w:r>
      <w:r w:rsidRPr="007D6FBC">
        <w:rPr>
          <w:rFonts w:ascii="Times New Roman" w:eastAsia="Times New Roman" w:hAnsi="Times New Roman" w:cs="Times New Roman"/>
          <w:i/>
          <w:iCs/>
          <w:sz w:val="24"/>
          <w:szCs w:val="24"/>
          <w:lang w:val="en-US"/>
        </w:rPr>
        <w:t>Nature Reviews Drug Discovery, 3</w:t>
      </w:r>
      <w:r w:rsidRPr="007D6FBC">
        <w:rPr>
          <w:rFonts w:ascii="Times New Roman" w:eastAsia="Times New Roman" w:hAnsi="Times New Roman" w:cs="Times New Roman"/>
          <w:sz w:val="24"/>
          <w:szCs w:val="24"/>
          <w:lang w:val="en-US"/>
        </w:rPr>
        <w:t xml:space="preserve">(5), 391–400. </w:t>
      </w:r>
      <w:hyperlink r:id="rId17" w:tgtFrame="_new" w:history="1">
        <w:r w:rsidRPr="007D6FBC">
          <w:rPr>
            <w:rFonts w:ascii="Times New Roman" w:eastAsia="Times New Roman" w:hAnsi="Times New Roman" w:cs="Times New Roman"/>
            <w:color w:val="0000FF"/>
            <w:sz w:val="24"/>
            <w:szCs w:val="24"/>
            <w:u w:val="single"/>
            <w:lang w:val="en-US"/>
          </w:rPr>
          <w:t>https://doi.org/10.1038/nrd1381</w:t>
        </w:r>
      </w:hyperlink>
    </w:p>
    <w:p w14:paraId="3D84B577"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Ghosh, S., Das, S. K., Sinha, K., Ghosh, B., Sen, K., Ghosh, N., &amp; Sil, P. C. (2024). The emerging role of natural products in cancer treatment. </w:t>
      </w:r>
      <w:r w:rsidRPr="007D6FBC">
        <w:rPr>
          <w:rFonts w:ascii="Times New Roman" w:eastAsia="Times New Roman" w:hAnsi="Times New Roman" w:cs="Times New Roman"/>
          <w:i/>
          <w:iCs/>
          <w:sz w:val="24"/>
          <w:szCs w:val="24"/>
          <w:lang w:val="en-US"/>
        </w:rPr>
        <w:t>Archives of Toxicology, 98</w:t>
      </w:r>
      <w:r w:rsidRPr="007D6FBC">
        <w:rPr>
          <w:rFonts w:ascii="Times New Roman" w:eastAsia="Times New Roman" w:hAnsi="Times New Roman" w:cs="Times New Roman"/>
          <w:sz w:val="24"/>
          <w:szCs w:val="24"/>
          <w:lang w:val="en-US"/>
        </w:rPr>
        <w:t xml:space="preserve">, 2353–2391. </w:t>
      </w:r>
      <w:hyperlink r:id="rId18" w:tgtFrame="_new" w:history="1">
        <w:r w:rsidRPr="007D6FBC">
          <w:rPr>
            <w:rFonts w:ascii="Times New Roman" w:eastAsia="Times New Roman" w:hAnsi="Times New Roman" w:cs="Times New Roman"/>
            <w:color w:val="0000FF"/>
            <w:sz w:val="24"/>
            <w:szCs w:val="24"/>
            <w:u w:val="single"/>
            <w:lang w:val="en-US"/>
          </w:rPr>
          <w:t>https://doi.org/10.1007/s00204-024-03786-3</w:t>
        </w:r>
      </w:hyperlink>
    </w:p>
    <w:p w14:paraId="27326069"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lastRenderedPageBreak/>
        <w:t xml:space="preserve">Green, B. N., Johnson, C. D., &amp; Adams, A. (2006). Writing narrative literature reviews for peer-reviewed journals: Secrets of the trade. </w:t>
      </w:r>
      <w:r w:rsidRPr="007D6FBC">
        <w:rPr>
          <w:rFonts w:ascii="Times New Roman" w:eastAsia="Times New Roman" w:hAnsi="Times New Roman" w:cs="Times New Roman"/>
          <w:i/>
          <w:iCs/>
          <w:sz w:val="24"/>
          <w:szCs w:val="24"/>
          <w:lang w:val="en-US"/>
        </w:rPr>
        <w:t>Journal of Chiropractic Medicine, 5</w:t>
      </w:r>
      <w:r w:rsidRPr="007D6FBC">
        <w:rPr>
          <w:rFonts w:ascii="Times New Roman" w:eastAsia="Times New Roman" w:hAnsi="Times New Roman" w:cs="Times New Roman"/>
          <w:sz w:val="24"/>
          <w:szCs w:val="24"/>
          <w:lang w:val="en-US"/>
        </w:rPr>
        <w:t xml:space="preserve">(3), 101–117. </w:t>
      </w:r>
      <w:hyperlink r:id="rId19" w:tgtFrame="_new" w:history="1">
        <w:r w:rsidRPr="007D6FBC">
          <w:rPr>
            <w:rFonts w:ascii="Times New Roman" w:eastAsia="Times New Roman" w:hAnsi="Times New Roman" w:cs="Times New Roman"/>
            <w:color w:val="0000FF"/>
            <w:sz w:val="24"/>
            <w:szCs w:val="24"/>
            <w:u w:val="single"/>
            <w:lang w:val="en-US"/>
          </w:rPr>
          <w:t>https://doi.org/10.1016/S0899-3467(07)60142-6</w:t>
        </w:r>
      </w:hyperlink>
    </w:p>
    <w:p w14:paraId="52A96F3D"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Hanahan, D. (2022). Hallmarks of cancer: New dimensions. </w:t>
      </w:r>
      <w:r w:rsidRPr="007D6FBC">
        <w:rPr>
          <w:rFonts w:ascii="Times New Roman" w:eastAsia="Times New Roman" w:hAnsi="Times New Roman" w:cs="Times New Roman"/>
          <w:i/>
          <w:iCs/>
          <w:sz w:val="24"/>
          <w:szCs w:val="24"/>
          <w:lang w:val="en-US"/>
        </w:rPr>
        <w:t>Cancer Discovery, 12</w:t>
      </w:r>
      <w:r w:rsidRPr="007D6FBC">
        <w:rPr>
          <w:rFonts w:ascii="Times New Roman" w:eastAsia="Times New Roman" w:hAnsi="Times New Roman" w:cs="Times New Roman"/>
          <w:sz w:val="24"/>
          <w:szCs w:val="24"/>
          <w:lang w:val="en-US"/>
        </w:rPr>
        <w:t xml:space="preserve">(1), 31–46. </w:t>
      </w:r>
      <w:hyperlink r:id="rId20" w:tgtFrame="_new" w:history="1">
        <w:r w:rsidRPr="007D6FBC">
          <w:rPr>
            <w:rFonts w:ascii="Times New Roman" w:eastAsia="Times New Roman" w:hAnsi="Times New Roman" w:cs="Times New Roman"/>
            <w:color w:val="0000FF"/>
            <w:sz w:val="24"/>
            <w:szCs w:val="24"/>
            <w:u w:val="single"/>
            <w:lang w:val="en-US"/>
          </w:rPr>
          <w:t>https://doi.org/10.1158/2159-8290.CD-21-1059</w:t>
        </w:r>
      </w:hyperlink>
    </w:p>
    <w:p w14:paraId="491D61DC"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7D6FBC">
        <w:rPr>
          <w:rFonts w:ascii="Times New Roman" w:eastAsia="Times New Roman" w:hAnsi="Times New Roman" w:cs="Times New Roman"/>
          <w:sz w:val="24"/>
          <w:szCs w:val="24"/>
          <w:lang w:val="nl-BE"/>
        </w:rPr>
        <w:t xml:space="preserve">Hanahan, D., &amp; Weinberg, R. A. (2011). </w:t>
      </w:r>
      <w:r w:rsidRPr="007D6FBC">
        <w:rPr>
          <w:rFonts w:ascii="Times New Roman" w:eastAsia="Times New Roman" w:hAnsi="Times New Roman" w:cs="Times New Roman"/>
          <w:sz w:val="24"/>
          <w:szCs w:val="24"/>
          <w:lang w:val="en-US"/>
        </w:rPr>
        <w:t xml:space="preserve">Hallmarks of cancer: The next generation. </w:t>
      </w:r>
      <w:r w:rsidRPr="007D6FBC">
        <w:rPr>
          <w:rFonts w:ascii="Times New Roman" w:eastAsia="Times New Roman" w:hAnsi="Times New Roman" w:cs="Times New Roman"/>
          <w:i/>
          <w:iCs/>
          <w:sz w:val="24"/>
          <w:szCs w:val="24"/>
          <w:lang w:val="nl-BE"/>
        </w:rPr>
        <w:t>Cell, 144</w:t>
      </w:r>
      <w:r w:rsidRPr="007D6FBC">
        <w:rPr>
          <w:rFonts w:ascii="Times New Roman" w:eastAsia="Times New Roman" w:hAnsi="Times New Roman" w:cs="Times New Roman"/>
          <w:sz w:val="24"/>
          <w:szCs w:val="24"/>
          <w:lang w:val="nl-BE"/>
        </w:rPr>
        <w:t xml:space="preserve">(5), 646–674. </w:t>
      </w:r>
      <w:r w:rsidRPr="007D6FBC">
        <w:rPr>
          <w:rFonts w:ascii="Times New Roman" w:eastAsia="Times New Roman" w:hAnsi="Times New Roman" w:cs="Times New Roman"/>
          <w:sz w:val="24"/>
          <w:szCs w:val="24"/>
          <w:lang w:val="en-US"/>
        </w:rPr>
        <w:fldChar w:fldCharType="begin"/>
      </w:r>
      <w:r w:rsidRPr="007D6FBC">
        <w:rPr>
          <w:rFonts w:ascii="Times New Roman" w:eastAsia="Times New Roman" w:hAnsi="Times New Roman" w:cs="Times New Roman"/>
          <w:sz w:val="24"/>
          <w:szCs w:val="24"/>
          <w:lang w:val="nl-BE"/>
        </w:rPr>
        <w:instrText>HYPERLINK "https://doi.org/10.1016/j.cell.2011.02.013" \t "_new"</w:instrText>
      </w:r>
      <w:r w:rsidRPr="007D6FBC">
        <w:rPr>
          <w:rFonts w:ascii="Times New Roman" w:eastAsia="Times New Roman" w:hAnsi="Times New Roman" w:cs="Times New Roman"/>
          <w:sz w:val="24"/>
          <w:szCs w:val="24"/>
          <w:lang w:val="en-US"/>
        </w:rPr>
      </w:r>
      <w:r w:rsidRPr="007D6FBC">
        <w:rPr>
          <w:rFonts w:ascii="Times New Roman" w:eastAsia="Times New Roman" w:hAnsi="Times New Roman" w:cs="Times New Roman"/>
          <w:sz w:val="24"/>
          <w:szCs w:val="24"/>
          <w:lang w:val="en-US"/>
        </w:rPr>
        <w:fldChar w:fldCharType="separate"/>
      </w:r>
      <w:r w:rsidRPr="007D6FBC">
        <w:rPr>
          <w:rFonts w:ascii="Times New Roman" w:eastAsia="Times New Roman" w:hAnsi="Times New Roman" w:cs="Times New Roman"/>
          <w:color w:val="0000FF"/>
          <w:sz w:val="24"/>
          <w:szCs w:val="24"/>
          <w:u w:val="single"/>
          <w:lang w:val="nl-BE"/>
        </w:rPr>
        <w:t>https://doi.org/10.1016/j.cell.2011.02.013</w:t>
      </w:r>
      <w:r w:rsidRPr="007D6FBC">
        <w:rPr>
          <w:rFonts w:ascii="Times New Roman" w:eastAsia="Times New Roman" w:hAnsi="Times New Roman" w:cs="Times New Roman"/>
          <w:sz w:val="24"/>
          <w:szCs w:val="24"/>
          <w:lang w:val="en-US"/>
        </w:rPr>
        <w:fldChar w:fldCharType="end"/>
      </w:r>
    </w:p>
    <w:p w14:paraId="07400194"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nl-BE"/>
        </w:rPr>
        <w:t xml:space="preserve">Hodi, F. S., O’Day, S. J., McDermott, D. F., Weber, R. W., Sosman, J. A., Haanen, J. B., Gonzalez, R., Robert, C., Schadendorf, D., Hassel, J. C., Akerley, W., van den Eertwegh, A. J. M., Lutzky, J., Lorigan, P., Vaubel, J. M., Linette, G. P., Hogg, D., Ottensmeier, C. H., Lebbé, C., … </w:t>
      </w:r>
      <w:proofErr w:type="spellStart"/>
      <w:r w:rsidRPr="007D6FBC">
        <w:rPr>
          <w:rFonts w:ascii="Times New Roman" w:eastAsia="Times New Roman" w:hAnsi="Times New Roman" w:cs="Times New Roman"/>
          <w:sz w:val="24"/>
          <w:szCs w:val="24"/>
          <w:lang w:val="en-US"/>
        </w:rPr>
        <w:t>Wolchok</w:t>
      </w:r>
      <w:proofErr w:type="spellEnd"/>
      <w:r w:rsidRPr="007D6FBC">
        <w:rPr>
          <w:rFonts w:ascii="Times New Roman" w:eastAsia="Times New Roman" w:hAnsi="Times New Roman" w:cs="Times New Roman"/>
          <w:sz w:val="24"/>
          <w:szCs w:val="24"/>
          <w:lang w:val="en-US"/>
        </w:rPr>
        <w:t xml:space="preserve">, J. D. (2010). Improved survival with ipilimumab in patients with metastatic melanoma. </w:t>
      </w:r>
      <w:r w:rsidRPr="007D6FBC">
        <w:rPr>
          <w:rFonts w:ascii="Times New Roman" w:eastAsia="Times New Roman" w:hAnsi="Times New Roman" w:cs="Times New Roman"/>
          <w:i/>
          <w:iCs/>
          <w:sz w:val="24"/>
          <w:szCs w:val="24"/>
          <w:lang w:val="en-US"/>
        </w:rPr>
        <w:t>New England Journal of Medicine, 363</w:t>
      </w:r>
      <w:r w:rsidRPr="007D6FBC">
        <w:rPr>
          <w:rFonts w:ascii="Times New Roman" w:eastAsia="Times New Roman" w:hAnsi="Times New Roman" w:cs="Times New Roman"/>
          <w:sz w:val="24"/>
          <w:szCs w:val="24"/>
          <w:lang w:val="en-US"/>
        </w:rPr>
        <w:t xml:space="preserve">(8), 711–723. </w:t>
      </w:r>
      <w:hyperlink r:id="rId21" w:tgtFrame="_new" w:history="1">
        <w:r w:rsidRPr="007D6FBC">
          <w:rPr>
            <w:rFonts w:ascii="Times New Roman" w:eastAsia="Times New Roman" w:hAnsi="Times New Roman" w:cs="Times New Roman"/>
            <w:color w:val="0000FF"/>
            <w:sz w:val="24"/>
            <w:szCs w:val="24"/>
            <w:u w:val="single"/>
            <w:lang w:val="en-US"/>
          </w:rPr>
          <w:t>https://doi.org/10.1056/NEJMoa1003466</w:t>
        </w:r>
      </w:hyperlink>
    </w:p>
    <w:p w14:paraId="3D893746"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Holohan, C., Van Schaeybroeck, S., Longley, D. B., &amp; Johnston, P. G. (2013). Cancer drug resistance: An evolving paradigm. </w:t>
      </w:r>
      <w:r w:rsidRPr="007D6FBC">
        <w:rPr>
          <w:rFonts w:ascii="Times New Roman" w:eastAsia="Times New Roman" w:hAnsi="Times New Roman" w:cs="Times New Roman"/>
          <w:i/>
          <w:iCs/>
          <w:sz w:val="24"/>
          <w:szCs w:val="24"/>
          <w:lang w:val="en-US"/>
        </w:rPr>
        <w:t>Nature Reviews Cancer, 13</w:t>
      </w:r>
      <w:r w:rsidRPr="007D6FBC">
        <w:rPr>
          <w:rFonts w:ascii="Times New Roman" w:eastAsia="Times New Roman" w:hAnsi="Times New Roman" w:cs="Times New Roman"/>
          <w:sz w:val="24"/>
          <w:szCs w:val="24"/>
          <w:lang w:val="en-US"/>
        </w:rPr>
        <w:t xml:space="preserve">(10), 714–726. </w:t>
      </w:r>
      <w:hyperlink r:id="rId22" w:tgtFrame="_new" w:history="1">
        <w:r w:rsidRPr="007D6FBC">
          <w:rPr>
            <w:rFonts w:ascii="Times New Roman" w:eastAsia="Times New Roman" w:hAnsi="Times New Roman" w:cs="Times New Roman"/>
            <w:color w:val="0000FF"/>
            <w:sz w:val="24"/>
            <w:szCs w:val="24"/>
            <w:u w:val="single"/>
            <w:lang w:val="en-US"/>
          </w:rPr>
          <w:t>https://doi.org/10.1038/nrc3599</w:t>
        </w:r>
      </w:hyperlink>
    </w:p>
    <w:p w14:paraId="541A4E39"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Hurwitz, H., Fehrenbacher, L., Novotny, W., Cartwright, T., Hainsworth, J., Heim, W., Berlin, J., Baron, A., Griffing, S., Holmgren, E., Ferrara, N., Fyfe, G., Rogers, B., Ross, R., &amp; </w:t>
      </w:r>
      <w:proofErr w:type="spellStart"/>
      <w:r w:rsidRPr="007D6FBC">
        <w:rPr>
          <w:rFonts w:ascii="Times New Roman" w:eastAsia="Times New Roman" w:hAnsi="Times New Roman" w:cs="Times New Roman"/>
          <w:sz w:val="24"/>
          <w:szCs w:val="24"/>
          <w:lang w:val="en-US"/>
        </w:rPr>
        <w:t>Kabbinavar</w:t>
      </w:r>
      <w:proofErr w:type="spellEnd"/>
      <w:r w:rsidRPr="007D6FBC">
        <w:rPr>
          <w:rFonts w:ascii="Times New Roman" w:eastAsia="Times New Roman" w:hAnsi="Times New Roman" w:cs="Times New Roman"/>
          <w:sz w:val="24"/>
          <w:szCs w:val="24"/>
          <w:lang w:val="en-US"/>
        </w:rPr>
        <w:t xml:space="preserve">, F. (2004). Bevacizumab plus irinotecan, fluorouracil, and leucovorin for metastatic colorectal cancer. </w:t>
      </w:r>
      <w:r w:rsidRPr="007D6FBC">
        <w:rPr>
          <w:rFonts w:ascii="Times New Roman" w:eastAsia="Times New Roman" w:hAnsi="Times New Roman" w:cs="Times New Roman"/>
          <w:i/>
          <w:iCs/>
          <w:sz w:val="24"/>
          <w:szCs w:val="24"/>
          <w:lang w:val="en-US"/>
        </w:rPr>
        <w:t>New England Journal of Medicine, 350</w:t>
      </w:r>
      <w:r w:rsidRPr="007D6FBC">
        <w:rPr>
          <w:rFonts w:ascii="Times New Roman" w:eastAsia="Times New Roman" w:hAnsi="Times New Roman" w:cs="Times New Roman"/>
          <w:sz w:val="24"/>
          <w:szCs w:val="24"/>
          <w:lang w:val="en-US"/>
        </w:rPr>
        <w:t xml:space="preserve">(23), 2335–2342. </w:t>
      </w:r>
      <w:hyperlink r:id="rId23" w:tgtFrame="_new" w:history="1">
        <w:r w:rsidRPr="007D6FBC">
          <w:rPr>
            <w:rFonts w:ascii="Times New Roman" w:eastAsia="Times New Roman" w:hAnsi="Times New Roman" w:cs="Times New Roman"/>
            <w:color w:val="0000FF"/>
            <w:sz w:val="24"/>
            <w:szCs w:val="24"/>
            <w:u w:val="single"/>
            <w:lang w:val="en-US"/>
          </w:rPr>
          <w:t>https://doi.org/10.1056/NEJMoa032691</w:t>
        </w:r>
      </w:hyperlink>
    </w:p>
    <w:p w14:paraId="1037B9BA"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7D6FBC">
        <w:rPr>
          <w:rFonts w:ascii="Times New Roman" w:eastAsia="Times New Roman" w:hAnsi="Times New Roman" w:cs="Times New Roman"/>
          <w:sz w:val="24"/>
          <w:szCs w:val="24"/>
          <w:lang w:val="en-US"/>
        </w:rPr>
        <w:t>Imenshahidi</w:t>
      </w:r>
      <w:proofErr w:type="spellEnd"/>
      <w:r w:rsidRPr="007D6FBC">
        <w:rPr>
          <w:rFonts w:ascii="Times New Roman" w:eastAsia="Times New Roman" w:hAnsi="Times New Roman" w:cs="Times New Roman"/>
          <w:sz w:val="24"/>
          <w:szCs w:val="24"/>
          <w:lang w:val="en-US"/>
        </w:rPr>
        <w:t xml:space="preserve">, M., &amp; Hosseinzadeh, H. (2016). </w:t>
      </w:r>
      <w:r w:rsidRPr="007D6FBC">
        <w:rPr>
          <w:rFonts w:ascii="Times New Roman" w:eastAsia="Times New Roman" w:hAnsi="Times New Roman" w:cs="Times New Roman"/>
          <w:i/>
          <w:iCs/>
          <w:sz w:val="24"/>
          <w:szCs w:val="24"/>
          <w:lang w:val="en-US"/>
        </w:rPr>
        <w:t>Berberis vulgaris</w:t>
      </w:r>
      <w:r w:rsidRPr="007D6FBC">
        <w:rPr>
          <w:rFonts w:ascii="Times New Roman" w:eastAsia="Times New Roman" w:hAnsi="Times New Roman" w:cs="Times New Roman"/>
          <w:sz w:val="24"/>
          <w:szCs w:val="24"/>
          <w:lang w:val="en-US"/>
        </w:rPr>
        <w:t xml:space="preserve"> and berberine: An update review. </w:t>
      </w:r>
      <w:r w:rsidRPr="007D6FBC">
        <w:rPr>
          <w:rFonts w:ascii="Times New Roman" w:eastAsia="Times New Roman" w:hAnsi="Times New Roman" w:cs="Times New Roman"/>
          <w:i/>
          <w:iCs/>
          <w:sz w:val="24"/>
          <w:szCs w:val="24"/>
          <w:lang w:val="en-US"/>
        </w:rPr>
        <w:t>Phytotherapy Research, 30</w:t>
      </w:r>
      <w:r w:rsidRPr="007D6FBC">
        <w:rPr>
          <w:rFonts w:ascii="Times New Roman" w:eastAsia="Times New Roman" w:hAnsi="Times New Roman" w:cs="Times New Roman"/>
          <w:sz w:val="24"/>
          <w:szCs w:val="24"/>
          <w:lang w:val="en-US"/>
        </w:rPr>
        <w:t xml:space="preserve">(11), 1745–1764. </w:t>
      </w:r>
      <w:hyperlink r:id="rId24" w:tgtFrame="_new" w:history="1">
        <w:r w:rsidRPr="007D6FBC">
          <w:rPr>
            <w:rFonts w:ascii="Times New Roman" w:eastAsia="Times New Roman" w:hAnsi="Times New Roman" w:cs="Times New Roman"/>
            <w:color w:val="0000FF"/>
            <w:sz w:val="24"/>
            <w:szCs w:val="24"/>
            <w:u w:val="single"/>
            <w:lang w:val="en-US"/>
          </w:rPr>
          <w:t>https://doi.org/10.1002/ptr.5693</w:t>
        </w:r>
      </w:hyperlink>
    </w:p>
    <w:p w14:paraId="44DCBFF4"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Jordan, M. A., &amp; Wilson, L. (2004). Microtubules as a target for anticancer drugs. </w:t>
      </w:r>
      <w:r w:rsidRPr="007D6FBC">
        <w:rPr>
          <w:rFonts w:ascii="Times New Roman" w:eastAsia="Times New Roman" w:hAnsi="Times New Roman" w:cs="Times New Roman"/>
          <w:i/>
          <w:iCs/>
          <w:sz w:val="24"/>
          <w:szCs w:val="24"/>
          <w:lang w:val="en-US"/>
        </w:rPr>
        <w:t>Nature Reviews Cancer, 4</w:t>
      </w:r>
      <w:r w:rsidRPr="007D6FBC">
        <w:rPr>
          <w:rFonts w:ascii="Times New Roman" w:eastAsia="Times New Roman" w:hAnsi="Times New Roman" w:cs="Times New Roman"/>
          <w:sz w:val="24"/>
          <w:szCs w:val="24"/>
          <w:lang w:val="en-US"/>
        </w:rPr>
        <w:t xml:space="preserve">(4), 253–265. </w:t>
      </w:r>
      <w:hyperlink r:id="rId25" w:tgtFrame="_new" w:history="1">
        <w:r w:rsidRPr="007D6FBC">
          <w:rPr>
            <w:rFonts w:ascii="Times New Roman" w:eastAsia="Times New Roman" w:hAnsi="Times New Roman" w:cs="Times New Roman"/>
            <w:color w:val="0000FF"/>
            <w:sz w:val="24"/>
            <w:szCs w:val="24"/>
            <w:u w:val="single"/>
            <w:lang w:val="en-US"/>
          </w:rPr>
          <w:t>https://doi.org/10.1038/nrc1317</w:t>
        </w:r>
      </w:hyperlink>
    </w:p>
    <w:p w14:paraId="63BCD3FF"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Khan, N., Afaq, F., Saleem, M., Ahmad, N., &amp; Mukhtar, H. (2006). Targeting multiple signaling pathways by green tea polyphenol (−)-epigallocatechin-3-gallate. </w:t>
      </w:r>
      <w:r w:rsidRPr="007D6FBC">
        <w:rPr>
          <w:rFonts w:ascii="Times New Roman" w:eastAsia="Times New Roman" w:hAnsi="Times New Roman" w:cs="Times New Roman"/>
          <w:i/>
          <w:iCs/>
          <w:sz w:val="24"/>
          <w:szCs w:val="24"/>
          <w:lang w:val="en-US"/>
        </w:rPr>
        <w:t>Cancer Research, 66</w:t>
      </w:r>
      <w:r w:rsidRPr="007D6FBC">
        <w:rPr>
          <w:rFonts w:ascii="Times New Roman" w:eastAsia="Times New Roman" w:hAnsi="Times New Roman" w:cs="Times New Roman"/>
          <w:sz w:val="24"/>
          <w:szCs w:val="24"/>
          <w:lang w:val="en-US"/>
        </w:rPr>
        <w:t xml:space="preserve">(5), 2500–2505. </w:t>
      </w:r>
      <w:hyperlink r:id="rId26" w:tgtFrame="_new" w:history="1">
        <w:r w:rsidRPr="007D6FBC">
          <w:rPr>
            <w:rFonts w:ascii="Times New Roman" w:eastAsia="Times New Roman" w:hAnsi="Times New Roman" w:cs="Times New Roman"/>
            <w:color w:val="0000FF"/>
            <w:sz w:val="24"/>
            <w:szCs w:val="24"/>
            <w:u w:val="single"/>
            <w:lang w:val="en-US"/>
          </w:rPr>
          <w:t>https://doi.org/10.1158/0008-5472.CAN-05-3636</w:t>
        </w:r>
      </w:hyperlink>
    </w:p>
    <w:p w14:paraId="5E1DCE1A"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Labrijn, A. F., Janmaat, M. L., Reichert, J. M., &amp; Parren, P. W. H. I. (2019). Bispecific antibodies: A mechanistic review of the pipeline. </w:t>
      </w:r>
      <w:r w:rsidRPr="007D6FBC">
        <w:rPr>
          <w:rFonts w:ascii="Times New Roman" w:eastAsia="Times New Roman" w:hAnsi="Times New Roman" w:cs="Times New Roman"/>
          <w:i/>
          <w:iCs/>
          <w:sz w:val="24"/>
          <w:szCs w:val="24"/>
          <w:lang w:val="en-US"/>
        </w:rPr>
        <w:t>Nature Reviews Drug Discovery, 18</w:t>
      </w:r>
      <w:r w:rsidRPr="007D6FBC">
        <w:rPr>
          <w:rFonts w:ascii="Times New Roman" w:eastAsia="Times New Roman" w:hAnsi="Times New Roman" w:cs="Times New Roman"/>
          <w:sz w:val="24"/>
          <w:szCs w:val="24"/>
          <w:lang w:val="en-US"/>
        </w:rPr>
        <w:t xml:space="preserve">(8), 585–608. </w:t>
      </w:r>
      <w:hyperlink r:id="rId27" w:tgtFrame="_new" w:history="1">
        <w:r w:rsidRPr="007D6FBC">
          <w:rPr>
            <w:rFonts w:ascii="Times New Roman" w:eastAsia="Times New Roman" w:hAnsi="Times New Roman" w:cs="Times New Roman"/>
            <w:color w:val="0000FF"/>
            <w:sz w:val="24"/>
            <w:szCs w:val="24"/>
            <w:u w:val="single"/>
            <w:lang w:val="en-US"/>
          </w:rPr>
          <w:t>https://doi.org/10.1038/s41573-019-0028-1</w:t>
        </w:r>
      </w:hyperlink>
    </w:p>
    <w:p w14:paraId="3878ADF0"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Maloney, D. G., Grillo-López, A. J., White, C. A., Bodkin, D., Schilder, R. J., Neidhart, J. A., Janakiraman, N., Foon, K. A., Liles, T.-M., Dallaire, B. K., Wey, K., Royston, I., Davis, T., &amp; Levy, R. (1997). IDEC-C2B8 (rituximab) anti-CD20 monoclonal antibody therapy in patients with relapsed low-grade non-Hodgkin’s lymphoma. </w:t>
      </w:r>
      <w:r w:rsidRPr="007D6FBC">
        <w:rPr>
          <w:rFonts w:ascii="Times New Roman" w:eastAsia="Times New Roman" w:hAnsi="Times New Roman" w:cs="Times New Roman"/>
          <w:i/>
          <w:iCs/>
          <w:sz w:val="24"/>
          <w:szCs w:val="24"/>
          <w:lang w:val="en-US"/>
        </w:rPr>
        <w:t>Blood, 90</w:t>
      </w:r>
      <w:r w:rsidRPr="007D6FBC">
        <w:rPr>
          <w:rFonts w:ascii="Times New Roman" w:eastAsia="Times New Roman" w:hAnsi="Times New Roman" w:cs="Times New Roman"/>
          <w:sz w:val="24"/>
          <w:szCs w:val="24"/>
          <w:lang w:val="en-US"/>
        </w:rPr>
        <w:t xml:space="preserve">(6), 2188–2195. </w:t>
      </w:r>
      <w:hyperlink r:id="rId28" w:tgtFrame="_new" w:history="1">
        <w:r w:rsidRPr="007D6FBC">
          <w:rPr>
            <w:rFonts w:ascii="Times New Roman" w:eastAsia="Times New Roman" w:hAnsi="Times New Roman" w:cs="Times New Roman"/>
            <w:color w:val="0000FF"/>
            <w:sz w:val="24"/>
            <w:szCs w:val="24"/>
            <w:u w:val="single"/>
            <w:lang w:val="en-US"/>
          </w:rPr>
          <w:t>https://doi.org/10.1182/blood.V90.6.2188</w:t>
        </w:r>
      </w:hyperlink>
    </w:p>
    <w:p w14:paraId="08B598A6"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Newman, D. J., &amp; Cragg, G. M. (2020). Natural products as sources of new drugs over the nearly four decades from 01/1981 to 09/2019. </w:t>
      </w:r>
      <w:r w:rsidRPr="007D6FBC">
        <w:rPr>
          <w:rFonts w:ascii="Times New Roman" w:eastAsia="Times New Roman" w:hAnsi="Times New Roman" w:cs="Times New Roman"/>
          <w:i/>
          <w:iCs/>
          <w:sz w:val="24"/>
          <w:szCs w:val="24"/>
          <w:lang w:val="en-US"/>
        </w:rPr>
        <w:t>Journal of Natural Products, 83</w:t>
      </w:r>
      <w:r w:rsidRPr="007D6FBC">
        <w:rPr>
          <w:rFonts w:ascii="Times New Roman" w:eastAsia="Times New Roman" w:hAnsi="Times New Roman" w:cs="Times New Roman"/>
          <w:sz w:val="24"/>
          <w:szCs w:val="24"/>
          <w:lang w:val="en-US"/>
        </w:rPr>
        <w:t xml:space="preserve">(3), 770–803. </w:t>
      </w:r>
      <w:hyperlink r:id="rId29" w:tgtFrame="_new" w:history="1">
        <w:r w:rsidRPr="007D6FBC">
          <w:rPr>
            <w:rFonts w:ascii="Times New Roman" w:eastAsia="Times New Roman" w:hAnsi="Times New Roman" w:cs="Times New Roman"/>
            <w:color w:val="0000FF"/>
            <w:sz w:val="24"/>
            <w:szCs w:val="24"/>
            <w:u w:val="single"/>
            <w:lang w:val="en-US"/>
          </w:rPr>
          <w:t>https://doi.org/10.1021/acs.jnatprod.9b01285</w:t>
        </w:r>
      </w:hyperlink>
    </w:p>
    <w:p w14:paraId="39ADBE38"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lastRenderedPageBreak/>
        <w:t xml:space="preserve">Paul, S., König, M. F., </w:t>
      </w:r>
      <w:proofErr w:type="spellStart"/>
      <w:r w:rsidRPr="007D6FBC">
        <w:rPr>
          <w:rFonts w:ascii="Times New Roman" w:eastAsia="Times New Roman" w:hAnsi="Times New Roman" w:cs="Times New Roman"/>
          <w:sz w:val="24"/>
          <w:szCs w:val="24"/>
          <w:lang w:val="en-US"/>
        </w:rPr>
        <w:t>Pardoll</w:t>
      </w:r>
      <w:proofErr w:type="spellEnd"/>
      <w:r w:rsidRPr="007D6FBC">
        <w:rPr>
          <w:rFonts w:ascii="Times New Roman" w:eastAsia="Times New Roman" w:hAnsi="Times New Roman" w:cs="Times New Roman"/>
          <w:sz w:val="24"/>
          <w:szCs w:val="24"/>
          <w:lang w:val="en-US"/>
        </w:rPr>
        <w:t xml:space="preserve">, D. M., </w:t>
      </w:r>
      <w:proofErr w:type="spellStart"/>
      <w:r w:rsidRPr="007D6FBC">
        <w:rPr>
          <w:rFonts w:ascii="Times New Roman" w:eastAsia="Times New Roman" w:hAnsi="Times New Roman" w:cs="Times New Roman"/>
          <w:sz w:val="24"/>
          <w:szCs w:val="24"/>
          <w:lang w:val="en-US"/>
        </w:rPr>
        <w:t>Bettegowda</w:t>
      </w:r>
      <w:proofErr w:type="spellEnd"/>
      <w:r w:rsidRPr="007D6FBC">
        <w:rPr>
          <w:rFonts w:ascii="Times New Roman" w:eastAsia="Times New Roman" w:hAnsi="Times New Roman" w:cs="Times New Roman"/>
          <w:sz w:val="24"/>
          <w:szCs w:val="24"/>
          <w:lang w:val="en-US"/>
        </w:rPr>
        <w:t xml:space="preserve">, C., Papadopoulos, N., Wright, K. M., Gabelli, S. B., Ho, M., van Elsas, A., &amp; Zhou, S. (2024). Cancer therapy with antibodies. </w:t>
      </w:r>
      <w:r w:rsidRPr="007D6FBC">
        <w:rPr>
          <w:rFonts w:ascii="Times New Roman" w:eastAsia="Times New Roman" w:hAnsi="Times New Roman" w:cs="Times New Roman"/>
          <w:i/>
          <w:iCs/>
          <w:sz w:val="24"/>
          <w:szCs w:val="24"/>
          <w:lang w:val="en-US"/>
        </w:rPr>
        <w:t>Nature Reviews Cancer, 24</w:t>
      </w:r>
      <w:r w:rsidRPr="007D6FBC">
        <w:rPr>
          <w:rFonts w:ascii="Times New Roman" w:eastAsia="Times New Roman" w:hAnsi="Times New Roman" w:cs="Times New Roman"/>
          <w:sz w:val="24"/>
          <w:szCs w:val="24"/>
          <w:lang w:val="en-US"/>
        </w:rPr>
        <w:t xml:space="preserve">, 399–426. </w:t>
      </w:r>
      <w:hyperlink r:id="rId30" w:tgtFrame="_new" w:history="1">
        <w:r w:rsidRPr="007D6FBC">
          <w:rPr>
            <w:rFonts w:ascii="Times New Roman" w:eastAsia="Times New Roman" w:hAnsi="Times New Roman" w:cs="Times New Roman"/>
            <w:color w:val="0000FF"/>
            <w:sz w:val="24"/>
            <w:szCs w:val="24"/>
            <w:u w:val="single"/>
            <w:lang w:val="en-US"/>
          </w:rPr>
          <w:t>https://doi.org/10.1038/s41568-024-00690-x</w:t>
        </w:r>
      </w:hyperlink>
    </w:p>
    <w:p w14:paraId="596740BC"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nl-BE"/>
        </w:rPr>
        <w:t xml:space="preserve">Phi, L. T. H., Sari, I. N., Yang, Y.-G., Lee, S.-H., Jun, N., Kim, K. S., Lee, Y. K., &amp; Kwon, H. Y. (2018). </w:t>
      </w:r>
      <w:r w:rsidRPr="007D6FBC">
        <w:rPr>
          <w:rFonts w:ascii="Times New Roman" w:eastAsia="Times New Roman" w:hAnsi="Times New Roman" w:cs="Times New Roman"/>
          <w:sz w:val="24"/>
          <w:szCs w:val="24"/>
          <w:lang w:val="en-US"/>
        </w:rPr>
        <w:t xml:space="preserve">Cancer stem cells (CSCs) in drug resistance and their therapeutic implications in cancer treatment. </w:t>
      </w:r>
      <w:r w:rsidRPr="007D6FBC">
        <w:rPr>
          <w:rFonts w:ascii="Times New Roman" w:eastAsia="Times New Roman" w:hAnsi="Times New Roman" w:cs="Times New Roman"/>
          <w:i/>
          <w:iCs/>
          <w:sz w:val="24"/>
          <w:szCs w:val="24"/>
          <w:lang w:val="en-US"/>
        </w:rPr>
        <w:t>Stem Cells International, 2018</w:t>
      </w:r>
      <w:r w:rsidRPr="007D6FBC">
        <w:rPr>
          <w:rFonts w:ascii="Times New Roman" w:eastAsia="Times New Roman" w:hAnsi="Times New Roman" w:cs="Times New Roman"/>
          <w:sz w:val="24"/>
          <w:szCs w:val="24"/>
          <w:lang w:val="en-US"/>
        </w:rPr>
        <w:t xml:space="preserve">, Article 5416923. </w:t>
      </w:r>
      <w:hyperlink r:id="rId31" w:tgtFrame="_new" w:history="1">
        <w:r w:rsidRPr="007D6FBC">
          <w:rPr>
            <w:rFonts w:ascii="Times New Roman" w:eastAsia="Times New Roman" w:hAnsi="Times New Roman" w:cs="Times New Roman"/>
            <w:color w:val="0000FF"/>
            <w:sz w:val="24"/>
            <w:szCs w:val="24"/>
            <w:u w:val="single"/>
            <w:lang w:val="en-US"/>
          </w:rPr>
          <w:t>https://doi.org/10.1155/2018/5416923</w:t>
        </w:r>
      </w:hyperlink>
    </w:p>
    <w:p w14:paraId="692B56B1"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Prasad, S., Tyagi, A. K., &amp; Aggarwal, B. B. (2014). Recent developments in delivery, bioavailability, absorption and metabolism of curcumin: The golden pigment from golden spice. </w:t>
      </w:r>
      <w:r w:rsidRPr="007D6FBC">
        <w:rPr>
          <w:rFonts w:ascii="Times New Roman" w:eastAsia="Times New Roman" w:hAnsi="Times New Roman" w:cs="Times New Roman"/>
          <w:i/>
          <w:iCs/>
          <w:sz w:val="24"/>
          <w:szCs w:val="24"/>
          <w:lang w:val="en-US"/>
        </w:rPr>
        <w:t>Cancer Research and Treatment, 46</w:t>
      </w:r>
      <w:r w:rsidRPr="007D6FBC">
        <w:rPr>
          <w:rFonts w:ascii="Times New Roman" w:eastAsia="Times New Roman" w:hAnsi="Times New Roman" w:cs="Times New Roman"/>
          <w:sz w:val="24"/>
          <w:szCs w:val="24"/>
          <w:lang w:val="en-US"/>
        </w:rPr>
        <w:t xml:space="preserve">(1), 2–18. </w:t>
      </w:r>
      <w:hyperlink r:id="rId32" w:tgtFrame="_new" w:history="1">
        <w:r w:rsidRPr="007D6FBC">
          <w:rPr>
            <w:rFonts w:ascii="Times New Roman" w:eastAsia="Times New Roman" w:hAnsi="Times New Roman" w:cs="Times New Roman"/>
            <w:color w:val="0000FF"/>
            <w:sz w:val="24"/>
            <w:szCs w:val="24"/>
            <w:u w:val="single"/>
            <w:lang w:val="en-US"/>
          </w:rPr>
          <w:t>https://doi.org/10.4143/crt.2014.46.1.2</w:t>
        </w:r>
      </w:hyperlink>
    </w:p>
    <w:p w14:paraId="3EA9C1CE"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Ribas, A., &amp; </w:t>
      </w:r>
      <w:proofErr w:type="spellStart"/>
      <w:r w:rsidRPr="007D6FBC">
        <w:rPr>
          <w:rFonts w:ascii="Times New Roman" w:eastAsia="Times New Roman" w:hAnsi="Times New Roman" w:cs="Times New Roman"/>
          <w:sz w:val="24"/>
          <w:szCs w:val="24"/>
          <w:lang w:val="en-US"/>
        </w:rPr>
        <w:t>Wolchok</w:t>
      </w:r>
      <w:proofErr w:type="spellEnd"/>
      <w:r w:rsidRPr="007D6FBC">
        <w:rPr>
          <w:rFonts w:ascii="Times New Roman" w:eastAsia="Times New Roman" w:hAnsi="Times New Roman" w:cs="Times New Roman"/>
          <w:sz w:val="24"/>
          <w:szCs w:val="24"/>
          <w:lang w:val="en-US"/>
        </w:rPr>
        <w:t xml:space="preserve">, J. D. (2018). Cancer immunotherapy using checkpoint blockade. </w:t>
      </w:r>
      <w:r w:rsidRPr="007D6FBC">
        <w:rPr>
          <w:rFonts w:ascii="Times New Roman" w:eastAsia="Times New Roman" w:hAnsi="Times New Roman" w:cs="Times New Roman"/>
          <w:i/>
          <w:iCs/>
          <w:sz w:val="24"/>
          <w:szCs w:val="24"/>
          <w:lang w:val="en-US"/>
        </w:rPr>
        <w:t>Science, 359</w:t>
      </w:r>
      <w:r w:rsidRPr="007D6FBC">
        <w:rPr>
          <w:rFonts w:ascii="Times New Roman" w:eastAsia="Times New Roman" w:hAnsi="Times New Roman" w:cs="Times New Roman"/>
          <w:sz w:val="24"/>
          <w:szCs w:val="24"/>
          <w:lang w:val="en-US"/>
        </w:rPr>
        <w:t xml:space="preserve">(6382), 1350–1355. </w:t>
      </w:r>
      <w:hyperlink r:id="rId33" w:tgtFrame="_new" w:history="1">
        <w:r w:rsidRPr="007D6FBC">
          <w:rPr>
            <w:rFonts w:ascii="Times New Roman" w:eastAsia="Times New Roman" w:hAnsi="Times New Roman" w:cs="Times New Roman"/>
            <w:color w:val="0000FF"/>
            <w:sz w:val="24"/>
            <w:szCs w:val="24"/>
            <w:u w:val="single"/>
            <w:lang w:val="en-US"/>
          </w:rPr>
          <w:t>https://doi.org/10.1126/science.aar4060</w:t>
        </w:r>
      </w:hyperlink>
    </w:p>
    <w:p w14:paraId="117CDF32"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Rittmeyer, A., </w:t>
      </w:r>
      <w:proofErr w:type="spellStart"/>
      <w:r w:rsidRPr="007D6FBC">
        <w:rPr>
          <w:rFonts w:ascii="Times New Roman" w:eastAsia="Times New Roman" w:hAnsi="Times New Roman" w:cs="Times New Roman"/>
          <w:sz w:val="24"/>
          <w:szCs w:val="24"/>
          <w:lang w:val="en-US"/>
        </w:rPr>
        <w:t>Barlesi</w:t>
      </w:r>
      <w:proofErr w:type="spellEnd"/>
      <w:r w:rsidRPr="007D6FBC">
        <w:rPr>
          <w:rFonts w:ascii="Times New Roman" w:eastAsia="Times New Roman" w:hAnsi="Times New Roman" w:cs="Times New Roman"/>
          <w:sz w:val="24"/>
          <w:szCs w:val="24"/>
          <w:lang w:val="en-US"/>
        </w:rPr>
        <w:t xml:space="preserve">, F., </w:t>
      </w:r>
      <w:proofErr w:type="spellStart"/>
      <w:r w:rsidRPr="007D6FBC">
        <w:rPr>
          <w:rFonts w:ascii="Times New Roman" w:eastAsia="Times New Roman" w:hAnsi="Times New Roman" w:cs="Times New Roman"/>
          <w:sz w:val="24"/>
          <w:szCs w:val="24"/>
          <w:lang w:val="en-US"/>
        </w:rPr>
        <w:t>Waterkamp</w:t>
      </w:r>
      <w:proofErr w:type="spellEnd"/>
      <w:r w:rsidRPr="007D6FBC">
        <w:rPr>
          <w:rFonts w:ascii="Times New Roman" w:eastAsia="Times New Roman" w:hAnsi="Times New Roman" w:cs="Times New Roman"/>
          <w:sz w:val="24"/>
          <w:szCs w:val="24"/>
          <w:lang w:val="en-US"/>
        </w:rPr>
        <w:t xml:space="preserve">, D., Park, K., Ciardiello, F., von Pawel, J., </w:t>
      </w:r>
      <w:proofErr w:type="spellStart"/>
      <w:r w:rsidRPr="007D6FBC">
        <w:rPr>
          <w:rFonts w:ascii="Times New Roman" w:eastAsia="Times New Roman" w:hAnsi="Times New Roman" w:cs="Times New Roman"/>
          <w:sz w:val="24"/>
          <w:szCs w:val="24"/>
          <w:lang w:val="en-US"/>
        </w:rPr>
        <w:t>Gadgeel</w:t>
      </w:r>
      <w:proofErr w:type="spellEnd"/>
      <w:r w:rsidRPr="007D6FBC">
        <w:rPr>
          <w:rFonts w:ascii="Times New Roman" w:eastAsia="Times New Roman" w:hAnsi="Times New Roman" w:cs="Times New Roman"/>
          <w:sz w:val="24"/>
          <w:szCs w:val="24"/>
          <w:lang w:val="en-US"/>
        </w:rPr>
        <w:t xml:space="preserve">, S. M., Hida, T., Kowalski, D. M., Dols, M. C., </w:t>
      </w:r>
      <w:proofErr w:type="spellStart"/>
      <w:r w:rsidRPr="007D6FBC">
        <w:rPr>
          <w:rFonts w:ascii="Times New Roman" w:eastAsia="Times New Roman" w:hAnsi="Times New Roman" w:cs="Times New Roman"/>
          <w:sz w:val="24"/>
          <w:szCs w:val="24"/>
          <w:lang w:val="en-US"/>
        </w:rPr>
        <w:t>Cortinovis</w:t>
      </w:r>
      <w:proofErr w:type="spellEnd"/>
      <w:r w:rsidRPr="007D6FBC">
        <w:rPr>
          <w:rFonts w:ascii="Times New Roman" w:eastAsia="Times New Roman" w:hAnsi="Times New Roman" w:cs="Times New Roman"/>
          <w:sz w:val="24"/>
          <w:szCs w:val="24"/>
          <w:lang w:val="en-US"/>
        </w:rPr>
        <w:t xml:space="preserve">, D. L., Leach, J., Polikoff, J., Barrios, C., </w:t>
      </w:r>
      <w:proofErr w:type="spellStart"/>
      <w:r w:rsidRPr="007D6FBC">
        <w:rPr>
          <w:rFonts w:ascii="Times New Roman" w:eastAsia="Times New Roman" w:hAnsi="Times New Roman" w:cs="Times New Roman"/>
          <w:sz w:val="24"/>
          <w:szCs w:val="24"/>
          <w:lang w:val="en-US"/>
        </w:rPr>
        <w:t>Kabbinavar</w:t>
      </w:r>
      <w:proofErr w:type="spellEnd"/>
      <w:r w:rsidRPr="007D6FBC">
        <w:rPr>
          <w:rFonts w:ascii="Times New Roman" w:eastAsia="Times New Roman" w:hAnsi="Times New Roman" w:cs="Times New Roman"/>
          <w:sz w:val="24"/>
          <w:szCs w:val="24"/>
          <w:lang w:val="en-US"/>
        </w:rPr>
        <w:t xml:space="preserve">, F., Frontera, O. A., De Marinis, F., Turna, H., Lee, J.-S., … Sandler, A. (2017). Atezolizumab versus docetaxel in patients with previously treated non–small-cell lung cancer (OAK): A </w:t>
      </w:r>
      <w:proofErr w:type="spellStart"/>
      <w:r w:rsidRPr="007D6FBC">
        <w:rPr>
          <w:rFonts w:ascii="Times New Roman" w:eastAsia="Times New Roman" w:hAnsi="Times New Roman" w:cs="Times New Roman"/>
          <w:sz w:val="24"/>
          <w:szCs w:val="24"/>
          <w:lang w:val="en-US"/>
        </w:rPr>
        <w:t>multicentre</w:t>
      </w:r>
      <w:proofErr w:type="spellEnd"/>
      <w:r w:rsidRPr="007D6FBC">
        <w:rPr>
          <w:rFonts w:ascii="Times New Roman" w:eastAsia="Times New Roman" w:hAnsi="Times New Roman" w:cs="Times New Roman"/>
          <w:sz w:val="24"/>
          <w:szCs w:val="24"/>
          <w:lang w:val="en-US"/>
        </w:rPr>
        <w:t xml:space="preserve">, open-label, </w:t>
      </w:r>
      <w:proofErr w:type="spellStart"/>
      <w:r w:rsidRPr="007D6FBC">
        <w:rPr>
          <w:rFonts w:ascii="Times New Roman" w:eastAsia="Times New Roman" w:hAnsi="Times New Roman" w:cs="Times New Roman"/>
          <w:sz w:val="24"/>
          <w:szCs w:val="24"/>
          <w:lang w:val="en-US"/>
        </w:rPr>
        <w:t>randomised</w:t>
      </w:r>
      <w:proofErr w:type="spellEnd"/>
      <w:r w:rsidRPr="007D6FBC">
        <w:rPr>
          <w:rFonts w:ascii="Times New Roman" w:eastAsia="Times New Roman" w:hAnsi="Times New Roman" w:cs="Times New Roman"/>
          <w:sz w:val="24"/>
          <w:szCs w:val="24"/>
          <w:lang w:val="en-US"/>
        </w:rPr>
        <w:t xml:space="preserve"> controlled phase 3 trial. </w:t>
      </w:r>
      <w:r w:rsidRPr="007D6FBC">
        <w:rPr>
          <w:rFonts w:ascii="Times New Roman" w:eastAsia="Times New Roman" w:hAnsi="Times New Roman" w:cs="Times New Roman"/>
          <w:i/>
          <w:iCs/>
          <w:sz w:val="24"/>
          <w:szCs w:val="24"/>
          <w:lang w:val="en-US"/>
        </w:rPr>
        <w:t>The Lancet, 389</w:t>
      </w:r>
      <w:r w:rsidRPr="007D6FBC">
        <w:rPr>
          <w:rFonts w:ascii="Times New Roman" w:eastAsia="Times New Roman" w:hAnsi="Times New Roman" w:cs="Times New Roman"/>
          <w:sz w:val="24"/>
          <w:szCs w:val="24"/>
          <w:lang w:val="en-US"/>
        </w:rPr>
        <w:t xml:space="preserve">(10066), 255–265. </w:t>
      </w:r>
      <w:hyperlink r:id="rId34" w:tgtFrame="_new" w:history="1">
        <w:r w:rsidRPr="007D6FBC">
          <w:rPr>
            <w:rFonts w:ascii="Times New Roman" w:eastAsia="Times New Roman" w:hAnsi="Times New Roman" w:cs="Times New Roman"/>
            <w:color w:val="0000FF"/>
            <w:sz w:val="24"/>
            <w:szCs w:val="24"/>
            <w:u w:val="single"/>
            <w:lang w:val="en-US"/>
          </w:rPr>
          <w:t>https://doi.org/10.1016/S0140-6736(16)32517-X</w:t>
        </w:r>
      </w:hyperlink>
    </w:p>
    <w:p w14:paraId="7E8B2F17"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Robert, C., Schachter, J., Long, G. V., </w:t>
      </w:r>
      <w:proofErr w:type="spellStart"/>
      <w:r w:rsidRPr="007D6FBC">
        <w:rPr>
          <w:rFonts w:ascii="Times New Roman" w:eastAsia="Times New Roman" w:hAnsi="Times New Roman" w:cs="Times New Roman"/>
          <w:sz w:val="24"/>
          <w:szCs w:val="24"/>
          <w:lang w:val="en-US"/>
        </w:rPr>
        <w:t>Arance</w:t>
      </w:r>
      <w:proofErr w:type="spellEnd"/>
      <w:r w:rsidRPr="007D6FBC">
        <w:rPr>
          <w:rFonts w:ascii="Times New Roman" w:eastAsia="Times New Roman" w:hAnsi="Times New Roman" w:cs="Times New Roman"/>
          <w:sz w:val="24"/>
          <w:szCs w:val="24"/>
          <w:lang w:val="en-US"/>
        </w:rPr>
        <w:t xml:space="preserve">, A., Grob, J. J., Mortier, L., Daud, A., Carlino, M. S., McNeil, C., Lotem, M., Larkin, J., Lorigan, P., Neyns, B., Blank, C. U., Hamid, O., Mateus, C., Shapira-Frommer, R., Kosh, M., Zhou, H., … Ribas, A. (2015). Pembrolizumab versus ipilimumab in advanced melanoma. </w:t>
      </w:r>
      <w:r w:rsidRPr="007D6FBC">
        <w:rPr>
          <w:rFonts w:ascii="Times New Roman" w:eastAsia="Times New Roman" w:hAnsi="Times New Roman" w:cs="Times New Roman"/>
          <w:i/>
          <w:iCs/>
          <w:sz w:val="24"/>
          <w:szCs w:val="24"/>
          <w:lang w:val="en-US"/>
        </w:rPr>
        <w:t>New England Journal of Medicine, 372</w:t>
      </w:r>
      <w:r w:rsidRPr="007D6FBC">
        <w:rPr>
          <w:rFonts w:ascii="Times New Roman" w:eastAsia="Times New Roman" w:hAnsi="Times New Roman" w:cs="Times New Roman"/>
          <w:sz w:val="24"/>
          <w:szCs w:val="24"/>
          <w:lang w:val="en-US"/>
        </w:rPr>
        <w:t xml:space="preserve">(26), 2521–2532. </w:t>
      </w:r>
      <w:hyperlink r:id="rId35" w:tgtFrame="_new" w:history="1">
        <w:r w:rsidRPr="007D6FBC">
          <w:rPr>
            <w:rFonts w:ascii="Times New Roman" w:eastAsia="Times New Roman" w:hAnsi="Times New Roman" w:cs="Times New Roman"/>
            <w:color w:val="0000FF"/>
            <w:sz w:val="24"/>
            <w:szCs w:val="24"/>
            <w:u w:val="single"/>
            <w:lang w:val="en-US"/>
          </w:rPr>
          <w:t>https://doi.org/10.1056/NEJMoa1503093</w:t>
        </w:r>
      </w:hyperlink>
    </w:p>
    <w:p w14:paraId="3C9A92D2"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Russo, M., Spagnuolo, C., Tedesco, I., Bilotto, S., &amp; Russo, G. L. (2012). The flavonoid quercetin in disease prevention and therapy: Facts and fancies. </w:t>
      </w:r>
      <w:r w:rsidRPr="007D6FBC">
        <w:rPr>
          <w:rFonts w:ascii="Times New Roman" w:eastAsia="Times New Roman" w:hAnsi="Times New Roman" w:cs="Times New Roman"/>
          <w:i/>
          <w:iCs/>
          <w:sz w:val="24"/>
          <w:szCs w:val="24"/>
          <w:lang w:val="en-US"/>
        </w:rPr>
        <w:t>Biochemical Pharmacology, 83</w:t>
      </w:r>
      <w:r w:rsidRPr="007D6FBC">
        <w:rPr>
          <w:rFonts w:ascii="Times New Roman" w:eastAsia="Times New Roman" w:hAnsi="Times New Roman" w:cs="Times New Roman"/>
          <w:sz w:val="24"/>
          <w:szCs w:val="24"/>
          <w:lang w:val="en-US"/>
        </w:rPr>
        <w:t xml:space="preserve">(1), 6–15. </w:t>
      </w:r>
      <w:hyperlink r:id="rId36" w:tgtFrame="_new" w:history="1">
        <w:r w:rsidRPr="007D6FBC">
          <w:rPr>
            <w:rFonts w:ascii="Times New Roman" w:eastAsia="Times New Roman" w:hAnsi="Times New Roman" w:cs="Times New Roman"/>
            <w:color w:val="0000FF"/>
            <w:sz w:val="24"/>
            <w:szCs w:val="24"/>
            <w:u w:val="single"/>
            <w:lang w:val="en-US"/>
          </w:rPr>
          <w:t>https://doi.org/10.1016/j.bcp.2011.08.010</w:t>
        </w:r>
      </w:hyperlink>
    </w:p>
    <w:p w14:paraId="10FF59BC"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Scott, A. M., </w:t>
      </w:r>
      <w:proofErr w:type="spellStart"/>
      <w:r w:rsidRPr="007D6FBC">
        <w:rPr>
          <w:rFonts w:ascii="Times New Roman" w:eastAsia="Times New Roman" w:hAnsi="Times New Roman" w:cs="Times New Roman"/>
          <w:sz w:val="24"/>
          <w:szCs w:val="24"/>
          <w:lang w:val="en-US"/>
        </w:rPr>
        <w:t>Wolchok</w:t>
      </w:r>
      <w:proofErr w:type="spellEnd"/>
      <w:r w:rsidRPr="007D6FBC">
        <w:rPr>
          <w:rFonts w:ascii="Times New Roman" w:eastAsia="Times New Roman" w:hAnsi="Times New Roman" w:cs="Times New Roman"/>
          <w:sz w:val="24"/>
          <w:szCs w:val="24"/>
          <w:lang w:val="en-US"/>
        </w:rPr>
        <w:t xml:space="preserve">, J. D., &amp; Old, L. J. (2012). Antibody therapy of cancer. </w:t>
      </w:r>
      <w:r w:rsidRPr="007D6FBC">
        <w:rPr>
          <w:rFonts w:ascii="Times New Roman" w:eastAsia="Times New Roman" w:hAnsi="Times New Roman" w:cs="Times New Roman"/>
          <w:i/>
          <w:iCs/>
          <w:sz w:val="24"/>
          <w:szCs w:val="24"/>
          <w:lang w:val="en-US"/>
        </w:rPr>
        <w:t>Nature Reviews Cancer, 12</w:t>
      </w:r>
      <w:r w:rsidRPr="007D6FBC">
        <w:rPr>
          <w:rFonts w:ascii="Times New Roman" w:eastAsia="Times New Roman" w:hAnsi="Times New Roman" w:cs="Times New Roman"/>
          <w:sz w:val="24"/>
          <w:szCs w:val="24"/>
          <w:lang w:val="en-US"/>
        </w:rPr>
        <w:t xml:space="preserve">(4), 278–287. </w:t>
      </w:r>
      <w:hyperlink r:id="rId37" w:tgtFrame="_new" w:history="1">
        <w:r w:rsidRPr="007D6FBC">
          <w:rPr>
            <w:rFonts w:ascii="Times New Roman" w:eastAsia="Times New Roman" w:hAnsi="Times New Roman" w:cs="Times New Roman"/>
            <w:color w:val="0000FF"/>
            <w:sz w:val="24"/>
            <w:szCs w:val="24"/>
            <w:u w:val="single"/>
            <w:lang w:val="en-US"/>
          </w:rPr>
          <w:t>https://doi.org/10.1038/nrc3236</w:t>
        </w:r>
      </w:hyperlink>
    </w:p>
    <w:p w14:paraId="2F2233CD"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Sharma, P., &amp; Allison, J. P. (2015). The future of immune checkpoint therapy. </w:t>
      </w:r>
      <w:r w:rsidRPr="007D6FBC">
        <w:rPr>
          <w:rFonts w:ascii="Times New Roman" w:eastAsia="Times New Roman" w:hAnsi="Times New Roman" w:cs="Times New Roman"/>
          <w:i/>
          <w:iCs/>
          <w:sz w:val="24"/>
          <w:szCs w:val="24"/>
          <w:lang w:val="en-US"/>
        </w:rPr>
        <w:t>Science, 348</w:t>
      </w:r>
      <w:r w:rsidRPr="007D6FBC">
        <w:rPr>
          <w:rFonts w:ascii="Times New Roman" w:eastAsia="Times New Roman" w:hAnsi="Times New Roman" w:cs="Times New Roman"/>
          <w:sz w:val="24"/>
          <w:szCs w:val="24"/>
          <w:lang w:val="en-US"/>
        </w:rPr>
        <w:t xml:space="preserve">(6230), 56–61. </w:t>
      </w:r>
      <w:hyperlink r:id="rId38" w:tgtFrame="_new" w:history="1">
        <w:r w:rsidRPr="007D6FBC">
          <w:rPr>
            <w:rFonts w:ascii="Times New Roman" w:eastAsia="Times New Roman" w:hAnsi="Times New Roman" w:cs="Times New Roman"/>
            <w:color w:val="0000FF"/>
            <w:sz w:val="24"/>
            <w:szCs w:val="24"/>
            <w:u w:val="single"/>
            <w:lang w:val="en-US"/>
          </w:rPr>
          <w:t>https://doi.org/10.1126/science.aaa8172</w:t>
        </w:r>
      </w:hyperlink>
    </w:p>
    <w:p w14:paraId="4E2A0348"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Shoba, G., Joy, D., Joseph, T., Majeed, M., Rajendran, R., &amp; Srinivas, P. S. S. R. (1998). Influence of piperine on the pharmacokinetics of curcumin in animals and human volunteers. </w:t>
      </w:r>
      <w:r w:rsidRPr="007D6FBC">
        <w:rPr>
          <w:rFonts w:ascii="Times New Roman" w:eastAsia="Times New Roman" w:hAnsi="Times New Roman" w:cs="Times New Roman"/>
          <w:i/>
          <w:iCs/>
          <w:sz w:val="24"/>
          <w:szCs w:val="24"/>
          <w:lang w:val="en-US"/>
        </w:rPr>
        <w:t>Planta Medica, 64</w:t>
      </w:r>
      <w:r w:rsidRPr="007D6FBC">
        <w:rPr>
          <w:rFonts w:ascii="Times New Roman" w:eastAsia="Times New Roman" w:hAnsi="Times New Roman" w:cs="Times New Roman"/>
          <w:sz w:val="24"/>
          <w:szCs w:val="24"/>
          <w:lang w:val="en-US"/>
        </w:rPr>
        <w:t xml:space="preserve">(4), 353–356. </w:t>
      </w:r>
      <w:hyperlink r:id="rId39" w:tgtFrame="_new" w:history="1">
        <w:r w:rsidRPr="007D6FBC">
          <w:rPr>
            <w:rFonts w:ascii="Times New Roman" w:eastAsia="Times New Roman" w:hAnsi="Times New Roman" w:cs="Times New Roman"/>
            <w:color w:val="0000FF"/>
            <w:sz w:val="24"/>
            <w:szCs w:val="24"/>
            <w:u w:val="single"/>
            <w:lang w:val="en-US"/>
          </w:rPr>
          <w:t>https://doi.org/10.1055/s-2006-957450</w:t>
        </w:r>
      </w:hyperlink>
    </w:p>
    <w:p w14:paraId="3CCCC9C2"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Siddiqui, I. A., Adhami, V. M., Bharali, D. J., Hafeez, B. B., Asim, M., Khwaja, S. I., Ahmad, N., Cui, H., Mousa, S. A., &amp; Mukhtar, H. (2009). Introducing </w:t>
      </w:r>
      <w:proofErr w:type="spellStart"/>
      <w:r w:rsidRPr="007D6FBC">
        <w:rPr>
          <w:rFonts w:ascii="Times New Roman" w:eastAsia="Times New Roman" w:hAnsi="Times New Roman" w:cs="Times New Roman"/>
          <w:sz w:val="24"/>
          <w:szCs w:val="24"/>
          <w:lang w:val="en-US"/>
        </w:rPr>
        <w:t>nanochemoprevention</w:t>
      </w:r>
      <w:proofErr w:type="spellEnd"/>
      <w:r w:rsidRPr="007D6FBC">
        <w:rPr>
          <w:rFonts w:ascii="Times New Roman" w:eastAsia="Times New Roman" w:hAnsi="Times New Roman" w:cs="Times New Roman"/>
          <w:sz w:val="24"/>
          <w:szCs w:val="24"/>
          <w:lang w:val="en-US"/>
        </w:rPr>
        <w:t xml:space="preserve"> as a novel approach for cancer control: Proof of principle with </w:t>
      </w:r>
      <w:r w:rsidRPr="007D6FBC">
        <w:rPr>
          <w:rFonts w:ascii="Times New Roman" w:eastAsia="Times New Roman" w:hAnsi="Times New Roman" w:cs="Times New Roman"/>
          <w:sz w:val="24"/>
          <w:szCs w:val="24"/>
          <w:lang w:val="en-US"/>
        </w:rPr>
        <w:lastRenderedPageBreak/>
        <w:t xml:space="preserve">green tea polyphenol epigallocatechin-3-gallate. </w:t>
      </w:r>
      <w:r w:rsidRPr="007D6FBC">
        <w:rPr>
          <w:rFonts w:ascii="Times New Roman" w:eastAsia="Times New Roman" w:hAnsi="Times New Roman" w:cs="Times New Roman"/>
          <w:i/>
          <w:iCs/>
          <w:sz w:val="24"/>
          <w:szCs w:val="24"/>
          <w:lang w:val="en-US"/>
        </w:rPr>
        <w:t>Cancer Research, 69</w:t>
      </w:r>
      <w:r w:rsidRPr="007D6FBC">
        <w:rPr>
          <w:rFonts w:ascii="Times New Roman" w:eastAsia="Times New Roman" w:hAnsi="Times New Roman" w:cs="Times New Roman"/>
          <w:sz w:val="24"/>
          <w:szCs w:val="24"/>
          <w:lang w:val="en-US"/>
        </w:rPr>
        <w:t xml:space="preserve">(5), 1712–1716. </w:t>
      </w:r>
      <w:hyperlink r:id="rId40" w:tgtFrame="_new" w:history="1">
        <w:r w:rsidRPr="007D6FBC">
          <w:rPr>
            <w:rFonts w:ascii="Times New Roman" w:eastAsia="Times New Roman" w:hAnsi="Times New Roman" w:cs="Times New Roman"/>
            <w:color w:val="0000FF"/>
            <w:sz w:val="24"/>
            <w:szCs w:val="24"/>
            <w:u w:val="single"/>
            <w:lang w:val="en-US"/>
          </w:rPr>
          <w:t>https://doi.org/10.1158/0008-5472.CAN-08-3978</w:t>
        </w:r>
      </w:hyperlink>
    </w:p>
    <w:p w14:paraId="1764E0D6"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Siegel, R. L., Miller, K. D., Wagle, N. S., &amp; Jemal, A. (2023). Cancer statistics, 2023. </w:t>
      </w:r>
      <w:r w:rsidRPr="007D6FBC">
        <w:rPr>
          <w:rFonts w:ascii="Times New Roman" w:eastAsia="Times New Roman" w:hAnsi="Times New Roman" w:cs="Times New Roman"/>
          <w:i/>
          <w:iCs/>
          <w:sz w:val="24"/>
          <w:szCs w:val="24"/>
          <w:lang w:val="en-US"/>
        </w:rPr>
        <w:t>CA: A Cancer Journal for Clinicians, 73</w:t>
      </w:r>
      <w:r w:rsidRPr="007D6FBC">
        <w:rPr>
          <w:rFonts w:ascii="Times New Roman" w:eastAsia="Times New Roman" w:hAnsi="Times New Roman" w:cs="Times New Roman"/>
          <w:sz w:val="24"/>
          <w:szCs w:val="24"/>
          <w:lang w:val="en-US"/>
        </w:rPr>
        <w:t xml:space="preserve">(1), 17–48. </w:t>
      </w:r>
      <w:hyperlink r:id="rId41" w:tgtFrame="_new" w:history="1">
        <w:r w:rsidRPr="007D6FBC">
          <w:rPr>
            <w:rFonts w:ascii="Times New Roman" w:eastAsia="Times New Roman" w:hAnsi="Times New Roman" w:cs="Times New Roman"/>
            <w:color w:val="0000FF"/>
            <w:sz w:val="24"/>
            <w:szCs w:val="24"/>
            <w:u w:val="single"/>
            <w:lang w:val="en-US"/>
          </w:rPr>
          <w:t>https://doi.org/10.3322/caac.21763</w:t>
        </w:r>
      </w:hyperlink>
    </w:p>
    <w:p w14:paraId="14121E8D"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Slamon, D. J., Leyland-Jones, B., Shak, S., Fuchs, H., Paton, V., Bajamonde, A., Fleming, T., Eiermann, W., Wolter, J., Pegram, M., Baselga, J., &amp; Norton, L. (2001). Use of chemotherapy plus a monoclonal antibody against HER2 for metastatic breast cancer that overexpresses HER2. </w:t>
      </w:r>
      <w:r w:rsidRPr="007D6FBC">
        <w:rPr>
          <w:rFonts w:ascii="Times New Roman" w:eastAsia="Times New Roman" w:hAnsi="Times New Roman" w:cs="Times New Roman"/>
          <w:i/>
          <w:iCs/>
          <w:sz w:val="24"/>
          <w:szCs w:val="24"/>
          <w:lang w:val="en-US"/>
        </w:rPr>
        <w:t>New England Journal of Medicine, 344</w:t>
      </w:r>
      <w:r w:rsidRPr="007D6FBC">
        <w:rPr>
          <w:rFonts w:ascii="Times New Roman" w:eastAsia="Times New Roman" w:hAnsi="Times New Roman" w:cs="Times New Roman"/>
          <w:sz w:val="24"/>
          <w:szCs w:val="24"/>
          <w:lang w:val="en-US"/>
        </w:rPr>
        <w:t xml:space="preserve">(11), 783–792. </w:t>
      </w:r>
      <w:hyperlink r:id="rId42" w:tgtFrame="_new" w:history="1">
        <w:r w:rsidRPr="007D6FBC">
          <w:rPr>
            <w:rFonts w:ascii="Times New Roman" w:eastAsia="Times New Roman" w:hAnsi="Times New Roman" w:cs="Times New Roman"/>
            <w:color w:val="0000FF"/>
            <w:sz w:val="24"/>
            <w:szCs w:val="24"/>
            <w:u w:val="single"/>
            <w:lang w:val="en-US"/>
          </w:rPr>
          <w:t>https://doi.org/10.1056/NEJM200103153441101</w:t>
        </w:r>
      </w:hyperlink>
    </w:p>
    <w:p w14:paraId="162AD287"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Sung, H., </w:t>
      </w:r>
      <w:proofErr w:type="spellStart"/>
      <w:r w:rsidRPr="007D6FBC">
        <w:rPr>
          <w:rFonts w:ascii="Times New Roman" w:eastAsia="Times New Roman" w:hAnsi="Times New Roman" w:cs="Times New Roman"/>
          <w:sz w:val="24"/>
          <w:szCs w:val="24"/>
          <w:lang w:val="en-US"/>
        </w:rPr>
        <w:t>Ferlay</w:t>
      </w:r>
      <w:proofErr w:type="spellEnd"/>
      <w:r w:rsidRPr="007D6FBC">
        <w:rPr>
          <w:rFonts w:ascii="Times New Roman" w:eastAsia="Times New Roman" w:hAnsi="Times New Roman" w:cs="Times New Roman"/>
          <w:sz w:val="24"/>
          <w:szCs w:val="24"/>
          <w:lang w:val="en-US"/>
        </w:rPr>
        <w:t xml:space="preserve">, J., Siegel, R. L., </w:t>
      </w:r>
      <w:proofErr w:type="spellStart"/>
      <w:r w:rsidRPr="007D6FBC">
        <w:rPr>
          <w:rFonts w:ascii="Times New Roman" w:eastAsia="Times New Roman" w:hAnsi="Times New Roman" w:cs="Times New Roman"/>
          <w:sz w:val="24"/>
          <w:szCs w:val="24"/>
          <w:lang w:val="en-US"/>
        </w:rPr>
        <w:t>Laversanne</w:t>
      </w:r>
      <w:proofErr w:type="spellEnd"/>
      <w:r w:rsidRPr="007D6FBC">
        <w:rPr>
          <w:rFonts w:ascii="Times New Roman" w:eastAsia="Times New Roman" w:hAnsi="Times New Roman" w:cs="Times New Roman"/>
          <w:sz w:val="24"/>
          <w:szCs w:val="24"/>
          <w:lang w:val="en-US"/>
        </w:rPr>
        <w:t xml:space="preserve">, M., </w:t>
      </w:r>
      <w:proofErr w:type="spellStart"/>
      <w:r w:rsidRPr="007D6FBC">
        <w:rPr>
          <w:rFonts w:ascii="Times New Roman" w:eastAsia="Times New Roman" w:hAnsi="Times New Roman" w:cs="Times New Roman"/>
          <w:sz w:val="24"/>
          <w:szCs w:val="24"/>
          <w:lang w:val="en-US"/>
        </w:rPr>
        <w:t>Soerjomataram</w:t>
      </w:r>
      <w:proofErr w:type="spellEnd"/>
      <w:r w:rsidRPr="007D6FBC">
        <w:rPr>
          <w:rFonts w:ascii="Times New Roman" w:eastAsia="Times New Roman" w:hAnsi="Times New Roman" w:cs="Times New Roman"/>
          <w:sz w:val="24"/>
          <w:szCs w:val="24"/>
          <w:lang w:val="en-US"/>
        </w:rPr>
        <w:t xml:space="preserve">, I., Jemal, A., &amp; Bray, F. (2021). Global cancer statistics 2020: GLOBOCAN estimates of incidence and mortality worldwide for 36 cancers in 185 countries. </w:t>
      </w:r>
      <w:r w:rsidRPr="007D6FBC">
        <w:rPr>
          <w:rFonts w:ascii="Times New Roman" w:eastAsia="Times New Roman" w:hAnsi="Times New Roman" w:cs="Times New Roman"/>
          <w:i/>
          <w:iCs/>
          <w:sz w:val="24"/>
          <w:szCs w:val="24"/>
          <w:lang w:val="en-US"/>
        </w:rPr>
        <w:t>CA: A Cancer Journal for Clinicians, 71</w:t>
      </w:r>
      <w:r w:rsidRPr="007D6FBC">
        <w:rPr>
          <w:rFonts w:ascii="Times New Roman" w:eastAsia="Times New Roman" w:hAnsi="Times New Roman" w:cs="Times New Roman"/>
          <w:sz w:val="24"/>
          <w:szCs w:val="24"/>
          <w:lang w:val="en-US"/>
        </w:rPr>
        <w:t xml:space="preserve">(3), 209–249. </w:t>
      </w:r>
      <w:hyperlink r:id="rId43" w:tgtFrame="_new" w:history="1">
        <w:r w:rsidRPr="007D6FBC">
          <w:rPr>
            <w:rFonts w:ascii="Times New Roman" w:eastAsia="Times New Roman" w:hAnsi="Times New Roman" w:cs="Times New Roman"/>
            <w:color w:val="0000FF"/>
            <w:sz w:val="24"/>
            <w:szCs w:val="24"/>
            <w:u w:val="single"/>
            <w:lang w:val="en-US"/>
          </w:rPr>
          <w:t>https://doi.org/10.3322/caac.21660</w:t>
        </w:r>
      </w:hyperlink>
    </w:p>
    <w:p w14:paraId="03DB4D94"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Topalian, S. L., Drake, C. G., &amp; </w:t>
      </w:r>
      <w:proofErr w:type="spellStart"/>
      <w:r w:rsidRPr="007D6FBC">
        <w:rPr>
          <w:rFonts w:ascii="Times New Roman" w:eastAsia="Times New Roman" w:hAnsi="Times New Roman" w:cs="Times New Roman"/>
          <w:sz w:val="24"/>
          <w:szCs w:val="24"/>
          <w:lang w:val="en-US"/>
        </w:rPr>
        <w:t>Pardoll</w:t>
      </w:r>
      <w:proofErr w:type="spellEnd"/>
      <w:r w:rsidRPr="007D6FBC">
        <w:rPr>
          <w:rFonts w:ascii="Times New Roman" w:eastAsia="Times New Roman" w:hAnsi="Times New Roman" w:cs="Times New Roman"/>
          <w:sz w:val="24"/>
          <w:szCs w:val="24"/>
          <w:lang w:val="en-US"/>
        </w:rPr>
        <w:t xml:space="preserve">, D. M. (2015). Immune checkpoint blockade: A common denominator approach to cancer therapy. </w:t>
      </w:r>
      <w:r w:rsidRPr="007D6FBC">
        <w:rPr>
          <w:rFonts w:ascii="Times New Roman" w:eastAsia="Times New Roman" w:hAnsi="Times New Roman" w:cs="Times New Roman"/>
          <w:i/>
          <w:iCs/>
          <w:sz w:val="24"/>
          <w:szCs w:val="24"/>
          <w:lang w:val="en-US"/>
        </w:rPr>
        <w:t>Cancer Cell, 27</w:t>
      </w:r>
      <w:r w:rsidRPr="007D6FBC">
        <w:rPr>
          <w:rFonts w:ascii="Times New Roman" w:eastAsia="Times New Roman" w:hAnsi="Times New Roman" w:cs="Times New Roman"/>
          <w:sz w:val="24"/>
          <w:szCs w:val="24"/>
          <w:lang w:val="en-US"/>
        </w:rPr>
        <w:t xml:space="preserve">(4), 450–461. </w:t>
      </w:r>
      <w:hyperlink r:id="rId44" w:tgtFrame="_new" w:history="1">
        <w:r w:rsidRPr="007D6FBC">
          <w:rPr>
            <w:rFonts w:ascii="Times New Roman" w:eastAsia="Times New Roman" w:hAnsi="Times New Roman" w:cs="Times New Roman"/>
            <w:color w:val="0000FF"/>
            <w:sz w:val="24"/>
            <w:szCs w:val="24"/>
            <w:u w:val="single"/>
            <w:lang w:val="en-US"/>
          </w:rPr>
          <w:t>https://doi.org/10.1016/j.ccell.2015.03.001</w:t>
        </w:r>
      </w:hyperlink>
    </w:p>
    <w:p w14:paraId="0F3BD3A7"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Topalian, S. L., Hodi, F. S., Brahmer, J. R., Gettinger, S. N., Smith, D. C., McDermott, D. F., Powderly, J. D., Carvajal, R. D., </w:t>
      </w:r>
      <w:proofErr w:type="spellStart"/>
      <w:r w:rsidRPr="007D6FBC">
        <w:rPr>
          <w:rFonts w:ascii="Times New Roman" w:eastAsia="Times New Roman" w:hAnsi="Times New Roman" w:cs="Times New Roman"/>
          <w:sz w:val="24"/>
          <w:szCs w:val="24"/>
          <w:lang w:val="en-US"/>
        </w:rPr>
        <w:t>Sosman</w:t>
      </w:r>
      <w:proofErr w:type="spellEnd"/>
      <w:r w:rsidRPr="007D6FBC">
        <w:rPr>
          <w:rFonts w:ascii="Times New Roman" w:eastAsia="Times New Roman" w:hAnsi="Times New Roman" w:cs="Times New Roman"/>
          <w:sz w:val="24"/>
          <w:szCs w:val="24"/>
          <w:lang w:val="en-US"/>
        </w:rPr>
        <w:t xml:space="preserve">, J. A., Atkins, M. B., Leming, P. D., Spigel, D. R., Antonia, S. J., Horn, L., Drake, C. G., </w:t>
      </w:r>
      <w:proofErr w:type="spellStart"/>
      <w:r w:rsidRPr="007D6FBC">
        <w:rPr>
          <w:rFonts w:ascii="Times New Roman" w:eastAsia="Times New Roman" w:hAnsi="Times New Roman" w:cs="Times New Roman"/>
          <w:sz w:val="24"/>
          <w:szCs w:val="24"/>
          <w:lang w:val="en-US"/>
        </w:rPr>
        <w:t>Pardoll</w:t>
      </w:r>
      <w:proofErr w:type="spellEnd"/>
      <w:r w:rsidRPr="007D6FBC">
        <w:rPr>
          <w:rFonts w:ascii="Times New Roman" w:eastAsia="Times New Roman" w:hAnsi="Times New Roman" w:cs="Times New Roman"/>
          <w:sz w:val="24"/>
          <w:szCs w:val="24"/>
          <w:lang w:val="en-US"/>
        </w:rPr>
        <w:t xml:space="preserve">, D. M., Chen, L., Sharfman, W. H., Anders, R. A., … </w:t>
      </w:r>
      <w:proofErr w:type="spellStart"/>
      <w:r w:rsidRPr="007D6FBC">
        <w:rPr>
          <w:rFonts w:ascii="Times New Roman" w:eastAsia="Times New Roman" w:hAnsi="Times New Roman" w:cs="Times New Roman"/>
          <w:sz w:val="24"/>
          <w:szCs w:val="24"/>
          <w:lang w:val="en-US"/>
        </w:rPr>
        <w:t>Sznol</w:t>
      </w:r>
      <w:proofErr w:type="spellEnd"/>
      <w:r w:rsidRPr="007D6FBC">
        <w:rPr>
          <w:rFonts w:ascii="Times New Roman" w:eastAsia="Times New Roman" w:hAnsi="Times New Roman" w:cs="Times New Roman"/>
          <w:sz w:val="24"/>
          <w:szCs w:val="24"/>
          <w:lang w:val="en-US"/>
        </w:rPr>
        <w:t xml:space="preserve">, M. (2012). Safety, activity, and immune correlates of anti-PD-1 antibody in cancer. </w:t>
      </w:r>
      <w:r w:rsidRPr="007D6FBC">
        <w:rPr>
          <w:rFonts w:ascii="Times New Roman" w:eastAsia="Times New Roman" w:hAnsi="Times New Roman" w:cs="Times New Roman"/>
          <w:i/>
          <w:iCs/>
          <w:sz w:val="24"/>
          <w:szCs w:val="24"/>
          <w:lang w:val="en-US"/>
        </w:rPr>
        <w:t>New England Journal of Medicine, 366</w:t>
      </w:r>
      <w:r w:rsidRPr="007D6FBC">
        <w:rPr>
          <w:rFonts w:ascii="Times New Roman" w:eastAsia="Times New Roman" w:hAnsi="Times New Roman" w:cs="Times New Roman"/>
          <w:sz w:val="24"/>
          <w:szCs w:val="24"/>
          <w:lang w:val="en-US"/>
        </w:rPr>
        <w:t xml:space="preserve">(26), 2443–2454. </w:t>
      </w:r>
      <w:hyperlink r:id="rId45" w:tgtFrame="_new" w:history="1">
        <w:r w:rsidRPr="007D6FBC">
          <w:rPr>
            <w:rFonts w:ascii="Times New Roman" w:eastAsia="Times New Roman" w:hAnsi="Times New Roman" w:cs="Times New Roman"/>
            <w:color w:val="0000FF"/>
            <w:sz w:val="24"/>
            <w:szCs w:val="24"/>
            <w:u w:val="single"/>
            <w:lang w:val="en-US"/>
          </w:rPr>
          <w:t>https://doi.org/10.1056/NEJMoa1200690</w:t>
        </w:r>
      </w:hyperlink>
    </w:p>
    <w:p w14:paraId="05335994"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van der Heijden, R., Jacobs, D. I., </w:t>
      </w:r>
      <w:proofErr w:type="spellStart"/>
      <w:r w:rsidRPr="007D6FBC">
        <w:rPr>
          <w:rFonts w:ascii="Times New Roman" w:eastAsia="Times New Roman" w:hAnsi="Times New Roman" w:cs="Times New Roman"/>
          <w:sz w:val="24"/>
          <w:szCs w:val="24"/>
          <w:lang w:val="en-US"/>
        </w:rPr>
        <w:t>Snoeijer</w:t>
      </w:r>
      <w:proofErr w:type="spellEnd"/>
      <w:r w:rsidRPr="007D6FBC">
        <w:rPr>
          <w:rFonts w:ascii="Times New Roman" w:eastAsia="Times New Roman" w:hAnsi="Times New Roman" w:cs="Times New Roman"/>
          <w:sz w:val="24"/>
          <w:szCs w:val="24"/>
          <w:lang w:val="en-US"/>
        </w:rPr>
        <w:t xml:space="preserve">, W., Hallard, D., &amp; </w:t>
      </w:r>
      <w:proofErr w:type="spellStart"/>
      <w:r w:rsidRPr="007D6FBC">
        <w:rPr>
          <w:rFonts w:ascii="Times New Roman" w:eastAsia="Times New Roman" w:hAnsi="Times New Roman" w:cs="Times New Roman"/>
          <w:sz w:val="24"/>
          <w:szCs w:val="24"/>
          <w:lang w:val="en-US"/>
        </w:rPr>
        <w:t>Verpoorte</w:t>
      </w:r>
      <w:proofErr w:type="spellEnd"/>
      <w:r w:rsidRPr="007D6FBC">
        <w:rPr>
          <w:rFonts w:ascii="Times New Roman" w:eastAsia="Times New Roman" w:hAnsi="Times New Roman" w:cs="Times New Roman"/>
          <w:sz w:val="24"/>
          <w:szCs w:val="24"/>
          <w:lang w:val="en-US"/>
        </w:rPr>
        <w:t xml:space="preserve">, R. (2004). The </w:t>
      </w:r>
      <w:r w:rsidRPr="007D6FBC">
        <w:rPr>
          <w:rFonts w:ascii="Times New Roman" w:eastAsia="Times New Roman" w:hAnsi="Times New Roman" w:cs="Times New Roman"/>
          <w:i/>
          <w:iCs/>
          <w:sz w:val="24"/>
          <w:szCs w:val="24"/>
          <w:lang w:val="en-US"/>
        </w:rPr>
        <w:t>Catharanthus</w:t>
      </w:r>
      <w:r w:rsidRPr="007D6FBC">
        <w:rPr>
          <w:rFonts w:ascii="Times New Roman" w:eastAsia="Times New Roman" w:hAnsi="Times New Roman" w:cs="Times New Roman"/>
          <w:sz w:val="24"/>
          <w:szCs w:val="24"/>
          <w:lang w:val="en-US"/>
        </w:rPr>
        <w:t xml:space="preserve"> alkaloids: Pharmacognosy and biotechnology. </w:t>
      </w:r>
      <w:r w:rsidRPr="007D6FBC">
        <w:rPr>
          <w:rFonts w:ascii="Times New Roman" w:eastAsia="Times New Roman" w:hAnsi="Times New Roman" w:cs="Times New Roman"/>
          <w:i/>
          <w:iCs/>
          <w:sz w:val="24"/>
          <w:szCs w:val="24"/>
          <w:lang w:val="en-US"/>
        </w:rPr>
        <w:t>Current Medicinal Chemistry, 11</w:t>
      </w:r>
      <w:r w:rsidRPr="007D6FBC">
        <w:rPr>
          <w:rFonts w:ascii="Times New Roman" w:eastAsia="Times New Roman" w:hAnsi="Times New Roman" w:cs="Times New Roman"/>
          <w:sz w:val="24"/>
          <w:szCs w:val="24"/>
          <w:lang w:val="en-US"/>
        </w:rPr>
        <w:t xml:space="preserve">(5), 607–628. </w:t>
      </w:r>
      <w:hyperlink r:id="rId46" w:tgtFrame="_new" w:history="1">
        <w:r w:rsidRPr="007D6FBC">
          <w:rPr>
            <w:rFonts w:ascii="Times New Roman" w:eastAsia="Times New Roman" w:hAnsi="Times New Roman" w:cs="Times New Roman"/>
            <w:color w:val="0000FF"/>
            <w:sz w:val="24"/>
            <w:szCs w:val="24"/>
            <w:u w:val="single"/>
            <w:lang w:val="en-US"/>
          </w:rPr>
          <w:t>https://doi.org/10.2174/0929867043455846</w:t>
        </w:r>
      </w:hyperlink>
    </w:p>
    <w:p w14:paraId="1E00472D"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Verdura, S., </w:t>
      </w:r>
      <w:proofErr w:type="spellStart"/>
      <w:r w:rsidRPr="007D6FBC">
        <w:rPr>
          <w:rFonts w:ascii="Times New Roman" w:eastAsia="Times New Roman" w:hAnsi="Times New Roman" w:cs="Times New Roman"/>
          <w:sz w:val="24"/>
          <w:szCs w:val="24"/>
          <w:lang w:val="en-US"/>
        </w:rPr>
        <w:t>Cuyàs</w:t>
      </w:r>
      <w:proofErr w:type="spellEnd"/>
      <w:r w:rsidRPr="007D6FBC">
        <w:rPr>
          <w:rFonts w:ascii="Times New Roman" w:eastAsia="Times New Roman" w:hAnsi="Times New Roman" w:cs="Times New Roman"/>
          <w:sz w:val="24"/>
          <w:szCs w:val="24"/>
          <w:lang w:val="en-US"/>
        </w:rPr>
        <w:t xml:space="preserve">, E., Cortada, E., Brunet, J., Lopez-Bonet, E., Martin-Castillo, B., Bosch-Barrera, J., </w:t>
      </w:r>
      <w:proofErr w:type="spellStart"/>
      <w:r w:rsidRPr="007D6FBC">
        <w:rPr>
          <w:rFonts w:ascii="Times New Roman" w:eastAsia="Times New Roman" w:hAnsi="Times New Roman" w:cs="Times New Roman"/>
          <w:sz w:val="24"/>
          <w:szCs w:val="24"/>
          <w:lang w:val="en-US"/>
        </w:rPr>
        <w:t>Encinar</w:t>
      </w:r>
      <w:proofErr w:type="spellEnd"/>
      <w:r w:rsidRPr="007D6FBC">
        <w:rPr>
          <w:rFonts w:ascii="Times New Roman" w:eastAsia="Times New Roman" w:hAnsi="Times New Roman" w:cs="Times New Roman"/>
          <w:sz w:val="24"/>
          <w:szCs w:val="24"/>
          <w:lang w:val="en-US"/>
        </w:rPr>
        <w:t xml:space="preserve">, J. A., &amp; Menendez, J. A. (2020). Resveratrol targets PD-L1 glycosylation and dimerization to enhance antitumor T-cell immunity. </w:t>
      </w:r>
      <w:r w:rsidRPr="007D6FBC">
        <w:rPr>
          <w:rFonts w:ascii="Times New Roman" w:eastAsia="Times New Roman" w:hAnsi="Times New Roman" w:cs="Times New Roman"/>
          <w:i/>
          <w:iCs/>
          <w:sz w:val="24"/>
          <w:szCs w:val="24"/>
          <w:lang w:val="en-US"/>
        </w:rPr>
        <w:t>Aging, 12</w:t>
      </w:r>
      <w:r w:rsidRPr="007D6FBC">
        <w:rPr>
          <w:rFonts w:ascii="Times New Roman" w:eastAsia="Times New Roman" w:hAnsi="Times New Roman" w:cs="Times New Roman"/>
          <w:sz w:val="24"/>
          <w:szCs w:val="24"/>
          <w:lang w:val="en-US"/>
        </w:rPr>
        <w:t xml:space="preserve">(1), 8–34. </w:t>
      </w:r>
      <w:hyperlink r:id="rId47" w:tgtFrame="_new" w:history="1">
        <w:r w:rsidRPr="007D6FBC">
          <w:rPr>
            <w:rFonts w:ascii="Times New Roman" w:eastAsia="Times New Roman" w:hAnsi="Times New Roman" w:cs="Times New Roman"/>
            <w:color w:val="0000FF"/>
            <w:sz w:val="24"/>
            <w:szCs w:val="24"/>
            <w:u w:val="single"/>
            <w:lang w:val="en-US"/>
          </w:rPr>
          <w:t>https://doi.org/10.18632/aging.102646</w:t>
        </w:r>
      </w:hyperlink>
    </w:p>
    <w:p w14:paraId="0BB75CF9"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Verma, S., Miles, D., Gianni, L., Krop, I. E., </w:t>
      </w:r>
      <w:proofErr w:type="spellStart"/>
      <w:r w:rsidRPr="007D6FBC">
        <w:rPr>
          <w:rFonts w:ascii="Times New Roman" w:eastAsia="Times New Roman" w:hAnsi="Times New Roman" w:cs="Times New Roman"/>
          <w:sz w:val="24"/>
          <w:szCs w:val="24"/>
          <w:lang w:val="en-US"/>
        </w:rPr>
        <w:t>Welslau</w:t>
      </w:r>
      <w:proofErr w:type="spellEnd"/>
      <w:r w:rsidRPr="007D6FBC">
        <w:rPr>
          <w:rFonts w:ascii="Times New Roman" w:eastAsia="Times New Roman" w:hAnsi="Times New Roman" w:cs="Times New Roman"/>
          <w:sz w:val="24"/>
          <w:szCs w:val="24"/>
          <w:lang w:val="en-US"/>
        </w:rPr>
        <w:t xml:space="preserve">, M., Baselga, J., Pegram, M., Oh, D.-Y., </w:t>
      </w:r>
      <w:proofErr w:type="spellStart"/>
      <w:r w:rsidRPr="007D6FBC">
        <w:rPr>
          <w:rFonts w:ascii="Times New Roman" w:eastAsia="Times New Roman" w:hAnsi="Times New Roman" w:cs="Times New Roman"/>
          <w:sz w:val="24"/>
          <w:szCs w:val="24"/>
          <w:lang w:val="en-US"/>
        </w:rPr>
        <w:t>Diéras</w:t>
      </w:r>
      <w:proofErr w:type="spellEnd"/>
      <w:r w:rsidRPr="007D6FBC">
        <w:rPr>
          <w:rFonts w:ascii="Times New Roman" w:eastAsia="Times New Roman" w:hAnsi="Times New Roman" w:cs="Times New Roman"/>
          <w:sz w:val="24"/>
          <w:szCs w:val="24"/>
          <w:lang w:val="en-US"/>
        </w:rPr>
        <w:t xml:space="preserve">, V., Guardino, E., Fang, L., Lu, M. W., Olsen, S., &amp; Blackwell, K. (2012). Trastuzumab emtansine for HER2-positive advanced breast cancer. </w:t>
      </w:r>
      <w:r w:rsidRPr="007D6FBC">
        <w:rPr>
          <w:rFonts w:ascii="Times New Roman" w:eastAsia="Times New Roman" w:hAnsi="Times New Roman" w:cs="Times New Roman"/>
          <w:i/>
          <w:iCs/>
          <w:sz w:val="24"/>
          <w:szCs w:val="24"/>
          <w:lang w:val="en-US"/>
        </w:rPr>
        <w:t>New England Journal of Medicine, 367</w:t>
      </w:r>
      <w:r w:rsidRPr="007D6FBC">
        <w:rPr>
          <w:rFonts w:ascii="Times New Roman" w:eastAsia="Times New Roman" w:hAnsi="Times New Roman" w:cs="Times New Roman"/>
          <w:sz w:val="24"/>
          <w:szCs w:val="24"/>
          <w:lang w:val="en-US"/>
        </w:rPr>
        <w:t xml:space="preserve">(19), 1783–1791. </w:t>
      </w:r>
      <w:hyperlink r:id="rId48" w:tgtFrame="_new" w:history="1">
        <w:r w:rsidRPr="007D6FBC">
          <w:rPr>
            <w:rFonts w:ascii="Times New Roman" w:eastAsia="Times New Roman" w:hAnsi="Times New Roman" w:cs="Times New Roman"/>
            <w:color w:val="0000FF"/>
            <w:sz w:val="24"/>
            <w:szCs w:val="24"/>
            <w:u w:val="single"/>
            <w:lang w:val="en-US"/>
          </w:rPr>
          <w:t>https://doi.org/10.1056/NEJMoa1209124</w:t>
        </w:r>
      </w:hyperlink>
    </w:p>
    <w:p w14:paraId="147664D9"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Wani, M. C., Taylor, H. L., Wall, M. E., Coggon, P., &amp; McPhail, A. T. (1971). Plant antitumor agents. VI. The isolation and structure of </w:t>
      </w:r>
      <w:proofErr w:type="spellStart"/>
      <w:r w:rsidRPr="007D6FBC">
        <w:rPr>
          <w:rFonts w:ascii="Times New Roman" w:eastAsia="Times New Roman" w:hAnsi="Times New Roman" w:cs="Times New Roman"/>
          <w:sz w:val="24"/>
          <w:szCs w:val="24"/>
          <w:lang w:val="en-US"/>
        </w:rPr>
        <w:t>taxol</w:t>
      </w:r>
      <w:proofErr w:type="spellEnd"/>
      <w:r w:rsidRPr="007D6FBC">
        <w:rPr>
          <w:rFonts w:ascii="Times New Roman" w:eastAsia="Times New Roman" w:hAnsi="Times New Roman" w:cs="Times New Roman"/>
          <w:sz w:val="24"/>
          <w:szCs w:val="24"/>
          <w:lang w:val="en-US"/>
        </w:rPr>
        <w:t xml:space="preserve">, a novel antileukemic and antitumor agent from </w:t>
      </w:r>
      <w:r w:rsidRPr="007D6FBC">
        <w:rPr>
          <w:rFonts w:ascii="Times New Roman" w:eastAsia="Times New Roman" w:hAnsi="Times New Roman" w:cs="Times New Roman"/>
          <w:i/>
          <w:iCs/>
          <w:sz w:val="24"/>
          <w:szCs w:val="24"/>
          <w:lang w:val="en-US"/>
        </w:rPr>
        <w:t>Taxus brevifolia</w:t>
      </w:r>
      <w:r w:rsidRPr="007D6FBC">
        <w:rPr>
          <w:rFonts w:ascii="Times New Roman" w:eastAsia="Times New Roman" w:hAnsi="Times New Roman" w:cs="Times New Roman"/>
          <w:sz w:val="24"/>
          <w:szCs w:val="24"/>
          <w:lang w:val="en-US"/>
        </w:rPr>
        <w:t xml:space="preserve">. </w:t>
      </w:r>
      <w:r w:rsidRPr="007D6FBC">
        <w:rPr>
          <w:rFonts w:ascii="Times New Roman" w:eastAsia="Times New Roman" w:hAnsi="Times New Roman" w:cs="Times New Roman"/>
          <w:i/>
          <w:iCs/>
          <w:sz w:val="24"/>
          <w:szCs w:val="24"/>
          <w:lang w:val="en-US"/>
        </w:rPr>
        <w:t>Journal of the American Chemical Society, 93</w:t>
      </w:r>
      <w:r w:rsidRPr="007D6FBC">
        <w:rPr>
          <w:rFonts w:ascii="Times New Roman" w:eastAsia="Times New Roman" w:hAnsi="Times New Roman" w:cs="Times New Roman"/>
          <w:sz w:val="24"/>
          <w:szCs w:val="24"/>
          <w:lang w:val="en-US"/>
        </w:rPr>
        <w:t xml:space="preserve">(9), 2325–2327. </w:t>
      </w:r>
      <w:hyperlink r:id="rId49" w:tgtFrame="_new" w:history="1">
        <w:r w:rsidRPr="007D6FBC">
          <w:rPr>
            <w:rFonts w:ascii="Times New Roman" w:eastAsia="Times New Roman" w:hAnsi="Times New Roman" w:cs="Times New Roman"/>
            <w:color w:val="0000FF"/>
            <w:sz w:val="24"/>
            <w:szCs w:val="24"/>
            <w:u w:val="single"/>
            <w:lang w:val="en-US"/>
          </w:rPr>
          <w:t>https://doi.org/10.1021/ja00738a045</w:t>
        </w:r>
      </w:hyperlink>
    </w:p>
    <w:p w14:paraId="1D0788A4"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Weiner, L. M., Surana, R., &amp; Wang, S. (2010). Monoclonal antibodies: Versatile platforms for cancer immunotherapy. </w:t>
      </w:r>
      <w:r w:rsidRPr="007D6FBC">
        <w:rPr>
          <w:rFonts w:ascii="Times New Roman" w:eastAsia="Times New Roman" w:hAnsi="Times New Roman" w:cs="Times New Roman"/>
          <w:i/>
          <w:iCs/>
          <w:sz w:val="24"/>
          <w:szCs w:val="24"/>
          <w:lang w:val="en-US"/>
        </w:rPr>
        <w:t>Nature Reviews Immunology, 10</w:t>
      </w:r>
      <w:r w:rsidRPr="007D6FBC">
        <w:rPr>
          <w:rFonts w:ascii="Times New Roman" w:eastAsia="Times New Roman" w:hAnsi="Times New Roman" w:cs="Times New Roman"/>
          <w:sz w:val="24"/>
          <w:szCs w:val="24"/>
          <w:lang w:val="en-US"/>
        </w:rPr>
        <w:t xml:space="preserve">(5), 317–327. </w:t>
      </w:r>
      <w:hyperlink r:id="rId50" w:tgtFrame="_new" w:history="1">
        <w:r w:rsidRPr="007D6FBC">
          <w:rPr>
            <w:rFonts w:ascii="Times New Roman" w:eastAsia="Times New Roman" w:hAnsi="Times New Roman" w:cs="Times New Roman"/>
            <w:color w:val="0000FF"/>
            <w:sz w:val="24"/>
            <w:szCs w:val="24"/>
            <w:u w:val="single"/>
            <w:lang w:val="en-US"/>
          </w:rPr>
          <w:t>https://doi.org/10.1038/nri2744</w:t>
        </w:r>
      </w:hyperlink>
    </w:p>
    <w:p w14:paraId="4511AAB5"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lastRenderedPageBreak/>
        <w:t xml:space="preserve">Whiteside, T. L. (2008). The tumor microenvironment and its role in promoting tumor growth. </w:t>
      </w:r>
      <w:r w:rsidRPr="007D6FBC">
        <w:rPr>
          <w:rFonts w:ascii="Times New Roman" w:eastAsia="Times New Roman" w:hAnsi="Times New Roman" w:cs="Times New Roman"/>
          <w:i/>
          <w:iCs/>
          <w:sz w:val="24"/>
          <w:szCs w:val="24"/>
          <w:lang w:val="en-US"/>
        </w:rPr>
        <w:t>Oncogene, 27</w:t>
      </w:r>
      <w:r w:rsidRPr="007D6FBC">
        <w:rPr>
          <w:rFonts w:ascii="Times New Roman" w:eastAsia="Times New Roman" w:hAnsi="Times New Roman" w:cs="Times New Roman"/>
          <w:sz w:val="24"/>
          <w:szCs w:val="24"/>
          <w:lang w:val="en-US"/>
        </w:rPr>
        <w:t xml:space="preserve">(45), 5904–5912. </w:t>
      </w:r>
      <w:hyperlink r:id="rId51" w:tgtFrame="_new" w:history="1">
        <w:r w:rsidRPr="007D6FBC">
          <w:rPr>
            <w:rFonts w:ascii="Times New Roman" w:eastAsia="Times New Roman" w:hAnsi="Times New Roman" w:cs="Times New Roman"/>
            <w:color w:val="0000FF"/>
            <w:sz w:val="24"/>
            <w:szCs w:val="24"/>
            <w:u w:val="single"/>
            <w:lang w:val="en-US"/>
          </w:rPr>
          <w:t>https://doi.org/10.1038/onc.2008.271</w:t>
        </w:r>
      </w:hyperlink>
    </w:p>
    <w:p w14:paraId="51CEC542"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World Health Organization. (2024, February 1). </w:t>
      </w:r>
      <w:r w:rsidRPr="007D6FBC">
        <w:rPr>
          <w:rFonts w:ascii="Times New Roman" w:eastAsia="Times New Roman" w:hAnsi="Times New Roman" w:cs="Times New Roman"/>
          <w:i/>
          <w:iCs/>
          <w:sz w:val="24"/>
          <w:szCs w:val="24"/>
          <w:lang w:val="en-US"/>
        </w:rPr>
        <w:t>Global cancer burden growing, amidst mounting need for services</w:t>
      </w:r>
      <w:r w:rsidRPr="007D6FBC">
        <w:rPr>
          <w:rFonts w:ascii="Times New Roman" w:eastAsia="Times New Roman" w:hAnsi="Times New Roman" w:cs="Times New Roman"/>
          <w:sz w:val="24"/>
          <w:szCs w:val="24"/>
          <w:lang w:val="en-US"/>
        </w:rPr>
        <w:t xml:space="preserve">. </w:t>
      </w:r>
      <w:hyperlink r:id="rId52" w:tgtFrame="_new" w:history="1">
        <w:r w:rsidRPr="007D6FBC">
          <w:rPr>
            <w:rFonts w:ascii="Times New Roman" w:eastAsia="Times New Roman" w:hAnsi="Times New Roman" w:cs="Times New Roman"/>
            <w:color w:val="0000FF"/>
            <w:sz w:val="24"/>
            <w:szCs w:val="24"/>
            <w:u w:val="single"/>
            <w:lang w:val="en-US"/>
          </w:rPr>
          <w:t>https://www.who.int/news/item/01-02-2024-global-cancer-burden-growing--amidst-mounting-need-for-services</w:t>
        </w:r>
      </w:hyperlink>
    </w:p>
    <w:p w14:paraId="04725736"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7D6FBC">
        <w:rPr>
          <w:rFonts w:ascii="Times New Roman" w:eastAsia="Times New Roman" w:hAnsi="Times New Roman" w:cs="Times New Roman"/>
          <w:sz w:val="24"/>
          <w:szCs w:val="24"/>
          <w:lang w:val="en-US"/>
        </w:rPr>
        <w:t>Yallapu</w:t>
      </w:r>
      <w:proofErr w:type="spellEnd"/>
      <w:r w:rsidRPr="007D6FBC">
        <w:rPr>
          <w:rFonts w:ascii="Times New Roman" w:eastAsia="Times New Roman" w:hAnsi="Times New Roman" w:cs="Times New Roman"/>
          <w:sz w:val="24"/>
          <w:szCs w:val="24"/>
          <w:lang w:val="en-US"/>
        </w:rPr>
        <w:t xml:space="preserve">, M. M., Jaggi, M., &amp; Chauhan, S. C. (2012). Curcumin </w:t>
      </w:r>
      <w:proofErr w:type="spellStart"/>
      <w:r w:rsidRPr="007D6FBC">
        <w:rPr>
          <w:rFonts w:ascii="Times New Roman" w:eastAsia="Times New Roman" w:hAnsi="Times New Roman" w:cs="Times New Roman"/>
          <w:sz w:val="24"/>
          <w:szCs w:val="24"/>
          <w:lang w:val="en-US"/>
        </w:rPr>
        <w:t>nanoformulations</w:t>
      </w:r>
      <w:proofErr w:type="spellEnd"/>
      <w:r w:rsidRPr="007D6FBC">
        <w:rPr>
          <w:rFonts w:ascii="Times New Roman" w:eastAsia="Times New Roman" w:hAnsi="Times New Roman" w:cs="Times New Roman"/>
          <w:sz w:val="24"/>
          <w:szCs w:val="24"/>
          <w:lang w:val="en-US"/>
        </w:rPr>
        <w:t xml:space="preserve">: A future nanomedicine for cancer. </w:t>
      </w:r>
      <w:r w:rsidRPr="007D6FBC">
        <w:rPr>
          <w:rFonts w:ascii="Times New Roman" w:eastAsia="Times New Roman" w:hAnsi="Times New Roman" w:cs="Times New Roman"/>
          <w:i/>
          <w:iCs/>
          <w:sz w:val="24"/>
          <w:szCs w:val="24"/>
          <w:lang w:val="en-US"/>
        </w:rPr>
        <w:t>Drug Discovery Today, 17</w:t>
      </w:r>
      <w:r w:rsidRPr="007D6FBC">
        <w:rPr>
          <w:rFonts w:ascii="Times New Roman" w:eastAsia="Times New Roman" w:hAnsi="Times New Roman" w:cs="Times New Roman"/>
          <w:sz w:val="24"/>
          <w:szCs w:val="24"/>
          <w:lang w:val="en-US"/>
        </w:rPr>
        <w:t xml:space="preserve">(1–2), 71–80. </w:t>
      </w:r>
      <w:hyperlink r:id="rId53" w:tgtFrame="_new" w:history="1">
        <w:r w:rsidRPr="007D6FBC">
          <w:rPr>
            <w:rFonts w:ascii="Times New Roman" w:eastAsia="Times New Roman" w:hAnsi="Times New Roman" w:cs="Times New Roman"/>
            <w:color w:val="0000FF"/>
            <w:sz w:val="24"/>
            <w:szCs w:val="24"/>
            <w:u w:val="single"/>
            <w:lang w:val="en-US"/>
          </w:rPr>
          <w:t>https://doi.org/10.1016/j.drudis.2011.09.009</w:t>
        </w:r>
      </w:hyperlink>
    </w:p>
    <w:p w14:paraId="31886B1D" w14:textId="77777777" w:rsidR="007D6FBC" w:rsidRPr="007D6FBC" w:rsidRDefault="007D6FBC" w:rsidP="007D6FBC">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7D6FBC">
        <w:rPr>
          <w:rFonts w:ascii="Times New Roman" w:eastAsia="Times New Roman" w:hAnsi="Times New Roman" w:cs="Times New Roman"/>
          <w:sz w:val="24"/>
          <w:szCs w:val="24"/>
          <w:lang w:val="en-US"/>
        </w:rPr>
        <w:t xml:space="preserve">Zahavi, D., &amp; Weiner, L. (2020). Monoclonal antibodies in cancer therapy. </w:t>
      </w:r>
      <w:r w:rsidRPr="007D6FBC">
        <w:rPr>
          <w:rFonts w:ascii="Times New Roman" w:eastAsia="Times New Roman" w:hAnsi="Times New Roman" w:cs="Times New Roman"/>
          <w:i/>
          <w:iCs/>
          <w:sz w:val="24"/>
          <w:szCs w:val="24"/>
          <w:lang w:val="en-US"/>
        </w:rPr>
        <w:t>Antibodies, 9</w:t>
      </w:r>
      <w:r w:rsidRPr="007D6FBC">
        <w:rPr>
          <w:rFonts w:ascii="Times New Roman" w:eastAsia="Times New Roman" w:hAnsi="Times New Roman" w:cs="Times New Roman"/>
          <w:sz w:val="24"/>
          <w:szCs w:val="24"/>
          <w:lang w:val="en-US"/>
        </w:rPr>
        <w:t xml:space="preserve">(3), Article 34. </w:t>
      </w:r>
      <w:hyperlink r:id="rId54" w:tgtFrame="_new" w:history="1">
        <w:r w:rsidRPr="007D6FBC">
          <w:rPr>
            <w:rFonts w:ascii="Times New Roman" w:eastAsia="Times New Roman" w:hAnsi="Times New Roman" w:cs="Times New Roman"/>
            <w:color w:val="0000FF"/>
            <w:sz w:val="24"/>
            <w:szCs w:val="24"/>
            <w:u w:val="single"/>
            <w:lang w:val="en-US"/>
          </w:rPr>
          <w:t>https://doi.org/10.3390/antib9030034</w:t>
        </w:r>
      </w:hyperlink>
    </w:p>
    <w:p w14:paraId="096036CE" w14:textId="77777777" w:rsidR="004841B3" w:rsidRPr="005D6A18" w:rsidRDefault="004841B3" w:rsidP="00CB6EE7">
      <w:pPr>
        <w:jc w:val="both"/>
        <w:rPr>
          <w:rFonts w:ascii="Times New Roman" w:hAnsi="Times New Roman" w:cs="Times New Roman"/>
        </w:rPr>
      </w:pPr>
    </w:p>
    <w:sectPr w:rsidR="004841B3" w:rsidRPr="005D6A18" w:rsidSect="004841B3">
      <w:headerReference w:type="even" r:id="rId55"/>
      <w:headerReference w:type="default" r:id="rId56"/>
      <w:footerReference w:type="even" r:id="rId57"/>
      <w:footerReference w:type="default" r:id="rId58"/>
      <w:headerReference w:type="first" r:id="rId59"/>
      <w:footerReference w:type="first" r:id="rId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47E0F" w14:textId="77777777" w:rsidR="00AF68FF" w:rsidRDefault="00AF68FF" w:rsidP="007032AF">
      <w:pPr>
        <w:spacing w:after="0" w:line="240" w:lineRule="auto"/>
      </w:pPr>
      <w:r>
        <w:separator/>
      </w:r>
    </w:p>
  </w:endnote>
  <w:endnote w:type="continuationSeparator" w:id="0">
    <w:p w14:paraId="55C1F2E9" w14:textId="77777777" w:rsidR="00AF68FF" w:rsidRDefault="00AF68FF" w:rsidP="00703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A8B1" w14:textId="77777777" w:rsidR="007032AF" w:rsidRDefault="00703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443E" w14:textId="77777777" w:rsidR="007032AF" w:rsidRDefault="007032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6227" w14:textId="77777777" w:rsidR="007032AF" w:rsidRDefault="00703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4B5E7" w14:textId="77777777" w:rsidR="00AF68FF" w:rsidRDefault="00AF68FF" w:rsidP="007032AF">
      <w:pPr>
        <w:spacing w:after="0" w:line="240" w:lineRule="auto"/>
      </w:pPr>
      <w:r>
        <w:separator/>
      </w:r>
    </w:p>
  </w:footnote>
  <w:footnote w:type="continuationSeparator" w:id="0">
    <w:p w14:paraId="66610218" w14:textId="77777777" w:rsidR="00AF68FF" w:rsidRDefault="00AF68FF" w:rsidP="00703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1E76" w14:textId="77777777" w:rsidR="007032AF" w:rsidRDefault="00000000">
    <w:pPr>
      <w:pStyle w:val="Header"/>
    </w:pPr>
    <w:r>
      <w:rPr>
        <w:noProof/>
      </w:rPr>
      <w:pict w14:anchorId="7187C9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87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BC00D" w14:textId="77777777" w:rsidR="007032AF" w:rsidRDefault="00000000">
    <w:pPr>
      <w:pStyle w:val="Header"/>
    </w:pPr>
    <w:r>
      <w:rPr>
        <w:noProof/>
      </w:rPr>
      <w:pict w14:anchorId="7F7284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87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9DDE" w14:textId="77777777" w:rsidR="007032AF" w:rsidRDefault="00000000">
    <w:pPr>
      <w:pStyle w:val="Header"/>
    </w:pPr>
    <w:r>
      <w:rPr>
        <w:noProof/>
      </w:rPr>
      <w:pict w14:anchorId="4488EA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87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eytDQwNDcyMjAytTBU0lEKTi0uzszPAykwrAUAxB8cfywAAAA="/>
  </w:docVars>
  <w:rsids>
    <w:rsidRoot w:val="002E6E04"/>
    <w:rsid w:val="002E6E04"/>
    <w:rsid w:val="00336C67"/>
    <w:rsid w:val="00345F3B"/>
    <w:rsid w:val="004222D4"/>
    <w:rsid w:val="00431923"/>
    <w:rsid w:val="004841B3"/>
    <w:rsid w:val="004B47E6"/>
    <w:rsid w:val="00594499"/>
    <w:rsid w:val="005D6A18"/>
    <w:rsid w:val="00605583"/>
    <w:rsid w:val="007032AF"/>
    <w:rsid w:val="007D6FBC"/>
    <w:rsid w:val="00824882"/>
    <w:rsid w:val="008B7148"/>
    <w:rsid w:val="00911FF3"/>
    <w:rsid w:val="00A51E9A"/>
    <w:rsid w:val="00AF68FF"/>
    <w:rsid w:val="00CB6EE7"/>
    <w:rsid w:val="00CE6F6B"/>
    <w:rsid w:val="00E12A20"/>
    <w:rsid w:val="00EF7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12B95"/>
  <w15:docId w15:val="{4BC49AA5-4E52-4994-9E04-34FEA77D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2E6E0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E6E0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E6E0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2E6E04"/>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2E6E0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E6E0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E6E04"/>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2E6E04"/>
    <w:rPr>
      <w:rFonts w:ascii="Times New Roman" w:eastAsia="Times New Roman" w:hAnsi="Times New Roman" w:cs="Times New Roman"/>
      <w:b/>
      <w:bCs/>
      <w:sz w:val="20"/>
      <w:szCs w:val="20"/>
      <w:lang w:eastAsia="en-GB"/>
    </w:rPr>
  </w:style>
  <w:style w:type="paragraph" w:customStyle="1" w:styleId="font-claude-response-body">
    <w:name w:val="font-claude-response-body"/>
    <w:basedOn w:val="Normal"/>
    <w:rsid w:val="002E6E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E6E04"/>
    <w:rPr>
      <w:b/>
      <w:bCs/>
    </w:rPr>
  </w:style>
  <w:style w:type="character" w:styleId="Emphasis">
    <w:name w:val="Emphasis"/>
    <w:basedOn w:val="DefaultParagraphFont"/>
    <w:uiPriority w:val="20"/>
    <w:qFormat/>
    <w:rsid w:val="002E6E04"/>
    <w:rPr>
      <w:i/>
      <w:iCs/>
    </w:rPr>
  </w:style>
  <w:style w:type="character" w:styleId="Hyperlink">
    <w:name w:val="Hyperlink"/>
    <w:basedOn w:val="DefaultParagraphFont"/>
    <w:uiPriority w:val="99"/>
    <w:semiHidden/>
    <w:unhideWhenUsed/>
    <w:rsid w:val="002E6E04"/>
    <w:rPr>
      <w:color w:val="0000FF"/>
      <w:u w:val="single"/>
    </w:rPr>
  </w:style>
  <w:style w:type="table" w:styleId="TableGrid">
    <w:name w:val="Table Grid"/>
    <w:basedOn w:val="TableNormal"/>
    <w:uiPriority w:val="59"/>
    <w:rsid w:val="005D6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2AF"/>
  </w:style>
  <w:style w:type="paragraph" w:styleId="Footer">
    <w:name w:val="footer"/>
    <w:basedOn w:val="Normal"/>
    <w:link w:val="FooterChar"/>
    <w:uiPriority w:val="99"/>
    <w:unhideWhenUsed/>
    <w:rsid w:val="00703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35515">
      <w:bodyDiv w:val="1"/>
      <w:marLeft w:val="0"/>
      <w:marRight w:val="0"/>
      <w:marTop w:val="0"/>
      <w:marBottom w:val="0"/>
      <w:divBdr>
        <w:top w:val="none" w:sz="0" w:space="0" w:color="auto"/>
        <w:left w:val="none" w:sz="0" w:space="0" w:color="auto"/>
        <w:bottom w:val="none" w:sz="0" w:space="0" w:color="auto"/>
        <w:right w:val="none" w:sz="0" w:space="0" w:color="auto"/>
      </w:divBdr>
      <w:divsChild>
        <w:div w:id="1004935557">
          <w:marLeft w:val="0"/>
          <w:marRight w:val="0"/>
          <w:marTop w:val="0"/>
          <w:marBottom w:val="0"/>
          <w:divBdr>
            <w:top w:val="none" w:sz="0" w:space="0" w:color="auto"/>
            <w:left w:val="none" w:sz="0" w:space="0" w:color="auto"/>
            <w:bottom w:val="none" w:sz="0" w:space="0" w:color="auto"/>
            <w:right w:val="none" w:sz="0" w:space="0" w:color="auto"/>
          </w:divBdr>
        </w:div>
        <w:div w:id="433210888">
          <w:marLeft w:val="0"/>
          <w:marRight w:val="0"/>
          <w:marTop w:val="0"/>
          <w:marBottom w:val="0"/>
          <w:divBdr>
            <w:top w:val="none" w:sz="0" w:space="0" w:color="auto"/>
            <w:left w:val="none" w:sz="0" w:space="0" w:color="auto"/>
            <w:bottom w:val="none" w:sz="0" w:space="0" w:color="auto"/>
            <w:right w:val="none" w:sz="0" w:space="0" w:color="auto"/>
          </w:divBdr>
        </w:div>
        <w:div w:id="1302267302">
          <w:marLeft w:val="0"/>
          <w:marRight w:val="0"/>
          <w:marTop w:val="0"/>
          <w:marBottom w:val="0"/>
          <w:divBdr>
            <w:top w:val="none" w:sz="0" w:space="0" w:color="auto"/>
            <w:left w:val="none" w:sz="0" w:space="0" w:color="auto"/>
            <w:bottom w:val="none" w:sz="0" w:space="0" w:color="auto"/>
            <w:right w:val="none" w:sz="0" w:space="0" w:color="auto"/>
          </w:divBdr>
        </w:div>
        <w:div w:id="762800615">
          <w:marLeft w:val="0"/>
          <w:marRight w:val="0"/>
          <w:marTop w:val="0"/>
          <w:marBottom w:val="0"/>
          <w:divBdr>
            <w:top w:val="none" w:sz="0" w:space="0" w:color="auto"/>
            <w:left w:val="none" w:sz="0" w:space="0" w:color="auto"/>
            <w:bottom w:val="none" w:sz="0" w:space="0" w:color="auto"/>
            <w:right w:val="none" w:sz="0" w:space="0" w:color="auto"/>
          </w:divBdr>
        </w:div>
        <w:div w:id="1538591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58/0008-5472.CAN-07-6611" TargetMode="External"/><Relationship Id="rId18" Type="http://schemas.openxmlformats.org/officeDocument/2006/relationships/hyperlink" Target="https://doi.org/10.1007/s00204-024-03786-3" TargetMode="External"/><Relationship Id="rId26" Type="http://schemas.openxmlformats.org/officeDocument/2006/relationships/hyperlink" Target="https://doi.org/10.1158/0008-5472.CAN-05-3636" TargetMode="External"/><Relationship Id="rId39" Type="http://schemas.openxmlformats.org/officeDocument/2006/relationships/hyperlink" Target="https://doi.org/10.1055/s-2006-957450" TargetMode="External"/><Relationship Id="rId21" Type="http://schemas.openxmlformats.org/officeDocument/2006/relationships/hyperlink" Target="https://doi.org/10.1056/NEJMoa1003466" TargetMode="External"/><Relationship Id="rId34" Type="http://schemas.openxmlformats.org/officeDocument/2006/relationships/hyperlink" Target="https://doi.org/10.1016/S0140-6736(16)32517-X" TargetMode="External"/><Relationship Id="rId42" Type="http://schemas.openxmlformats.org/officeDocument/2006/relationships/hyperlink" Target="https://doi.org/10.1056/NEJM200103153441101" TargetMode="External"/><Relationship Id="rId47" Type="http://schemas.openxmlformats.org/officeDocument/2006/relationships/hyperlink" Target="https://doi.org/10.18632/aging.102646" TargetMode="External"/><Relationship Id="rId50" Type="http://schemas.openxmlformats.org/officeDocument/2006/relationships/hyperlink" Target="https://doi.org/10.1038/nri2744" TargetMode="External"/><Relationship Id="rId55" Type="http://schemas.openxmlformats.org/officeDocument/2006/relationships/header" Target="header1.xml"/><Relationship Id="rId7" Type="http://schemas.openxmlformats.org/officeDocument/2006/relationships/hyperlink" Target="https://doi.org/10.1038/nrd2060" TargetMode="External"/><Relationship Id="rId2" Type="http://schemas.openxmlformats.org/officeDocument/2006/relationships/settings" Target="settings.xml"/><Relationship Id="rId16" Type="http://schemas.openxmlformats.org/officeDocument/2006/relationships/hyperlink" Target="https://doi.org/10.1016/j.semcancer.2017.02.009" TargetMode="External"/><Relationship Id="rId29" Type="http://schemas.openxmlformats.org/officeDocument/2006/relationships/hyperlink" Target="https://doi.org/10.1021/acs.jnatprod.9b01285" TargetMode="External"/><Relationship Id="rId11" Type="http://schemas.openxmlformats.org/officeDocument/2006/relationships/hyperlink" Target="https://doi.org/10.1016/j.jep.2005.05.011" TargetMode="External"/><Relationship Id="rId24" Type="http://schemas.openxmlformats.org/officeDocument/2006/relationships/hyperlink" Target="https://doi.org/10.1002/ptr.5693" TargetMode="External"/><Relationship Id="rId32" Type="http://schemas.openxmlformats.org/officeDocument/2006/relationships/hyperlink" Target="https://doi.org/10.4143/crt.2014.46.1.2" TargetMode="External"/><Relationship Id="rId37" Type="http://schemas.openxmlformats.org/officeDocument/2006/relationships/hyperlink" Target="https://doi.org/10.1038/nrc3236" TargetMode="External"/><Relationship Id="rId40" Type="http://schemas.openxmlformats.org/officeDocument/2006/relationships/hyperlink" Target="https://doi.org/10.1158/0008-5472.CAN-08-3978" TargetMode="External"/><Relationship Id="rId45" Type="http://schemas.openxmlformats.org/officeDocument/2006/relationships/hyperlink" Target="https://doi.org/10.1056/NEJMoa1200690" TargetMode="External"/><Relationship Id="rId53" Type="http://schemas.openxmlformats.org/officeDocument/2006/relationships/hyperlink" Target="https://doi.org/10.1016/j.drudis.2011.09.009" TargetMode="External"/><Relationship Id="rId58" Type="http://schemas.openxmlformats.org/officeDocument/2006/relationships/footer" Target="footer2.xm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hyperlink" Target="https://doi.org/10.1016/S0899-3467(07)60142-6" TargetMode="External"/><Relationship Id="rId14" Type="http://schemas.openxmlformats.org/officeDocument/2006/relationships/hyperlink" Target="https://doi.org/10.1038/s41571-021-00470-8" TargetMode="External"/><Relationship Id="rId22" Type="http://schemas.openxmlformats.org/officeDocument/2006/relationships/hyperlink" Target="https://doi.org/10.1038/nrc3599" TargetMode="External"/><Relationship Id="rId27" Type="http://schemas.openxmlformats.org/officeDocument/2006/relationships/hyperlink" Target="https://doi.org/10.1038/s41573-019-0028-1" TargetMode="External"/><Relationship Id="rId30" Type="http://schemas.openxmlformats.org/officeDocument/2006/relationships/hyperlink" Target="https://doi.org/10.1038/s41568-024-00690-x" TargetMode="External"/><Relationship Id="rId35" Type="http://schemas.openxmlformats.org/officeDocument/2006/relationships/hyperlink" Target="https://doi.org/10.1056/NEJMoa1503093" TargetMode="External"/><Relationship Id="rId43" Type="http://schemas.openxmlformats.org/officeDocument/2006/relationships/hyperlink" Target="https://doi.org/10.3322/caac.21660" TargetMode="External"/><Relationship Id="rId48" Type="http://schemas.openxmlformats.org/officeDocument/2006/relationships/hyperlink" Target="https://doi.org/10.1056/NEJMoa1209124" TargetMode="External"/><Relationship Id="rId56" Type="http://schemas.openxmlformats.org/officeDocument/2006/relationships/header" Target="header2.xml"/><Relationship Id="rId8" Type="http://schemas.openxmlformats.org/officeDocument/2006/relationships/hyperlink" Target="https://doi.org/10.1056/NEJMoa1507643" TargetMode="External"/><Relationship Id="rId51" Type="http://schemas.openxmlformats.org/officeDocument/2006/relationships/hyperlink" Target="https://doi.org/10.1038/onc.2008.271" TargetMode="External"/><Relationship Id="rId3" Type="http://schemas.openxmlformats.org/officeDocument/2006/relationships/webSettings" Target="webSettings.xml"/><Relationship Id="rId12" Type="http://schemas.openxmlformats.org/officeDocument/2006/relationships/hyperlink" Target="https://doi.org/10.1056/NEJMoa033025" TargetMode="External"/><Relationship Id="rId17" Type="http://schemas.openxmlformats.org/officeDocument/2006/relationships/hyperlink" Target="https://doi.org/10.1038/nrd1381" TargetMode="External"/><Relationship Id="rId25" Type="http://schemas.openxmlformats.org/officeDocument/2006/relationships/hyperlink" Target="https://doi.org/10.1038/nrc1317" TargetMode="External"/><Relationship Id="rId33" Type="http://schemas.openxmlformats.org/officeDocument/2006/relationships/hyperlink" Target="https://doi.org/10.1126/science.aar4060" TargetMode="External"/><Relationship Id="rId38" Type="http://schemas.openxmlformats.org/officeDocument/2006/relationships/hyperlink" Target="https://doi.org/10.1126/science.aaa8172" TargetMode="External"/><Relationship Id="rId46" Type="http://schemas.openxmlformats.org/officeDocument/2006/relationships/hyperlink" Target="https://doi.org/10.2174/0929867043455846" TargetMode="External"/><Relationship Id="rId59" Type="http://schemas.openxmlformats.org/officeDocument/2006/relationships/header" Target="header3.xml"/><Relationship Id="rId20" Type="http://schemas.openxmlformats.org/officeDocument/2006/relationships/hyperlink" Target="https://doi.org/10.1158/2159-8290.CD-21-1059" TargetMode="External"/><Relationship Id="rId41" Type="http://schemas.openxmlformats.org/officeDocument/2006/relationships/hyperlink" Target="https://doi.org/10.3322/caac.21763" TargetMode="External"/><Relationship Id="rId54" Type="http://schemas.openxmlformats.org/officeDocument/2006/relationships/hyperlink" Target="https://doi.org/10.3390/antib9030034"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016/j.biocel.2008.06.010" TargetMode="External"/><Relationship Id="rId15" Type="http://schemas.openxmlformats.org/officeDocument/2006/relationships/hyperlink" Target="https://doi.org/10.1038/s41573-023-00709-2" TargetMode="External"/><Relationship Id="rId23" Type="http://schemas.openxmlformats.org/officeDocument/2006/relationships/hyperlink" Target="https://doi.org/10.1056/NEJMoa032691" TargetMode="External"/><Relationship Id="rId28" Type="http://schemas.openxmlformats.org/officeDocument/2006/relationships/hyperlink" Target="https://doi.org/10.1182/blood.V90.6.2188" TargetMode="External"/><Relationship Id="rId36" Type="http://schemas.openxmlformats.org/officeDocument/2006/relationships/hyperlink" Target="https://doi.org/10.1016/j.bcp.2011.08.010" TargetMode="External"/><Relationship Id="rId49" Type="http://schemas.openxmlformats.org/officeDocument/2006/relationships/hyperlink" Target="https://doi.org/10.1021/ja00738a045" TargetMode="External"/><Relationship Id="rId57" Type="http://schemas.openxmlformats.org/officeDocument/2006/relationships/footer" Target="footer1.xml"/><Relationship Id="rId10" Type="http://schemas.openxmlformats.org/officeDocument/2006/relationships/hyperlink" Target="https://doi.org/10.1172/JCI80011" TargetMode="External"/><Relationship Id="rId31" Type="http://schemas.openxmlformats.org/officeDocument/2006/relationships/hyperlink" Target="https://doi.org/10.1155/2018/5416923" TargetMode="External"/><Relationship Id="rId44" Type="http://schemas.openxmlformats.org/officeDocument/2006/relationships/hyperlink" Target="https://doi.org/10.1016/j.ccell.2015.03.001" TargetMode="External"/><Relationship Id="rId52" Type="http://schemas.openxmlformats.org/officeDocument/2006/relationships/hyperlink" Target="https://www.who.int/news/item/01-02-2024-global-cancer-burden-growing--amidst-mounting-need-for-services?utm_source=chatgpt.com" TargetMode="External"/><Relationship Id="rId6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doi.org/10.3322/caac.2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27</Pages>
  <Words>12871</Words>
  <Characters>73367</Characters>
  <Application>Microsoft Office Word</Application>
  <DocSecurity>0</DocSecurity>
  <Lines>611</Lines>
  <Paragraphs>172</Paragraphs>
  <ScaleCrop>false</ScaleCrop>
  <Company>HP</Company>
  <LinksUpToDate>false</LinksUpToDate>
  <CharactersWithSpaces>86066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Editor-90</cp:lastModifiedBy>
  <cp:revision>11</cp:revision>
  <dcterms:created xsi:type="dcterms:W3CDTF">2026-06-27T07:32:00Z</dcterms:created>
  <dcterms:modified xsi:type="dcterms:W3CDTF">2026-07-01T11:24:00Z</dcterms:modified>
</cp:coreProperties>
</file>