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B78D8" w14:textId="77777777" w:rsidR="00C137F8" w:rsidRDefault="00C137F8">
      <w:pPr>
        <w:pStyle w:val="BodyText"/>
        <w:rPr>
          <w:rFonts w:ascii="Times New Roman"/>
          <w:sz w:val="28"/>
        </w:rPr>
      </w:pPr>
    </w:p>
    <w:p w14:paraId="7027C212" w14:textId="77777777" w:rsidR="00C137F8" w:rsidRDefault="00C137F8">
      <w:pPr>
        <w:pStyle w:val="BodyText"/>
        <w:spacing w:before="278"/>
        <w:rPr>
          <w:rFonts w:ascii="Times New Roman"/>
          <w:sz w:val="28"/>
        </w:rPr>
      </w:pPr>
    </w:p>
    <w:p w14:paraId="404D10F1" w14:textId="77777777" w:rsidR="00C137F8" w:rsidRPr="00A06A6E" w:rsidRDefault="00000000">
      <w:pPr>
        <w:pStyle w:val="Title"/>
        <w:spacing w:line="211" w:lineRule="auto"/>
      </w:pPr>
      <w:r w:rsidRPr="00A06A6E">
        <w:t>FINANCIAL</w:t>
      </w:r>
      <w:r w:rsidRPr="00A06A6E">
        <w:rPr>
          <w:spacing w:val="-16"/>
        </w:rPr>
        <w:t xml:space="preserve"> </w:t>
      </w:r>
      <w:r w:rsidRPr="00A06A6E">
        <w:t>PERFORMANCE,</w:t>
      </w:r>
      <w:r w:rsidRPr="00A06A6E">
        <w:rPr>
          <w:spacing w:val="-16"/>
        </w:rPr>
        <w:t xml:space="preserve"> </w:t>
      </w:r>
      <w:r w:rsidRPr="00A06A6E">
        <w:t>GOVERNANCE</w:t>
      </w:r>
      <w:r w:rsidRPr="00A06A6E">
        <w:rPr>
          <w:spacing w:val="-16"/>
        </w:rPr>
        <w:t xml:space="preserve"> </w:t>
      </w:r>
      <w:r w:rsidRPr="00A06A6E">
        <w:t>MECHANISMS, AND</w:t>
      </w:r>
      <w:r w:rsidRPr="00A06A6E">
        <w:rPr>
          <w:spacing w:val="-9"/>
        </w:rPr>
        <w:t xml:space="preserve"> </w:t>
      </w:r>
      <w:r w:rsidRPr="00A06A6E">
        <w:t>INDUSTRY</w:t>
      </w:r>
      <w:r w:rsidRPr="00A06A6E">
        <w:rPr>
          <w:spacing w:val="-9"/>
        </w:rPr>
        <w:t xml:space="preserve"> </w:t>
      </w:r>
      <w:r w:rsidRPr="00A06A6E">
        <w:t>PROFILE</w:t>
      </w:r>
      <w:r w:rsidRPr="00A06A6E">
        <w:rPr>
          <w:spacing w:val="-9"/>
        </w:rPr>
        <w:t xml:space="preserve"> </w:t>
      </w:r>
      <w:r w:rsidRPr="00A06A6E">
        <w:t>AS</w:t>
      </w:r>
      <w:r w:rsidRPr="00A06A6E">
        <w:rPr>
          <w:spacing w:val="-9"/>
        </w:rPr>
        <w:t xml:space="preserve"> </w:t>
      </w:r>
      <w:r w:rsidRPr="00A06A6E">
        <w:t>DRIVERS</w:t>
      </w:r>
      <w:r w:rsidRPr="00A06A6E">
        <w:rPr>
          <w:spacing w:val="-9"/>
        </w:rPr>
        <w:t xml:space="preserve"> </w:t>
      </w:r>
      <w:r w:rsidRPr="00A06A6E">
        <w:t>OF SUSTAINABILITY REPORT DISCLOSURE</w:t>
      </w:r>
    </w:p>
    <w:p w14:paraId="678FD6AC" w14:textId="77777777" w:rsidR="00C137F8" w:rsidRPr="00A06A6E" w:rsidRDefault="00C137F8">
      <w:pPr>
        <w:pStyle w:val="BodyText"/>
        <w:rPr>
          <w:rFonts w:ascii="Arial"/>
          <w:b/>
        </w:rPr>
      </w:pPr>
    </w:p>
    <w:p w14:paraId="142B7E9F" w14:textId="77777777" w:rsidR="00C137F8" w:rsidRPr="00A06A6E" w:rsidRDefault="00C137F8">
      <w:pPr>
        <w:pStyle w:val="BodyText"/>
        <w:rPr>
          <w:rFonts w:ascii="Arial"/>
          <w:b/>
        </w:rPr>
      </w:pPr>
    </w:p>
    <w:p w14:paraId="63A55015" w14:textId="77777777" w:rsidR="00C137F8" w:rsidRPr="00A06A6E" w:rsidRDefault="00C137F8">
      <w:pPr>
        <w:pStyle w:val="BodyText"/>
        <w:rPr>
          <w:rFonts w:ascii="Arial"/>
          <w:b/>
        </w:rPr>
      </w:pPr>
    </w:p>
    <w:p w14:paraId="57FE29EB" w14:textId="77777777" w:rsidR="00C137F8" w:rsidRPr="00A06A6E" w:rsidRDefault="00C137F8">
      <w:pPr>
        <w:pStyle w:val="BodyText"/>
        <w:rPr>
          <w:rFonts w:ascii="Arial"/>
          <w:b/>
        </w:rPr>
      </w:pPr>
    </w:p>
    <w:p w14:paraId="4C9AF29D" w14:textId="77777777" w:rsidR="00C137F8" w:rsidRPr="00A06A6E" w:rsidRDefault="00C137F8">
      <w:pPr>
        <w:pStyle w:val="BodyText"/>
        <w:spacing w:before="118"/>
        <w:rPr>
          <w:rFonts w:ascii="Arial"/>
          <w:b/>
        </w:rPr>
      </w:pPr>
    </w:p>
    <w:p w14:paraId="6F5A4D7E" w14:textId="77777777" w:rsidR="00C137F8" w:rsidRPr="00A06A6E" w:rsidRDefault="00000000">
      <w:pPr>
        <w:pStyle w:val="Heading2"/>
        <w:spacing w:line="247" w:lineRule="exact"/>
        <w:ind w:left="618"/>
      </w:pPr>
      <w:r w:rsidRPr="00A06A6E">
        <w:rPr>
          <w:spacing w:val="-2"/>
        </w:rPr>
        <w:t>Abstract</w:t>
      </w:r>
    </w:p>
    <w:p w14:paraId="765BE084" w14:textId="77777777" w:rsidR="00C137F8" w:rsidRPr="00A06A6E" w:rsidRDefault="00000000">
      <w:pPr>
        <w:pStyle w:val="BodyText"/>
        <w:spacing w:before="4" w:line="228" w:lineRule="auto"/>
        <w:ind w:left="618" w:right="256"/>
        <w:jc w:val="both"/>
      </w:pPr>
      <w:r w:rsidRPr="00A06A6E">
        <w:t xml:space="preserve">Given the inconsistent findings of previous studies and the limited evidence from Indonesian manufacturing companies, this study analyses the influence of financial performance, governance mechanisms, and industry profile on sustainability report disclosure among manufacturing companies listed on the Indonesia Stock Exchange during 2021–2023. Financial performance is represented by profitability, leverage, and corporate activity; governance mechanisms are represented by the independent board of commissioners and the audit committee; and industry profile is represented by company size and industrial type. The study uses secondary data obtained from annual reports, financial statements, and sustainability reports. Purposive sampling yielded 52 manufacturing companies and 156 firm-year observations. Sustainability report disclosure was measured using the Global Reporting Initiative disclosure index, and the data were </w:t>
      </w:r>
      <w:proofErr w:type="spellStart"/>
      <w:r w:rsidRPr="00A06A6E">
        <w:t>analysed</w:t>
      </w:r>
      <w:proofErr w:type="spellEnd"/>
      <w:r w:rsidRPr="00A06A6E">
        <w:t xml:space="preserve"> using multiple linear regression. The results show that the independent variables jointly have a significant effect on sustainability report disclosure. Individually, profitability, leverage, the independent board of commissioners, company size, and industrial type have significant effects, whereas corporate activity and the audit committee have no significant effects. The model explains 78.7% of the variation in sustainability report disclosure (adjusted R² = 0.787). The findings indicate that financial capacity, governance oversight, and firm visibility are relevant to sustainability disclosure among Indonesian manufacturing companies and are consistent with stakeholder and legitimacy perspectives.</w:t>
      </w:r>
    </w:p>
    <w:p w14:paraId="3DC130FF" w14:textId="77777777" w:rsidR="00C137F8" w:rsidRPr="00A06A6E" w:rsidRDefault="00C137F8">
      <w:pPr>
        <w:pStyle w:val="BodyText"/>
        <w:spacing w:before="226"/>
      </w:pPr>
    </w:p>
    <w:p w14:paraId="37818905" w14:textId="77777777" w:rsidR="00C137F8" w:rsidRPr="00A06A6E" w:rsidRDefault="00000000">
      <w:pPr>
        <w:pStyle w:val="BodyText"/>
        <w:spacing w:before="1"/>
        <w:ind w:left="623"/>
      </w:pPr>
      <w:r w:rsidRPr="00A06A6E">
        <w:rPr>
          <w:rFonts w:ascii="Arial"/>
          <w:b/>
        </w:rPr>
        <w:t xml:space="preserve">Keywords: </w:t>
      </w:r>
      <w:r w:rsidRPr="00A06A6E">
        <w:t>Profitability, Leverage, Independent Board of Commissioners, Company Size, Industry Type, Sustainability Report Disclosure.</w:t>
      </w:r>
    </w:p>
    <w:p w14:paraId="7F724B3F" w14:textId="77777777" w:rsidR="00C137F8" w:rsidRPr="00A06A6E" w:rsidRDefault="00C137F8">
      <w:pPr>
        <w:pStyle w:val="BodyText"/>
        <w:spacing w:before="4"/>
      </w:pPr>
    </w:p>
    <w:p w14:paraId="5EBDA632" w14:textId="77777777" w:rsidR="00C137F8" w:rsidRPr="00A06A6E" w:rsidRDefault="00000000">
      <w:pPr>
        <w:pStyle w:val="Heading2"/>
        <w:spacing w:line="251" w:lineRule="exact"/>
        <w:ind w:left="623"/>
      </w:pPr>
      <w:r w:rsidRPr="00A06A6E">
        <w:rPr>
          <w:spacing w:val="-2"/>
        </w:rPr>
        <w:t>Introduction</w:t>
      </w:r>
    </w:p>
    <w:p w14:paraId="2C9DC52D" w14:textId="77777777" w:rsidR="00C137F8" w:rsidRPr="00A06A6E" w:rsidRDefault="00000000">
      <w:pPr>
        <w:pStyle w:val="BodyText"/>
        <w:ind w:left="623" w:right="251" w:firstLine="720"/>
        <w:jc w:val="both"/>
      </w:pPr>
      <w:r w:rsidRPr="00A06A6E">
        <w:t xml:space="preserve">Sustainability reporting has become an increasingly important issue in global business practice over the last decade. Companies are no longer expected to focus solely on </w:t>
      </w:r>
      <w:proofErr w:type="spellStart"/>
      <w:r w:rsidRPr="00A06A6E">
        <w:t>maximising</w:t>
      </w:r>
      <w:proofErr w:type="spellEnd"/>
      <w:r w:rsidRPr="00A06A6E">
        <w:t xml:space="preserve"> profits and financial performance; they are also required to demonstrate accountability for </w:t>
      </w:r>
      <w:r w:rsidRPr="00A06A6E">
        <w:rPr>
          <w:i/>
        </w:rPr>
        <w:t>environmental, social, and governance (ESG)</w:t>
      </w:r>
      <w:r w:rsidRPr="00A06A6E">
        <w:t xml:space="preserve"> matters. This development reflects growing global awareness that business sustainability is important for maintaining long-term corporate performance and stakeholder trust.</w:t>
      </w:r>
    </w:p>
    <w:p w14:paraId="3BA2103C" w14:textId="77777777" w:rsidR="00C137F8" w:rsidRPr="00A06A6E" w:rsidRDefault="00C137F8">
      <w:pPr>
        <w:pStyle w:val="BodyText"/>
        <w:jc w:val="both"/>
        <w:sectPr w:rsidR="00C137F8" w:rsidRPr="00A06A6E">
          <w:headerReference w:type="default" r:id="rId7"/>
          <w:type w:val="continuous"/>
          <w:pgSz w:w="12240" w:h="15840"/>
          <w:pgMar w:top="800" w:right="1440" w:bottom="280" w:left="1080" w:header="44" w:footer="0" w:gutter="0"/>
          <w:pgNumType w:start="1"/>
          <w:cols w:space="720"/>
        </w:sectPr>
      </w:pPr>
    </w:p>
    <w:p w14:paraId="5355B32D" w14:textId="77777777" w:rsidR="00C137F8" w:rsidRPr="00A06A6E" w:rsidRDefault="00C137F8">
      <w:pPr>
        <w:pStyle w:val="BodyText"/>
      </w:pPr>
    </w:p>
    <w:p w14:paraId="19C795F9" w14:textId="77777777" w:rsidR="00C137F8" w:rsidRPr="00A06A6E" w:rsidRDefault="00C137F8">
      <w:pPr>
        <w:pStyle w:val="BodyText"/>
      </w:pPr>
    </w:p>
    <w:p w14:paraId="18D13605" w14:textId="77777777" w:rsidR="00C137F8" w:rsidRPr="00A06A6E" w:rsidRDefault="00C137F8">
      <w:pPr>
        <w:pStyle w:val="BodyText"/>
        <w:spacing w:before="137"/>
      </w:pPr>
    </w:p>
    <w:p w14:paraId="2D121903" w14:textId="77777777" w:rsidR="00C137F8" w:rsidRPr="00A06A6E" w:rsidRDefault="00000000">
      <w:pPr>
        <w:pStyle w:val="BodyText"/>
        <w:ind w:left="628" w:right="246" w:firstLine="720"/>
        <w:jc w:val="both"/>
      </w:pPr>
      <w:r w:rsidRPr="00A06A6E">
        <w:t xml:space="preserve">A sustainability report presents not only financial performance but also non-financial information related to environmental preservation, social responsibility, employee welfare, community development, and corporate governance practices. Sustainability reporting reflects the </w:t>
      </w:r>
      <w:r w:rsidRPr="00A06A6E">
        <w:rPr>
          <w:i/>
        </w:rPr>
        <w:t>Triple Bottom Line</w:t>
      </w:r>
      <w:r w:rsidRPr="00A06A6E">
        <w:t xml:space="preserve"> concept, which </w:t>
      </w:r>
      <w:proofErr w:type="spellStart"/>
      <w:r w:rsidRPr="00A06A6E">
        <w:t>emphasises</w:t>
      </w:r>
      <w:proofErr w:type="spellEnd"/>
      <w:r w:rsidRPr="00A06A6E">
        <w:t xml:space="preserve"> the economic, social, and environmental dimensions of sustainability. Through sustainability disclosure, companies communicate their commitment to sustainable business practices and responsible corporate </w:t>
      </w:r>
      <w:proofErr w:type="spellStart"/>
      <w:r w:rsidRPr="00A06A6E">
        <w:t>behaviour</w:t>
      </w:r>
      <w:proofErr w:type="spellEnd"/>
      <w:r w:rsidRPr="00A06A6E">
        <w:t xml:space="preserve">. Its growing importance is closely related to environmental and social issues arising from corporate activities, particularly in manufacturing. Manufacturing companies are commonly </w:t>
      </w:r>
      <w:proofErr w:type="spellStart"/>
      <w:r w:rsidRPr="00A06A6E">
        <w:t>categorised</w:t>
      </w:r>
      <w:proofErr w:type="spellEnd"/>
      <w:r w:rsidRPr="00A06A6E">
        <w:t xml:space="preserve"> as </w:t>
      </w:r>
      <w:r w:rsidRPr="00A06A6E">
        <w:rPr>
          <w:i/>
        </w:rPr>
        <w:t>high-profile industries</w:t>
      </w:r>
      <w:r w:rsidRPr="00A06A6E">
        <w:t xml:space="preserve"> because their operations can directly affect environmental sustainability through industrial waste, carbon emissions, energy consumption, and natural-resource use. Consequently, they face greater public scrutiny and stakeholder pressure regarding sustainability accountability than companies in less environmentally sensitive industries. Evidence from listed manufacturing firms also indicates that sustainability reporting dimensions can be associated with economic value creation, although the effects differ across disclosure dimensions (Okoye &amp; Ndum, 2020).</w:t>
      </w:r>
    </w:p>
    <w:p w14:paraId="2A564E99" w14:textId="77777777" w:rsidR="00C137F8" w:rsidRPr="00A06A6E" w:rsidRDefault="00000000">
      <w:pPr>
        <w:pStyle w:val="BodyText"/>
        <w:spacing w:before="2"/>
        <w:ind w:left="628" w:right="248" w:firstLine="720"/>
        <w:jc w:val="both"/>
      </w:pPr>
      <w:r w:rsidRPr="00A06A6E">
        <w:t xml:space="preserve">In Indonesia, environmental pollution cases involving manufacturing companies have intensified public concern about sustainability practices. In 2022, communities affected by alleged pollution linked to PT Rayon Utama Makmur and PT </w:t>
      </w:r>
      <w:proofErr w:type="spellStart"/>
      <w:r w:rsidRPr="00A06A6E">
        <w:t>Pajitex</w:t>
      </w:r>
      <w:proofErr w:type="spellEnd"/>
      <w:r w:rsidRPr="00A06A6E">
        <w:t xml:space="preserve"> reported concerns involving air and water pollution, coal dust, and fly ash in surrounding residential areas (WALHI, 2022). Local communities and environmental </w:t>
      </w:r>
      <w:proofErr w:type="spellStart"/>
      <w:r w:rsidRPr="00A06A6E">
        <w:t>organisations</w:t>
      </w:r>
      <w:proofErr w:type="spellEnd"/>
      <w:r w:rsidRPr="00A06A6E">
        <w:t xml:space="preserve"> consequently called for regulatory action and investigation. These cases illustrate the need for manufacturing companies to maintain societal legitimacy by ensuring that their operations are aligned with environmental norms and stakeholder expectations.</w:t>
      </w:r>
    </w:p>
    <w:p w14:paraId="4C121A80" w14:textId="77777777" w:rsidR="00C137F8" w:rsidRPr="00A06A6E" w:rsidRDefault="00000000">
      <w:pPr>
        <w:pStyle w:val="BodyText"/>
        <w:ind w:left="628" w:right="248" w:firstLine="720"/>
        <w:jc w:val="both"/>
      </w:pPr>
      <w:r w:rsidRPr="00A06A6E">
        <w:t>This condition reinforces the relevance of legitimacy theory, which explains that companies seek legitimacy from society by ensuring that their activities are perceived as socially acceptable and consistent with prevailing social values and norms. Sustainability reports</w:t>
      </w:r>
      <w:r w:rsidRPr="00A06A6E">
        <w:rPr>
          <w:spacing w:val="-3"/>
        </w:rPr>
        <w:t xml:space="preserve"> </w:t>
      </w:r>
      <w:r w:rsidRPr="00A06A6E">
        <w:t>therefore</w:t>
      </w:r>
      <w:r w:rsidRPr="00A06A6E">
        <w:rPr>
          <w:spacing w:val="-3"/>
        </w:rPr>
        <w:t xml:space="preserve"> </w:t>
      </w:r>
      <w:r w:rsidRPr="00A06A6E">
        <w:t>function</w:t>
      </w:r>
      <w:r w:rsidRPr="00A06A6E">
        <w:rPr>
          <w:spacing w:val="-3"/>
        </w:rPr>
        <w:t xml:space="preserve"> </w:t>
      </w:r>
      <w:r w:rsidRPr="00A06A6E">
        <w:t>as</w:t>
      </w:r>
      <w:r w:rsidRPr="00A06A6E">
        <w:rPr>
          <w:spacing w:val="-3"/>
        </w:rPr>
        <w:t xml:space="preserve"> </w:t>
      </w:r>
      <w:r w:rsidRPr="00A06A6E">
        <w:t>legitimacy</w:t>
      </w:r>
      <w:r w:rsidRPr="00A06A6E">
        <w:rPr>
          <w:spacing w:val="-3"/>
        </w:rPr>
        <w:t xml:space="preserve"> </w:t>
      </w:r>
      <w:r w:rsidRPr="00A06A6E">
        <w:t>instruments</w:t>
      </w:r>
      <w:r w:rsidRPr="00A06A6E">
        <w:rPr>
          <w:spacing w:val="-3"/>
        </w:rPr>
        <w:t xml:space="preserve"> </w:t>
      </w:r>
      <w:r w:rsidRPr="00A06A6E">
        <w:t>through</w:t>
      </w:r>
      <w:r w:rsidRPr="00A06A6E">
        <w:rPr>
          <w:spacing w:val="-3"/>
        </w:rPr>
        <w:t xml:space="preserve"> </w:t>
      </w:r>
      <w:r w:rsidRPr="00A06A6E">
        <w:t>which</w:t>
      </w:r>
      <w:r w:rsidRPr="00A06A6E">
        <w:rPr>
          <w:spacing w:val="-3"/>
        </w:rPr>
        <w:t xml:space="preserve"> </w:t>
      </w:r>
      <w:r w:rsidRPr="00A06A6E">
        <w:t>companies</w:t>
      </w:r>
      <w:r w:rsidRPr="00A06A6E">
        <w:rPr>
          <w:spacing w:val="-3"/>
        </w:rPr>
        <w:t xml:space="preserve"> </w:t>
      </w:r>
      <w:r w:rsidRPr="00A06A6E">
        <w:t>demonstrate accountability regarding environmental and social responsibility. Companies that fail to maintain legitimacy may experience reputational damage, declining public trust, and increased stakeholder pressure.</w:t>
      </w:r>
    </w:p>
    <w:p w14:paraId="6D8F6EF3" w14:textId="6DAB5F48" w:rsidR="00C137F8" w:rsidRPr="00A06A6E" w:rsidRDefault="00000000">
      <w:pPr>
        <w:pStyle w:val="BodyText"/>
        <w:ind w:left="628" w:right="249" w:firstLine="720"/>
        <w:jc w:val="both"/>
      </w:pPr>
      <w:r w:rsidRPr="00A06A6E">
        <w:t xml:space="preserve">In addition, stakeholder theory explains that companies must consider the interests of multiple stakeholders rather than focusing solely on shareholders. Sustainability reports function as strategic communication tools that improve transparency regarding corporate environmental and social performance and thereby strengthen relationships with stakeholders. The growing importance of sustainability reporting is also influenced by increasing investor attention to ESG performance. Investors evaluate companies not only on profitability but also on sustainability performance and the quality of ESG disclosure. Companies with more comprehensive sustainability disclosure may be perceived as having stronger governance and lower long-term risk. Grewal and Serafeim (2020) found that sustainability-related disclosure has important implications for corporate reputation and investor assessment. Recent research further indicates that board characteristics, board-level sustainability experience, and governance practices can shape sustainability reporting and sustainability outcomes, although the effects vary across reporting dimensions and </w:t>
      </w:r>
      <w:proofErr w:type="spellStart"/>
      <w:r w:rsidRPr="00A06A6E">
        <w:t>organisational</w:t>
      </w:r>
      <w:proofErr w:type="spellEnd"/>
      <w:r w:rsidRPr="00A06A6E">
        <w:t xml:space="preserve"> settings (</w:t>
      </w:r>
      <w:proofErr w:type="spellStart"/>
      <w:r w:rsidRPr="00A06A6E">
        <w:t>Alta’any</w:t>
      </w:r>
      <w:proofErr w:type="spellEnd"/>
      <w:r w:rsidRPr="00A06A6E">
        <w:t xml:space="preserve"> et al., 202</w:t>
      </w:r>
      <w:r w:rsidR="00AE6853">
        <w:t>6</w:t>
      </w:r>
      <w:r w:rsidRPr="00A06A6E">
        <w:t xml:space="preserve">; Collevecchio et al., 2025; </w:t>
      </w:r>
      <w:proofErr w:type="spellStart"/>
      <w:r w:rsidRPr="00A06A6E">
        <w:t>Oyerogba</w:t>
      </w:r>
      <w:proofErr w:type="spellEnd"/>
      <w:r w:rsidRPr="00A06A6E">
        <w:t xml:space="preserve"> et al., 2024).</w:t>
      </w:r>
    </w:p>
    <w:p w14:paraId="32A040F0" w14:textId="77777777" w:rsidR="00C137F8" w:rsidRPr="00A06A6E" w:rsidRDefault="00000000">
      <w:pPr>
        <w:pStyle w:val="BodyText"/>
        <w:ind w:left="628" w:right="245" w:firstLine="720"/>
        <w:jc w:val="both"/>
      </w:pPr>
      <w:r w:rsidRPr="00A06A6E">
        <w:t>In response to these developments, the Indonesian government strengthened sustainability reporting requirements through Financial Services Authority Regulation (</w:t>
      </w:r>
      <w:proofErr w:type="spellStart"/>
      <w:r w:rsidRPr="00A06A6E">
        <w:rPr>
          <w:i/>
        </w:rPr>
        <w:t>Peraturan</w:t>
      </w:r>
      <w:proofErr w:type="spellEnd"/>
      <w:r w:rsidRPr="00A06A6E">
        <w:rPr>
          <w:i/>
        </w:rPr>
        <w:t xml:space="preserve"> </w:t>
      </w:r>
      <w:proofErr w:type="spellStart"/>
      <w:r w:rsidRPr="00A06A6E">
        <w:rPr>
          <w:i/>
        </w:rPr>
        <w:t>Otoritas</w:t>
      </w:r>
      <w:proofErr w:type="spellEnd"/>
      <w:r w:rsidRPr="00A06A6E">
        <w:rPr>
          <w:i/>
        </w:rPr>
        <w:t xml:space="preserve"> Jasa Keuangan/POJK</w:t>
      </w:r>
      <w:r w:rsidRPr="00A06A6E">
        <w:t>) No. 51/POJK.03/2017 on the Implementation of Sustainable Finance for Financial Services Institutions, Issuers, and Public Companies (Financial Services Authority, 2017). The regulation encourages listed companies to publish sustainability reports as part of sustainable-finance implementation and corporate-transparency practice.</w:t>
      </w:r>
    </w:p>
    <w:p w14:paraId="48E7F6F4"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05F9B839" w14:textId="77777777" w:rsidR="00C137F8" w:rsidRPr="00A06A6E" w:rsidRDefault="00C137F8">
      <w:pPr>
        <w:pStyle w:val="BodyText"/>
      </w:pPr>
    </w:p>
    <w:p w14:paraId="581D246B" w14:textId="77777777" w:rsidR="00C137F8" w:rsidRPr="00A06A6E" w:rsidRDefault="00C137F8">
      <w:pPr>
        <w:pStyle w:val="BodyText"/>
      </w:pPr>
    </w:p>
    <w:p w14:paraId="710B022C" w14:textId="77777777" w:rsidR="00C137F8" w:rsidRPr="00A06A6E" w:rsidRDefault="00C137F8">
      <w:pPr>
        <w:pStyle w:val="BodyText"/>
        <w:spacing w:before="137"/>
      </w:pPr>
    </w:p>
    <w:p w14:paraId="4E5F4200" w14:textId="77777777" w:rsidR="00C137F8" w:rsidRPr="00A06A6E" w:rsidRDefault="00000000">
      <w:pPr>
        <w:pStyle w:val="BodyText"/>
        <w:ind w:left="628" w:right="246" w:firstLine="720"/>
        <w:jc w:val="both"/>
      </w:pPr>
      <w:r w:rsidRPr="00A06A6E">
        <w:t>Furthermore, the Indonesia Stock Exchange reported in January 2025 that 873 listed companies, representing approximately 97% of listed companies, had submitted sustainability reports through its disclosure system (ANTARA News, 2025). Despite the increasing number of reports, the quality and comprehensiveness of sustainability disclosure remain inconsistent. Companies continue to face challenges related to ESG data transparency, carbon-emission disclosure, and quantitative sustainability indicators. Sustainability reporting practice among Indonesian companies therefore remains heterogeneous, demonstrating the importance of investigating the factors that influence sustainability report disclosure. Differences in disclosure quality suggest that financial performance, corporate governance, and company characteristics may affect reporting practice.</w:t>
      </w:r>
    </w:p>
    <w:p w14:paraId="3773E91F" w14:textId="77777777" w:rsidR="00C137F8" w:rsidRPr="00A06A6E" w:rsidRDefault="00000000">
      <w:pPr>
        <w:pStyle w:val="BodyText"/>
        <w:spacing w:before="1"/>
        <w:ind w:left="628" w:right="249" w:firstLine="720"/>
        <w:jc w:val="both"/>
      </w:pPr>
      <w:proofErr w:type="spellStart"/>
      <w:r w:rsidRPr="00A06A6E">
        <w:t>Palwaguna</w:t>
      </w:r>
      <w:proofErr w:type="spellEnd"/>
      <w:r w:rsidRPr="00A06A6E">
        <w:t xml:space="preserve"> and </w:t>
      </w:r>
      <w:proofErr w:type="spellStart"/>
      <w:r w:rsidRPr="00A06A6E">
        <w:t>Setijaningsih</w:t>
      </w:r>
      <w:proofErr w:type="spellEnd"/>
      <w:r w:rsidRPr="00A06A6E">
        <w:t xml:space="preserve"> (2025) found that profitability and leverage did not significantly affect sustainability report disclosure, whereas the proportion of independent commissioners and firm size were significant determinants. Damayanty et al. (2022), by contrast, reported that firm size and corporate activity positively affected sustainability report disclosure, suggesting that larger-scale operations and greater stakeholder visibility can encourage broader reporting. Evidence from Indonesian listed banks also indicates that firm size can condition how markets interpret environmental and social disclosure, underscoring the relevance of company profile in ESG communication (Lestari et al., 2026).</w:t>
      </w:r>
    </w:p>
    <w:p w14:paraId="74C30C0C" w14:textId="77777777" w:rsidR="00C137F8" w:rsidRPr="00A06A6E" w:rsidRDefault="00000000">
      <w:pPr>
        <w:pStyle w:val="BodyText"/>
        <w:ind w:left="628" w:right="250" w:firstLine="720"/>
        <w:jc w:val="both"/>
      </w:pPr>
      <w:r w:rsidRPr="00A06A6E">
        <w:t>Corporate governance mechanisms, including independent boards of commissioners and audit committees, are also considered important determinants of sustainability reporting because they can strengthen monitoring and corporate transparency. However, previous studies have produced inconsistent findings regarding the effects of profitability, leverage, governance mechanisms, company size, and industrial type on sustainability disclosure.</w:t>
      </w:r>
    </w:p>
    <w:p w14:paraId="79B214A1" w14:textId="77777777" w:rsidR="00C137F8" w:rsidRPr="00A06A6E" w:rsidRDefault="00000000">
      <w:pPr>
        <w:pStyle w:val="BodyText"/>
        <w:ind w:left="628" w:right="247" w:firstLine="720"/>
        <w:jc w:val="both"/>
      </w:pPr>
      <w:r w:rsidRPr="00A06A6E">
        <w:t xml:space="preserve">This study is expected to provide practical implications for corporate management by </w:t>
      </w:r>
      <w:proofErr w:type="spellStart"/>
      <w:r w:rsidRPr="00A06A6E">
        <w:t>emphasising</w:t>
      </w:r>
      <w:proofErr w:type="spellEnd"/>
      <w:r w:rsidRPr="00A06A6E">
        <w:t xml:space="preserve"> the importance of sustainability disclosure for transparency, legitimacy, and stakeholder trust. It also contributes to the sustainability reporting literature by providing empirical evidence on the determinants of sustainability report disclosure among Indonesian manufacturing companies facing increasing ESG-related expectations.</w:t>
      </w:r>
    </w:p>
    <w:p w14:paraId="3FCE5076" w14:textId="77777777" w:rsidR="00C137F8" w:rsidRPr="00A06A6E" w:rsidRDefault="00000000">
      <w:pPr>
        <w:pStyle w:val="BodyText"/>
        <w:ind w:left="628" w:right="247" w:firstLine="720"/>
        <w:jc w:val="both"/>
      </w:pPr>
      <w:r w:rsidRPr="00A06A6E">
        <w:t>Despite the expansion of sustainability reporting in Indonesia, prior findings on the effects of profitability, leverage, corporate activity, governance mechanisms, company size, and industrial type remain inconsistent. Evidence focused specifically on manufacturing companies is also limited, although these companies face comparatively high environmental exposure and stakeholder scrutiny. Accordingly, this study aims to examine the effects of profitability, leverage, corporate activity, the independent board of commissioners, the audit committee, company size, and industrial type on sustainability report disclosure among manufacturing companies listed on the Indonesia Stock Exchange during 2021–2023, using the GRI Standards as the disclosure framework.</w:t>
      </w:r>
    </w:p>
    <w:p w14:paraId="68F18EF7"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16067A3E" w14:textId="77777777" w:rsidR="00C137F8" w:rsidRPr="00A06A6E" w:rsidRDefault="00C137F8">
      <w:pPr>
        <w:pStyle w:val="BodyText"/>
      </w:pPr>
    </w:p>
    <w:p w14:paraId="118C4E34" w14:textId="77777777" w:rsidR="00C137F8" w:rsidRPr="00A06A6E" w:rsidRDefault="00C137F8">
      <w:pPr>
        <w:pStyle w:val="BodyText"/>
        <w:spacing w:before="113"/>
      </w:pPr>
    </w:p>
    <w:p w14:paraId="4EA0E4C6" w14:textId="77777777" w:rsidR="00C137F8" w:rsidRPr="00A06A6E" w:rsidRDefault="00000000">
      <w:pPr>
        <w:pStyle w:val="Heading2"/>
        <w:spacing w:line="530" w:lineRule="atLeast"/>
        <w:ind w:right="3230"/>
      </w:pPr>
      <w:r w:rsidRPr="00A06A6E">
        <w:rPr>
          <w:b w:val="0"/>
        </w:rPr>
        <w:t>Theoretical Framework and Hypothesis Development: Stakeholder Theory</w:t>
      </w:r>
    </w:p>
    <w:p w14:paraId="0D756F80" w14:textId="77777777" w:rsidR="00C137F8" w:rsidRPr="00A06A6E" w:rsidRDefault="00000000">
      <w:pPr>
        <w:pStyle w:val="BodyText"/>
        <w:spacing w:before="4"/>
        <w:ind w:left="628" w:right="250" w:firstLine="720"/>
        <w:jc w:val="both"/>
      </w:pPr>
      <w:r w:rsidRPr="00A06A6E">
        <w:t xml:space="preserve">Stakeholder theory, as developed by Freeman and McVea (2001), explains that companies are responsible not only to shareholders but also to stakeholders affected by corporate activities, including investors, creditors, employees, government, and society. The theory </w:t>
      </w:r>
      <w:proofErr w:type="spellStart"/>
      <w:r w:rsidRPr="00A06A6E">
        <w:t>emphasises</w:t>
      </w:r>
      <w:proofErr w:type="spellEnd"/>
      <w:r w:rsidRPr="00A06A6E">
        <w:t xml:space="preserve"> the need to maintain constructive stakeholder relationships through transparency and accountability.</w:t>
      </w:r>
    </w:p>
    <w:p w14:paraId="6D4346BB" w14:textId="77777777" w:rsidR="00C137F8" w:rsidRPr="00A06A6E" w:rsidRDefault="00000000">
      <w:pPr>
        <w:pStyle w:val="BodyText"/>
        <w:ind w:left="628" w:right="247" w:firstLine="720"/>
        <w:jc w:val="both"/>
      </w:pPr>
      <w:r w:rsidRPr="00A06A6E">
        <w:t>In the context of this research, sustainability report disclosure is considered a strategic instrument used by companies to provide information regarding environmental, social, and governance (ESG) performance to stakeholders. Manufacturing companies, as high-profile</w:t>
      </w:r>
      <w:r w:rsidRPr="00A06A6E">
        <w:rPr>
          <w:spacing w:val="-15"/>
        </w:rPr>
        <w:t xml:space="preserve"> </w:t>
      </w:r>
      <w:r w:rsidRPr="00A06A6E">
        <w:t>industries,</w:t>
      </w:r>
      <w:r w:rsidRPr="00A06A6E">
        <w:rPr>
          <w:spacing w:val="-15"/>
        </w:rPr>
        <w:t xml:space="preserve"> </w:t>
      </w:r>
      <w:r w:rsidRPr="00A06A6E">
        <w:t>face</w:t>
      </w:r>
      <w:r w:rsidRPr="00A06A6E">
        <w:rPr>
          <w:spacing w:val="-15"/>
        </w:rPr>
        <w:t xml:space="preserve"> </w:t>
      </w:r>
      <w:r w:rsidRPr="00A06A6E">
        <w:t>greater</w:t>
      </w:r>
      <w:r w:rsidRPr="00A06A6E">
        <w:rPr>
          <w:spacing w:val="-15"/>
        </w:rPr>
        <w:t xml:space="preserve"> </w:t>
      </w:r>
      <w:r w:rsidRPr="00A06A6E">
        <w:t>stakeholder</w:t>
      </w:r>
      <w:r w:rsidRPr="00A06A6E">
        <w:rPr>
          <w:spacing w:val="-15"/>
        </w:rPr>
        <w:t xml:space="preserve"> </w:t>
      </w:r>
      <w:r w:rsidRPr="00A06A6E">
        <w:t>pressure</w:t>
      </w:r>
      <w:r w:rsidRPr="00A06A6E">
        <w:rPr>
          <w:spacing w:val="-15"/>
        </w:rPr>
        <w:t xml:space="preserve"> </w:t>
      </w:r>
      <w:r w:rsidRPr="00A06A6E">
        <w:t>because</w:t>
      </w:r>
      <w:r w:rsidRPr="00A06A6E">
        <w:rPr>
          <w:spacing w:val="-15"/>
        </w:rPr>
        <w:t xml:space="preserve"> </w:t>
      </w:r>
      <w:r w:rsidRPr="00A06A6E">
        <w:t>their</w:t>
      </w:r>
      <w:r w:rsidRPr="00A06A6E">
        <w:rPr>
          <w:spacing w:val="-15"/>
        </w:rPr>
        <w:t xml:space="preserve"> </w:t>
      </w:r>
      <w:r w:rsidRPr="00A06A6E">
        <w:t>operational</w:t>
      </w:r>
      <w:r w:rsidRPr="00A06A6E">
        <w:rPr>
          <w:spacing w:val="-15"/>
        </w:rPr>
        <w:t xml:space="preserve"> </w:t>
      </w:r>
      <w:r w:rsidRPr="00A06A6E">
        <w:t>activities directly impact the environment and society. Therefore, companies with strong financial performance,</w:t>
      </w:r>
      <w:r w:rsidRPr="00A06A6E">
        <w:rPr>
          <w:spacing w:val="-8"/>
        </w:rPr>
        <w:t xml:space="preserve"> </w:t>
      </w:r>
      <w:r w:rsidRPr="00A06A6E">
        <w:t>effective</w:t>
      </w:r>
      <w:r w:rsidRPr="00A06A6E">
        <w:rPr>
          <w:spacing w:val="-9"/>
        </w:rPr>
        <w:t xml:space="preserve"> </w:t>
      </w:r>
      <w:r w:rsidRPr="00A06A6E">
        <w:t>corporate</w:t>
      </w:r>
      <w:r w:rsidRPr="00A06A6E">
        <w:rPr>
          <w:spacing w:val="-9"/>
        </w:rPr>
        <w:t xml:space="preserve"> </w:t>
      </w:r>
      <w:r w:rsidRPr="00A06A6E">
        <w:t>governance,</w:t>
      </w:r>
      <w:r w:rsidRPr="00A06A6E">
        <w:rPr>
          <w:spacing w:val="-8"/>
        </w:rPr>
        <w:t xml:space="preserve"> </w:t>
      </w:r>
      <w:r w:rsidRPr="00A06A6E">
        <w:t>larger</w:t>
      </w:r>
      <w:r w:rsidRPr="00A06A6E">
        <w:rPr>
          <w:spacing w:val="-8"/>
        </w:rPr>
        <w:t xml:space="preserve"> </w:t>
      </w:r>
      <w:r w:rsidRPr="00A06A6E">
        <w:t>company</w:t>
      </w:r>
      <w:r w:rsidRPr="00A06A6E">
        <w:rPr>
          <w:spacing w:val="-8"/>
        </w:rPr>
        <w:t xml:space="preserve"> </w:t>
      </w:r>
      <w:r w:rsidRPr="00A06A6E">
        <w:t>size,</w:t>
      </w:r>
      <w:r w:rsidRPr="00A06A6E">
        <w:rPr>
          <w:spacing w:val="-8"/>
        </w:rPr>
        <w:t xml:space="preserve"> </w:t>
      </w:r>
      <w:r w:rsidRPr="00A06A6E">
        <w:t>and</w:t>
      </w:r>
      <w:r w:rsidRPr="00A06A6E">
        <w:rPr>
          <w:spacing w:val="-9"/>
        </w:rPr>
        <w:t xml:space="preserve"> </w:t>
      </w:r>
      <w:r w:rsidRPr="00A06A6E">
        <w:t>high</w:t>
      </w:r>
      <w:r w:rsidRPr="00A06A6E">
        <w:rPr>
          <w:spacing w:val="-9"/>
        </w:rPr>
        <w:t xml:space="preserve"> </w:t>
      </w:r>
      <w:r w:rsidRPr="00A06A6E">
        <w:t>environmental exposure tend to disclose sustainability information more extensively to meet stakeholder expectations and maintain stakeholder trust.</w:t>
      </w:r>
    </w:p>
    <w:p w14:paraId="48FD6DD7" w14:textId="77777777" w:rsidR="00C137F8" w:rsidRPr="00A06A6E" w:rsidRDefault="00000000">
      <w:pPr>
        <w:pStyle w:val="BodyText"/>
        <w:ind w:left="628" w:right="246" w:firstLine="720"/>
        <w:jc w:val="both"/>
      </w:pPr>
      <w:r w:rsidRPr="00A06A6E">
        <w:t>Several previous studies support stakeholder theory in explaining sustainability disclosure practices. Thomas et al. (2020) found that profitability and leverage positively influence sustainability report disclosure because companies with good financial performance possess greater resources to fulfil stakeholder expectations through sustainability activities and disclosure. Damayanty et al. (2022) also found that company size and company activities positively affect sustainability report disclosure due to stronger stakeholder visibility and public pressure faced by larger companies.</w:t>
      </w:r>
    </w:p>
    <w:p w14:paraId="3D6BBF53" w14:textId="77777777" w:rsidR="00C137F8" w:rsidRPr="00A06A6E" w:rsidRDefault="00000000">
      <w:pPr>
        <w:pStyle w:val="BodyText"/>
        <w:ind w:left="628" w:right="251" w:firstLine="720"/>
        <w:jc w:val="both"/>
      </w:pPr>
      <w:r w:rsidRPr="00A06A6E">
        <w:t>Furthermore, Sonia and Khafid (2020) revealed that audit committees and profitability positively influence sustainability reporting practices because governance mechanisms improve corporate transparency and accountability towards stakeholders. Similarly, Ramadhan et al. (2023) found that audit committees and boards of directors significantly influence sustainability report disclosure practices.</w:t>
      </w:r>
    </w:p>
    <w:p w14:paraId="6997B468" w14:textId="77777777" w:rsidR="00C137F8" w:rsidRPr="00A06A6E" w:rsidRDefault="00000000">
      <w:pPr>
        <w:pStyle w:val="Heading2"/>
        <w:spacing w:line="250" w:lineRule="exact"/>
      </w:pPr>
      <w:r w:rsidRPr="00A06A6E">
        <w:t>Legitimacy</w:t>
      </w:r>
      <w:r w:rsidRPr="00A06A6E">
        <w:rPr>
          <w:spacing w:val="-10"/>
        </w:rPr>
        <w:t xml:space="preserve"> </w:t>
      </w:r>
      <w:r w:rsidRPr="00A06A6E">
        <w:rPr>
          <w:spacing w:val="-2"/>
        </w:rPr>
        <w:t>Theory</w:t>
      </w:r>
    </w:p>
    <w:p w14:paraId="7BF0F124" w14:textId="77777777" w:rsidR="00C137F8" w:rsidRPr="00A06A6E" w:rsidRDefault="00000000">
      <w:pPr>
        <w:pStyle w:val="BodyText"/>
        <w:spacing w:before="1"/>
        <w:ind w:left="628" w:right="250" w:firstLine="720"/>
        <w:jc w:val="both"/>
      </w:pPr>
      <w:r w:rsidRPr="00A06A6E">
        <w:t>Legitimacy</w:t>
      </w:r>
      <w:r w:rsidRPr="00A06A6E">
        <w:rPr>
          <w:spacing w:val="-16"/>
        </w:rPr>
        <w:t xml:space="preserve"> </w:t>
      </w:r>
      <w:r w:rsidRPr="00A06A6E">
        <w:t>theory</w:t>
      </w:r>
      <w:r w:rsidRPr="00A06A6E">
        <w:rPr>
          <w:spacing w:val="-15"/>
        </w:rPr>
        <w:t xml:space="preserve"> </w:t>
      </w:r>
      <w:r w:rsidRPr="00A06A6E">
        <w:t>explains</w:t>
      </w:r>
      <w:r w:rsidRPr="00A06A6E">
        <w:rPr>
          <w:spacing w:val="-15"/>
        </w:rPr>
        <w:t xml:space="preserve"> </w:t>
      </w:r>
      <w:r w:rsidRPr="00A06A6E">
        <w:t>that</w:t>
      </w:r>
      <w:r w:rsidRPr="00A06A6E">
        <w:rPr>
          <w:spacing w:val="-16"/>
        </w:rPr>
        <w:t xml:space="preserve"> </w:t>
      </w:r>
      <w:r w:rsidRPr="00A06A6E">
        <w:t>companies</w:t>
      </w:r>
      <w:r w:rsidRPr="00A06A6E">
        <w:rPr>
          <w:spacing w:val="-15"/>
        </w:rPr>
        <w:t xml:space="preserve"> </w:t>
      </w:r>
      <w:r w:rsidRPr="00A06A6E">
        <w:t>continuously</w:t>
      </w:r>
      <w:r w:rsidRPr="00A06A6E">
        <w:rPr>
          <w:spacing w:val="-15"/>
        </w:rPr>
        <w:t xml:space="preserve"> </w:t>
      </w:r>
      <w:r w:rsidRPr="00A06A6E">
        <w:t>seek</w:t>
      </w:r>
      <w:r w:rsidRPr="00A06A6E">
        <w:rPr>
          <w:spacing w:val="-15"/>
        </w:rPr>
        <w:t xml:space="preserve"> </w:t>
      </w:r>
      <w:r w:rsidRPr="00A06A6E">
        <w:t>legitimacy</w:t>
      </w:r>
      <w:r w:rsidRPr="00A06A6E">
        <w:rPr>
          <w:spacing w:val="-16"/>
        </w:rPr>
        <w:t xml:space="preserve"> </w:t>
      </w:r>
      <w:r w:rsidRPr="00A06A6E">
        <w:t>from</w:t>
      </w:r>
      <w:r w:rsidRPr="00A06A6E">
        <w:rPr>
          <w:spacing w:val="-15"/>
        </w:rPr>
        <w:t xml:space="preserve"> </w:t>
      </w:r>
      <w:r w:rsidRPr="00A06A6E">
        <w:t>society to ensure business continuity. Companies are expected to operate in accordance with societal norms, values, and expectations. When corporate activities potentially threaten environmental</w:t>
      </w:r>
      <w:r w:rsidRPr="00A06A6E">
        <w:rPr>
          <w:spacing w:val="-5"/>
        </w:rPr>
        <w:t xml:space="preserve"> </w:t>
      </w:r>
      <w:r w:rsidRPr="00A06A6E">
        <w:t>or</w:t>
      </w:r>
      <w:r w:rsidRPr="00A06A6E">
        <w:rPr>
          <w:spacing w:val="-5"/>
        </w:rPr>
        <w:t xml:space="preserve"> </w:t>
      </w:r>
      <w:r w:rsidRPr="00A06A6E">
        <w:t>social</w:t>
      </w:r>
      <w:r w:rsidRPr="00A06A6E">
        <w:rPr>
          <w:spacing w:val="-5"/>
        </w:rPr>
        <w:t xml:space="preserve"> </w:t>
      </w:r>
      <w:r w:rsidRPr="00A06A6E">
        <w:t>sustainability,</w:t>
      </w:r>
      <w:r w:rsidRPr="00A06A6E">
        <w:rPr>
          <w:spacing w:val="-5"/>
        </w:rPr>
        <w:t xml:space="preserve"> </w:t>
      </w:r>
      <w:r w:rsidRPr="00A06A6E">
        <w:t>companies</w:t>
      </w:r>
      <w:r w:rsidRPr="00A06A6E">
        <w:rPr>
          <w:spacing w:val="-5"/>
        </w:rPr>
        <w:t xml:space="preserve"> </w:t>
      </w:r>
      <w:r w:rsidRPr="00A06A6E">
        <w:t>may</w:t>
      </w:r>
      <w:r w:rsidRPr="00A06A6E">
        <w:rPr>
          <w:spacing w:val="-5"/>
        </w:rPr>
        <w:t xml:space="preserve"> </w:t>
      </w:r>
      <w:r w:rsidRPr="00A06A6E">
        <w:t>experience</w:t>
      </w:r>
      <w:r w:rsidRPr="00A06A6E">
        <w:rPr>
          <w:spacing w:val="-5"/>
        </w:rPr>
        <w:t xml:space="preserve"> </w:t>
      </w:r>
      <w:r w:rsidRPr="00A06A6E">
        <w:t>legitimacy</w:t>
      </w:r>
      <w:r w:rsidRPr="00A06A6E">
        <w:rPr>
          <w:spacing w:val="-5"/>
        </w:rPr>
        <w:t xml:space="preserve"> </w:t>
      </w:r>
      <w:r w:rsidRPr="00A06A6E">
        <w:t>pressure</w:t>
      </w:r>
      <w:r w:rsidRPr="00A06A6E">
        <w:rPr>
          <w:spacing w:val="-5"/>
        </w:rPr>
        <w:t xml:space="preserve"> </w:t>
      </w:r>
      <w:r w:rsidRPr="00A06A6E">
        <w:t>from stakeholders and society.</w:t>
      </w:r>
    </w:p>
    <w:p w14:paraId="655FD97A" w14:textId="77777777" w:rsidR="00C137F8" w:rsidRPr="00A06A6E" w:rsidRDefault="00000000">
      <w:pPr>
        <w:pStyle w:val="BodyText"/>
        <w:spacing w:before="3"/>
        <w:ind w:left="628" w:right="249" w:firstLine="720"/>
        <w:jc w:val="both"/>
      </w:pPr>
      <w:r w:rsidRPr="00A06A6E">
        <w:t>In</w:t>
      </w:r>
      <w:r w:rsidRPr="00A06A6E">
        <w:rPr>
          <w:spacing w:val="-15"/>
        </w:rPr>
        <w:t xml:space="preserve"> </w:t>
      </w:r>
      <w:r w:rsidRPr="00A06A6E">
        <w:t>this</w:t>
      </w:r>
      <w:r w:rsidRPr="00A06A6E">
        <w:rPr>
          <w:spacing w:val="-15"/>
        </w:rPr>
        <w:t xml:space="preserve"> </w:t>
      </w:r>
      <w:r w:rsidRPr="00A06A6E">
        <w:t>research,</w:t>
      </w:r>
      <w:r w:rsidRPr="00A06A6E">
        <w:rPr>
          <w:spacing w:val="-15"/>
        </w:rPr>
        <w:t xml:space="preserve"> </w:t>
      </w:r>
      <w:r w:rsidRPr="00A06A6E">
        <w:t>sustainability</w:t>
      </w:r>
      <w:r w:rsidRPr="00A06A6E">
        <w:rPr>
          <w:spacing w:val="-15"/>
        </w:rPr>
        <w:t xml:space="preserve"> </w:t>
      </w:r>
      <w:r w:rsidRPr="00A06A6E">
        <w:t>report</w:t>
      </w:r>
      <w:r w:rsidRPr="00A06A6E">
        <w:rPr>
          <w:spacing w:val="-15"/>
        </w:rPr>
        <w:t xml:space="preserve"> </w:t>
      </w:r>
      <w:r w:rsidRPr="00A06A6E">
        <w:t>disclosure</w:t>
      </w:r>
      <w:r w:rsidRPr="00A06A6E">
        <w:rPr>
          <w:spacing w:val="-15"/>
        </w:rPr>
        <w:t xml:space="preserve"> </w:t>
      </w:r>
      <w:r w:rsidRPr="00A06A6E">
        <w:t>is</w:t>
      </w:r>
      <w:r w:rsidRPr="00A06A6E">
        <w:rPr>
          <w:spacing w:val="-15"/>
        </w:rPr>
        <w:t xml:space="preserve"> </w:t>
      </w:r>
      <w:r w:rsidRPr="00A06A6E">
        <w:t>viewed</w:t>
      </w:r>
      <w:r w:rsidRPr="00A06A6E">
        <w:rPr>
          <w:spacing w:val="-15"/>
        </w:rPr>
        <w:t xml:space="preserve"> </w:t>
      </w:r>
      <w:r w:rsidRPr="00A06A6E">
        <w:t>as</w:t>
      </w:r>
      <w:r w:rsidRPr="00A06A6E">
        <w:rPr>
          <w:spacing w:val="-15"/>
        </w:rPr>
        <w:t xml:space="preserve"> </w:t>
      </w:r>
      <w:r w:rsidRPr="00A06A6E">
        <w:t>a</w:t>
      </w:r>
      <w:r w:rsidRPr="00A06A6E">
        <w:rPr>
          <w:spacing w:val="-15"/>
        </w:rPr>
        <w:t xml:space="preserve"> </w:t>
      </w:r>
      <w:r w:rsidRPr="00A06A6E">
        <w:t>legitimacy</w:t>
      </w:r>
      <w:r w:rsidRPr="00A06A6E">
        <w:rPr>
          <w:spacing w:val="-15"/>
        </w:rPr>
        <w:t xml:space="preserve"> </w:t>
      </w:r>
      <w:r w:rsidRPr="00A06A6E">
        <w:t>mechanism used by companies to demonstrate accountability regarding environmental and social responsibilities. Manufacturing companies generally face stronger legitimacy pressure because</w:t>
      </w:r>
      <w:r w:rsidRPr="00A06A6E">
        <w:rPr>
          <w:spacing w:val="-4"/>
        </w:rPr>
        <w:t xml:space="preserve"> </w:t>
      </w:r>
      <w:r w:rsidRPr="00A06A6E">
        <w:t>their</w:t>
      </w:r>
      <w:r w:rsidRPr="00A06A6E">
        <w:rPr>
          <w:spacing w:val="-4"/>
        </w:rPr>
        <w:t xml:space="preserve"> </w:t>
      </w:r>
      <w:r w:rsidRPr="00A06A6E">
        <w:t>operational</w:t>
      </w:r>
      <w:r w:rsidRPr="00A06A6E">
        <w:rPr>
          <w:spacing w:val="-4"/>
        </w:rPr>
        <w:t xml:space="preserve"> </w:t>
      </w:r>
      <w:r w:rsidRPr="00A06A6E">
        <w:t>activities</w:t>
      </w:r>
      <w:r w:rsidRPr="00A06A6E">
        <w:rPr>
          <w:spacing w:val="-4"/>
        </w:rPr>
        <w:t xml:space="preserve"> </w:t>
      </w:r>
      <w:r w:rsidRPr="00A06A6E">
        <w:t>are</w:t>
      </w:r>
      <w:r w:rsidRPr="00A06A6E">
        <w:rPr>
          <w:spacing w:val="-4"/>
        </w:rPr>
        <w:t xml:space="preserve"> </w:t>
      </w:r>
      <w:r w:rsidRPr="00A06A6E">
        <w:t>closely</w:t>
      </w:r>
      <w:r w:rsidRPr="00A06A6E">
        <w:rPr>
          <w:spacing w:val="-4"/>
        </w:rPr>
        <w:t xml:space="preserve"> </w:t>
      </w:r>
      <w:r w:rsidRPr="00A06A6E">
        <w:t>associated</w:t>
      </w:r>
      <w:r w:rsidRPr="00A06A6E">
        <w:rPr>
          <w:spacing w:val="-4"/>
        </w:rPr>
        <w:t xml:space="preserve"> </w:t>
      </w:r>
      <w:r w:rsidRPr="00A06A6E">
        <w:t>with</w:t>
      </w:r>
      <w:r w:rsidRPr="00A06A6E">
        <w:rPr>
          <w:spacing w:val="-4"/>
        </w:rPr>
        <w:t xml:space="preserve"> </w:t>
      </w:r>
      <w:r w:rsidRPr="00A06A6E">
        <w:t>environmental</w:t>
      </w:r>
      <w:r w:rsidRPr="00A06A6E">
        <w:rPr>
          <w:spacing w:val="-4"/>
        </w:rPr>
        <w:t xml:space="preserve"> </w:t>
      </w:r>
      <w:r w:rsidRPr="00A06A6E">
        <w:t>impacts</w:t>
      </w:r>
      <w:r w:rsidRPr="00A06A6E">
        <w:rPr>
          <w:spacing w:val="-4"/>
        </w:rPr>
        <w:t xml:space="preserve"> </w:t>
      </w:r>
      <w:r w:rsidRPr="00A06A6E">
        <w:t>such as waste, emissions, and pollution. Therefore, companies tend to disclose sustainability information</w:t>
      </w:r>
      <w:r w:rsidRPr="00A06A6E">
        <w:rPr>
          <w:spacing w:val="-16"/>
        </w:rPr>
        <w:t xml:space="preserve"> </w:t>
      </w:r>
      <w:r w:rsidRPr="00A06A6E">
        <w:t>more</w:t>
      </w:r>
      <w:r w:rsidRPr="00A06A6E">
        <w:rPr>
          <w:spacing w:val="-15"/>
        </w:rPr>
        <w:t xml:space="preserve"> </w:t>
      </w:r>
      <w:r w:rsidRPr="00A06A6E">
        <w:t>comprehensively</w:t>
      </w:r>
      <w:r w:rsidRPr="00A06A6E">
        <w:rPr>
          <w:spacing w:val="-15"/>
        </w:rPr>
        <w:t xml:space="preserve"> </w:t>
      </w:r>
      <w:r w:rsidRPr="00A06A6E">
        <w:t>to</w:t>
      </w:r>
      <w:r w:rsidRPr="00A06A6E">
        <w:rPr>
          <w:spacing w:val="-16"/>
        </w:rPr>
        <w:t xml:space="preserve"> </w:t>
      </w:r>
      <w:r w:rsidRPr="00A06A6E">
        <w:t>maintain</w:t>
      </w:r>
      <w:r w:rsidRPr="00A06A6E">
        <w:rPr>
          <w:spacing w:val="-15"/>
        </w:rPr>
        <w:t xml:space="preserve"> </w:t>
      </w:r>
      <w:r w:rsidRPr="00A06A6E">
        <w:t>corporate</w:t>
      </w:r>
      <w:r w:rsidRPr="00A06A6E">
        <w:rPr>
          <w:spacing w:val="-15"/>
        </w:rPr>
        <w:t xml:space="preserve"> </w:t>
      </w:r>
      <w:r w:rsidRPr="00A06A6E">
        <w:t>reputation,</w:t>
      </w:r>
      <w:r w:rsidRPr="00A06A6E">
        <w:rPr>
          <w:spacing w:val="-15"/>
        </w:rPr>
        <w:t xml:space="preserve"> </w:t>
      </w:r>
      <w:r w:rsidRPr="00A06A6E">
        <w:t>gain</w:t>
      </w:r>
      <w:r w:rsidRPr="00A06A6E">
        <w:rPr>
          <w:spacing w:val="-16"/>
        </w:rPr>
        <w:t xml:space="preserve"> </w:t>
      </w:r>
      <w:r w:rsidRPr="00A06A6E">
        <w:t>public</w:t>
      </w:r>
      <w:r w:rsidRPr="00A06A6E">
        <w:rPr>
          <w:spacing w:val="-15"/>
        </w:rPr>
        <w:t xml:space="preserve"> </w:t>
      </w:r>
      <w:r w:rsidRPr="00A06A6E">
        <w:t>acceptance, and strengthen legitimacy in the eyes of stakeholders and society.</w:t>
      </w:r>
    </w:p>
    <w:p w14:paraId="292710A3" w14:textId="77777777" w:rsidR="00C137F8" w:rsidRPr="00A06A6E" w:rsidRDefault="00000000">
      <w:pPr>
        <w:pStyle w:val="BodyText"/>
        <w:ind w:left="628" w:right="250" w:firstLine="720"/>
        <w:jc w:val="both"/>
      </w:pPr>
      <w:r w:rsidRPr="00A06A6E">
        <w:t xml:space="preserve">Legitimacy theory is supported by several previous studies. Haris and </w:t>
      </w:r>
      <w:proofErr w:type="spellStart"/>
      <w:r w:rsidRPr="00A06A6E">
        <w:t>Negoro</w:t>
      </w:r>
      <w:proofErr w:type="spellEnd"/>
      <w:r w:rsidRPr="00A06A6E">
        <w:t xml:space="preserve"> (2021) found that corporate activity and company size influence sustainability report disclosure because companies with larger operations experience stronger legitimacy pressure. Likewise, Satria et al. (2023) stated that larger companies and high-profile industries tend to disclose sustainability information more extensively to maintain legitimacy and corporate reputation.</w:t>
      </w:r>
    </w:p>
    <w:p w14:paraId="5AB60598" w14:textId="77777777" w:rsidR="00C137F8" w:rsidRPr="00A06A6E" w:rsidRDefault="00000000">
      <w:pPr>
        <w:pStyle w:val="BodyText"/>
        <w:spacing w:before="1" w:line="237" w:lineRule="auto"/>
        <w:ind w:left="628" w:right="249" w:firstLine="720"/>
        <w:jc w:val="both"/>
      </w:pPr>
      <w:r w:rsidRPr="00A06A6E">
        <w:t xml:space="preserve">In addition, Putri and </w:t>
      </w:r>
      <w:proofErr w:type="spellStart"/>
      <w:r w:rsidRPr="00A06A6E">
        <w:t>Marsono</w:t>
      </w:r>
      <w:proofErr w:type="spellEnd"/>
      <w:r w:rsidRPr="00A06A6E">
        <w:t xml:space="preserve"> (2025) found that industrial type positively influences sustainability report disclosure because companies operating in environmentally sensitive industries face greater societal scrutiny and legitimacy pressure.</w:t>
      </w:r>
    </w:p>
    <w:p w14:paraId="140183E5" w14:textId="77777777" w:rsidR="00C137F8" w:rsidRPr="00A06A6E" w:rsidRDefault="00C137F8">
      <w:pPr>
        <w:pStyle w:val="BodyText"/>
        <w:spacing w:line="237" w:lineRule="auto"/>
        <w:jc w:val="both"/>
        <w:sectPr w:rsidR="00C137F8" w:rsidRPr="00A06A6E">
          <w:pgSz w:w="12240" w:h="15840"/>
          <w:pgMar w:top="800" w:right="1440" w:bottom="280" w:left="1080" w:header="44" w:footer="0" w:gutter="0"/>
          <w:cols w:space="720"/>
        </w:sectPr>
      </w:pPr>
    </w:p>
    <w:p w14:paraId="192D9C58" w14:textId="77777777" w:rsidR="00C137F8" w:rsidRPr="00A06A6E" w:rsidRDefault="00C137F8">
      <w:pPr>
        <w:pStyle w:val="BodyText"/>
      </w:pPr>
    </w:p>
    <w:p w14:paraId="05D39FA2" w14:textId="77777777" w:rsidR="00C137F8" w:rsidRPr="00A06A6E" w:rsidRDefault="00C137F8">
      <w:pPr>
        <w:pStyle w:val="BodyText"/>
      </w:pPr>
    </w:p>
    <w:p w14:paraId="229FBE27" w14:textId="77777777" w:rsidR="00C137F8" w:rsidRPr="00A06A6E" w:rsidRDefault="00C137F8">
      <w:pPr>
        <w:pStyle w:val="BodyText"/>
        <w:spacing w:before="137"/>
      </w:pPr>
    </w:p>
    <w:p w14:paraId="654EAFC3" w14:textId="77777777" w:rsidR="00C137F8" w:rsidRPr="00A06A6E" w:rsidRDefault="00000000">
      <w:pPr>
        <w:pStyle w:val="BodyText"/>
        <w:ind w:left="628" w:right="249"/>
        <w:jc w:val="both"/>
      </w:pPr>
      <w:proofErr w:type="spellStart"/>
      <w:r w:rsidRPr="00A06A6E">
        <w:t>Ulfa</w:t>
      </w:r>
      <w:proofErr w:type="spellEnd"/>
      <w:r w:rsidRPr="00A06A6E">
        <w:t xml:space="preserve"> et al. (2025) also found that independent boards of commissioners and profitability significantly influence sustainability report disclosure, indicating that governance mechanisms play an important role in maintaining corporate legitimacy.</w:t>
      </w:r>
    </w:p>
    <w:p w14:paraId="16B9C4A1" w14:textId="77777777" w:rsidR="00C137F8" w:rsidRPr="00A06A6E" w:rsidRDefault="00000000">
      <w:pPr>
        <w:pStyle w:val="Heading2"/>
        <w:spacing w:before="236"/>
        <w:jc w:val="both"/>
      </w:pPr>
      <w:r w:rsidRPr="00A06A6E">
        <w:rPr>
          <w:b w:val="0"/>
        </w:rPr>
        <w:t xml:space="preserve">Hypothesis </w:t>
      </w:r>
      <w:proofErr w:type="spellStart"/>
      <w:r w:rsidRPr="00A06A6E">
        <w:rPr>
          <w:b w:val="0"/>
        </w:rPr>
        <w:t>Developmentt</w:t>
      </w:r>
      <w:proofErr w:type="spellEnd"/>
    </w:p>
    <w:p w14:paraId="6FB90078" w14:textId="77777777" w:rsidR="00C137F8" w:rsidRPr="00A06A6E" w:rsidRDefault="00C137F8">
      <w:pPr>
        <w:pStyle w:val="BodyText"/>
        <w:spacing w:before="3"/>
        <w:rPr>
          <w:rFonts w:ascii="Arial"/>
          <w:b/>
        </w:rPr>
      </w:pPr>
    </w:p>
    <w:p w14:paraId="2753ED56" w14:textId="77777777" w:rsidR="00C137F8" w:rsidRPr="00A06A6E" w:rsidRDefault="00000000">
      <w:pPr>
        <w:spacing w:line="251" w:lineRule="exact"/>
        <w:ind w:left="628"/>
        <w:jc w:val="both"/>
        <w:rPr>
          <w:rFonts w:ascii="Arial"/>
          <w:b/>
          <w:i/>
        </w:rPr>
      </w:pPr>
      <w:r w:rsidRPr="00A06A6E">
        <w:rPr>
          <w:rFonts w:ascii="Arial"/>
          <w:b/>
        </w:rPr>
        <w:t>H1:</w:t>
      </w:r>
      <w:r w:rsidRPr="00A06A6E">
        <w:rPr>
          <w:rFonts w:ascii="Arial"/>
          <w:b/>
          <w:spacing w:val="-16"/>
        </w:rPr>
        <w:t xml:space="preserve"> </w:t>
      </w:r>
      <w:r w:rsidRPr="00A06A6E">
        <w:rPr>
          <w:rFonts w:ascii="Arial"/>
          <w:b/>
        </w:rPr>
        <w:t>The</w:t>
      </w:r>
      <w:r w:rsidRPr="00A06A6E">
        <w:rPr>
          <w:rFonts w:ascii="Arial"/>
          <w:b/>
          <w:spacing w:val="-15"/>
        </w:rPr>
        <w:t xml:space="preserve"> </w:t>
      </w:r>
      <w:r w:rsidRPr="00A06A6E">
        <w:rPr>
          <w:rFonts w:ascii="Arial"/>
          <w:b/>
        </w:rPr>
        <w:t>Influence</w:t>
      </w:r>
      <w:r w:rsidRPr="00A06A6E">
        <w:rPr>
          <w:rFonts w:ascii="Arial"/>
          <w:b/>
          <w:spacing w:val="-15"/>
        </w:rPr>
        <w:t xml:space="preserve"> </w:t>
      </w:r>
      <w:r w:rsidRPr="00A06A6E">
        <w:rPr>
          <w:rFonts w:ascii="Arial"/>
          <w:b/>
        </w:rPr>
        <w:t>of</w:t>
      </w:r>
      <w:r w:rsidRPr="00A06A6E">
        <w:rPr>
          <w:rFonts w:ascii="Arial"/>
          <w:b/>
          <w:spacing w:val="-16"/>
        </w:rPr>
        <w:t xml:space="preserve"> </w:t>
      </w:r>
      <w:r w:rsidRPr="00A06A6E">
        <w:rPr>
          <w:rFonts w:ascii="Arial"/>
          <w:b/>
        </w:rPr>
        <w:t>Profitability</w:t>
      </w:r>
      <w:r w:rsidRPr="00A06A6E">
        <w:rPr>
          <w:rFonts w:ascii="Arial"/>
          <w:b/>
          <w:spacing w:val="-13"/>
        </w:rPr>
        <w:t xml:space="preserve"> </w:t>
      </w:r>
      <w:r w:rsidRPr="00A06A6E">
        <w:rPr>
          <w:rFonts w:ascii="Arial"/>
          <w:b/>
        </w:rPr>
        <w:t>on</w:t>
      </w:r>
      <w:r w:rsidRPr="00A06A6E">
        <w:rPr>
          <w:rFonts w:ascii="Arial"/>
          <w:b/>
          <w:spacing w:val="-14"/>
        </w:rPr>
        <w:t xml:space="preserve"> </w:t>
      </w:r>
      <w:r w:rsidRPr="00A06A6E">
        <w:rPr>
          <w:rFonts w:ascii="Arial"/>
          <w:b/>
          <w:i/>
        </w:rPr>
        <w:t>Sustainability</w:t>
      </w:r>
      <w:r w:rsidRPr="00A06A6E">
        <w:rPr>
          <w:rFonts w:ascii="Arial"/>
          <w:b/>
          <w:i/>
          <w:spacing w:val="-13"/>
        </w:rPr>
        <w:t xml:space="preserve"> </w:t>
      </w:r>
      <w:r w:rsidRPr="00A06A6E">
        <w:rPr>
          <w:rFonts w:ascii="Arial"/>
          <w:b/>
          <w:i/>
          <w:spacing w:val="9"/>
        </w:rPr>
        <w:t>Report</w:t>
      </w:r>
      <w:r w:rsidRPr="00A06A6E">
        <w:rPr>
          <w:rFonts w:ascii="Arial"/>
          <w:b/>
          <w:i/>
          <w:spacing w:val="-14"/>
        </w:rPr>
        <w:t xml:space="preserve"> </w:t>
      </w:r>
      <w:r w:rsidRPr="00A06A6E">
        <w:rPr>
          <w:rFonts w:ascii="Arial"/>
          <w:b/>
          <w:i/>
          <w:spacing w:val="-2"/>
        </w:rPr>
        <w:t>Disclosure</w:t>
      </w:r>
    </w:p>
    <w:p w14:paraId="59C4CBE4" w14:textId="77777777" w:rsidR="00C137F8" w:rsidRPr="00A06A6E" w:rsidRDefault="00000000">
      <w:pPr>
        <w:pStyle w:val="BodyText"/>
        <w:ind w:left="628" w:right="248" w:firstLine="720"/>
        <w:jc w:val="both"/>
      </w:pPr>
      <w:r w:rsidRPr="00A06A6E">
        <w:t xml:space="preserve">Profitability reflects a company’s ability to generate profit through the effective </w:t>
      </w:r>
      <w:proofErr w:type="spellStart"/>
      <w:r w:rsidRPr="00A06A6E">
        <w:t>utilisation</w:t>
      </w:r>
      <w:proofErr w:type="spellEnd"/>
      <w:r w:rsidRPr="00A06A6E">
        <w:t xml:space="preserve"> of assets, capital, and operations. A high level of profitability indicates strong financial performance and greater financial capacity to support operational activities and sustainability initiatives. In the context of sustainability reporting, companies with higher profitability tend to have sufficient resources to implement environmental management, energy-efficiency, carbon-emission-reduction, and social-responsibility </w:t>
      </w:r>
      <w:proofErr w:type="spellStart"/>
      <w:r w:rsidRPr="00A06A6E">
        <w:t>programmes</w:t>
      </w:r>
      <w:proofErr w:type="spellEnd"/>
      <w:r w:rsidRPr="00A06A6E">
        <w:t>, as well as comprehensive reporting practices. Moreover, highly profitable companies generally face greater stakeholder pressure to demonstrate accountability for the profits they generate. Therefore, they may disclose sustainability information as a form of transparency and accountability towards stakeholders.</w:t>
      </w:r>
    </w:p>
    <w:p w14:paraId="6DCEC6E3" w14:textId="77777777" w:rsidR="00C137F8" w:rsidRPr="00A06A6E" w:rsidRDefault="00000000">
      <w:pPr>
        <w:pStyle w:val="BodyText"/>
        <w:ind w:left="628" w:right="247" w:firstLine="720"/>
        <w:jc w:val="both"/>
      </w:pPr>
      <w:r w:rsidRPr="00A06A6E">
        <w:t>Based on stakeholder theory, companies are required to fulfil stakeholders’ information needs not only regarding financial performance but also regarding environmental and social responsibilities. Companies with higher profitability are more likely to disclose broader sustainability information because they possess adequate financial resources to meet stakeholder expectations through sustainability activities and sustainability reporting practices. Meanwhile, legitimacy theory explains that companies with strong profitability tend to maintain social legitimacy by demonstrating that the profits earned are not solely used for economic purposes but are also allocated to support environmental and social sustainability. Sustainability reports therefore become an important mechanism for companies to gain and maintain legitimacy from society.</w:t>
      </w:r>
    </w:p>
    <w:p w14:paraId="30B0E33C" w14:textId="77777777" w:rsidR="00C137F8" w:rsidRPr="00A06A6E" w:rsidRDefault="00000000">
      <w:pPr>
        <w:pStyle w:val="BodyText"/>
        <w:ind w:left="628" w:right="248" w:firstLine="720"/>
        <w:jc w:val="both"/>
      </w:pPr>
      <w:r w:rsidRPr="00A06A6E">
        <w:t>Empirically, Thomas et al. (2020) found that profitability positively influences sustainability report disclosure because more profitable companies have greater capacity to finance sustainability activities and related disclosures. Similarly, Ramadhan et al. (2023) found that profitability significantly affects sustainability report disclosure, indicating that companies with higher profits tend to improve sustainability transparency to maintain their reputation among stakeholders.</w:t>
      </w:r>
    </w:p>
    <w:p w14:paraId="0D0A3683" w14:textId="77777777" w:rsidR="00C137F8" w:rsidRPr="00A06A6E" w:rsidRDefault="00000000">
      <w:pPr>
        <w:pStyle w:val="BodyText"/>
        <w:ind w:left="628" w:right="248"/>
        <w:jc w:val="both"/>
      </w:pPr>
      <w:r w:rsidRPr="00A06A6E">
        <w:t xml:space="preserve">Furthermore, </w:t>
      </w:r>
      <w:proofErr w:type="spellStart"/>
      <w:r w:rsidRPr="00A06A6E">
        <w:t>Ulfa</w:t>
      </w:r>
      <w:proofErr w:type="spellEnd"/>
      <w:r w:rsidRPr="00A06A6E">
        <w:t xml:space="preserve"> et al. (2025) found that profitability positively affects sustainability report disclosure in Indonesian food and beverage companies. These findings suggest that companies with higher profitability may disclose sustainability information more extensively than companies with lower profitability. Based on the preceding theoretical and empirical discussion, the hypothesis is formulated as follows:</w:t>
      </w:r>
    </w:p>
    <w:p w14:paraId="5BD9FE87" w14:textId="77777777" w:rsidR="00C137F8" w:rsidRPr="00A06A6E" w:rsidRDefault="00C137F8">
      <w:pPr>
        <w:pStyle w:val="BodyText"/>
      </w:pPr>
    </w:p>
    <w:p w14:paraId="5506710F" w14:textId="77777777" w:rsidR="00C137F8" w:rsidRPr="00A06A6E" w:rsidRDefault="00000000">
      <w:pPr>
        <w:pStyle w:val="BodyText"/>
        <w:ind w:left="1054" w:hanging="426"/>
      </w:pPr>
      <w:r w:rsidRPr="00A06A6E">
        <w:t>H1:</w:t>
      </w:r>
      <w:r w:rsidRPr="00A06A6E">
        <w:rPr>
          <w:spacing w:val="-16"/>
        </w:rPr>
        <w:t xml:space="preserve"> </w:t>
      </w:r>
      <w:r w:rsidRPr="00A06A6E">
        <w:t>Profitability</w:t>
      </w:r>
      <w:r w:rsidRPr="00A06A6E">
        <w:rPr>
          <w:spacing w:val="-15"/>
        </w:rPr>
        <w:t xml:space="preserve"> </w:t>
      </w:r>
      <w:r w:rsidRPr="00A06A6E">
        <w:t>has</w:t>
      </w:r>
      <w:r w:rsidRPr="00A06A6E">
        <w:rPr>
          <w:spacing w:val="-15"/>
        </w:rPr>
        <w:t xml:space="preserve"> </w:t>
      </w:r>
      <w:r w:rsidRPr="00A06A6E">
        <w:t>a</w:t>
      </w:r>
      <w:r w:rsidRPr="00A06A6E">
        <w:rPr>
          <w:spacing w:val="-16"/>
        </w:rPr>
        <w:t xml:space="preserve"> </w:t>
      </w:r>
      <w:r w:rsidRPr="00A06A6E">
        <w:t>positive</w:t>
      </w:r>
      <w:r w:rsidRPr="00A06A6E">
        <w:rPr>
          <w:spacing w:val="-15"/>
        </w:rPr>
        <w:t xml:space="preserve"> </w:t>
      </w:r>
      <w:r w:rsidRPr="00A06A6E">
        <w:t>influence</w:t>
      </w:r>
      <w:r w:rsidRPr="00A06A6E">
        <w:rPr>
          <w:spacing w:val="-15"/>
        </w:rPr>
        <w:t xml:space="preserve"> </w:t>
      </w:r>
      <w:r w:rsidRPr="00A06A6E">
        <w:t>on</w:t>
      </w:r>
      <w:r w:rsidRPr="00A06A6E">
        <w:rPr>
          <w:spacing w:val="-15"/>
        </w:rPr>
        <w:t xml:space="preserve"> </w:t>
      </w:r>
      <w:r w:rsidRPr="00A06A6E">
        <w:t>Sustainability</w:t>
      </w:r>
      <w:r w:rsidRPr="00A06A6E">
        <w:rPr>
          <w:spacing w:val="-16"/>
        </w:rPr>
        <w:t xml:space="preserve"> </w:t>
      </w:r>
      <w:r w:rsidRPr="00A06A6E">
        <w:t>Report</w:t>
      </w:r>
      <w:r w:rsidRPr="00A06A6E">
        <w:rPr>
          <w:spacing w:val="-15"/>
        </w:rPr>
        <w:t xml:space="preserve"> </w:t>
      </w:r>
      <w:r w:rsidRPr="00A06A6E">
        <w:t>Disclosure</w:t>
      </w:r>
      <w:r w:rsidRPr="00A06A6E">
        <w:rPr>
          <w:spacing w:val="-15"/>
        </w:rPr>
        <w:t xml:space="preserve"> </w:t>
      </w:r>
      <w:r w:rsidRPr="00A06A6E">
        <w:t>in</w:t>
      </w:r>
      <w:r w:rsidRPr="00A06A6E">
        <w:rPr>
          <w:spacing w:val="-16"/>
        </w:rPr>
        <w:t xml:space="preserve"> </w:t>
      </w:r>
      <w:r w:rsidRPr="00A06A6E">
        <w:t>manufacturing companies listed on the Indonesia Stock Exchange.</w:t>
      </w:r>
    </w:p>
    <w:p w14:paraId="732C3B7D" w14:textId="77777777" w:rsidR="00C137F8" w:rsidRPr="00A06A6E" w:rsidRDefault="00C137F8">
      <w:pPr>
        <w:pStyle w:val="BodyText"/>
        <w:sectPr w:rsidR="00C137F8" w:rsidRPr="00A06A6E">
          <w:pgSz w:w="12240" w:h="15840"/>
          <w:pgMar w:top="800" w:right="1440" w:bottom="280" w:left="1080" w:header="44" w:footer="0" w:gutter="0"/>
          <w:cols w:space="720"/>
        </w:sectPr>
      </w:pPr>
    </w:p>
    <w:p w14:paraId="02F331F6" w14:textId="77777777" w:rsidR="00C137F8" w:rsidRPr="00A06A6E" w:rsidRDefault="00C137F8">
      <w:pPr>
        <w:pStyle w:val="BodyText"/>
      </w:pPr>
    </w:p>
    <w:p w14:paraId="46D04E1C" w14:textId="77777777" w:rsidR="00C137F8" w:rsidRPr="00A06A6E" w:rsidRDefault="00C137F8">
      <w:pPr>
        <w:pStyle w:val="BodyText"/>
      </w:pPr>
    </w:p>
    <w:p w14:paraId="4051544D" w14:textId="77777777" w:rsidR="00C137F8" w:rsidRPr="00A06A6E" w:rsidRDefault="00C137F8">
      <w:pPr>
        <w:pStyle w:val="BodyText"/>
        <w:spacing w:before="137"/>
      </w:pPr>
    </w:p>
    <w:p w14:paraId="0B1BED6F" w14:textId="77777777" w:rsidR="00C137F8" w:rsidRPr="00A06A6E" w:rsidRDefault="00000000">
      <w:pPr>
        <w:pStyle w:val="Heading2"/>
        <w:jc w:val="both"/>
      </w:pPr>
      <w:r w:rsidRPr="00A06A6E">
        <w:t>H2:</w:t>
      </w:r>
      <w:r w:rsidRPr="00A06A6E">
        <w:rPr>
          <w:spacing w:val="-6"/>
        </w:rPr>
        <w:t xml:space="preserve"> </w:t>
      </w:r>
      <w:r w:rsidRPr="00A06A6E">
        <w:t>The</w:t>
      </w:r>
      <w:r w:rsidRPr="00A06A6E">
        <w:rPr>
          <w:spacing w:val="-6"/>
        </w:rPr>
        <w:t xml:space="preserve"> </w:t>
      </w:r>
      <w:r w:rsidRPr="00A06A6E">
        <w:t>Influence</w:t>
      </w:r>
      <w:r w:rsidRPr="00A06A6E">
        <w:rPr>
          <w:spacing w:val="-6"/>
        </w:rPr>
        <w:t xml:space="preserve"> </w:t>
      </w:r>
      <w:r w:rsidRPr="00A06A6E">
        <w:t>of</w:t>
      </w:r>
      <w:r w:rsidRPr="00A06A6E">
        <w:rPr>
          <w:spacing w:val="-6"/>
        </w:rPr>
        <w:t xml:space="preserve"> </w:t>
      </w:r>
      <w:r w:rsidRPr="00A06A6E">
        <w:t>Leverage</w:t>
      </w:r>
      <w:r w:rsidRPr="00A06A6E">
        <w:rPr>
          <w:spacing w:val="-6"/>
        </w:rPr>
        <w:t xml:space="preserve"> </w:t>
      </w:r>
      <w:r w:rsidRPr="00A06A6E">
        <w:t>on</w:t>
      </w:r>
      <w:r w:rsidRPr="00A06A6E">
        <w:rPr>
          <w:spacing w:val="-6"/>
        </w:rPr>
        <w:t xml:space="preserve"> </w:t>
      </w:r>
      <w:r w:rsidRPr="00A06A6E">
        <w:t>Sustainability</w:t>
      </w:r>
      <w:r w:rsidRPr="00A06A6E">
        <w:rPr>
          <w:spacing w:val="-6"/>
        </w:rPr>
        <w:t xml:space="preserve"> </w:t>
      </w:r>
      <w:r w:rsidRPr="00A06A6E">
        <w:t>Report</w:t>
      </w:r>
      <w:r w:rsidRPr="00A06A6E">
        <w:rPr>
          <w:spacing w:val="-5"/>
        </w:rPr>
        <w:t xml:space="preserve"> </w:t>
      </w:r>
      <w:r w:rsidRPr="00A06A6E">
        <w:rPr>
          <w:spacing w:val="-2"/>
        </w:rPr>
        <w:t>Disclosure</w:t>
      </w:r>
    </w:p>
    <w:p w14:paraId="49707E89" w14:textId="77777777" w:rsidR="00C137F8" w:rsidRPr="00A06A6E" w:rsidRDefault="00000000">
      <w:pPr>
        <w:pStyle w:val="BodyText"/>
        <w:spacing w:before="251"/>
        <w:ind w:left="628" w:right="245"/>
        <w:jc w:val="both"/>
      </w:pPr>
      <w:r w:rsidRPr="00A06A6E">
        <w:t xml:space="preserve">Leverage reflects the extent to which a company </w:t>
      </w:r>
      <w:proofErr w:type="spellStart"/>
      <w:r w:rsidRPr="00A06A6E">
        <w:t>utilises</w:t>
      </w:r>
      <w:proofErr w:type="spellEnd"/>
      <w:r w:rsidRPr="00A06A6E">
        <w:t xml:space="preserve"> debt to finance its operational and investment activities. Companies with high leverage generally face greater pressure from creditors and investors because higher debt levels increase financial risk and the possibility of default. Consequently, companies with higher leverage are expected to provide more transparent information regarding their financial and non-financial performance, including sustainability-related information. In the context of sustainability reporting, leverage is closely associated with corporate accountability and transparency towards stakeholders. Companies with higher debt levels tend to disclose broader sustainability information in order to reduce information asymmetry between management and creditors, increase stakeholder confidence, and maintain corporate reputation.</w:t>
      </w:r>
    </w:p>
    <w:p w14:paraId="7BB324FC" w14:textId="77777777" w:rsidR="00C137F8" w:rsidRPr="00A06A6E" w:rsidRDefault="00000000">
      <w:pPr>
        <w:pStyle w:val="BodyText"/>
        <w:spacing w:before="5"/>
        <w:ind w:left="628" w:right="245" w:firstLine="720"/>
        <w:jc w:val="both"/>
      </w:pPr>
      <w:r w:rsidRPr="00A06A6E">
        <w:t>Based on stakeholder theory, companies are required to fulfil the information needs of stakeholders, including creditors and investors. Creditors are increasingly concerned not only with financial performance but also with environmental, social, and governance (ESG) risks that may affect the company’s long-term sustainability and ability to repay obligations. Therefore, companies with high leverage tend to disclose sustainability reports more extensively to demonstrate accountability and strengthen stakeholder trust. Meanwhile, legitimacy theory explains that companies with high leverage may experience greater legitimacy pressure from external parties because creditors and investors demand transparency regarding the company’s sustainability practices and risk management. Sustainability report disclosure is therefore used as a legitimacy mechanism to assure stakeholders that the company operates responsibly and is capable of maintaining long-term business sustainability despite having significant debt obligations.</w:t>
      </w:r>
    </w:p>
    <w:p w14:paraId="229EC1DF" w14:textId="77777777" w:rsidR="00C137F8" w:rsidRPr="00A06A6E" w:rsidRDefault="00000000">
      <w:pPr>
        <w:pStyle w:val="BodyText"/>
        <w:ind w:left="628" w:right="250" w:firstLine="720"/>
        <w:jc w:val="both"/>
      </w:pPr>
      <w:r w:rsidRPr="00A06A6E">
        <w:t>Empirically, Thomas et al. (2020) found that leverage positively influences sustainability report disclosure because companies with higher leverage levels tend to provide broader sustainability information to reduce stakeholder concerns regarding corporate risk. Similarly, Sonia and Khafid (2020) found that leverage affects sustainability reporting practices due to increasing pressure from creditors and investors for greater corporate transparency.</w:t>
      </w:r>
    </w:p>
    <w:p w14:paraId="3F805843" w14:textId="77777777" w:rsidR="00C137F8" w:rsidRPr="00A06A6E" w:rsidRDefault="00000000">
      <w:pPr>
        <w:pStyle w:val="BodyText"/>
        <w:ind w:left="628" w:right="246" w:firstLine="720"/>
        <w:jc w:val="both"/>
      </w:pPr>
      <w:r w:rsidRPr="00A06A6E">
        <w:t xml:space="preserve">However, several previous studies reported inconsistent findings regarding the relationship between leverage and sustainability report disclosure. </w:t>
      </w:r>
      <w:proofErr w:type="spellStart"/>
      <w:r w:rsidRPr="00A06A6E">
        <w:t>Nioko</w:t>
      </w:r>
      <w:proofErr w:type="spellEnd"/>
      <w:r w:rsidRPr="00A06A6E">
        <w:t xml:space="preserve"> and </w:t>
      </w:r>
      <w:proofErr w:type="spellStart"/>
      <w:r w:rsidRPr="00A06A6E">
        <w:t>Hendrani</w:t>
      </w:r>
      <w:proofErr w:type="spellEnd"/>
      <w:r w:rsidRPr="00A06A6E">
        <w:t xml:space="preserve"> (2024) found that leverage negatively affects sustainability report disclosure because highly leveraged companies tend to </w:t>
      </w:r>
      <w:proofErr w:type="spellStart"/>
      <w:r w:rsidRPr="00A06A6E">
        <w:t>prioritise</w:t>
      </w:r>
      <w:proofErr w:type="spellEnd"/>
      <w:r w:rsidRPr="00A06A6E">
        <w:t xml:space="preserve"> financial stability rather than sustainability disclosure activities. These inconsistent findings indicate that the relationship between leverage and sustainability reporting remains an important issue requiring further investigation. Based on the theoretical explanation and previous empirical findings, it can be concluded that leverage may influence the extent of sustainability report disclosure conducted by companies. Based on the hypothesis development above, the hypothesis in this study is formulated as follows:</w:t>
      </w:r>
    </w:p>
    <w:p w14:paraId="39C6CA6C" w14:textId="77777777" w:rsidR="00C137F8" w:rsidRPr="00A06A6E" w:rsidRDefault="00000000">
      <w:pPr>
        <w:pStyle w:val="BodyText"/>
        <w:spacing w:before="251"/>
        <w:ind w:left="1054" w:hanging="426"/>
      </w:pPr>
      <w:r w:rsidRPr="00A06A6E">
        <w:t>H2:</w:t>
      </w:r>
      <w:r w:rsidRPr="00A06A6E">
        <w:rPr>
          <w:spacing w:val="-3"/>
        </w:rPr>
        <w:t xml:space="preserve"> </w:t>
      </w:r>
      <w:r w:rsidRPr="00A06A6E">
        <w:t>Leverage</w:t>
      </w:r>
      <w:r w:rsidRPr="00A06A6E">
        <w:rPr>
          <w:spacing w:val="-3"/>
        </w:rPr>
        <w:t xml:space="preserve"> </w:t>
      </w:r>
      <w:r w:rsidRPr="00A06A6E">
        <w:t>has</w:t>
      </w:r>
      <w:r w:rsidRPr="00A06A6E">
        <w:rPr>
          <w:spacing w:val="-3"/>
        </w:rPr>
        <w:t xml:space="preserve"> </w:t>
      </w:r>
      <w:r w:rsidRPr="00A06A6E">
        <w:t>a</w:t>
      </w:r>
      <w:r w:rsidRPr="00A06A6E">
        <w:rPr>
          <w:spacing w:val="-3"/>
        </w:rPr>
        <w:t xml:space="preserve"> </w:t>
      </w:r>
      <w:r w:rsidRPr="00A06A6E">
        <w:t>positive</w:t>
      </w:r>
      <w:r w:rsidRPr="00A06A6E">
        <w:rPr>
          <w:spacing w:val="-3"/>
        </w:rPr>
        <w:t xml:space="preserve"> </w:t>
      </w:r>
      <w:r w:rsidRPr="00A06A6E">
        <w:t>influence</w:t>
      </w:r>
      <w:r w:rsidRPr="00A06A6E">
        <w:rPr>
          <w:spacing w:val="-3"/>
        </w:rPr>
        <w:t xml:space="preserve"> </w:t>
      </w:r>
      <w:r w:rsidRPr="00A06A6E">
        <w:t>on</w:t>
      </w:r>
      <w:r w:rsidRPr="00A06A6E">
        <w:rPr>
          <w:spacing w:val="-3"/>
        </w:rPr>
        <w:t xml:space="preserve"> </w:t>
      </w:r>
      <w:r w:rsidRPr="00A06A6E">
        <w:t>Sustainability</w:t>
      </w:r>
      <w:r w:rsidRPr="00A06A6E">
        <w:rPr>
          <w:spacing w:val="-3"/>
        </w:rPr>
        <w:t xml:space="preserve"> </w:t>
      </w:r>
      <w:r w:rsidRPr="00A06A6E">
        <w:t>Report</w:t>
      </w:r>
      <w:r w:rsidRPr="00A06A6E">
        <w:rPr>
          <w:spacing w:val="-3"/>
        </w:rPr>
        <w:t xml:space="preserve"> </w:t>
      </w:r>
      <w:r w:rsidRPr="00A06A6E">
        <w:t>Disclosure</w:t>
      </w:r>
      <w:r w:rsidRPr="00A06A6E">
        <w:rPr>
          <w:spacing w:val="-3"/>
        </w:rPr>
        <w:t xml:space="preserve"> </w:t>
      </w:r>
      <w:r w:rsidRPr="00A06A6E">
        <w:t>in</w:t>
      </w:r>
      <w:r w:rsidRPr="00A06A6E">
        <w:rPr>
          <w:spacing w:val="-3"/>
        </w:rPr>
        <w:t xml:space="preserve"> </w:t>
      </w:r>
      <w:r w:rsidRPr="00A06A6E">
        <w:t>manufacturing companies listed on the Indonesia Stock Exchange.</w:t>
      </w:r>
    </w:p>
    <w:p w14:paraId="1A506109" w14:textId="77777777" w:rsidR="00C137F8" w:rsidRPr="00A06A6E" w:rsidRDefault="00000000">
      <w:pPr>
        <w:spacing w:before="252"/>
        <w:ind w:left="628"/>
        <w:jc w:val="both"/>
        <w:rPr>
          <w:rFonts w:ascii="Arial"/>
          <w:b/>
          <w:i/>
        </w:rPr>
      </w:pPr>
      <w:r w:rsidRPr="00A06A6E">
        <w:rPr>
          <w:rFonts w:ascii="Arial"/>
          <w:b/>
        </w:rPr>
        <w:t>H3:</w:t>
      </w:r>
      <w:r w:rsidRPr="00A06A6E">
        <w:rPr>
          <w:rFonts w:ascii="Arial"/>
          <w:b/>
          <w:spacing w:val="-16"/>
        </w:rPr>
        <w:t xml:space="preserve"> </w:t>
      </w:r>
      <w:r w:rsidRPr="00A06A6E">
        <w:rPr>
          <w:rFonts w:ascii="Arial"/>
          <w:b/>
        </w:rPr>
        <w:t>The</w:t>
      </w:r>
      <w:r w:rsidRPr="00A06A6E">
        <w:rPr>
          <w:rFonts w:ascii="Arial"/>
          <w:b/>
          <w:spacing w:val="-15"/>
        </w:rPr>
        <w:t xml:space="preserve"> </w:t>
      </w:r>
      <w:r w:rsidRPr="00A06A6E">
        <w:rPr>
          <w:rFonts w:ascii="Arial"/>
          <w:b/>
        </w:rPr>
        <w:t>Influence</w:t>
      </w:r>
      <w:r w:rsidRPr="00A06A6E">
        <w:rPr>
          <w:rFonts w:ascii="Arial"/>
          <w:b/>
          <w:spacing w:val="-15"/>
        </w:rPr>
        <w:t xml:space="preserve"> </w:t>
      </w:r>
      <w:r w:rsidRPr="00A06A6E">
        <w:rPr>
          <w:rFonts w:ascii="Arial"/>
          <w:b/>
        </w:rPr>
        <w:t>of</w:t>
      </w:r>
      <w:r w:rsidRPr="00A06A6E">
        <w:rPr>
          <w:rFonts w:ascii="Arial"/>
          <w:b/>
          <w:spacing w:val="-16"/>
        </w:rPr>
        <w:t xml:space="preserve"> </w:t>
      </w:r>
      <w:r w:rsidRPr="00A06A6E">
        <w:rPr>
          <w:rFonts w:ascii="Arial"/>
          <w:b/>
        </w:rPr>
        <w:t>Company</w:t>
      </w:r>
      <w:r w:rsidRPr="00A06A6E">
        <w:rPr>
          <w:rFonts w:ascii="Arial"/>
          <w:b/>
          <w:spacing w:val="-15"/>
        </w:rPr>
        <w:t xml:space="preserve"> </w:t>
      </w:r>
      <w:r w:rsidRPr="00A06A6E">
        <w:rPr>
          <w:rFonts w:ascii="Arial"/>
          <w:b/>
        </w:rPr>
        <w:t>Activities</w:t>
      </w:r>
      <w:r w:rsidRPr="00A06A6E">
        <w:rPr>
          <w:rFonts w:ascii="Arial"/>
          <w:b/>
          <w:spacing w:val="-15"/>
        </w:rPr>
        <w:t xml:space="preserve"> </w:t>
      </w:r>
      <w:r w:rsidRPr="00A06A6E">
        <w:rPr>
          <w:rFonts w:ascii="Arial"/>
          <w:b/>
        </w:rPr>
        <w:t>on</w:t>
      </w:r>
      <w:r w:rsidRPr="00A06A6E">
        <w:rPr>
          <w:rFonts w:ascii="Arial"/>
          <w:b/>
          <w:spacing w:val="-15"/>
        </w:rPr>
        <w:t xml:space="preserve"> </w:t>
      </w:r>
      <w:r w:rsidRPr="00A06A6E">
        <w:rPr>
          <w:rFonts w:ascii="Arial"/>
          <w:b/>
          <w:i/>
        </w:rPr>
        <w:t>Sustainability</w:t>
      </w:r>
      <w:r w:rsidRPr="00A06A6E">
        <w:rPr>
          <w:rFonts w:ascii="Arial"/>
          <w:b/>
          <w:i/>
          <w:spacing w:val="-15"/>
        </w:rPr>
        <w:t xml:space="preserve"> </w:t>
      </w:r>
      <w:r w:rsidRPr="00A06A6E">
        <w:rPr>
          <w:rFonts w:ascii="Arial"/>
          <w:b/>
          <w:i/>
          <w:spacing w:val="7"/>
        </w:rPr>
        <w:t>Report</w:t>
      </w:r>
      <w:r w:rsidRPr="00A06A6E">
        <w:rPr>
          <w:rFonts w:ascii="Arial"/>
          <w:b/>
          <w:i/>
          <w:spacing w:val="-13"/>
        </w:rPr>
        <w:t xml:space="preserve"> </w:t>
      </w:r>
      <w:r w:rsidRPr="00A06A6E">
        <w:rPr>
          <w:rFonts w:ascii="Arial"/>
          <w:b/>
          <w:i/>
          <w:spacing w:val="-2"/>
        </w:rPr>
        <w:t>Disclosure</w:t>
      </w:r>
    </w:p>
    <w:p w14:paraId="18A75AE8" w14:textId="77777777" w:rsidR="00C137F8" w:rsidRPr="00A06A6E" w:rsidRDefault="00000000">
      <w:pPr>
        <w:pStyle w:val="BodyText"/>
        <w:spacing w:before="2"/>
        <w:ind w:left="628" w:right="251" w:firstLine="720"/>
        <w:jc w:val="both"/>
      </w:pPr>
      <w:r w:rsidRPr="00A06A6E">
        <w:t xml:space="preserve">Company activities reflect the company’s operational effectiveness in </w:t>
      </w:r>
      <w:proofErr w:type="spellStart"/>
      <w:r w:rsidRPr="00A06A6E">
        <w:t>utilising</w:t>
      </w:r>
      <w:proofErr w:type="spellEnd"/>
      <w:r w:rsidRPr="00A06A6E">
        <w:t xml:space="preserve"> its assets to generate sales and support business performance. Company activities are commonly measured using activity ratios, which indicate how efficiently a company manages and </w:t>
      </w:r>
      <w:proofErr w:type="spellStart"/>
      <w:r w:rsidRPr="00A06A6E">
        <w:t>utilises</w:t>
      </w:r>
      <w:proofErr w:type="spellEnd"/>
      <w:r w:rsidRPr="00A06A6E">
        <w:t xml:space="preserve"> its resources in carrying out operational activities.</w:t>
      </w:r>
    </w:p>
    <w:p w14:paraId="67573871"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181D2FCE" w14:textId="77777777" w:rsidR="00C137F8" w:rsidRPr="00A06A6E" w:rsidRDefault="00C137F8">
      <w:pPr>
        <w:pStyle w:val="BodyText"/>
      </w:pPr>
    </w:p>
    <w:p w14:paraId="32BFA2C4" w14:textId="77777777" w:rsidR="00C137F8" w:rsidRPr="00A06A6E" w:rsidRDefault="00C137F8">
      <w:pPr>
        <w:pStyle w:val="BodyText"/>
      </w:pPr>
    </w:p>
    <w:p w14:paraId="7CD40421" w14:textId="77777777" w:rsidR="00C137F8" w:rsidRPr="00A06A6E" w:rsidRDefault="00C137F8">
      <w:pPr>
        <w:pStyle w:val="BodyText"/>
        <w:spacing w:before="137"/>
      </w:pPr>
    </w:p>
    <w:p w14:paraId="6CAF5867" w14:textId="77777777" w:rsidR="00C137F8" w:rsidRPr="00A06A6E" w:rsidRDefault="00000000">
      <w:pPr>
        <w:pStyle w:val="BodyText"/>
        <w:ind w:left="628" w:right="246"/>
        <w:jc w:val="both"/>
      </w:pPr>
      <w:r w:rsidRPr="00A06A6E">
        <w:t>Companies with higher operational activities generally have broader business operations, greater</w:t>
      </w:r>
      <w:r w:rsidRPr="00A06A6E">
        <w:rPr>
          <w:spacing w:val="-10"/>
        </w:rPr>
        <w:t xml:space="preserve"> </w:t>
      </w:r>
      <w:r w:rsidRPr="00A06A6E">
        <w:t>stakeholder</w:t>
      </w:r>
      <w:r w:rsidRPr="00A06A6E">
        <w:rPr>
          <w:spacing w:val="-10"/>
        </w:rPr>
        <w:t xml:space="preserve"> </w:t>
      </w:r>
      <w:r w:rsidRPr="00A06A6E">
        <w:t>exposure,</w:t>
      </w:r>
      <w:r w:rsidRPr="00A06A6E">
        <w:rPr>
          <w:spacing w:val="-10"/>
        </w:rPr>
        <w:t xml:space="preserve"> </w:t>
      </w:r>
      <w:r w:rsidRPr="00A06A6E">
        <w:t>and</w:t>
      </w:r>
      <w:r w:rsidRPr="00A06A6E">
        <w:rPr>
          <w:spacing w:val="-10"/>
        </w:rPr>
        <w:t xml:space="preserve"> </w:t>
      </w:r>
      <w:r w:rsidRPr="00A06A6E">
        <w:t>higher</w:t>
      </w:r>
      <w:r w:rsidRPr="00A06A6E">
        <w:rPr>
          <w:spacing w:val="-10"/>
        </w:rPr>
        <w:t xml:space="preserve"> </w:t>
      </w:r>
      <w:r w:rsidRPr="00A06A6E">
        <w:t>public</w:t>
      </w:r>
      <w:r w:rsidRPr="00A06A6E">
        <w:rPr>
          <w:spacing w:val="-10"/>
        </w:rPr>
        <w:t xml:space="preserve"> </w:t>
      </w:r>
      <w:r w:rsidRPr="00A06A6E">
        <w:t>visibility.</w:t>
      </w:r>
      <w:r w:rsidRPr="00A06A6E">
        <w:rPr>
          <w:spacing w:val="-10"/>
        </w:rPr>
        <w:t xml:space="preserve"> </w:t>
      </w:r>
      <w:r w:rsidRPr="00A06A6E">
        <w:t>As</w:t>
      </w:r>
      <w:r w:rsidRPr="00A06A6E">
        <w:rPr>
          <w:spacing w:val="-10"/>
        </w:rPr>
        <w:t xml:space="preserve"> </w:t>
      </w:r>
      <w:r w:rsidRPr="00A06A6E">
        <w:t>a</w:t>
      </w:r>
      <w:r w:rsidRPr="00A06A6E">
        <w:rPr>
          <w:spacing w:val="-10"/>
        </w:rPr>
        <w:t xml:space="preserve"> </w:t>
      </w:r>
      <w:r w:rsidRPr="00A06A6E">
        <w:t>result,</w:t>
      </w:r>
      <w:r w:rsidRPr="00A06A6E">
        <w:rPr>
          <w:spacing w:val="-10"/>
        </w:rPr>
        <w:t xml:space="preserve"> </w:t>
      </w:r>
      <w:r w:rsidRPr="00A06A6E">
        <w:t>these</w:t>
      </w:r>
      <w:r w:rsidRPr="00A06A6E">
        <w:rPr>
          <w:spacing w:val="-10"/>
        </w:rPr>
        <w:t xml:space="preserve"> </w:t>
      </w:r>
      <w:r w:rsidRPr="00A06A6E">
        <w:t>companies</w:t>
      </w:r>
      <w:r w:rsidRPr="00A06A6E">
        <w:rPr>
          <w:spacing w:val="-10"/>
        </w:rPr>
        <w:t xml:space="preserve"> </w:t>
      </w:r>
      <w:r w:rsidRPr="00A06A6E">
        <w:t>tend to face stronger pressure from stakeholders and society regarding transparency and accountability,</w:t>
      </w:r>
      <w:r w:rsidRPr="00A06A6E">
        <w:rPr>
          <w:spacing w:val="-5"/>
        </w:rPr>
        <w:t xml:space="preserve"> </w:t>
      </w:r>
      <w:r w:rsidRPr="00A06A6E">
        <w:t>including</w:t>
      </w:r>
      <w:r w:rsidRPr="00A06A6E">
        <w:rPr>
          <w:spacing w:val="-6"/>
        </w:rPr>
        <w:t xml:space="preserve"> </w:t>
      </w:r>
      <w:r w:rsidRPr="00A06A6E">
        <w:t>disclosure</w:t>
      </w:r>
      <w:r w:rsidRPr="00A06A6E">
        <w:rPr>
          <w:spacing w:val="-6"/>
        </w:rPr>
        <w:t xml:space="preserve"> </w:t>
      </w:r>
      <w:r w:rsidRPr="00A06A6E">
        <w:t>related</w:t>
      </w:r>
      <w:r w:rsidRPr="00A06A6E">
        <w:rPr>
          <w:spacing w:val="-6"/>
        </w:rPr>
        <w:t xml:space="preserve"> </w:t>
      </w:r>
      <w:r w:rsidRPr="00A06A6E">
        <w:t>to</w:t>
      </w:r>
      <w:r w:rsidRPr="00A06A6E">
        <w:rPr>
          <w:spacing w:val="-6"/>
        </w:rPr>
        <w:t xml:space="preserve"> </w:t>
      </w:r>
      <w:r w:rsidRPr="00A06A6E">
        <w:t>environmental,</w:t>
      </w:r>
      <w:r w:rsidRPr="00A06A6E">
        <w:rPr>
          <w:spacing w:val="-5"/>
        </w:rPr>
        <w:t xml:space="preserve"> </w:t>
      </w:r>
      <w:r w:rsidRPr="00A06A6E">
        <w:t>social,</w:t>
      </w:r>
      <w:r w:rsidRPr="00A06A6E">
        <w:rPr>
          <w:spacing w:val="-5"/>
        </w:rPr>
        <w:t xml:space="preserve"> </w:t>
      </w:r>
      <w:r w:rsidRPr="00A06A6E">
        <w:t>and</w:t>
      </w:r>
      <w:r w:rsidRPr="00A06A6E">
        <w:rPr>
          <w:spacing w:val="-6"/>
        </w:rPr>
        <w:t xml:space="preserve"> </w:t>
      </w:r>
      <w:r w:rsidRPr="00A06A6E">
        <w:t>governance</w:t>
      </w:r>
      <w:r w:rsidRPr="00A06A6E">
        <w:rPr>
          <w:spacing w:val="-6"/>
        </w:rPr>
        <w:t xml:space="preserve"> </w:t>
      </w:r>
      <w:r w:rsidRPr="00A06A6E">
        <w:t xml:space="preserve">(ESG) </w:t>
      </w:r>
      <w:r w:rsidRPr="00A06A6E">
        <w:rPr>
          <w:spacing w:val="-2"/>
        </w:rPr>
        <w:t>practices.</w:t>
      </w:r>
    </w:p>
    <w:p w14:paraId="1DDF4F59" w14:textId="77777777" w:rsidR="00C137F8" w:rsidRPr="00A06A6E" w:rsidRDefault="00000000">
      <w:pPr>
        <w:pStyle w:val="BodyText"/>
        <w:spacing w:before="2"/>
        <w:ind w:left="628" w:right="246" w:firstLine="720"/>
        <w:jc w:val="both"/>
      </w:pPr>
      <w:r w:rsidRPr="00A06A6E">
        <w:t>Based on stakeholder theory introduced by Freeman (1984), companies are expected to fulfil stakeholders’ information needs through transparent disclosure practices. Companies with extensive operational activities interact more intensively with stakeholders such as investors, creditors, customers, suppliers, employees, government, and local communities. Therefore, companies with higher activity levels are more likely to disclose sustainability information more comprehensively in order to maintain stakeholder trust and strengthen corporate reputation. Furthermore, legitimacy theory explains that companies with larger operational activities generally have greater environmental and social impacts. Companies with high operational intensity are more exposed to legitimacy pressure because their business activities are more visible to the public and potentially create environmental and social consequences. Consequently, sustainability report disclosure becomes an important mechanism for companies to demonstrate accountability and maintain legitimacy from society.</w:t>
      </w:r>
    </w:p>
    <w:p w14:paraId="1AF3BA6A" w14:textId="77777777" w:rsidR="00C137F8" w:rsidRPr="00A06A6E" w:rsidRDefault="00000000">
      <w:pPr>
        <w:pStyle w:val="BodyText"/>
        <w:ind w:left="628" w:right="246" w:firstLine="720"/>
        <w:jc w:val="both"/>
      </w:pPr>
      <w:r w:rsidRPr="00A06A6E">
        <w:t xml:space="preserve">Manufacturing companies, as high-profile industries, often face stronger legitimacy pressure because their operational activities involve industrial production, energy consumption, waste generation, carbon emissions, and natural resource </w:t>
      </w:r>
      <w:proofErr w:type="spellStart"/>
      <w:r w:rsidRPr="00A06A6E">
        <w:t>utilisation</w:t>
      </w:r>
      <w:proofErr w:type="spellEnd"/>
      <w:r w:rsidRPr="00A06A6E">
        <w:t>. Therefore, companies with higher operational activities tend to disclose sustainability information more extensively in order to justify their operations and maintain positive relationships with stakeholders.</w:t>
      </w:r>
    </w:p>
    <w:p w14:paraId="13432703" w14:textId="77777777" w:rsidR="00C137F8" w:rsidRPr="00A06A6E" w:rsidRDefault="00000000">
      <w:pPr>
        <w:pStyle w:val="BodyText"/>
        <w:ind w:left="628" w:right="249" w:firstLine="720"/>
        <w:jc w:val="both"/>
      </w:pPr>
      <w:r w:rsidRPr="00A06A6E">
        <w:t xml:space="preserve">Empirically, Damayanty et al. (2022) found that company activities positively influence sustainability report disclosure because companies with effective asset management and extensive operational activities tend to disclose broader sustainability information. Similarly, Haris and </w:t>
      </w:r>
      <w:proofErr w:type="spellStart"/>
      <w:r w:rsidRPr="00A06A6E">
        <w:t>Negoro</w:t>
      </w:r>
      <w:proofErr w:type="spellEnd"/>
      <w:r w:rsidRPr="00A06A6E">
        <w:t xml:space="preserve"> (2021) found that company activities significantly affect sustainability reporting practices due to greater public exposure and stakeholder pressure faced by companies with larger operational activities.</w:t>
      </w:r>
    </w:p>
    <w:p w14:paraId="123C61E7" w14:textId="77777777" w:rsidR="00C137F8" w:rsidRPr="00A06A6E" w:rsidRDefault="00000000">
      <w:pPr>
        <w:pStyle w:val="BodyText"/>
        <w:ind w:left="628" w:right="248"/>
        <w:jc w:val="both"/>
      </w:pPr>
      <w:r w:rsidRPr="00A06A6E">
        <w:t xml:space="preserve">Recent studies also support this relationship. Satria et al. (2023) found that corporate activity positively influences sustainability report disclosure because companies with higher operational intensity tend to improve sustainability transparency to maintain corporate image and legitimacy. </w:t>
      </w:r>
      <w:proofErr w:type="spellStart"/>
      <w:r w:rsidRPr="00A06A6E">
        <w:t>Nioko</w:t>
      </w:r>
      <w:proofErr w:type="spellEnd"/>
      <w:r w:rsidRPr="00A06A6E">
        <w:t xml:space="preserve"> and </w:t>
      </w:r>
      <w:proofErr w:type="spellStart"/>
      <w:r w:rsidRPr="00A06A6E">
        <w:t>Hendrani</w:t>
      </w:r>
      <w:proofErr w:type="spellEnd"/>
      <w:r w:rsidRPr="00A06A6E">
        <w:t xml:space="preserve"> (2024), however, found no significant effect of corporate activity, illustrating the continuing inconsistency of the evidence.</w:t>
      </w:r>
    </w:p>
    <w:p w14:paraId="31849D28" w14:textId="77777777" w:rsidR="00C137F8" w:rsidRPr="00A06A6E" w:rsidRDefault="00000000">
      <w:pPr>
        <w:pStyle w:val="BodyText"/>
        <w:ind w:left="628" w:right="250" w:firstLine="720"/>
        <w:jc w:val="both"/>
      </w:pPr>
      <w:r w:rsidRPr="00A06A6E">
        <w:t xml:space="preserve">Putri and </w:t>
      </w:r>
      <w:proofErr w:type="spellStart"/>
      <w:r w:rsidRPr="00A06A6E">
        <w:t>Marsono</w:t>
      </w:r>
      <w:proofErr w:type="spellEnd"/>
      <w:r w:rsidRPr="00A06A6E">
        <w:t xml:space="preserve"> (2025) showed that companies operating in high-profile industries with extensive activities tend to disclose sustainability information more broadly because of increasing ESG pressure from investors and society. </w:t>
      </w:r>
      <w:proofErr w:type="spellStart"/>
      <w:r w:rsidRPr="00A06A6E">
        <w:t>Eriandani</w:t>
      </w:r>
      <w:proofErr w:type="spellEnd"/>
      <w:r w:rsidRPr="00A06A6E">
        <w:t xml:space="preserve"> and Evangelia (2024) likewise found that operational characteristics and business complexity are relevant to materiality-assessment disclosure among Indonesian listed companies.</w:t>
      </w:r>
    </w:p>
    <w:p w14:paraId="478DD0E3" w14:textId="77777777" w:rsidR="00C137F8" w:rsidRPr="00A06A6E" w:rsidRDefault="00000000">
      <w:pPr>
        <w:pStyle w:val="BodyText"/>
        <w:ind w:left="628" w:right="245"/>
        <w:jc w:val="both"/>
      </w:pPr>
      <w:r w:rsidRPr="00A06A6E">
        <w:t>Based on the theoretical explanation and previous empirical findings, it can be concluded that companies with higher operational activities are more likely to disclose sustainability reports more extensively.</w:t>
      </w:r>
    </w:p>
    <w:p w14:paraId="269367A3" w14:textId="77777777" w:rsidR="00C137F8" w:rsidRPr="00A06A6E" w:rsidRDefault="00000000">
      <w:pPr>
        <w:pStyle w:val="BodyText"/>
        <w:spacing w:before="251"/>
        <w:ind w:left="1054" w:hanging="426"/>
      </w:pPr>
      <w:r w:rsidRPr="00A06A6E">
        <w:t>H3:</w:t>
      </w:r>
      <w:r w:rsidRPr="00A06A6E">
        <w:rPr>
          <w:spacing w:val="31"/>
        </w:rPr>
        <w:t xml:space="preserve"> </w:t>
      </w:r>
      <w:r w:rsidRPr="00A06A6E">
        <w:t>Company</w:t>
      </w:r>
      <w:r w:rsidRPr="00A06A6E">
        <w:rPr>
          <w:spacing w:val="31"/>
        </w:rPr>
        <w:t xml:space="preserve"> </w:t>
      </w:r>
      <w:r w:rsidRPr="00A06A6E">
        <w:t>Activities</w:t>
      </w:r>
      <w:r w:rsidRPr="00A06A6E">
        <w:rPr>
          <w:spacing w:val="31"/>
        </w:rPr>
        <w:t xml:space="preserve"> </w:t>
      </w:r>
      <w:r w:rsidRPr="00A06A6E">
        <w:t>have</w:t>
      </w:r>
      <w:r w:rsidRPr="00A06A6E">
        <w:rPr>
          <w:spacing w:val="31"/>
        </w:rPr>
        <w:t xml:space="preserve"> </w:t>
      </w:r>
      <w:r w:rsidRPr="00A06A6E">
        <w:t>a</w:t>
      </w:r>
      <w:r w:rsidRPr="00A06A6E">
        <w:rPr>
          <w:spacing w:val="31"/>
        </w:rPr>
        <w:t xml:space="preserve"> </w:t>
      </w:r>
      <w:r w:rsidRPr="00A06A6E">
        <w:t>positive</w:t>
      </w:r>
      <w:r w:rsidRPr="00A06A6E">
        <w:rPr>
          <w:spacing w:val="31"/>
        </w:rPr>
        <w:t xml:space="preserve"> </w:t>
      </w:r>
      <w:r w:rsidRPr="00A06A6E">
        <w:t>influence</w:t>
      </w:r>
      <w:r w:rsidRPr="00A06A6E">
        <w:rPr>
          <w:spacing w:val="31"/>
        </w:rPr>
        <w:t xml:space="preserve"> </w:t>
      </w:r>
      <w:r w:rsidRPr="00A06A6E">
        <w:t>on</w:t>
      </w:r>
      <w:r w:rsidRPr="00A06A6E">
        <w:rPr>
          <w:spacing w:val="31"/>
        </w:rPr>
        <w:t xml:space="preserve"> </w:t>
      </w:r>
      <w:r w:rsidRPr="00A06A6E">
        <w:t>Sustainability</w:t>
      </w:r>
      <w:r w:rsidRPr="00A06A6E">
        <w:rPr>
          <w:spacing w:val="31"/>
        </w:rPr>
        <w:t xml:space="preserve"> </w:t>
      </w:r>
      <w:r w:rsidRPr="00A06A6E">
        <w:t>Report</w:t>
      </w:r>
      <w:r w:rsidRPr="00A06A6E">
        <w:rPr>
          <w:spacing w:val="32"/>
        </w:rPr>
        <w:t xml:space="preserve"> </w:t>
      </w:r>
      <w:r w:rsidRPr="00A06A6E">
        <w:t>Disclosure</w:t>
      </w:r>
      <w:r w:rsidRPr="00A06A6E">
        <w:rPr>
          <w:spacing w:val="31"/>
        </w:rPr>
        <w:t xml:space="preserve"> </w:t>
      </w:r>
      <w:r w:rsidRPr="00A06A6E">
        <w:t>in manufacturing companies listed on the Indonesia Stock Exchange.</w:t>
      </w:r>
    </w:p>
    <w:p w14:paraId="7FFBA384" w14:textId="77777777" w:rsidR="00C137F8" w:rsidRPr="00A06A6E" w:rsidRDefault="00C137F8">
      <w:pPr>
        <w:pStyle w:val="BodyText"/>
        <w:sectPr w:rsidR="00C137F8" w:rsidRPr="00A06A6E">
          <w:pgSz w:w="12240" w:h="15840"/>
          <w:pgMar w:top="800" w:right="1440" w:bottom="280" w:left="1080" w:header="44" w:footer="0" w:gutter="0"/>
          <w:cols w:space="720"/>
        </w:sectPr>
      </w:pPr>
    </w:p>
    <w:p w14:paraId="73BCEDD8" w14:textId="77777777" w:rsidR="00C137F8" w:rsidRPr="00A06A6E" w:rsidRDefault="00C137F8">
      <w:pPr>
        <w:pStyle w:val="BodyText"/>
      </w:pPr>
    </w:p>
    <w:p w14:paraId="31FD7114" w14:textId="77777777" w:rsidR="00C137F8" w:rsidRPr="00A06A6E" w:rsidRDefault="00C137F8">
      <w:pPr>
        <w:pStyle w:val="BodyText"/>
      </w:pPr>
    </w:p>
    <w:p w14:paraId="62E7DE9C" w14:textId="77777777" w:rsidR="00C137F8" w:rsidRPr="00A06A6E" w:rsidRDefault="00C137F8">
      <w:pPr>
        <w:pStyle w:val="BodyText"/>
      </w:pPr>
    </w:p>
    <w:p w14:paraId="7453F869" w14:textId="77777777" w:rsidR="00C137F8" w:rsidRPr="00A06A6E" w:rsidRDefault="00C137F8">
      <w:pPr>
        <w:pStyle w:val="BodyText"/>
        <w:spacing w:before="140"/>
      </w:pPr>
    </w:p>
    <w:p w14:paraId="546DCA01" w14:textId="77777777" w:rsidR="00C137F8" w:rsidRPr="00A06A6E" w:rsidRDefault="00000000">
      <w:pPr>
        <w:spacing w:before="1" w:line="237" w:lineRule="auto"/>
        <w:ind w:left="628" w:right="277"/>
        <w:rPr>
          <w:rFonts w:ascii="Arial"/>
          <w:b/>
          <w:i/>
        </w:rPr>
      </w:pPr>
      <w:r w:rsidRPr="00A06A6E">
        <w:rPr>
          <w:rFonts w:ascii="Arial"/>
          <w:b/>
        </w:rPr>
        <w:t>H4:</w:t>
      </w:r>
      <w:r w:rsidRPr="00A06A6E">
        <w:rPr>
          <w:rFonts w:ascii="Arial"/>
          <w:b/>
          <w:spacing w:val="-3"/>
        </w:rPr>
        <w:t xml:space="preserve"> </w:t>
      </w:r>
      <w:r w:rsidRPr="00A06A6E">
        <w:rPr>
          <w:rFonts w:ascii="Arial"/>
          <w:b/>
        </w:rPr>
        <w:t xml:space="preserve">The influence of the Independent Board of Commissioners on </w:t>
      </w:r>
      <w:r w:rsidRPr="00A06A6E">
        <w:rPr>
          <w:rFonts w:ascii="Arial"/>
          <w:b/>
          <w:i/>
        </w:rPr>
        <w:t>Sustainability Report Disclosure</w:t>
      </w:r>
    </w:p>
    <w:p w14:paraId="12EB7DEE" w14:textId="77777777" w:rsidR="00C137F8" w:rsidRPr="00A06A6E" w:rsidRDefault="00000000">
      <w:pPr>
        <w:pStyle w:val="BodyText"/>
        <w:spacing w:before="1"/>
        <w:ind w:left="628" w:right="247" w:firstLine="720"/>
        <w:jc w:val="both"/>
      </w:pPr>
      <w:r w:rsidRPr="00A06A6E">
        <w:t>The Independent Board of Commissioners is an important component of corporate governance that functions to supervise and monitor management performance in order to ensure</w:t>
      </w:r>
      <w:r w:rsidRPr="00A06A6E">
        <w:rPr>
          <w:spacing w:val="-14"/>
        </w:rPr>
        <w:t xml:space="preserve"> </w:t>
      </w:r>
      <w:r w:rsidRPr="00A06A6E">
        <w:t>that</w:t>
      </w:r>
      <w:r w:rsidRPr="00A06A6E">
        <w:rPr>
          <w:spacing w:val="-14"/>
        </w:rPr>
        <w:t xml:space="preserve"> </w:t>
      </w:r>
      <w:r w:rsidRPr="00A06A6E">
        <w:t>corporate</w:t>
      </w:r>
      <w:r w:rsidRPr="00A06A6E">
        <w:rPr>
          <w:spacing w:val="-14"/>
        </w:rPr>
        <w:t xml:space="preserve"> </w:t>
      </w:r>
      <w:r w:rsidRPr="00A06A6E">
        <w:t>activities</w:t>
      </w:r>
      <w:r w:rsidRPr="00A06A6E">
        <w:rPr>
          <w:spacing w:val="-14"/>
        </w:rPr>
        <w:t xml:space="preserve"> </w:t>
      </w:r>
      <w:r w:rsidRPr="00A06A6E">
        <w:t>are</w:t>
      </w:r>
      <w:r w:rsidRPr="00A06A6E">
        <w:rPr>
          <w:spacing w:val="-14"/>
        </w:rPr>
        <w:t xml:space="preserve"> </w:t>
      </w:r>
      <w:r w:rsidRPr="00A06A6E">
        <w:t>conducted</w:t>
      </w:r>
      <w:r w:rsidRPr="00A06A6E">
        <w:rPr>
          <w:spacing w:val="-14"/>
        </w:rPr>
        <w:t xml:space="preserve"> </w:t>
      </w:r>
      <w:r w:rsidRPr="00A06A6E">
        <w:t>transparently,</w:t>
      </w:r>
      <w:r w:rsidRPr="00A06A6E">
        <w:rPr>
          <w:spacing w:val="-14"/>
        </w:rPr>
        <w:t xml:space="preserve"> </w:t>
      </w:r>
      <w:r w:rsidRPr="00A06A6E">
        <w:t>responsibly,</w:t>
      </w:r>
      <w:r w:rsidRPr="00A06A6E">
        <w:rPr>
          <w:spacing w:val="-14"/>
        </w:rPr>
        <w:t xml:space="preserve"> </w:t>
      </w:r>
      <w:r w:rsidRPr="00A06A6E">
        <w:t>and</w:t>
      </w:r>
      <w:r w:rsidRPr="00A06A6E">
        <w:rPr>
          <w:spacing w:val="-14"/>
        </w:rPr>
        <w:t xml:space="preserve"> </w:t>
      </w:r>
      <w:r w:rsidRPr="00A06A6E">
        <w:t>in</w:t>
      </w:r>
      <w:r w:rsidRPr="00A06A6E">
        <w:rPr>
          <w:spacing w:val="-14"/>
        </w:rPr>
        <w:t xml:space="preserve"> </w:t>
      </w:r>
      <w:r w:rsidRPr="00A06A6E">
        <w:t>accordance with stakeholder interests. Independent commissioners are expected to provide objective oversight because they do not have direct affiliations with management, controlling shareholders, or other parties that may create conflicts of interest.</w:t>
      </w:r>
    </w:p>
    <w:p w14:paraId="6F4AC6B6" w14:textId="77777777" w:rsidR="00C137F8" w:rsidRPr="00A06A6E" w:rsidRDefault="00000000">
      <w:pPr>
        <w:pStyle w:val="BodyText"/>
        <w:ind w:left="628" w:right="250"/>
        <w:jc w:val="both"/>
      </w:pPr>
      <w:r w:rsidRPr="00A06A6E">
        <w:t>In the context of sustainability reporting, the Independent Board of Commissioners plays an essential role in encouraging companies to improve transparency and accountability regarding environmental, social, and governance (ESG) practices. Independent commissioners are expected to strengthen monitoring effectiveness and ensure that companies not only focus on financial performance but also fulfil their social and environmental responsibilities.</w:t>
      </w:r>
    </w:p>
    <w:p w14:paraId="22B61740" w14:textId="77777777" w:rsidR="00C137F8" w:rsidRPr="00A06A6E" w:rsidRDefault="00000000">
      <w:pPr>
        <w:pStyle w:val="BodyText"/>
        <w:spacing w:before="2"/>
        <w:ind w:left="628" w:right="246" w:firstLine="720"/>
        <w:jc w:val="both"/>
      </w:pPr>
      <w:r w:rsidRPr="00A06A6E">
        <w:t>Based on stakeholder theory introduced by Freeman (1984), companies are responsible not only to shareholders but also to all stakeholders affected by corporate activities. Stakeholders increasingly demand transparency regarding corporate sustainability practices, including environmental protection, social responsibility, employee welfare, and governance quality. Therefore, the Independent Board of Commissioners is expected to encourage broader sustainability disclosure in order to fulfil stakeholder information needs and maintain stakeholder trust. Furthermore, legitimacy theory explains that companies continuously seek legitimacy from society by ensuring that their operational activities align with social norms, values, and expectations. Companies with stronger governance mechanisms, including independent commissioners, tend to disclose sustainability information more comprehensively in order to maintain legitimacy and corporate reputation. Sustainability report disclosure is therefore viewed as a legitimacy mechanism used to demonstrate corporate accountability regarding environmental and social issues.</w:t>
      </w:r>
    </w:p>
    <w:p w14:paraId="3EA6B1B7" w14:textId="77777777" w:rsidR="00C137F8" w:rsidRPr="00A06A6E" w:rsidRDefault="00000000">
      <w:pPr>
        <w:pStyle w:val="BodyText"/>
        <w:ind w:left="628" w:right="245" w:firstLine="720"/>
        <w:jc w:val="both"/>
      </w:pPr>
      <w:r w:rsidRPr="00A06A6E">
        <w:t xml:space="preserve">Manufacturing companies, as high-profile industries, face stronger legitimacy pressure because their operational activities directly affect environmental sustainability through emissions, industrial waste, energy consumption, and natural resource </w:t>
      </w:r>
      <w:proofErr w:type="spellStart"/>
      <w:r w:rsidRPr="00A06A6E">
        <w:t>utilisation</w:t>
      </w:r>
      <w:proofErr w:type="spellEnd"/>
      <w:r w:rsidRPr="00A06A6E">
        <w:t>. Consequently, independent commissioners are expected to strengthen oversight regarding sustainability practices and encourage companies to disclose sustainability information more extensively.</w:t>
      </w:r>
    </w:p>
    <w:p w14:paraId="1BFC8D8D" w14:textId="77777777" w:rsidR="00C137F8" w:rsidRPr="00A06A6E" w:rsidRDefault="00000000">
      <w:pPr>
        <w:pStyle w:val="BodyText"/>
        <w:ind w:left="628" w:right="249" w:firstLine="720"/>
        <w:jc w:val="both"/>
      </w:pPr>
      <w:r w:rsidRPr="00A06A6E">
        <w:t>Empirically, previous studies support the important role of the Independent Board of Commissioners in sustainability reporting practices. Sonia and Khafid (2020) found that corporate governance mechanisms positively influence sustainability report disclosure because effective monitoring increases transparency and accountability towards stakeholders. Similarly, Ramadhan et al. (2023) found that boards of directors and governance structures significantly influence sustainability reporting practices among Indonesian companies.</w:t>
      </w:r>
    </w:p>
    <w:p w14:paraId="42CF2C6B" w14:textId="77777777" w:rsidR="00C137F8" w:rsidRPr="00A06A6E" w:rsidRDefault="00000000">
      <w:pPr>
        <w:pStyle w:val="BodyText"/>
        <w:ind w:left="628" w:right="245"/>
        <w:jc w:val="both"/>
      </w:pPr>
      <w:r w:rsidRPr="00A06A6E">
        <w:t xml:space="preserve">Recent studies also demonstrate the importance of independent commissioners in sustainability disclosure. </w:t>
      </w:r>
      <w:proofErr w:type="spellStart"/>
      <w:r w:rsidRPr="00A06A6E">
        <w:t>Ulfa</w:t>
      </w:r>
      <w:proofErr w:type="spellEnd"/>
      <w:r w:rsidRPr="00A06A6E">
        <w:t xml:space="preserve"> et al. (2025) found that the independent board of commissioners positively and significantly affects sustainability report disclosure because independent commissioners strengthen oversight and encourage transparency. </w:t>
      </w:r>
      <w:proofErr w:type="spellStart"/>
      <w:r w:rsidRPr="00A06A6E">
        <w:t>Eriandani</w:t>
      </w:r>
      <w:proofErr w:type="spellEnd"/>
      <w:r w:rsidRPr="00A06A6E">
        <w:t xml:space="preserve"> and Evangelia (2024) similarly found that governance mechanisms, including board independence, influence the quality of materiality-assessment disclosure in sustainability reports.</w:t>
      </w:r>
    </w:p>
    <w:p w14:paraId="20E7E8AE"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7BD60C96" w14:textId="77777777" w:rsidR="00C137F8" w:rsidRPr="00A06A6E" w:rsidRDefault="00C137F8">
      <w:pPr>
        <w:pStyle w:val="BodyText"/>
      </w:pPr>
    </w:p>
    <w:p w14:paraId="5DADCB3B" w14:textId="77777777" w:rsidR="00C137F8" w:rsidRPr="00A06A6E" w:rsidRDefault="00C137F8">
      <w:pPr>
        <w:pStyle w:val="BodyText"/>
      </w:pPr>
    </w:p>
    <w:p w14:paraId="6F5A7045" w14:textId="77777777" w:rsidR="00C137F8" w:rsidRPr="00A06A6E" w:rsidRDefault="00C137F8">
      <w:pPr>
        <w:pStyle w:val="BodyText"/>
        <w:spacing w:before="137"/>
      </w:pPr>
    </w:p>
    <w:p w14:paraId="7B91FF19" w14:textId="77777777" w:rsidR="00C137F8" w:rsidRPr="00A06A6E" w:rsidRDefault="00000000">
      <w:pPr>
        <w:pStyle w:val="BodyText"/>
        <w:ind w:left="628" w:right="248"/>
        <w:jc w:val="both"/>
      </w:pPr>
      <w:r w:rsidRPr="00A06A6E">
        <w:t xml:space="preserve">International evidence also links board independence with ESG disclosure quality. Velte (2020) highlighted the relevance of governance for corporate responsibility reporting, while Raimo et al. (2021) showed that ESG disclosure can extend to financing outcomes. </w:t>
      </w:r>
      <w:proofErr w:type="spellStart"/>
      <w:r w:rsidRPr="00A06A6E">
        <w:t>Buallay</w:t>
      </w:r>
      <w:proofErr w:type="spellEnd"/>
      <w:r w:rsidRPr="00A06A6E">
        <w:t xml:space="preserve"> (2022) and Fayad et al. (2022) further associated stronger governance and board characteristics with higher-quality sustainability or integrated reporting.</w:t>
      </w:r>
    </w:p>
    <w:p w14:paraId="2AF461FC" w14:textId="77777777" w:rsidR="00C137F8" w:rsidRPr="00A06A6E" w:rsidRDefault="00000000">
      <w:pPr>
        <w:pStyle w:val="BodyText"/>
        <w:ind w:left="628" w:right="250"/>
        <w:jc w:val="both"/>
      </w:pPr>
      <w:r w:rsidRPr="00A06A6E">
        <w:t>In addition, research conducted by Velte (2020) showed that board independence positively affects ESG disclosure quality because independent boards improve monitoring effectiveness and reduce information asymmetry between management and stakeholders. Raimo et al. (2021) also found that board independence enhances sustainability disclosure practices because independent commissioners encourage companies to adopt greater transparency regarding sustainability performance.</w:t>
      </w:r>
    </w:p>
    <w:p w14:paraId="7C5FDCC8" w14:textId="77777777" w:rsidR="00C137F8" w:rsidRPr="00A06A6E" w:rsidRDefault="00000000">
      <w:pPr>
        <w:pStyle w:val="BodyText"/>
        <w:spacing w:before="2"/>
        <w:ind w:left="628" w:right="277" w:firstLine="720"/>
      </w:pPr>
      <w:r w:rsidRPr="00A06A6E">
        <w:t>Based on the theoretical discussion and previous empirical findings, the independent board of commissioners is expected to encourage broader sustainability report disclosure through stronger monitoring, transparency, and corporate accountability.</w:t>
      </w:r>
    </w:p>
    <w:p w14:paraId="04A5D581" w14:textId="77777777" w:rsidR="00C137F8" w:rsidRPr="00A06A6E" w:rsidRDefault="00C137F8">
      <w:pPr>
        <w:pStyle w:val="BodyText"/>
        <w:ind w:left="628" w:right="277"/>
      </w:pPr>
    </w:p>
    <w:p w14:paraId="68FC5841" w14:textId="77777777" w:rsidR="00C137F8" w:rsidRPr="00A06A6E" w:rsidRDefault="00000000">
      <w:pPr>
        <w:pStyle w:val="BodyText"/>
        <w:spacing w:before="249"/>
        <w:ind w:left="1054" w:hanging="426"/>
      </w:pPr>
      <w:r w:rsidRPr="00A06A6E">
        <w:t>H4: The Independent Board of Commissioners has a positive influence on Sustainability</w:t>
      </w:r>
      <w:r w:rsidRPr="00A06A6E">
        <w:rPr>
          <w:spacing w:val="40"/>
        </w:rPr>
        <w:t xml:space="preserve"> </w:t>
      </w:r>
      <w:r w:rsidRPr="00A06A6E">
        <w:rPr>
          <w:spacing w:val="-2"/>
        </w:rPr>
        <w:t>Report</w:t>
      </w:r>
      <w:r w:rsidRPr="00A06A6E">
        <w:rPr>
          <w:spacing w:val="-6"/>
        </w:rPr>
        <w:t xml:space="preserve"> </w:t>
      </w:r>
      <w:r w:rsidRPr="00A06A6E">
        <w:rPr>
          <w:spacing w:val="-2"/>
        </w:rPr>
        <w:t>Disclosure</w:t>
      </w:r>
      <w:r w:rsidRPr="00A06A6E">
        <w:rPr>
          <w:spacing w:val="-5"/>
        </w:rPr>
        <w:t xml:space="preserve"> </w:t>
      </w:r>
      <w:r w:rsidRPr="00A06A6E">
        <w:rPr>
          <w:spacing w:val="-2"/>
        </w:rPr>
        <w:t>in</w:t>
      </w:r>
      <w:r w:rsidRPr="00A06A6E">
        <w:rPr>
          <w:spacing w:val="-7"/>
        </w:rPr>
        <w:t xml:space="preserve"> </w:t>
      </w:r>
      <w:r w:rsidRPr="00A06A6E">
        <w:rPr>
          <w:spacing w:val="-2"/>
        </w:rPr>
        <w:t>manufacturing</w:t>
      </w:r>
      <w:r w:rsidRPr="00A06A6E">
        <w:rPr>
          <w:spacing w:val="-6"/>
        </w:rPr>
        <w:t xml:space="preserve"> </w:t>
      </w:r>
      <w:r w:rsidRPr="00A06A6E">
        <w:rPr>
          <w:spacing w:val="-2"/>
        </w:rPr>
        <w:t>companies</w:t>
      </w:r>
      <w:r w:rsidRPr="00A06A6E">
        <w:rPr>
          <w:spacing w:val="-5"/>
        </w:rPr>
        <w:t xml:space="preserve"> </w:t>
      </w:r>
      <w:r w:rsidRPr="00A06A6E">
        <w:rPr>
          <w:spacing w:val="-2"/>
        </w:rPr>
        <w:t>listed</w:t>
      </w:r>
      <w:r w:rsidRPr="00A06A6E">
        <w:rPr>
          <w:spacing w:val="-6"/>
        </w:rPr>
        <w:t xml:space="preserve"> </w:t>
      </w:r>
      <w:r w:rsidRPr="00A06A6E">
        <w:rPr>
          <w:spacing w:val="-2"/>
        </w:rPr>
        <w:t>on</w:t>
      </w:r>
      <w:r w:rsidRPr="00A06A6E">
        <w:rPr>
          <w:spacing w:val="-5"/>
        </w:rPr>
        <w:t xml:space="preserve"> </w:t>
      </w:r>
      <w:r w:rsidRPr="00A06A6E">
        <w:rPr>
          <w:spacing w:val="-2"/>
        </w:rPr>
        <w:t>the</w:t>
      </w:r>
      <w:r w:rsidRPr="00A06A6E">
        <w:rPr>
          <w:spacing w:val="-6"/>
        </w:rPr>
        <w:t xml:space="preserve"> </w:t>
      </w:r>
      <w:r w:rsidRPr="00A06A6E">
        <w:rPr>
          <w:spacing w:val="-2"/>
        </w:rPr>
        <w:t>Indonesia</w:t>
      </w:r>
      <w:r w:rsidRPr="00A06A6E">
        <w:rPr>
          <w:spacing w:val="-5"/>
        </w:rPr>
        <w:t xml:space="preserve"> </w:t>
      </w:r>
      <w:r w:rsidRPr="00A06A6E">
        <w:rPr>
          <w:spacing w:val="-2"/>
        </w:rPr>
        <w:t>Stock</w:t>
      </w:r>
      <w:r w:rsidRPr="00A06A6E">
        <w:rPr>
          <w:spacing w:val="-5"/>
        </w:rPr>
        <w:t xml:space="preserve"> </w:t>
      </w:r>
      <w:r w:rsidRPr="00A06A6E">
        <w:rPr>
          <w:spacing w:val="-2"/>
        </w:rPr>
        <w:t>Exchange.</w:t>
      </w:r>
    </w:p>
    <w:p w14:paraId="33D29DC4" w14:textId="77777777" w:rsidR="00C137F8" w:rsidRPr="00A06A6E" w:rsidRDefault="00C137F8">
      <w:pPr>
        <w:pStyle w:val="BodyText"/>
        <w:spacing w:before="4"/>
      </w:pPr>
    </w:p>
    <w:p w14:paraId="31FB2E1D" w14:textId="77777777" w:rsidR="00C137F8" w:rsidRPr="00A06A6E" w:rsidRDefault="00000000">
      <w:pPr>
        <w:spacing w:before="1" w:line="251" w:lineRule="exact"/>
        <w:ind w:left="628"/>
        <w:rPr>
          <w:rFonts w:ascii="Arial"/>
          <w:b/>
          <w:i/>
        </w:rPr>
      </w:pPr>
      <w:r w:rsidRPr="00A06A6E">
        <w:rPr>
          <w:rFonts w:ascii="Arial"/>
          <w:b/>
        </w:rPr>
        <w:t>H5:</w:t>
      </w:r>
      <w:r w:rsidRPr="00A06A6E">
        <w:rPr>
          <w:rFonts w:ascii="Arial"/>
          <w:b/>
          <w:spacing w:val="-10"/>
        </w:rPr>
        <w:t xml:space="preserve"> </w:t>
      </w:r>
      <w:r w:rsidRPr="00A06A6E">
        <w:rPr>
          <w:rFonts w:ascii="Arial"/>
          <w:b/>
        </w:rPr>
        <w:t>The</w:t>
      </w:r>
      <w:r w:rsidRPr="00A06A6E">
        <w:rPr>
          <w:rFonts w:ascii="Arial"/>
          <w:b/>
          <w:spacing w:val="-5"/>
        </w:rPr>
        <w:t xml:space="preserve"> </w:t>
      </w:r>
      <w:r w:rsidRPr="00A06A6E">
        <w:rPr>
          <w:rFonts w:ascii="Arial"/>
          <w:b/>
        </w:rPr>
        <w:t>Influence</w:t>
      </w:r>
      <w:r w:rsidRPr="00A06A6E">
        <w:rPr>
          <w:rFonts w:ascii="Arial"/>
          <w:b/>
          <w:spacing w:val="-5"/>
        </w:rPr>
        <w:t xml:space="preserve"> </w:t>
      </w:r>
      <w:r w:rsidRPr="00A06A6E">
        <w:rPr>
          <w:rFonts w:ascii="Arial"/>
          <w:b/>
        </w:rPr>
        <w:t>of</w:t>
      </w:r>
      <w:r w:rsidRPr="00A06A6E">
        <w:rPr>
          <w:rFonts w:ascii="Arial"/>
          <w:b/>
          <w:spacing w:val="-6"/>
        </w:rPr>
        <w:t xml:space="preserve"> </w:t>
      </w:r>
      <w:r w:rsidRPr="00A06A6E">
        <w:rPr>
          <w:rFonts w:ascii="Arial"/>
          <w:b/>
        </w:rPr>
        <w:t>the</w:t>
      </w:r>
      <w:r w:rsidRPr="00A06A6E">
        <w:rPr>
          <w:rFonts w:ascii="Arial"/>
          <w:b/>
          <w:spacing w:val="-17"/>
        </w:rPr>
        <w:t xml:space="preserve"> </w:t>
      </w:r>
      <w:r w:rsidRPr="00A06A6E">
        <w:rPr>
          <w:rFonts w:ascii="Arial"/>
          <w:b/>
        </w:rPr>
        <w:t>Audit</w:t>
      </w:r>
      <w:r w:rsidRPr="00A06A6E">
        <w:rPr>
          <w:rFonts w:ascii="Arial"/>
          <w:b/>
          <w:spacing w:val="-6"/>
        </w:rPr>
        <w:t xml:space="preserve"> </w:t>
      </w:r>
      <w:r w:rsidRPr="00A06A6E">
        <w:rPr>
          <w:rFonts w:ascii="Arial"/>
          <w:b/>
        </w:rPr>
        <w:t>Committee</w:t>
      </w:r>
      <w:r w:rsidRPr="00A06A6E">
        <w:rPr>
          <w:rFonts w:ascii="Arial"/>
          <w:b/>
          <w:spacing w:val="-5"/>
        </w:rPr>
        <w:t xml:space="preserve"> </w:t>
      </w:r>
      <w:r w:rsidRPr="00A06A6E">
        <w:rPr>
          <w:rFonts w:ascii="Arial"/>
          <w:b/>
        </w:rPr>
        <w:t>on</w:t>
      </w:r>
      <w:r w:rsidRPr="00A06A6E">
        <w:rPr>
          <w:rFonts w:ascii="Arial"/>
          <w:b/>
          <w:spacing w:val="-3"/>
        </w:rPr>
        <w:t xml:space="preserve"> </w:t>
      </w:r>
      <w:r w:rsidRPr="00A06A6E">
        <w:rPr>
          <w:rFonts w:ascii="Arial"/>
          <w:b/>
          <w:i/>
        </w:rPr>
        <w:t>Sustainability</w:t>
      </w:r>
      <w:r w:rsidRPr="00A06A6E">
        <w:rPr>
          <w:rFonts w:ascii="Arial"/>
          <w:b/>
          <w:i/>
          <w:spacing w:val="-6"/>
        </w:rPr>
        <w:t xml:space="preserve"> </w:t>
      </w:r>
      <w:r w:rsidRPr="00A06A6E">
        <w:rPr>
          <w:rFonts w:ascii="Arial"/>
          <w:b/>
          <w:i/>
        </w:rPr>
        <w:t>Report</w:t>
      </w:r>
      <w:r w:rsidRPr="00A06A6E">
        <w:rPr>
          <w:rFonts w:ascii="Arial"/>
          <w:b/>
          <w:i/>
          <w:spacing w:val="-4"/>
        </w:rPr>
        <w:t xml:space="preserve"> </w:t>
      </w:r>
      <w:r w:rsidRPr="00A06A6E">
        <w:rPr>
          <w:rFonts w:ascii="Arial"/>
          <w:b/>
          <w:i/>
          <w:spacing w:val="-2"/>
        </w:rPr>
        <w:t>Disclosure</w:t>
      </w:r>
    </w:p>
    <w:p w14:paraId="0C24D412" w14:textId="77777777" w:rsidR="00C137F8" w:rsidRPr="00A06A6E" w:rsidRDefault="00000000">
      <w:pPr>
        <w:pStyle w:val="BodyText"/>
        <w:ind w:left="628" w:right="247" w:firstLine="720"/>
        <w:jc w:val="both"/>
      </w:pPr>
      <w:r w:rsidRPr="00A06A6E">
        <w:t>The Audit Committee is an important corporate governance mechanism that functions to assist the Board of Commissioners in overseeing financial reporting quality, internal control effectiveness, risk management, compliance, and corporate transparency. The existence of an effective Audit Committee is expected to strengthen corporate accountability and improve the quality of both financial and non-financial disclosures, including sustainability reporting. In the context of sustainability reporting, the Audit Committee</w:t>
      </w:r>
      <w:r w:rsidRPr="00A06A6E">
        <w:rPr>
          <w:spacing w:val="-1"/>
        </w:rPr>
        <w:t xml:space="preserve"> </w:t>
      </w:r>
      <w:r w:rsidRPr="00A06A6E">
        <w:t>plays</w:t>
      </w:r>
      <w:r w:rsidRPr="00A06A6E">
        <w:rPr>
          <w:spacing w:val="-1"/>
        </w:rPr>
        <w:t xml:space="preserve"> </w:t>
      </w:r>
      <w:r w:rsidRPr="00A06A6E">
        <w:t>a</w:t>
      </w:r>
      <w:r w:rsidRPr="00A06A6E">
        <w:rPr>
          <w:spacing w:val="-1"/>
        </w:rPr>
        <w:t xml:space="preserve"> </w:t>
      </w:r>
      <w:r w:rsidRPr="00A06A6E">
        <w:t>significant</w:t>
      </w:r>
      <w:r w:rsidRPr="00A06A6E">
        <w:rPr>
          <w:spacing w:val="-1"/>
        </w:rPr>
        <w:t xml:space="preserve"> </w:t>
      </w:r>
      <w:r w:rsidRPr="00A06A6E">
        <w:t>role</w:t>
      </w:r>
      <w:r w:rsidRPr="00A06A6E">
        <w:rPr>
          <w:spacing w:val="-1"/>
        </w:rPr>
        <w:t xml:space="preserve"> </w:t>
      </w:r>
      <w:r w:rsidRPr="00A06A6E">
        <w:t>in</w:t>
      </w:r>
      <w:r w:rsidRPr="00A06A6E">
        <w:rPr>
          <w:spacing w:val="-1"/>
        </w:rPr>
        <w:t xml:space="preserve"> </w:t>
      </w:r>
      <w:r w:rsidRPr="00A06A6E">
        <w:t>ensuring</w:t>
      </w:r>
      <w:r w:rsidRPr="00A06A6E">
        <w:rPr>
          <w:spacing w:val="-1"/>
        </w:rPr>
        <w:t xml:space="preserve"> </w:t>
      </w:r>
      <w:r w:rsidRPr="00A06A6E">
        <w:t>the</w:t>
      </w:r>
      <w:r w:rsidRPr="00A06A6E">
        <w:rPr>
          <w:spacing w:val="-1"/>
        </w:rPr>
        <w:t xml:space="preserve"> </w:t>
      </w:r>
      <w:r w:rsidRPr="00A06A6E">
        <w:t>credibility,</w:t>
      </w:r>
      <w:r w:rsidRPr="00A06A6E">
        <w:rPr>
          <w:spacing w:val="-1"/>
        </w:rPr>
        <w:t xml:space="preserve"> </w:t>
      </w:r>
      <w:r w:rsidRPr="00A06A6E">
        <w:t>transparency,</w:t>
      </w:r>
      <w:r w:rsidRPr="00A06A6E">
        <w:rPr>
          <w:spacing w:val="-1"/>
        </w:rPr>
        <w:t xml:space="preserve"> </w:t>
      </w:r>
      <w:r w:rsidRPr="00A06A6E">
        <w:t>and</w:t>
      </w:r>
      <w:r w:rsidRPr="00A06A6E">
        <w:rPr>
          <w:spacing w:val="-1"/>
        </w:rPr>
        <w:t xml:space="preserve"> </w:t>
      </w:r>
      <w:r w:rsidRPr="00A06A6E">
        <w:t>reliability</w:t>
      </w:r>
      <w:r w:rsidRPr="00A06A6E">
        <w:rPr>
          <w:spacing w:val="-1"/>
        </w:rPr>
        <w:t xml:space="preserve"> </w:t>
      </w:r>
      <w:r w:rsidRPr="00A06A6E">
        <w:t>of environmental,</w:t>
      </w:r>
      <w:r w:rsidRPr="00A06A6E">
        <w:rPr>
          <w:spacing w:val="-16"/>
        </w:rPr>
        <w:t xml:space="preserve"> </w:t>
      </w:r>
      <w:r w:rsidRPr="00A06A6E">
        <w:t>social,</w:t>
      </w:r>
      <w:r w:rsidRPr="00A06A6E">
        <w:rPr>
          <w:spacing w:val="-15"/>
        </w:rPr>
        <w:t xml:space="preserve"> </w:t>
      </w:r>
      <w:r w:rsidRPr="00A06A6E">
        <w:t>and</w:t>
      </w:r>
      <w:r w:rsidRPr="00A06A6E">
        <w:rPr>
          <w:spacing w:val="-15"/>
        </w:rPr>
        <w:t xml:space="preserve"> </w:t>
      </w:r>
      <w:r w:rsidRPr="00A06A6E">
        <w:t>governance</w:t>
      </w:r>
      <w:r w:rsidRPr="00A06A6E">
        <w:rPr>
          <w:spacing w:val="-16"/>
        </w:rPr>
        <w:t xml:space="preserve"> </w:t>
      </w:r>
      <w:r w:rsidRPr="00A06A6E">
        <w:t>(ESG)</w:t>
      </w:r>
      <w:r w:rsidRPr="00A06A6E">
        <w:rPr>
          <w:spacing w:val="-15"/>
        </w:rPr>
        <w:t xml:space="preserve"> </w:t>
      </w:r>
      <w:r w:rsidRPr="00A06A6E">
        <w:t>disclosures.</w:t>
      </w:r>
      <w:r w:rsidRPr="00A06A6E">
        <w:rPr>
          <w:spacing w:val="-15"/>
        </w:rPr>
        <w:t xml:space="preserve"> </w:t>
      </w:r>
      <w:r w:rsidRPr="00A06A6E">
        <w:t>The</w:t>
      </w:r>
      <w:r w:rsidRPr="00A06A6E">
        <w:rPr>
          <w:spacing w:val="-15"/>
        </w:rPr>
        <w:t xml:space="preserve"> </w:t>
      </w:r>
      <w:r w:rsidRPr="00A06A6E">
        <w:t>Audit</w:t>
      </w:r>
      <w:r w:rsidRPr="00A06A6E">
        <w:rPr>
          <w:spacing w:val="-16"/>
        </w:rPr>
        <w:t xml:space="preserve"> </w:t>
      </w:r>
      <w:r w:rsidRPr="00A06A6E">
        <w:t>Committee</w:t>
      </w:r>
      <w:r w:rsidRPr="00A06A6E">
        <w:rPr>
          <w:spacing w:val="-15"/>
        </w:rPr>
        <w:t xml:space="preserve"> </w:t>
      </w:r>
      <w:r w:rsidRPr="00A06A6E">
        <w:t>is</w:t>
      </w:r>
      <w:r w:rsidRPr="00A06A6E">
        <w:rPr>
          <w:spacing w:val="-15"/>
        </w:rPr>
        <w:t xml:space="preserve"> </w:t>
      </w:r>
      <w:r w:rsidRPr="00A06A6E">
        <w:t xml:space="preserve">expected to encourage management to disclose sustainability information comprehensively and in accordance with applicable reporting standards such as the Global Reporting Initiative </w:t>
      </w:r>
      <w:r w:rsidRPr="00A06A6E">
        <w:rPr>
          <w:spacing w:val="-2"/>
        </w:rPr>
        <w:t>(GRI).</w:t>
      </w:r>
    </w:p>
    <w:p w14:paraId="7BE87F97" w14:textId="77777777" w:rsidR="00C137F8" w:rsidRPr="00A06A6E" w:rsidRDefault="00000000">
      <w:pPr>
        <w:pStyle w:val="BodyText"/>
        <w:ind w:left="628" w:right="248" w:firstLine="720"/>
        <w:jc w:val="both"/>
      </w:pPr>
      <w:r w:rsidRPr="00A06A6E">
        <w:t>Based on stakeholder theory introduced by Freeman (1984), companies are responsible not only to shareholders but also to all stakeholders affected by corporate activities. Stakeholders increasingly demand transparent information regarding corporate sustainability performance, environmental responsibility, social contribution, and governance quality. Therefore, the Audit Committee is expected to encourage broader sustainability disclosure in order to fulfil stakeholder information needs and reduce information asymmetry between management and stakeholders. Furthermore, legitimacy theory explains that companies continuously seek legitimacy from society by ensuring that their operational activities comply with societal norms and expectations. Sustainability reporting is considered a legitimacy mechanism through which companies demonstrate accountability regarding environmental and social issues. The Audit Committee strengthens this legitimacy process by enhancing transparency, monitoring disclosure practices, and ensuring that sustainability information is properly communicated to stakeholders.</w:t>
      </w:r>
    </w:p>
    <w:p w14:paraId="2173C7E2" w14:textId="77777777" w:rsidR="00C137F8" w:rsidRPr="00A06A6E" w:rsidRDefault="00000000">
      <w:pPr>
        <w:pStyle w:val="BodyText"/>
        <w:spacing w:line="242" w:lineRule="auto"/>
        <w:ind w:left="628" w:right="252" w:firstLine="720"/>
        <w:jc w:val="both"/>
      </w:pPr>
      <w:r w:rsidRPr="00A06A6E">
        <w:t>Manufacturing companies, as high-profile industries, face stronger environmental and social scrutiny because their operations can affect environmental sustainability through emissions, waste generation, energy consumption, and natural-resource use.</w:t>
      </w:r>
    </w:p>
    <w:p w14:paraId="71C7DEAC" w14:textId="77777777" w:rsidR="00C137F8" w:rsidRPr="00A06A6E" w:rsidRDefault="00C137F8">
      <w:pPr>
        <w:pStyle w:val="BodyText"/>
        <w:spacing w:line="242" w:lineRule="auto"/>
        <w:jc w:val="both"/>
        <w:sectPr w:rsidR="00C137F8" w:rsidRPr="00A06A6E">
          <w:pgSz w:w="12240" w:h="15840"/>
          <w:pgMar w:top="800" w:right="1440" w:bottom="280" w:left="1080" w:header="44" w:footer="0" w:gutter="0"/>
          <w:cols w:space="720"/>
        </w:sectPr>
      </w:pPr>
    </w:p>
    <w:p w14:paraId="1BB667D2" w14:textId="77777777" w:rsidR="00C137F8" w:rsidRPr="00A06A6E" w:rsidRDefault="00C137F8">
      <w:pPr>
        <w:pStyle w:val="BodyText"/>
      </w:pPr>
    </w:p>
    <w:p w14:paraId="3FB9962A" w14:textId="77777777" w:rsidR="00C137F8" w:rsidRPr="00A06A6E" w:rsidRDefault="00C137F8">
      <w:pPr>
        <w:pStyle w:val="BodyText"/>
      </w:pPr>
    </w:p>
    <w:p w14:paraId="4DC2AFE9" w14:textId="77777777" w:rsidR="00C137F8" w:rsidRPr="00A06A6E" w:rsidRDefault="00C137F8">
      <w:pPr>
        <w:pStyle w:val="BodyText"/>
        <w:spacing w:before="137"/>
      </w:pPr>
    </w:p>
    <w:p w14:paraId="40E351A4" w14:textId="77777777" w:rsidR="00C137F8" w:rsidRPr="00A06A6E" w:rsidRDefault="00000000">
      <w:pPr>
        <w:pStyle w:val="BodyText"/>
        <w:ind w:left="628" w:right="247"/>
        <w:jc w:val="both"/>
      </w:pPr>
      <w:r w:rsidRPr="00A06A6E">
        <w:t>Consequently, the audit committee is expected to strengthen oversight of sustainability practices and encourage broader disclosure in order to maintain corporate legitimacy and reputation.</w:t>
      </w:r>
    </w:p>
    <w:p w14:paraId="6BBFCBCE" w14:textId="77777777" w:rsidR="00C137F8" w:rsidRPr="00A06A6E" w:rsidRDefault="00000000">
      <w:pPr>
        <w:pStyle w:val="BodyText"/>
        <w:spacing w:before="1"/>
        <w:ind w:left="628" w:right="248" w:firstLine="720"/>
        <w:jc w:val="both"/>
      </w:pPr>
      <w:r w:rsidRPr="00A06A6E">
        <w:t>Empirically, previous studies support the role of the Audit Committee in sustainability reporting practices. Sonia and Khafid (2020) found that the Audit Committee positively influences sustainability report disclosure because stronger governance mechanisms improve corporate transparency and accountability towards stakeholders. Similarly, Ramadhan et al. (2023) found that the Audit Committee significantly affects sustainability report disclosure practices among Indonesian companies.</w:t>
      </w:r>
    </w:p>
    <w:p w14:paraId="37FA85C3" w14:textId="77777777" w:rsidR="00C137F8" w:rsidRPr="00A06A6E" w:rsidRDefault="00000000">
      <w:pPr>
        <w:pStyle w:val="BodyText"/>
        <w:ind w:left="628" w:right="248" w:firstLine="720"/>
        <w:jc w:val="both"/>
      </w:pPr>
      <w:r w:rsidRPr="00A06A6E">
        <w:t xml:space="preserve">Recent studies also demonstrate the important role of Audit Committees in improving ESG transparency. Satria et al. (2023) found that companies with more effective Audit Committees tend to disclose sustainability information more comprehensively due to stronger monitoring and governance quality. Likewise, </w:t>
      </w:r>
      <w:proofErr w:type="spellStart"/>
      <w:r w:rsidRPr="00A06A6E">
        <w:t>Nioko</w:t>
      </w:r>
      <w:proofErr w:type="spellEnd"/>
      <w:r w:rsidRPr="00A06A6E">
        <w:t xml:space="preserve"> and </w:t>
      </w:r>
      <w:proofErr w:type="spellStart"/>
      <w:r w:rsidRPr="00A06A6E">
        <w:t>Hendrani</w:t>
      </w:r>
      <w:proofErr w:type="spellEnd"/>
      <w:r w:rsidRPr="00A06A6E">
        <w:t xml:space="preserve"> (2024) found that the Audit Committee positively influences sustainability report disclosure because governance oversight encourages companies to improve sustainability transparency. Furthermore </w:t>
      </w:r>
      <w:proofErr w:type="spellStart"/>
      <w:r w:rsidRPr="00A06A6E">
        <w:t>Eriandani</w:t>
      </w:r>
      <w:proofErr w:type="spellEnd"/>
      <w:r w:rsidRPr="00A06A6E">
        <w:t xml:space="preserve"> and Evangelia (2024) found that corporate governance mechanisms, including Audit Committees, significantly influence the quality of sustainability disclosure and materiality assessment practices among Indonesian public companies. </w:t>
      </w:r>
      <w:proofErr w:type="spellStart"/>
      <w:r w:rsidRPr="00A06A6E">
        <w:t>Ulfa</w:t>
      </w:r>
      <w:proofErr w:type="spellEnd"/>
      <w:r w:rsidRPr="00A06A6E">
        <w:t xml:space="preserve"> et al. (2025) also found that governance quality, including the effectiveness of the Audit Committee, contributes positively to sustainability report disclosure practices.</w:t>
      </w:r>
    </w:p>
    <w:p w14:paraId="20EA6149" w14:textId="77777777" w:rsidR="00C137F8" w:rsidRPr="00A06A6E" w:rsidRDefault="00000000">
      <w:pPr>
        <w:pStyle w:val="BodyText"/>
        <w:spacing w:before="2"/>
        <w:ind w:left="628" w:right="249" w:firstLine="720"/>
        <w:jc w:val="both"/>
      </w:pPr>
      <w:r w:rsidRPr="00A06A6E">
        <w:t xml:space="preserve">International studies also support this relationship. Velte (2020) stated that effective corporate governance mechanisms, including Audit Committees, improve sustainability disclosure quality because stronger governance enhances monitoring effectiveness and stakeholder accountability. Raimo et al. (2021) found that governance quality positively affects ESG disclosure practices because companies with stronger oversight mechanisms are more likely to provide transparent sustainability information. Similarly, </w:t>
      </w:r>
      <w:proofErr w:type="spellStart"/>
      <w:r w:rsidRPr="00A06A6E">
        <w:t>Buallay</w:t>
      </w:r>
      <w:proofErr w:type="spellEnd"/>
      <w:r w:rsidRPr="00A06A6E">
        <w:t xml:space="preserve"> (2022) explained that Audit Committees play a crucial role in improving ESG disclosure quality because they strengthen transparency and corporate accountability regarding sustainability practices.</w:t>
      </w:r>
    </w:p>
    <w:p w14:paraId="5AA2E005" w14:textId="77777777" w:rsidR="00C137F8" w:rsidRPr="00A06A6E" w:rsidRDefault="00000000">
      <w:pPr>
        <w:pStyle w:val="BodyText"/>
        <w:ind w:left="628" w:right="249" w:firstLine="720"/>
        <w:jc w:val="both"/>
      </w:pPr>
      <w:r w:rsidRPr="00A06A6E">
        <w:t>However, previous studies have also shown inconsistent findings regarding the influence of the Audit Committee on sustainability reporting practices. Some studies found significant</w:t>
      </w:r>
      <w:r w:rsidRPr="00A06A6E">
        <w:rPr>
          <w:spacing w:val="-7"/>
        </w:rPr>
        <w:t xml:space="preserve"> </w:t>
      </w:r>
      <w:r w:rsidRPr="00A06A6E">
        <w:t>positive</w:t>
      </w:r>
      <w:r w:rsidRPr="00A06A6E">
        <w:rPr>
          <w:spacing w:val="-8"/>
        </w:rPr>
        <w:t xml:space="preserve"> </w:t>
      </w:r>
      <w:r w:rsidRPr="00A06A6E">
        <w:t>effects,</w:t>
      </w:r>
      <w:r w:rsidRPr="00A06A6E">
        <w:rPr>
          <w:spacing w:val="-7"/>
        </w:rPr>
        <w:t xml:space="preserve"> </w:t>
      </w:r>
      <w:r w:rsidRPr="00A06A6E">
        <w:t>while</w:t>
      </w:r>
      <w:r w:rsidRPr="00A06A6E">
        <w:rPr>
          <w:spacing w:val="-8"/>
        </w:rPr>
        <w:t xml:space="preserve"> </w:t>
      </w:r>
      <w:r w:rsidRPr="00A06A6E">
        <w:t>others</w:t>
      </w:r>
      <w:r w:rsidRPr="00A06A6E">
        <w:rPr>
          <w:spacing w:val="-7"/>
        </w:rPr>
        <w:t xml:space="preserve"> </w:t>
      </w:r>
      <w:r w:rsidRPr="00A06A6E">
        <w:t>found</w:t>
      </w:r>
      <w:r w:rsidRPr="00A06A6E">
        <w:rPr>
          <w:spacing w:val="-8"/>
        </w:rPr>
        <w:t xml:space="preserve"> </w:t>
      </w:r>
      <w:r w:rsidRPr="00A06A6E">
        <w:t>insignificant</w:t>
      </w:r>
      <w:r w:rsidRPr="00A06A6E">
        <w:rPr>
          <w:spacing w:val="-7"/>
        </w:rPr>
        <w:t xml:space="preserve"> </w:t>
      </w:r>
      <w:r w:rsidRPr="00A06A6E">
        <w:t>relationships.</w:t>
      </w:r>
      <w:r w:rsidRPr="00A06A6E">
        <w:rPr>
          <w:spacing w:val="-8"/>
        </w:rPr>
        <w:t xml:space="preserve"> </w:t>
      </w:r>
      <w:r w:rsidRPr="00A06A6E">
        <w:t>These</w:t>
      </w:r>
      <w:r w:rsidRPr="00A06A6E">
        <w:rPr>
          <w:spacing w:val="-7"/>
        </w:rPr>
        <w:t xml:space="preserve"> </w:t>
      </w:r>
      <w:r w:rsidRPr="00A06A6E">
        <w:t>inconsistent findings</w:t>
      </w:r>
      <w:r w:rsidRPr="00A06A6E">
        <w:rPr>
          <w:spacing w:val="-8"/>
        </w:rPr>
        <w:t xml:space="preserve"> </w:t>
      </w:r>
      <w:r w:rsidRPr="00A06A6E">
        <w:t>indicate</w:t>
      </w:r>
      <w:r w:rsidRPr="00A06A6E">
        <w:rPr>
          <w:spacing w:val="-8"/>
        </w:rPr>
        <w:t xml:space="preserve"> </w:t>
      </w:r>
      <w:r w:rsidRPr="00A06A6E">
        <w:t>that</w:t>
      </w:r>
      <w:r w:rsidRPr="00A06A6E">
        <w:rPr>
          <w:spacing w:val="-8"/>
        </w:rPr>
        <w:t xml:space="preserve"> </w:t>
      </w:r>
      <w:r w:rsidRPr="00A06A6E">
        <w:t>the</w:t>
      </w:r>
      <w:r w:rsidRPr="00A06A6E">
        <w:rPr>
          <w:spacing w:val="-8"/>
        </w:rPr>
        <w:t xml:space="preserve"> </w:t>
      </w:r>
      <w:r w:rsidRPr="00A06A6E">
        <w:t>relationship</w:t>
      </w:r>
      <w:r w:rsidRPr="00A06A6E">
        <w:rPr>
          <w:spacing w:val="-8"/>
        </w:rPr>
        <w:t xml:space="preserve"> </w:t>
      </w:r>
      <w:r w:rsidRPr="00A06A6E">
        <w:t>between</w:t>
      </w:r>
      <w:r w:rsidRPr="00A06A6E">
        <w:rPr>
          <w:spacing w:val="-8"/>
        </w:rPr>
        <w:t xml:space="preserve"> </w:t>
      </w:r>
      <w:r w:rsidRPr="00A06A6E">
        <w:t>the</w:t>
      </w:r>
      <w:r w:rsidRPr="00A06A6E">
        <w:rPr>
          <w:spacing w:val="-8"/>
        </w:rPr>
        <w:t xml:space="preserve"> </w:t>
      </w:r>
      <w:r w:rsidRPr="00A06A6E">
        <w:t>Audit</w:t>
      </w:r>
      <w:r w:rsidRPr="00A06A6E">
        <w:rPr>
          <w:spacing w:val="-8"/>
        </w:rPr>
        <w:t xml:space="preserve"> </w:t>
      </w:r>
      <w:r w:rsidRPr="00A06A6E">
        <w:t>Committee</w:t>
      </w:r>
      <w:r w:rsidRPr="00A06A6E">
        <w:rPr>
          <w:spacing w:val="-8"/>
        </w:rPr>
        <w:t xml:space="preserve"> </w:t>
      </w:r>
      <w:r w:rsidRPr="00A06A6E">
        <w:t>and</w:t>
      </w:r>
      <w:r w:rsidRPr="00A06A6E">
        <w:rPr>
          <w:spacing w:val="-8"/>
        </w:rPr>
        <w:t xml:space="preserve"> </w:t>
      </w:r>
      <w:r w:rsidRPr="00A06A6E">
        <w:t>sustainability</w:t>
      </w:r>
      <w:r w:rsidRPr="00A06A6E">
        <w:rPr>
          <w:spacing w:val="-8"/>
        </w:rPr>
        <w:t xml:space="preserve"> </w:t>
      </w:r>
      <w:r w:rsidRPr="00A06A6E">
        <w:t>report disclosure remains an important issue requiring further investigation, particularly in manufacturing companies operating in high-profile industries.</w:t>
      </w:r>
    </w:p>
    <w:p w14:paraId="357909FE" w14:textId="77777777" w:rsidR="00C137F8" w:rsidRPr="00A06A6E" w:rsidRDefault="00000000">
      <w:pPr>
        <w:pStyle w:val="BodyText"/>
        <w:ind w:left="628" w:right="249" w:firstLine="720"/>
        <w:jc w:val="both"/>
      </w:pPr>
      <w:r w:rsidRPr="00A06A6E">
        <w:t>Based on the theoretical explanation and previous empirical findings, it can be concluded that the Audit Committee is expected to encourage broader sustainability report disclosure through stronger monitoring, transparency, and corporate accountability practices. Based on the hypothesis development above, the hypothesis in this study is formulated as follows:</w:t>
      </w:r>
    </w:p>
    <w:p w14:paraId="7F811782" w14:textId="77777777" w:rsidR="00C137F8" w:rsidRPr="00A06A6E" w:rsidRDefault="00C137F8">
      <w:pPr>
        <w:pStyle w:val="BodyText"/>
        <w:spacing w:before="3"/>
      </w:pPr>
    </w:p>
    <w:p w14:paraId="166FC5F3" w14:textId="77777777" w:rsidR="00C137F8" w:rsidRPr="00A06A6E" w:rsidRDefault="00000000">
      <w:pPr>
        <w:pStyle w:val="BodyText"/>
        <w:spacing w:line="237" w:lineRule="auto"/>
        <w:ind w:left="1054" w:hanging="426"/>
      </w:pPr>
      <w:r w:rsidRPr="00A06A6E">
        <w:t>H5: The Audit Committee has a positive influence on Sustainability Report Disclosure in</w:t>
      </w:r>
      <w:r w:rsidRPr="00A06A6E">
        <w:rPr>
          <w:spacing w:val="80"/>
        </w:rPr>
        <w:t xml:space="preserve"> </w:t>
      </w:r>
      <w:r w:rsidRPr="00A06A6E">
        <w:t>manufacturing companies listed on the Indonesia Stock Exchange.</w:t>
      </w:r>
    </w:p>
    <w:p w14:paraId="5909A828" w14:textId="77777777" w:rsidR="00C137F8" w:rsidRPr="00A06A6E" w:rsidRDefault="00000000">
      <w:pPr>
        <w:spacing w:before="236"/>
        <w:ind w:left="628"/>
        <w:jc w:val="both"/>
        <w:rPr>
          <w:rFonts w:ascii="Arial"/>
          <w:b/>
          <w:i/>
        </w:rPr>
      </w:pPr>
      <w:r w:rsidRPr="00A06A6E">
        <w:rPr>
          <w:rFonts w:ascii="Arial"/>
          <w:b/>
        </w:rPr>
        <w:t>H6:</w:t>
      </w:r>
      <w:r w:rsidRPr="00A06A6E">
        <w:rPr>
          <w:rFonts w:ascii="Arial"/>
          <w:b/>
          <w:spacing w:val="-16"/>
        </w:rPr>
        <w:t xml:space="preserve"> </w:t>
      </w:r>
      <w:r w:rsidRPr="00A06A6E">
        <w:rPr>
          <w:rFonts w:ascii="Arial"/>
          <w:b/>
        </w:rPr>
        <w:t>The</w:t>
      </w:r>
      <w:r w:rsidRPr="00A06A6E">
        <w:rPr>
          <w:rFonts w:ascii="Arial"/>
          <w:b/>
          <w:spacing w:val="-14"/>
        </w:rPr>
        <w:t xml:space="preserve"> </w:t>
      </w:r>
      <w:r w:rsidRPr="00A06A6E">
        <w:rPr>
          <w:rFonts w:ascii="Arial"/>
          <w:b/>
        </w:rPr>
        <w:t>Influence</w:t>
      </w:r>
      <w:r w:rsidRPr="00A06A6E">
        <w:rPr>
          <w:rFonts w:ascii="Arial"/>
          <w:b/>
          <w:spacing w:val="-13"/>
        </w:rPr>
        <w:t xml:space="preserve"> </w:t>
      </w:r>
      <w:r w:rsidRPr="00A06A6E">
        <w:rPr>
          <w:rFonts w:ascii="Arial"/>
          <w:b/>
        </w:rPr>
        <w:t>of</w:t>
      </w:r>
      <w:r w:rsidRPr="00A06A6E">
        <w:rPr>
          <w:rFonts w:ascii="Arial"/>
          <w:b/>
          <w:spacing w:val="-15"/>
        </w:rPr>
        <w:t xml:space="preserve"> </w:t>
      </w:r>
      <w:r w:rsidRPr="00A06A6E">
        <w:rPr>
          <w:rFonts w:ascii="Arial"/>
          <w:b/>
        </w:rPr>
        <w:t>company</w:t>
      </w:r>
      <w:r w:rsidRPr="00A06A6E">
        <w:rPr>
          <w:rFonts w:ascii="Arial"/>
          <w:b/>
          <w:spacing w:val="-15"/>
        </w:rPr>
        <w:t xml:space="preserve"> </w:t>
      </w:r>
      <w:r w:rsidRPr="00A06A6E">
        <w:rPr>
          <w:rFonts w:ascii="Arial"/>
          <w:b/>
        </w:rPr>
        <w:t>size</w:t>
      </w:r>
      <w:r w:rsidRPr="00A06A6E">
        <w:rPr>
          <w:rFonts w:ascii="Arial"/>
          <w:b/>
          <w:spacing w:val="-16"/>
        </w:rPr>
        <w:t xml:space="preserve"> </w:t>
      </w:r>
      <w:r w:rsidRPr="00A06A6E">
        <w:rPr>
          <w:rFonts w:ascii="Arial"/>
          <w:b/>
        </w:rPr>
        <w:t>on</w:t>
      </w:r>
      <w:r w:rsidRPr="00A06A6E">
        <w:rPr>
          <w:rFonts w:ascii="Arial"/>
          <w:b/>
          <w:spacing w:val="-12"/>
        </w:rPr>
        <w:t xml:space="preserve"> </w:t>
      </w:r>
      <w:r w:rsidRPr="00A06A6E">
        <w:rPr>
          <w:rFonts w:ascii="Arial"/>
          <w:b/>
          <w:i/>
        </w:rPr>
        <w:t>Sustainability</w:t>
      </w:r>
      <w:r w:rsidRPr="00A06A6E">
        <w:rPr>
          <w:rFonts w:ascii="Arial"/>
          <w:b/>
          <w:i/>
          <w:spacing w:val="-13"/>
        </w:rPr>
        <w:t xml:space="preserve"> </w:t>
      </w:r>
      <w:r w:rsidRPr="00A06A6E">
        <w:rPr>
          <w:rFonts w:ascii="Arial"/>
          <w:b/>
          <w:i/>
          <w:spacing w:val="11"/>
        </w:rPr>
        <w:t>Report</w:t>
      </w:r>
      <w:r w:rsidRPr="00A06A6E">
        <w:rPr>
          <w:rFonts w:ascii="Arial"/>
          <w:b/>
          <w:i/>
          <w:spacing w:val="-12"/>
        </w:rPr>
        <w:t xml:space="preserve"> </w:t>
      </w:r>
      <w:r w:rsidRPr="00A06A6E">
        <w:rPr>
          <w:rFonts w:ascii="Arial"/>
          <w:b/>
          <w:i/>
          <w:spacing w:val="-2"/>
        </w:rPr>
        <w:t>Disclosure</w:t>
      </w:r>
    </w:p>
    <w:p w14:paraId="6284FF2A" w14:textId="77777777" w:rsidR="00C137F8" w:rsidRPr="00A06A6E" w:rsidRDefault="00000000">
      <w:pPr>
        <w:pStyle w:val="BodyText"/>
        <w:spacing w:before="1"/>
        <w:ind w:left="628" w:right="245" w:firstLine="720"/>
        <w:jc w:val="both"/>
      </w:pPr>
      <w:r w:rsidRPr="00A06A6E">
        <w:t xml:space="preserve">Company size reflects the scale and operational capacity of a company and is commonly measured using total assets, total sales, or market </w:t>
      </w:r>
      <w:proofErr w:type="spellStart"/>
      <w:r w:rsidRPr="00A06A6E">
        <w:t>capitalisation</w:t>
      </w:r>
      <w:proofErr w:type="spellEnd"/>
      <w:r w:rsidRPr="00A06A6E">
        <w:t>. Larger companies generally possess greater economic resources, more complex operations, broader stakeholder exposure, and higher public visibility than smaller companies.</w:t>
      </w:r>
    </w:p>
    <w:p w14:paraId="233DD908"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16BBDB87" w14:textId="77777777" w:rsidR="00C137F8" w:rsidRPr="00A06A6E" w:rsidRDefault="00C137F8">
      <w:pPr>
        <w:pStyle w:val="BodyText"/>
      </w:pPr>
    </w:p>
    <w:p w14:paraId="3FE198CB" w14:textId="77777777" w:rsidR="00C137F8" w:rsidRPr="00A06A6E" w:rsidRDefault="00C137F8">
      <w:pPr>
        <w:pStyle w:val="BodyText"/>
      </w:pPr>
    </w:p>
    <w:p w14:paraId="4CAF79EA" w14:textId="77777777" w:rsidR="00C137F8" w:rsidRPr="00A06A6E" w:rsidRDefault="00C137F8">
      <w:pPr>
        <w:pStyle w:val="BodyText"/>
        <w:spacing w:before="137"/>
      </w:pPr>
    </w:p>
    <w:p w14:paraId="02E4DB81" w14:textId="77777777" w:rsidR="00C137F8" w:rsidRPr="00A06A6E" w:rsidRDefault="00000000">
      <w:pPr>
        <w:pStyle w:val="BodyText"/>
        <w:ind w:left="628" w:right="248"/>
        <w:jc w:val="both"/>
      </w:pPr>
      <w:r w:rsidRPr="00A06A6E">
        <w:t>As a result, larger companies tend to face stronger pressure from stakeholders and society to disclose comprehensive information on their environmental, social, and governance practices.</w:t>
      </w:r>
    </w:p>
    <w:p w14:paraId="20C5A102" w14:textId="77777777" w:rsidR="00C137F8" w:rsidRPr="00A06A6E" w:rsidRDefault="00000000">
      <w:pPr>
        <w:pStyle w:val="BodyText"/>
        <w:spacing w:before="1"/>
        <w:ind w:left="628" w:right="248" w:firstLine="720"/>
        <w:jc w:val="both"/>
      </w:pPr>
      <w:r w:rsidRPr="00A06A6E">
        <w:t xml:space="preserve">In the context of sustainability reporting, larger companies are more likely to disclose sustainability information extensively because they have greater financial capability, more sophisticated reporting systems, and stronger public accountability. Large companies also tend to receive greater scrutiny from investors, regulators, media, environmental </w:t>
      </w:r>
      <w:proofErr w:type="spellStart"/>
      <w:r w:rsidRPr="00A06A6E">
        <w:t>organisations</w:t>
      </w:r>
      <w:proofErr w:type="spellEnd"/>
      <w:r w:rsidRPr="00A06A6E">
        <w:t>, and society regarding the social and environmental impacts of their operations.</w:t>
      </w:r>
    </w:p>
    <w:p w14:paraId="58BE8598" w14:textId="77777777" w:rsidR="00C137F8" w:rsidRPr="00A06A6E" w:rsidRDefault="00000000">
      <w:pPr>
        <w:pStyle w:val="BodyText"/>
        <w:ind w:left="628" w:right="247" w:firstLine="720"/>
        <w:jc w:val="both"/>
      </w:pPr>
      <w:r w:rsidRPr="00A06A6E">
        <w:t>Based on stakeholder theory introduced by Freeman (1984), companies are responsible for fulfilling stakeholders’ information needs, including information related to sustainability performance. Larger companies generally interact with a wider range of stakeholders and therefore experience greater pressure to maintain transparency and accountability. Consequently, large companies are more likely to disclose sustainability reports in order to strengthen stakeholder trust and reduce information asymmetry. Furthermore, legitimacy theory explains that companies continuously seek legitimacy from society by ensuring that their activities align with social norms, values, and expectations. Large companies generally receive greater public attention because their operational activities have more significant economic, environmental, and social impacts. Therefore, sustainability report disclosure becomes an important legitimacy mechanism used by companies to demonstrate corporate responsibility and maintain public acceptance.</w:t>
      </w:r>
    </w:p>
    <w:p w14:paraId="20180E15" w14:textId="77777777" w:rsidR="00C137F8" w:rsidRPr="00A06A6E" w:rsidRDefault="00000000">
      <w:pPr>
        <w:pStyle w:val="BodyText"/>
        <w:spacing w:before="2"/>
        <w:ind w:left="628" w:right="249" w:firstLine="720"/>
        <w:jc w:val="both"/>
      </w:pPr>
      <w:r w:rsidRPr="00A06A6E">
        <w:t xml:space="preserve">Manufacturing companies, as high-profile industries, face substantial environmental and social pressure due to industrial waste, carbon emissions, energy consumption, and natural resource </w:t>
      </w:r>
      <w:proofErr w:type="spellStart"/>
      <w:r w:rsidRPr="00A06A6E">
        <w:t>utilisation</w:t>
      </w:r>
      <w:proofErr w:type="spellEnd"/>
      <w:r w:rsidRPr="00A06A6E">
        <w:t>. Larger manufacturing companies are therefore expected to disclose sustainability information more comprehensively in order to maintain legitimacy, corporate reputation, and stakeholder confidence.</w:t>
      </w:r>
    </w:p>
    <w:p w14:paraId="55E10AC1" w14:textId="77777777" w:rsidR="00C137F8" w:rsidRPr="00A06A6E" w:rsidRDefault="00000000">
      <w:pPr>
        <w:pStyle w:val="BodyText"/>
        <w:ind w:left="628" w:right="245" w:firstLine="720"/>
        <w:jc w:val="both"/>
      </w:pPr>
      <w:r w:rsidRPr="00A06A6E">
        <w:t xml:space="preserve">Empirically, previous studies have shown that company size positively influences sustainability report disclosure. Damayanty et al. (2022) found that company size significantly affects sustainability report disclosure because larger companies possess more resources and stronger public accountability regarding sustainability practices. Similarly, Haris and </w:t>
      </w:r>
      <w:proofErr w:type="spellStart"/>
      <w:r w:rsidRPr="00A06A6E">
        <w:t>Negoro</w:t>
      </w:r>
      <w:proofErr w:type="spellEnd"/>
      <w:r w:rsidRPr="00A06A6E">
        <w:t xml:space="preserve"> (2021) found that firm size positively influences sustainability reporting because large companies face greater stakeholder and societal pressure to disclose sustainability information.</w:t>
      </w:r>
    </w:p>
    <w:p w14:paraId="356660C3" w14:textId="77777777" w:rsidR="00C137F8" w:rsidRPr="00A06A6E" w:rsidRDefault="00000000">
      <w:pPr>
        <w:pStyle w:val="BodyText"/>
        <w:ind w:left="628" w:right="248" w:firstLine="720"/>
        <w:jc w:val="both"/>
      </w:pPr>
      <w:r w:rsidRPr="00A06A6E">
        <w:t xml:space="preserve">Recent studies also support this relationship. Satria et al. (2023) found that company size positively influences sustainability report disclosure because larger companies tend to improve transparency to maintain corporate image and investor confidence. </w:t>
      </w:r>
      <w:proofErr w:type="spellStart"/>
      <w:r w:rsidRPr="00A06A6E">
        <w:t>Nioko</w:t>
      </w:r>
      <w:proofErr w:type="spellEnd"/>
      <w:r w:rsidRPr="00A06A6E">
        <w:t xml:space="preserve"> and </w:t>
      </w:r>
      <w:proofErr w:type="spellStart"/>
      <w:r w:rsidRPr="00A06A6E">
        <w:t>Hendrani</w:t>
      </w:r>
      <w:proofErr w:type="spellEnd"/>
      <w:r w:rsidRPr="00A06A6E">
        <w:t xml:space="preserve"> (2024) likewise found that firm size significantly affects sustainability reporting practices among Indonesian listed companies.</w:t>
      </w:r>
    </w:p>
    <w:p w14:paraId="339AD9BB" w14:textId="77777777" w:rsidR="00C137F8" w:rsidRPr="00A06A6E" w:rsidRDefault="00000000">
      <w:pPr>
        <w:pStyle w:val="BodyText"/>
        <w:ind w:left="628" w:right="248"/>
        <w:jc w:val="both"/>
      </w:pPr>
      <w:r w:rsidRPr="00A06A6E">
        <w:t xml:space="preserve">Furthermore, </w:t>
      </w:r>
      <w:proofErr w:type="spellStart"/>
      <w:r w:rsidRPr="00A06A6E">
        <w:t>Ulfa</w:t>
      </w:r>
      <w:proofErr w:type="spellEnd"/>
      <w:r w:rsidRPr="00A06A6E">
        <w:t xml:space="preserve"> et al. (2025) found that larger companies disclose sustainability reports more extensively because they have greater capacity to implement ESG practices and sustainability initiatives. Putri and </w:t>
      </w:r>
      <w:proofErr w:type="spellStart"/>
      <w:r w:rsidRPr="00A06A6E">
        <w:t>Marsono</w:t>
      </w:r>
      <w:proofErr w:type="spellEnd"/>
      <w:r w:rsidRPr="00A06A6E">
        <w:t xml:space="preserve"> (2025) also reported a positive effect of firm size, reflecting stronger legitimacy pressure on larger firms.</w:t>
      </w:r>
    </w:p>
    <w:p w14:paraId="569F99F2" w14:textId="77777777" w:rsidR="00C137F8" w:rsidRPr="00A06A6E" w:rsidRDefault="00000000">
      <w:pPr>
        <w:pStyle w:val="BodyText"/>
        <w:ind w:left="628" w:right="250" w:firstLine="720"/>
        <w:jc w:val="both"/>
      </w:pPr>
      <w:r w:rsidRPr="00A06A6E">
        <w:t xml:space="preserve">International studies similarly support a positive relationship between company size and sustainability disclosure. Velte (2020) explained that larger firms tend to provide broader disclosure because they possess greater </w:t>
      </w:r>
      <w:proofErr w:type="spellStart"/>
      <w:r w:rsidRPr="00A06A6E">
        <w:t>organisational</w:t>
      </w:r>
      <w:proofErr w:type="spellEnd"/>
      <w:r w:rsidRPr="00A06A6E">
        <w:t xml:space="preserve"> resources and face stronger external monitoring. Tsang et al. (2023) identified company size as a recurring determinant in the ESG-disclosure literature.</w:t>
      </w:r>
    </w:p>
    <w:p w14:paraId="43E1CFE6"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48F1957A" w14:textId="77777777" w:rsidR="00C137F8" w:rsidRPr="00A06A6E" w:rsidRDefault="00C137F8">
      <w:pPr>
        <w:pStyle w:val="BodyText"/>
      </w:pPr>
    </w:p>
    <w:p w14:paraId="77004AE0" w14:textId="77777777" w:rsidR="00C137F8" w:rsidRPr="00A06A6E" w:rsidRDefault="00C137F8">
      <w:pPr>
        <w:pStyle w:val="BodyText"/>
      </w:pPr>
    </w:p>
    <w:p w14:paraId="6145603E" w14:textId="77777777" w:rsidR="00C137F8" w:rsidRPr="00A06A6E" w:rsidRDefault="00C137F8">
      <w:pPr>
        <w:pStyle w:val="BodyText"/>
        <w:spacing w:before="137"/>
      </w:pPr>
    </w:p>
    <w:p w14:paraId="3D8A27E1" w14:textId="77777777" w:rsidR="00C137F8" w:rsidRPr="00A06A6E" w:rsidRDefault="00000000">
      <w:pPr>
        <w:pStyle w:val="BodyText"/>
        <w:ind w:left="628" w:right="249"/>
        <w:jc w:val="both"/>
      </w:pPr>
      <w:r w:rsidRPr="00A06A6E">
        <w:t>Large companies are more exposed to stakeholder expectations and sustainability-related risks. Bhatia and Marwaha (2022) found that board factors and gender diversity are associated with ESG disclosure scores, while Fayad et al. (2022) explained that larger firms are more likely to improve integrated-reporting quality in response to public scrutiny and stakeholder demand for transparency.</w:t>
      </w:r>
    </w:p>
    <w:p w14:paraId="7828B827" w14:textId="77777777" w:rsidR="00C137F8" w:rsidRPr="00A06A6E" w:rsidRDefault="00000000">
      <w:pPr>
        <w:pStyle w:val="BodyText"/>
        <w:ind w:left="628" w:right="249" w:firstLine="720"/>
        <w:jc w:val="both"/>
      </w:pPr>
      <w:r w:rsidRPr="00A06A6E">
        <w:t>However, previous studies have also shown inconsistent findings regarding the relationship</w:t>
      </w:r>
      <w:r w:rsidRPr="00A06A6E">
        <w:rPr>
          <w:spacing w:val="-13"/>
        </w:rPr>
        <w:t xml:space="preserve"> </w:t>
      </w:r>
      <w:r w:rsidRPr="00A06A6E">
        <w:t>between</w:t>
      </w:r>
      <w:r w:rsidRPr="00A06A6E">
        <w:rPr>
          <w:spacing w:val="-13"/>
        </w:rPr>
        <w:t xml:space="preserve"> </w:t>
      </w:r>
      <w:r w:rsidRPr="00A06A6E">
        <w:t>company</w:t>
      </w:r>
      <w:r w:rsidRPr="00A06A6E">
        <w:rPr>
          <w:spacing w:val="-13"/>
        </w:rPr>
        <w:t xml:space="preserve"> </w:t>
      </w:r>
      <w:r w:rsidRPr="00A06A6E">
        <w:t>size</w:t>
      </w:r>
      <w:r w:rsidRPr="00A06A6E">
        <w:rPr>
          <w:spacing w:val="-13"/>
        </w:rPr>
        <w:t xml:space="preserve"> </w:t>
      </w:r>
      <w:r w:rsidRPr="00A06A6E">
        <w:t>and</w:t>
      </w:r>
      <w:r w:rsidRPr="00A06A6E">
        <w:rPr>
          <w:spacing w:val="-13"/>
        </w:rPr>
        <w:t xml:space="preserve"> </w:t>
      </w:r>
      <w:r w:rsidRPr="00A06A6E">
        <w:t>sustainability</w:t>
      </w:r>
      <w:r w:rsidRPr="00A06A6E">
        <w:rPr>
          <w:spacing w:val="-13"/>
        </w:rPr>
        <w:t xml:space="preserve"> </w:t>
      </w:r>
      <w:r w:rsidRPr="00A06A6E">
        <w:t>report</w:t>
      </w:r>
      <w:r w:rsidRPr="00A06A6E">
        <w:rPr>
          <w:spacing w:val="-13"/>
        </w:rPr>
        <w:t xml:space="preserve"> </w:t>
      </w:r>
      <w:r w:rsidRPr="00A06A6E">
        <w:t>disclosure.</w:t>
      </w:r>
      <w:r w:rsidRPr="00A06A6E">
        <w:rPr>
          <w:spacing w:val="-13"/>
        </w:rPr>
        <w:t xml:space="preserve"> </w:t>
      </w:r>
      <w:r w:rsidRPr="00A06A6E">
        <w:t>Some</w:t>
      </w:r>
      <w:r w:rsidRPr="00A06A6E">
        <w:rPr>
          <w:spacing w:val="-13"/>
        </w:rPr>
        <w:t xml:space="preserve"> </w:t>
      </w:r>
      <w:r w:rsidRPr="00A06A6E">
        <w:t>studies</w:t>
      </w:r>
      <w:r w:rsidRPr="00A06A6E">
        <w:rPr>
          <w:spacing w:val="-13"/>
        </w:rPr>
        <w:t xml:space="preserve"> </w:t>
      </w:r>
      <w:r w:rsidRPr="00A06A6E">
        <w:t>found positive and significant effects, while others reported insignificant relationships. These inconsistent findings indicate that the influence of company size on sustainability report disclosure</w:t>
      </w:r>
      <w:r w:rsidRPr="00A06A6E">
        <w:rPr>
          <w:spacing w:val="-7"/>
        </w:rPr>
        <w:t xml:space="preserve"> </w:t>
      </w:r>
      <w:r w:rsidRPr="00A06A6E">
        <w:t>remains</w:t>
      </w:r>
      <w:r w:rsidRPr="00A06A6E">
        <w:rPr>
          <w:spacing w:val="-7"/>
        </w:rPr>
        <w:t xml:space="preserve"> </w:t>
      </w:r>
      <w:r w:rsidRPr="00A06A6E">
        <w:t>an</w:t>
      </w:r>
      <w:r w:rsidRPr="00A06A6E">
        <w:rPr>
          <w:spacing w:val="-7"/>
        </w:rPr>
        <w:t xml:space="preserve"> </w:t>
      </w:r>
      <w:r w:rsidRPr="00A06A6E">
        <w:t>important</w:t>
      </w:r>
      <w:r w:rsidRPr="00A06A6E">
        <w:rPr>
          <w:spacing w:val="-6"/>
        </w:rPr>
        <w:t xml:space="preserve"> </w:t>
      </w:r>
      <w:r w:rsidRPr="00A06A6E">
        <w:t>issue</w:t>
      </w:r>
      <w:r w:rsidRPr="00A06A6E">
        <w:rPr>
          <w:spacing w:val="-7"/>
        </w:rPr>
        <w:t xml:space="preserve"> </w:t>
      </w:r>
      <w:r w:rsidRPr="00A06A6E">
        <w:t>for</w:t>
      </w:r>
      <w:r w:rsidRPr="00A06A6E">
        <w:rPr>
          <w:spacing w:val="-7"/>
        </w:rPr>
        <w:t xml:space="preserve"> </w:t>
      </w:r>
      <w:r w:rsidRPr="00A06A6E">
        <w:t>further</w:t>
      </w:r>
      <w:r w:rsidRPr="00A06A6E">
        <w:rPr>
          <w:spacing w:val="-7"/>
        </w:rPr>
        <w:t xml:space="preserve"> </w:t>
      </w:r>
      <w:r w:rsidRPr="00A06A6E">
        <w:t>investigation,</w:t>
      </w:r>
      <w:r w:rsidRPr="00A06A6E">
        <w:rPr>
          <w:spacing w:val="-6"/>
        </w:rPr>
        <w:t xml:space="preserve"> </w:t>
      </w:r>
      <w:r w:rsidRPr="00A06A6E">
        <w:t>particularly</w:t>
      </w:r>
      <w:r w:rsidRPr="00A06A6E">
        <w:rPr>
          <w:spacing w:val="-7"/>
        </w:rPr>
        <w:t xml:space="preserve"> </w:t>
      </w:r>
      <w:r w:rsidRPr="00A06A6E">
        <w:t>in</w:t>
      </w:r>
      <w:r w:rsidRPr="00A06A6E">
        <w:rPr>
          <w:spacing w:val="-7"/>
        </w:rPr>
        <w:t xml:space="preserve"> </w:t>
      </w:r>
      <w:r w:rsidRPr="00A06A6E">
        <w:t>manufacturing companies operating in emerging markets such as Indonesia. Based on the theoretical explanation and previous empirical findings, it can be concluded that larger companies are more likely to disclose sustainability reports more extensively. Based on the hypothesis development above, the hypothesis in this study is formulated as follows:</w:t>
      </w:r>
    </w:p>
    <w:p w14:paraId="4D2DB311" w14:textId="77777777" w:rsidR="00C137F8" w:rsidRPr="00A06A6E" w:rsidRDefault="00C137F8">
      <w:pPr>
        <w:pStyle w:val="BodyText"/>
      </w:pPr>
    </w:p>
    <w:p w14:paraId="6D3B799A" w14:textId="77777777" w:rsidR="00C137F8" w:rsidRPr="00A06A6E" w:rsidRDefault="00000000">
      <w:pPr>
        <w:pStyle w:val="BodyText"/>
        <w:ind w:left="1054" w:hanging="426"/>
      </w:pPr>
      <w:r w:rsidRPr="00A06A6E">
        <w:t>H6:</w:t>
      </w:r>
      <w:r w:rsidRPr="00A06A6E">
        <w:rPr>
          <w:spacing w:val="80"/>
        </w:rPr>
        <w:t xml:space="preserve"> </w:t>
      </w:r>
      <w:r w:rsidRPr="00A06A6E">
        <w:t>Company</w:t>
      </w:r>
      <w:r w:rsidRPr="00A06A6E">
        <w:rPr>
          <w:spacing w:val="80"/>
        </w:rPr>
        <w:t xml:space="preserve"> </w:t>
      </w:r>
      <w:r w:rsidRPr="00A06A6E">
        <w:t>Size</w:t>
      </w:r>
      <w:r w:rsidRPr="00A06A6E">
        <w:rPr>
          <w:spacing w:val="80"/>
        </w:rPr>
        <w:t xml:space="preserve"> </w:t>
      </w:r>
      <w:r w:rsidRPr="00A06A6E">
        <w:t>has</w:t>
      </w:r>
      <w:r w:rsidRPr="00A06A6E">
        <w:rPr>
          <w:spacing w:val="80"/>
        </w:rPr>
        <w:t xml:space="preserve"> </w:t>
      </w:r>
      <w:r w:rsidRPr="00A06A6E">
        <w:t>a</w:t>
      </w:r>
      <w:r w:rsidRPr="00A06A6E">
        <w:rPr>
          <w:spacing w:val="80"/>
        </w:rPr>
        <w:t xml:space="preserve"> </w:t>
      </w:r>
      <w:r w:rsidRPr="00A06A6E">
        <w:t>positive</w:t>
      </w:r>
      <w:r w:rsidRPr="00A06A6E">
        <w:rPr>
          <w:spacing w:val="80"/>
        </w:rPr>
        <w:t xml:space="preserve"> </w:t>
      </w:r>
      <w:r w:rsidRPr="00A06A6E">
        <w:t>influence</w:t>
      </w:r>
      <w:r w:rsidRPr="00A06A6E">
        <w:rPr>
          <w:spacing w:val="80"/>
        </w:rPr>
        <w:t xml:space="preserve"> </w:t>
      </w:r>
      <w:r w:rsidRPr="00A06A6E">
        <w:t>on</w:t>
      </w:r>
      <w:r w:rsidRPr="00A06A6E">
        <w:rPr>
          <w:spacing w:val="80"/>
        </w:rPr>
        <w:t xml:space="preserve"> </w:t>
      </w:r>
      <w:r w:rsidRPr="00A06A6E">
        <w:t>Sustainability</w:t>
      </w:r>
      <w:r w:rsidRPr="00A06A6E">
        <w:rPr>
          <w:spacing w:val="80"/>
        </w:rPr>
        <w:t xml:space="preserve"> </w:t>
      </w:r>
      <w:r w:rsidRPr="00A06A6E">
        <w:t>Report</w:t>
      </w:r>
      <w:r w:rsidRPr="00A06A6E">
        <w:rPr>
          <w:spacing w:val="80"/>
        </w:rPr>
        <w:t xml:space="preserve"> </w:t>
      </w:r>
      <w:r w:rsidRPr="00A06A6E">
        <w:t>Disclosure</w:t>
      </w:r>
      <w:r w:rsidRPr="00A06A6E">
        <w:rPr>
          <w:spacing w:val="80"/>
        </w:rPr>
        <w:t xml:space="preserve"> </w:t>
      </w:r>
      <w:r w:rsidRPr="00A06A6E">
        <w:t>in manufacturing companies listed on the Indonesia Stock Exchange.</w:t>
      </w:r>
    </w:p>
    <w:p w14:paraId="1DB4EE67" w14:textId="77777777" w:rsidR="00C137F8" w:rsidRPr="00A06A6E" w:rsidRDefault="00000000">
      <w:pPr>
        <w:spacing w:before="243"/>
        <w:ind w:left="628"/>
        <w:jc w:val="both"/>
        <w:rPr>
          <w:rFonts w:ascii="Arial"/>
          <w:b/>
          <w:i/>
        </w:rPr>
      </w:pPr>
      <w:r w:rsidRPr="00A06A6E">
        <w:rPr>
          <w:rFonts w:ascii="Arial"/>
          <w:b/>
        </w:rPr>
        <w:t>H7:</w:t>
      </w:r>
      <w:r w:rsidRPr="00A06A6E">
        <w:rPr>
          <w:rFonts w:ascii="Arial"/>
          <w:b/>
          <w:spacing w:val="-5"/>
        </w:rPr>
        <w:t xml:space="preserve"> </w:t>
      </w:r>
      <w:r w:rsidRPr="00A06A6E">
        <w:rPr>
          <w:rFonts w:ascii="Arial"/>
          <w:b/>
        </w:rPr>
        <w:t>The</w:t>
      </w:r>
      <w:r w:rsidRPr="00A06A6E">
        <w:rPr>
          <w:rFonts w:ascii="Arial"/>
          <w:b/>
          <w:spacing w:val="-4"/>
        </w:rPr>
        <w:t xml:space="preserve"> </w:t>
      </w:r>
      <w:r w:rsidRPr="00A06A6E">
        <w:rPr>
          <w:rFonts w:ascii="Arial"/>
          <w:b/>
        </w:rPr>
        <w:t>Influence</w:t>
      </w:r>
      <w:r w:rsidRPr="00A06A6E">
        <w:rPr>
          <w:rFonts w:ascii="Arial"/>
          <w:b/>
          <w:spacing w:val="-2"/>
        </w:rPr>
        <w:t xml:space="preserve"> </w:t>
      </w:r>
      <w:r w:rsidRPr="00A06A6E">
        <w:rPr>
          <w:rFonts w:ascii="Arial"/>
          <w:b/>
        </w:rPr>
        <w:t>of</w:t>
      </w:r>
      <w:r w:rsidRPr="00A06A6E">
        <w:rPr>
          <w:rFonts w:ascii="Arial"/>
          <w:b/>
          <w:spacing w:val="-5"/>
        </w:rPr>
        <w:t xml:space="preserve"> </w:t>
      </w:r>
      <w:r w:rsidRPr="00A06A6E">
        <w:rPr>
          <w:rFonts w:ascii="Arial"/>
          <w:b/>
        </w:rPr>
        <w:t>Industrial</w:t>
      </w:r>
      <w:r w:rsidRPr="00A06A6E">
        <w:rPr>
          <w:rFonts w:ascii="Arial"/>
          <w:b/>
          <w:spacing w:val="-6"/>
        </w:rPr>
        <w:t xml:space="preserve"> </w:t>
      </w:r>
      <w:r w:rsidRPr="00A06A6E">
        <w:rPr>
          <w:rFonts w:ascii="Arial"/>
          <w:b/>
        </w:rPr>
        <w:t>Type</w:t>
      </w:r>
      <w:r w:rsidRPr="00A06A6E">
        <w:rPr>
          <w:rFonts w:ascii="Arial"/>
          <w:b/>
          <w:spacing w:val="-4"/>
        </w:rPr>
        <w:t xml:space="preserve"> </w:t>
      </w:r>
      <w:r w:rsidRPr="00A06A6E">
        <w:rPr>
          <w:rFonts w:ascii="Arial"/>
          <w:b/>
        </w:rPr>
        <w:t>on</w:t>
      </w:r>
      <w:r w:rsidRPr="00A06A6E">
        <w:rPr>
          <w:rFonts w:ascii="Arial"/>
          <w:b/>
          <w:spacing w:val="-8"/>
        </w:rPr>
        <w:t xml:space="preserve"> </w:t>
      </w:r>
      <w:r w:rsidRPr="00A06A6E">
        <w:rPr>
          <w:rFonts w:ascii="Arial"/>
          <w:b/>
          <w:i/>
        </w:rPr>
        <w:t>Sustainability</w:t>
      </w:r>
      <w:r w:rsidRPr="00A06A6E">
        <w:rPr>
          <w:rFonts w:ascii="Arial"/>
          <w:b/>
          <w:i/>
          <w:spacing w:val="-3"/>
        </w:rPr>
        <w:t xml:space="preserve"> </w:t>
      </w:r>
      <w:r w:rsidRPr="00A06A6E">
        <w:rPr>
          <w:rFonts w:ascii="Arial"/>
          <w:b/>
          <w:i/>
        </w:rPr>
        <w:t>Report</w:t>
      </w:r>
      <w:r w:rsidRPr="00A06A6E">
        <w:rPr>
          <w:rFonts w:ascii="Arial"/>
          <w:b/>
          <w:i/>
          <w:spacing w:val="-6"/>
        </w:rPr>
        <w:t xml:space="preserve"> </w:t>
      </w:r>
      <w:r w:rsidRPr="00A06A6E">
        <w:rPr>
          <w:rFonts w:ascii="Arial"/>
          <w:b/>
          <w:i/>
          <w:spacing w:val="-2"/>
        </w:rPr>
        <w:t>Disclosure</w:t>
      </w:r>
    </w:p>
    <w:p w14:paraId="412A96CC" w14:textId="77777777" w:rsidR="00C137F8" w:rsidRPr="00A06A6E" w:rsidRDefault="00000000">
      <w:pPr>
        <w:pStyle w:val="BodyText"/>
        <w:spacing w:before="2"/>
        <w:ind w:left="628" w:right="249" w:firstLine="720"/>
        <w:jc w:val="both"/>
      </w:pPr>
      <w:r w:rsidRPr="00A06A6E">
        <w:t>Industrial</w:t>
      </w:r>
      <w:r w:rsidRPr="00A06A6E">
        <w:rPr>
          <w:spacing w:val="-6"/>
        </w:rPr>
        <w:t xml:space="preserve"> </w:t>
      </w:r>
      <w:r w:rsidRPr="00A06A6E">
        <w:t>type</w:t>
      </w:r>
      <w:r w:rsidRPr="00A06A6E">
        <w:rPr>
          <w:spacing w:val="-6"/>
        </w:rPr>
        <w:t xml:space="preserve"> </w:t>
      </w:r>
      <w:r w:rsidRPr="00A06A6E">
        <w:t>reflects</w:t>
      </w:r>
      <w:r w:rsidRPr="00A06A6E">
        <w:rPr>
          <w:spacing w:val="-6"/>
        </w:rPr>
        <w:t xml:space="preserve"> </w:t>
      </w:r>
      <w:r w:rsidRPr="00A06A6E">
        <w:t>the</w:t>
      </w:r>
      <w:r w:rsidRPr="00A06A6E">
        <w:rPr>
          <w:spacing w:val="-6"/>
        </w:rPr>
        <w:t xml:space="preserve"> </w:t>
      </w:r>
      <w:r w:rsidRPr="00A06A6E">
        <w:t>characteristics</w:t>
      </w:r>
      <w:r w:rsidRPr="00A06A6E">
        <w:rPr>
          <w:spacing w:val="-6"/>
        </w:rPr>
        <w:t xml:space="preserve"> </w:t>
      </w:r>
      <w:r w:rsidRPr="00A06A6E">
        <w:t>of</w:t>
      </w:r>
      <w:r w:rsidRPr="00A06A6E">
        <w:rPr>
          <w:spacing w:val="-6"/>
        </w:rPr>
        <w:t xml:space="preserve"> </w:t>
      </w:r>
      <w:r w:rsidRPr="00A06A6E">
        <w:t>a</w:t>
      </w:r>
      <w:r w:rsidRPr="00A06A6E">
        <w:rPr>
          <w:spacing w:val="-6"/>
        </w:rPr>
        <w:t xml:space="preserve"> </w:t>
      </w:r>
      <w:r w:rsidRPr="00A06A6E">
        <w:t>company’s</w:t>
      </w:r>
      <w:r w:rsidRPr="00A06A6E">
        <w:rPr>
          <w:spacing w:val="-6"/>
        </w:rPr>
        <w:t xml:space="preserve"> </w:t>
      </w:r>
      <w:r w:rsidRPr="00A06A6E">
        <w:t>business</w:t>
      </w:r>
      <w:r w:rsidRPr="00A06A6E">
        <w:rPr>
          <w:spacing w:val="-6"/>
        </w:rPr>
        <w:t xml:space="preserve"> </w:t>
      </w:r>
      <w:r w:rsidRPr="00A06A6E">
        <w:t>activities</w:t>
      </w:r>
      <w:r w:rsidRPr="00A06A6E">
        <w:rPr>
          <w:spacing w:val="-6"/>
        </w:rPr>
        <w:t xml:space="preserve"> </w:t>
      </w:r>
      <w:r w:rsidRPr="00A06A6E">
        <w:t>and</w:t>
      </w:r>
      <w:r w:rsidRPr="00A06A6E">
        <w:rPr>
          <w:spacing w:val="-6"/>
        </w:rPr>
        <w:t xml:space="preserve"> </w:t>
      </w:r>
      <w:r w:rsidRPr="00A06A6E">
        <w:t>the extent</w:t>
      </w:r>
      <w:r w:rsidRPr="00A06A6E">
        <w:rPr>
          <w:spacing w:val="-11"/>
        </w:rPr>
        <w:t xml:space="preserve"> </w:t>
      </w:r>
      <w:r w:rsidRPr="00A06A6E">
        <w:t>to</w:t>
      </w:r>
      <w:r w:rsidRPr="00A06A6E">
        <w:rPr>
          <w:spacing w:val="-11"/>
        </w:rPr>
        <w:t xml:space="preserve"> </w:t>
      </w:r>
      <w:r w:rsidRPr="00A06A6E">
        <w:t>which</w:t>
      </w:r>
      <w:r w:rsidRPr="00A06A6E">
        <w:rPr>
          <w:spacing w:val="-11"/>
        </w:rPr>
        <w:t xml:space="preserve"> </w:t>
      </w:r>
      <w:r w:rsidRPr="00A06A6E">
        <w:t>its</w:t>
      </w:r>
      <w:r w:rsidRPr="00A06A6E">
        <w:rPr>
          <w:spacing w:val="-11"/>
        </w:rPr>
        <w:t xml:space="preserve"> </w:t>
      </w:r>
      <w:r w:rsidRPr="00A06A6E">
        <w:t>operations</w:t>
      </w:r>
      <w:r w:rsidRPr="00A06A6E">
        <w:rPr>
          <w:spacing w:val="-11"/>
        </w:rPr>
        <w:t xml:space="preserve"> </w:t>
      </w:r>
      <w:r w:rsidRPr="00A06A6E">
        <w:t>potentially</w:t>
      </w:r>
      <w:r w:rsidRPr="00A06A6E">
        <w:rPr>
          <w:spacing w:val="-11"/>
        </w:rPr>
        <w:t xml:space="preserve"> </w:t>
      </w:r>
      <w:r w:rsidRPr="00A06A6E">
        <w:t>affect</w:t>
      </w:r>
      <w:r w:rsidRPr="00A06A6E">
        <w:rPr>
          <w:spacing w:val="-11"/>
        </w:rPr>
        <w:t xml:space="preserve"> </w:t>
      </w:r>
      <w:r w:rsidRPr="00A06A6E">
        <w:t>the</w:t>
      </w:r>
      <w:r w:rsidRPr="00A06A6E">
        <w:rPr>
          <w:spacing w:val="-11"/>
        </w:rPr>
        <w:t xml:space="preserve"> </w:t>
      </w:r>
      <w:r w:rsidRPr="00A06A6E">
        <w:t>environment</w:t>
      </w:r>
      <w:r w:rsidRPr="00A06A6E">
        <w:rPr>
          <w:spacing w:val="-11"/>
        </w:rPr>
        <w:t xml:space="preserve"> </w:t>
      </w:r>
      <w:r w:rsidRPr="00A06A6E">
        <w:t>and</w:t>
      </w:r>
      <w:r w:rsidRPr="00A06A6E">
        <w:rPr>
          <w:spacing w:val="-11"/>
        </w:rPr>
        <w:t xml:space="preserve"> </w:t>
      </w:r>
      <w:r w:rsidRPr="00A06A6E">
        <w:t>society.</w:t>
      </w:r>
      <w:r w:rsidRPr="00A06A6E">
        <w:rPr>
          <w:spacing w:val="-11"/>
        </w:rPr>
        <w:t xml:space="preserve"> </w:t>
      </w:r>
      <w:r w:rsidRPr="00A06A6E">
        <w:t>In</w:t>
      </w:r>
      <w:r w:rsidRPr="00A06A6E">
        <w:rPr>
          <w:spacing w:val="-11"/>
        </w:rPr>
        <w:t xml:space="preserve"> </w:t>
      </w:r>
      <w:r w:rsidRPr="00A06A6E">
        <w:t>sustainability reporting studies, industries are generally classified into high-profile and low-profile industries. High-profile industries are industries with high public visibility and significant environmental and social impacts, such as manufacturing, mining, energy, chemical, and transportation industries. Meanwhile, low-profile industries generally have lower environmental exposure and receive less public scrutiny.</w:t>
      </w:r>
    </w:p>
    <w:p w14:paraId="19E7DE7D" w14:textId="77777777" w:rsidR="00C137F8" w:rsidRPr="00A06A6E" w:rsidRDefault="00000000">
      <w:pPr>
        <w:pStyle w:val="BodyText"/>
        <w:ind w:left="628" w:right="248" w:firstLine="720"/>
        <w:jc w:val="both"/>
      </w:pPr>
      <w:r w:rsidRPr="00A06A6E">
        <w:t xml:space="preserve">Companies operating in high-profile industries tend to face greater pressure from stakeholders, regulators, environmental </w:t>
      </w:r>
      <w:proofErr w:type="spellStart"/>
      <w:r w:rsidRPr="00A06A6E">
        <w:t>organisations</w:t>
      </w:r>
      <w:proofErr w:type="spellEnd"/>
      <w:r w:rsidRPr="00A06A6E">
        <w:t>, investors, and society to disclose sustainability information comprehensively. These companies are often associated with environmental issues such as carbon emissions, industrial waste, pollution, energy consumption, and natural resource exploitation. Consequently, companies in high-profile industries are more likely to disclose sustainability reports extensively in order to maintain corporate reputation and legitimacy.</w:t>
      </w:r>
    </w:p>
    <w:p w14:paraId="6F4F14BC" w14:textId="77777777" w:rsidR="00C137F8" w:rsidRPr="00A06A6E" w:rsidRDefault="00000000">
      <w:pPr>
        <w:pStyle w:val="BodyText"/>
        <w:ind w:left="628" w:right="247" w:firstLine="720"/>
        <w:jc w:val="both"/>
      </w:pPr>
      <w:r w:rsidRPr="00A06A6E">
        <w:t>Based on stakeholder theory introduced by Freeman (1984), companies are required to fulfil stakeholders’ information needs, including information related to environmental, social, and governance (ESG) performance. Companies operating in high-profile industries generally interact with more diverse stakeholders and face stronger stakeholder pressure regarding sustainability practices. Therefore, these companies tend to disclose sustainability reports more broadly in order to maintain stakeholder trust and reduce information asymmetry. Furthermore, legitimacy theory explains that companies continuously seek legitimacy from society by ensuring that their operational activities align with social norms and public expectations. High-profile industries are more vulnerable to legitimacy threats because their activities are directly associated with environmental degradation and social issues. Sustainability report disclosure is therefore used as a legitimacy mechanism to demonstrate that companies operate responsibly and comply with societal expectations regarding sustainability.</w:t>
      </w:r>
    </w:p>
    <w:p w14:paraId="47DB5A65"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4527B653" w14:textId="77777777" w:rsidR="00C137F8" w:rsidRPr="00A06A6E" w:rsidRDefault="00C137F8">
      <w:pPr>
        <w:pStyle w:val="BodyText"/>
      </w:pPr>
    </w:p>
    <w:p w14:paraId="1F8A5BA1" w14:textId="77777777" w:rsidR="00C137F8" w:rsidRPr="00A06A6E" w:rsidRDefault="00C137F8">
      <w:pPr>
        <w:pStyle w:val="BodyText"/>
      </w:pPr>
    </w:p>
    <w:p w14:paraId="19EA0249" w14:textId="77777777" w:rsidR="00C137F8" w:rsidRPr="00A06A6E" w:rsidRDefault="00C137F8">
      <w:pPr>
        <w:pStyle w:val="BodyText"/>
        <w:spacing w:before="137"/>
      </w:pPr>
    </w:p>
    <w:p w14:paraId="41667958" w14:textId="77777777" w:rsidR="00C137F8" w:rsidRPr="00A06A6E" w:rsidRDefault="00000000">
      <w:pPr>
        <w:pStyle w:val="BodyText"/>
        <w:ind w:left="628" w:right="246" w:firstLine="720"/>
        <w:jc w:val="both"/>
      </w:pPr>
      <w:r w:rsidRPr="00A06A6E">
        <w:t xml:space="preserve">Manufacturing companies, as high-profile industries, often receive greater public attention because their operational activities involve industrial production, energy </w:t>
      </w:r>
      <w:proofErr w:type="spellStart"/>
      <w:r w:rsidRPr="00A06A6E">
        <w:t>utilisation</w:t>
      </w:r>
      <w:proofErr w:type="spellEnd"/>
      <w:r w:rsidRPr="00A06A6E">
        <w:t>, waste generation, carbon emissions, and environmental risk exposure. Therefore, manufacturing companies are expected to disclose sustainability information more comprehensively in order to maintain legitimacy and strengthen corporate reputation.</w:t>
      </w:r>
    </w:p>
    <w:p w14:paraId="134A021C" w14:textId="77777777" w:rsidR="00C137F8" w:rsidRPr="00A06A6E" w:rsidRDefault="00000000">
      <w:pPr>
        <w:pStyle w:val="BodyText"/>
        <w:spacing w:before="2"/>
        <w:ind w:left="628" w:right="246" w:firstLine="720"/>
        <w:jc w:val="both"/>
      </w:pPr>
      <w:r w:rsidRPr="00A06A6E">
        <w:t xml:space="preserve">Empirically, previous studies have demonstrated that industrial type significantly influences sustainability report disclosure. Putri and </w:t>
      </w:r>
      <w:proofErr w:type="spellStart"/>
      <w:r w:rsidRPr="00A06A6E">
        <w:t>Marsono</w:t>
      </w:r>
      <w:proofErr w:type="spellEnd"/>
      <w:r w:rsidRPr="00A06A6E">
        <w:t xml:space="preserve"> (2025) found that industrial type positively affects sustainability report disclosure because companies operating in environmentally sensitive industries tend to disclose sustainability information more extensively due to higher stakeholder pressure and legitimacy concerns. Similarly, Haris and </w:t>
      </w:r>
      <w:proofErr w:type="spellStart"/>
      <w:r w:rsidRPr="00A06A6E">
        <w:t>Negoro</w:t>
      </w:r>
      <w:proofErr w:type="spellEnd"/>
      <w:r w:rsidRPr="00A06A6E">
        <w:t xml:space="preserve"> (2021) found that companies operating in industries with greater environmental exposure tend to disclose broader sustainability information because they face stronger public scrutiny and stakeholder expectations. Damayanty et al. (2022) also explained that companies with extensive operational activities and greater environmental exposure are more likely to improve sustainability disclosure practices.</w:t>
      </w:r>
    </w:p>
    <w:p w14:paraId="193F972F" w14:textId="77777777" w:rsidR="00C137F8" w:rsidRPr="00A06A6E" w:rsidRDefault="00000000">
      <w:pPr>
        <w:pStyle w:val="BodyText"/>
        <w:ind w:left="628" w:right="247" w:firstLine="720"/>
        <w:jc w:val="both"/>
      </w:pPr>
      <w:r w:rsidRPr="00A06A6E">
        <w:t xml:space="preserve">Tsang et al. (2023) stated that industrial sensitivity is one of the major determinants of ESG disclosure because companies operating in environmentally sensitive industries tend to experience stronger pressure from investors and regulators regarding sustainability transparency. Likewise, Velte (2020) explained that companies in high -profile industries generally disclose sustainability information more comprehensively because they face higher reputational and legitimacy risks. In addition, Bhatia and Marwaha (2022) found that companies operating in industries with high ESG exposure tend to achieve higher ESG disclosure scores due to stronger governance pressure and public visibility. </w:t>
      </w:r>
      <w:proofErr w:type="spellStart"/>
      <w:r w:rsidRPr="00A06A6E">
        <w:t>Buallay</w:t>
      </w:r>
      <w:proofErr w:type="spellEnd"/>
      <w:r w:rsidRPr="00A06A6E">
        <w:t xml:space="preserve"> (2022) also stated that companies operating in industries with greater sustainability risk tend to improve sustainability reporting quality to maintain stakeholder confidence and corporate reputation.</w:t>
      </w:r>
    </w:p>
    <w:p w14:paraId="3797A397" w14:textId="77777777" w:rsidR="00C137F8" w:rsidRPr="00A06A6E" w:rsidRDefault="00000000">
      <w:pPr>
        <w:pStyle w:val="BodyText"/>
        <w:ind w:left="628" w:right="248" w:firstLine="720"/>
        <w:jc w:val="both"/>
      </w:pPr>
      <w:r w:rsidRPr="00A06A6E">
        <w:t xml:space="preserve">Furthermore, Fayad et al. (2022) found that companies with greater public exposure and operational complexity tend to improve integrated reporting quality because stakeholders increasingly demand transparency regarding sustainability performance. </w:t>
      </w:r>
      <w:proofErr w:type="spellStart"/>
      <w:r w:rsidRPr="00A06A6E">
        <w:t>Eriandani</w:t>
      </w:r>
      <w:proofErr w:type="spellEnd"/>
      <w:r w:rsidRPr="00A06A6E">
        <w:t xml:space="preserve"> and Evangelia (2024) also explained that firm characteristics and industry -related exposure significantly influence sustainability disclosure quality among Indonesian public companies. However, previous studies have also shown inconsistent findings regarding the influence of industrial type on sustainability report disclosure. Some studies found a significant positive effect, while others reported insignificant relationships. These inconsistent findings indicate that industrial type remains an important variable for further investigation, particularly in manufacturing companies listed on the Indonesia Stock Exchange.</w:t>
      </w:r>
    </w:p>
    <w:p w14:paraId="4F6BB690" w14:textId="77777777" w:rsidR="00C137F8" w:rsidRPr="00A06A6E" w:rsidRDefault="00000000">
      <w:pPr>
        <w:pStyle w:val="BodyText"/>
        <w:ind w:left="628" w:right="245" w:firstLine="720"/>
        <w:jc w:val="both"/>
      </w:pPr>
      <w:r w:rsidRPr="00A06A6E">
        <w:t xml:space="preserve">Based on the theoretical explanation and previous empirical findings, it can be concluded that companies operating in high-profile industries are more likely to disclose sustainability reports more extensively than companies operating in low-profile industries. Based on the hypothesis development above, the hypothesis in this study is formulated as </w:t>
      </w:r>
      <w:r w:rsidRPr="00A06A6E">
        <w:rPr>
          <w:spacing w:val="-2"/>
        </w:rPr>
        <w:t>follows:</w:t>
      </w:r>
    </w:p>
    <w:p w14:paraId="7247A2ED" w14:textId="77777777" w:rsidR="00C137F8" w:rsidRPr="00A06A6E" w:rsidRDefault="00000000">
      <w:pPr>
        <w:pStyle w:val="BodyText"/>
        <w:spacing w:before="250"/>
        <w:ind w:left="1054" w:hanging="426"/>
      </w:pPr>
      <w:r w:rsidRPr="00A06A6E">
        <w:t>H7:</w:t>
      </w:r>
      <w:r w:rsidRPr="00A06A6E">
        <w:rPr>
          <w:spacing w:val="80"/>
        </w:rPr>
        <w:t xml:space="preserve"> </w:t>
      </w:r>
      <w:r w:rsidRPr="00A06A6E">
        <w:t>Industrial</w:t>
      </w:r>
      <w:r w:rsidRPr="00A06A6E">
        <w:rPr>
          <w:spacing w:val="80"/>
        </w:rPr>
        <w:t xml:space="preserve"> </w:t>
      </w:r>
      <w:r w:rsidRPr="00A06A6E">
        <w:t>Type</w:t>
      </w:r>
      <w:r w:rsidRPr="00A06A6E">
        <w:rPr>
          <w:spacing w:val="80"/>
        </w:rPr>
        <w:t xml:space="preserve"> </w:t>
      </w:r>
      <w:r w:rsidRPr="00A06A6E">
        <w:t>has</w:t>
      </w:r>
      <w:r w:rsidRPr="00A06A6E">
        <w:rPr>
          <w:spacing w:val="80"/>
        </w:rPr>
        <w:t xml:space="preserve"> </w:t>
      </w:r>
      <w:r w:rsidRPr="00A06A6E">
        <w:t>a</w:t>
      </w:r>
      <w:r w:rsidRPr="00A06A6E">
        <w:rPr>
          <w:spacing w:val="80"/>
        </w:rPr>
        <w:t xml:space="preserve"> </w:t>
      </w:r>
      <w:r w:rsidRPr="00A06A6E">
        <w:t>positive</w:t>
      </w:r>
      <w:r w:rsidRPr="00A06A6E">
        <w:rPr>
          <w:spacing w:val="80"/>
        </w:rPr>
        <w:t xml:space="preserve"> </w:t>
      </w:r>
      <w:r w:rsidRPr="00A06A6E">
        <w:t>influence</w:t>
      </w:r>
      <w:r w:rsidRPr="00A06A6E">
        <w:rPr>
          <w:spacing w:val="80"/>
        </w:rPr>
        <w:t xml:space="preserve"> </w:t>
      </w:r>
      <w:r w:rsidRPr="00A06A6E">
        <w:t>on</w:t>
      </w:r>
      <w:r w:rsidRPr="00A06A6E">
        <w:rPr>
          <w:spacing w:val="80"/>
        </w:rPr>
        <w:t xml:space="preserve"> </w:t>
      </w:r>
      <w:r w:rsidRPr="00A06A6E">
        <w:t>Sustainability</w:t>
      </w:r>
      <w:r w:rsidRPr="00A06A6E">
        <w:rPr>
          <w:spacing w:val="80"/>
        </w:rPr>
        <w:t xml:space="preserve"> </w:t>
      </w:r>
      <w:r w:rsidRPr="00A06A6E">
        <w:t>Report</w:t>
      </w:r>
      <w:r w:rsidRPr="00A06A6E">
        <w:rPr>
          <w:spacing w:val="80"/>
        </w:rPr>
        <w:t xml:space="preserve"> </w:t>
      </w:r>
      <w:r w:rsidRPr="00A06A6E">
        <w:t>Disclosure</w:t>
      </w:r>
      <w:r w:rsidRPr="00A06A6E">
        <w:rPr>
          <w:spacing w:val="80"/>
        </w:rPr>
        <w:t xml:space="preserve"> </w:t>
      </w:r>
      <w:r w:rsidRPr="00A06A6E">
        <w:t>in manufacturing companies listed on the Indonesia Stock Exchange.</w:t>
      </w:r>
    </w:p>
    <w:p w14:paraId="41425E86" w14:textId="77777777" w:rsidR="00C137F8" w:rsidRPr="00A06A6E" w:rsidRDefault="00C137F8">
      <w:pPr>
        <w:pStyle w:val="BodyText"/>
        <w:sectPr w:rsidR="00C137F8" w:rsidRPr="00A06A6E">
          <w:pgSz w:w="12240" w:h="15840"/>
          <w:pgMar w:top="800" w:right="1440" w:bottom="280" w:left="1080" w:header="44" w:footer="0" w:gutter="0"/>
          <w:cols w:space="720"/>
        </w:sectPr>
      </w:pPr>
    </w:p>
    <w:p w14:paraId="2A312168" w14:textId="77777777" w:rsidR="00C137F8" w:rsidRPr="00A06A6E" w:rsidRDefault="00C137F8">
      <w:pPr>
        <w:pStyle w:val="BodyText"/>
        <w:rPr>
          <w:sz w:val="24"/>
        </w:rPr>
      </w:pPr>
    </w:p>
    <w:p w14:paraId="39DB6DBF" w14:textId="77777777" w:rsidR="00C137F8" w:rsidRPr="00A06A6E" w:rsidRDefault="00C137F8">
      <w:pPr>
        <w:pStyle w:val="BodyText"/>
        <w:rPr>
          <w:sz w:val="24"/>
        </w:rPr>
      </w:pPr>
    </w:p>
    <w:p w14:paraId="320DFF7F" w14:textId="77777777" w:rsidR="00C137F8" w:rsidRPr="00A06A6E" w:rsidRDefault="00C137F8">
      <w:pPr>
        <w:pStyle w:val="BodyText"/>
        <w:spacing w:before="69"/>
        <w:rPr>
          <w:sz w:val="24"/>
        </w:rPr>
      </w:pPr>
    </w:p>
    <w:p w14:paraId="5E0F6D12" w14:textId="77777777" w:rsidR="00C137F8" w:rsidRPr="00A06A6E" w:rsidRDefault="00000000">
      <w:pPr>
        <w:pStyle w:val="Heading1"/>
        <w:spacing w:before="1"/>
        <w:jc w:val="left"/>
      </w:pPr>
      <w:proofErr w:type="spellStart"/>
      <w:r w:rsidRPr="00A06A6E">
        <w:t>Conseptual</w:t>
      </w:r>
      <w:proofErr w:type="spellEnd"/>
      <w:r w:rsidRPr="00A06A6E">
        <w:rPr>
          <w:spacing w:val="-3"/>
        </w:rPr>
        <w:t xml:space="preserve"> </w:t>
      </w:r>
      <w:r w:rsidRPr="00A06A6E">
        <w:rPr>
          <w:spacing w:val="-2"/>
        </w:rPr>
        <w:t>Framework</w:t>
      </w:r>
    </w:p>
    <w:p w14:paraId="10D845C0" w14:textId="77777777" w:rsidR="00C137F8" w:rsidRPr="00A06A6E" w:rsidRDefault="00C137F8">
      <w:pPr>
        <w:pStyle w:val="BodyText"/>
        <w:rPr>
          <w:rFonts w:ascii="Times New Roman"/>
          <w:b/>
          <w:sz w:val="20"/>
        </w:rPr>
      </w:pPr>
    </w:p>
    <w:p w14:paraId="53F8940A" w14:textId="77777777" w:rsidR="00C137F8" w:rsidRPr="00A06A6E" w:rsidRDefault="00000000">
      <w:pPr>
        <w:pStyle w:val="BodyText"/>
        <w:spacing w:before="199"/>
        <w:rPr>
          <w:rFonts w:ascii="Times New Roman"/>
          <w:b/>
          <w:sz w:val="20"/>
        </w:rPr>
      </w:pPr>
      <w:r w:rsidRPr="00A06A6E">
        <w:rPr>
          <w:rFonts w:ascii="Times New Roman"/>
          <w:b/>
          <w:noProof/>
          <w:sz w:val="20"/>
        </w:rPr>
        <mc:AlternateContent>
          <mc:Choice Requires="wpg">
            <w:drawing>
              <wp:anchor distT="0" distB="0" distL="0" distR="0" simplePos="0" relativeHeight="251664384" behindDoc="1" locked="0" layoutInCell="1" allowOverlap="1" wp14:anchorId="16F34EB4" wp14:editId="0F1F0857">
                <wp:simplePos x="0" y="0"/>
                <wp:positionH relativeFrom="page">
                  <wp:posOffset>774066</wp:posOffset>
                </wp:positionH>
                <wp:positionV relativeFrom="paragraph">
                  <wp:posOffset>288036</wp:posOffset>
                </wp:positionV>
                <wp:extent cx="5942965" cy="347217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965" cy="3472179"/>
                          <a:chOff x="0" y="0"/>
                          <a:chExt cx="5942965" cy="3472179"/>
                        </a:xfrm>
                      </wpg:grpSpPr>
                      <wps:wsp>
                        <wps:cNvPr id="3" name="Textbox 3"/>
                        <wps:cNvSpPr txBox="1"/>
                        <wps:spPr>
                          <a:xfrm>
                            <a:off x="4367122" y="2213191"/>
                            <a:ext cx="1563370" cy="315595"/>
                          </a:xfrm>
                          <a:prstGeom prst="rect">
                            <a:avLst/>
                          </a:prstGeom>
                        </wps:spPr>
                        <wps:txbx>
                          <w:txbxContent>
                            <w:p w14:paraId="7BA12D81" w14:textId="77777777" w:rsidR="00C137F8" w:rsidRDefault="00000000">
                              <w:pPr>
                                <w:spacing w:line="237" w:lineRule="auto"/>
                                <w:ind w:right="18" w:firstLine="799"/>
                                <w:rPr>
                                  <w:rFonts w:ascii="Arial"/>
                                  <w:b/>
                                </w:rPr>
                              </w:pPr>
                              <w:r>
                                <w:rPr>
                                  <w:rFonts w:ascii="Arial"/>
                                  <w:b/>
                                </w:rPr>
                                <w:t>Figure 1 Conceptual</w:t>
                              </w:r>
                              <w:r>
                                <w:rPr>
                                  <w:rFonts w:ascii="Arial"/>
                                  <w:b/>
                                  <w:spacing w:val="-16"/>
                                </w:rPr>
                                <w:t xml:space="preserve"> </w:t>
                              </w:r>
                              <w:r>
                                <w:rPr>
                                  <w:rFonts w:ascii="Arial"/>
                                  <w:b/>
                                </w:rPr>
                                <w:t>Framework</w:t>
                              </w:r>
                            </w:p>
                          </w:txbxContent>
                        </wps:txbx>
                        <wps:bodyPr wrap="square" lIns="0" tIns="0" rIns="0" bIns="0" rtlCol="0">
                          <a:noAutofit/>
                        </wps:bodyPr>
                      </wps:wsp>
                      <wps:wsp>
                        <wps:cNvPr id="4" name="Graphic 4"/>
                        <wps:cNvSpPr/>
                        <wps:spPr>
                          <a:xfrm>
                            <a:off x="1762758" y="6350"/>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000000"/>
                            </a:solidFill>
                            <a:prstDash val="solid"/>
                          </a:ln>
                        </wps:spPr>
                        <wps:bodyPr wrap="square" lIns="0" tIns="0" rIns="0" bIns="0" rtlCol="0">
                          <a:prstTxWarp prst="textNoShape">
                            <a:avLst/>
                          </a:prstTxWarp>
                          <a:noAutofit/>
                        </wps:bodyPr>
                      </wps:wsp>
                      <wps:wsp>
                        <wps:cNvPr id="5" name="Graphic 5"/>
                        <wps:cNvSpPr/>
                        <wps:spPr>
                          <a:xfrm>
                            <a:off x="1764028" y="517486"/>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2F528F"/>
                            </a:solidFill>
                            <a:prstDash val="solid"/>
                          </a:ln>
                        </wps:spPr>
                        <wps:bodyPr wrap="square" lIns="0" tIns="0" rIns="0" bIns="0" rtlCol="0">
                          <a:prstTxWarp prst="textNoShape">
                            <a:avLst/>
                          </a:prstTxWarp>
                          <a:noAutofit/>
                        </wps:bodyPr>
                      </wps:wsp>
                      <wps:wsp>
                        <wps:cNvPr id="6" name="Graphic 6"/>
                        <wps:cNvSpPr/>
                        <wps:spPr>
                          <a:xfrm>
                            <a:off x="1766568" y="1026109"/>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2F528F"/>
                            </a:solidFill>
                            <a:prstDash val="solid"/>
                          </a:ln>
                        </wps:spPr>
                        <wps:bodyPr wrap="square" lIns="0" tIns="0" rIns="0" bIns="0" rtlCol="0">
                          <a:prstTxWarp prst="textNoShape">
                            <a:avLst/>
                          </a:prstTxWarp>
                          <a:noAutofit/>
                        </wps:bodyPr>
                      </wps:wsp>
                      <wps:wsp>
                        <wps:cNvPr id="7" name="Graphic 7"/>
                        <wps:cNvSpPr/>
                        <wps:spPr>
                          <a:xfrm>
                            <a:off x="1765933" y="1537893"/>
                            <a:ext cx="1483995" cy="398780"/>
                          </a:xfrm>
                          <a:custGeom>
                            <a:avLst/>
                            <a:gdLst/>
                            <a:ahLst/>
                            <a:cxnLst/>
                            <a:rect l="l" t="t" r="r" b="b"/>
                            <a:pathLst>
                              <a:path w="1483995" h="398780">
                                <a:moveTo>
                                  <a:pt x="0" y="66464"/>
                                </a:moveTo>
                                <a:lnTo>
                                  <a:pt x="5223" y="40593"/>
                                </a:lnTo>
                                <a:lnTo>
                                  <a:pt x="19467" y="19467"/>
                                </a:lnTo>
                                <a:lnTo>
                                  <a:pt x="40593" y="5223"/>
                                </a:lnTo>
                                <a:lnTo>
                                  <a:pt x="66464" y="0"/>
                                </a:lnTo>
                                <a:lnTo>
                                  <a:pt x="1417530" y="0"/>
                                </a:lnTo>
                                <a:lnTo>
                                  <a:pt x="1443402" y="5223"/>
                                </a:lnTo>
                                <a:lnTo>
                                  <a:pt x="1464528" y="19467"/>
                                </a:lnTo>
                                <a:lnTo>
                                  <a:pt x="1478772" y="40593"/>
                                </a:lnTo>
                                <a:lnTo>
                                  <a:pt x="1483995" y="66464"/>
                                </a:lnTo>
                                <a:lnTo>
                                  <a:pt x="1483995" y="332315"/>
                                </a:lnTo>
                                <a:lnTo>
                                  <a:pt x="1478772" y="358186"/>
                                </a:lnTo>
                                <a:lnTo>
                                  <a:pt x="1464528" y="379313"/>
                                </a:lnTo>
                                <a:lnTo>
                                  <a:pt x="1443402" y="393557"/>
                                </a:lnTo>
                                <a:lnTo>
                                  <a:pt x="1417530" y="398780"/>
                                </a:lnTo>
                                <a:lnTo>
                                  <a:pt x="66464" y="398780"/>
                                </a:lnTo>
                                <a:lnTo>
                                  <a:pt x="40593" y="393557"/>
                                </a:lnTo>
                                <a:lnTo>
                                  <a:pt x="19467" y="379313"/>
                                </a:lnTo>
                                <a:lnTo>
                                  <a:pt x="5223" y="358186"/>
                                </a:lnTo>
                                <a:lnTo>
                                  <a:pt x="0" y="332315"/>
                                </a:lnTo>
                                <a:lnTo>
                                  <a:pt x="0" y="66464"/>
                                </a:lnTo>
                                <a:close/>
                              </a:path>
                            </a:pathLst>
                          </a:custGeom>
                          <a:ln w="12700">
                            <a:solidFill>
                              <a:srgbClr val="2F528F"/>
                            </a:solidFill>
                            <a:prstDash val="solid"/>
                          </a:ln>
                        </wps:spPr>
                        <wps:bodyPr wrap="square" lIns="0" tIns="0" rIns="0" bIns="0" rtlCol="0">
                          <a:prstTxWarp prst="textNoShape">
                            <a:avLst/>
                          </a:prstTxWarp>
                          <a:noAutofit/>
                        </wps:bodyPr>
                      </wps:wsp>
                      <wps:wsp>
                        <wps:cNvPr id="8" name="Graphic 8"/>
                        <wps:cNvSpPr/>
                        <wps:spPr>
                          <a:xfrm>
                            <a:off x="1764028" y="2026196"/>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2F528F"/>
                            </a:solidFill>
                            <a:prstDash val="solid"/>
                          </a:ln>
                        </wps:spPr>
                        <wps:bodyPr wrap="square" lIns="0" tIns="0" rIns="0" bIns="0" rtlCol="0">
                          <a:prstTxWarp prst="textNoShape">
                            <a:avLst/>
                          </a:prstTxWarp>
                          <a:noAutofit/>
                        </wps:bodyPr>
                      </wps:wsp>
                      <wps:wsp>
                        <wps:cNvPr id="9" name="Graphic 9"/>
                        <wps:cNvSpPr/>
                        <wps:spPr>
                          <a:xfrm>
                            <a:off x="1761488" y="2521483"/>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2F528F"/>
                            </a:solidFill>
                            <a:prstDash val="solid"/>
                          </a:ln>
                        </wps:spPr>
                        <wps:bodyPr wrap="square" lIns="0" tIns="0" rIns="0" bIns="0" rtlCol="0">
                          <a:prstTxWarp prst="textNoShape">
                            <a:avLst/>
                          </a:prstTxWarp>
                          <a:noAutofit/>
                        </wps:bodyPr>
                      </wps:wsp>
                      <wps:wsp>
                        <wps:cNvPr id="10" name="Graphic 10"/>
                        <wps:cNvSpPr/>
                        <wps:spPr>
                          <a:xfrm>
                            <a:off x="4452618" y="1569008"/>
                            <a:ext cx="1483995" cy="542925"/>
                          </a:xfrm>
                          <a:custGeom>
                            <a:avLst/>
                            <a:gdLst/>
                            <a:ahLst/>
                            <a:cxnLst/>
                            <a:rect l="l" t="t" r="r" b="b"/>
                            <a:pathLst>
                              <a:path w="1483995" h="542925">
                                <a:moveTo>
                                  <a:pt x="0" y="90489"/>
                                </a:moveTo>
                                <a:lnTo>
                                  <a:pt x="7111" y="55266"/>
                                </a:lnTo>
                                <a:lnTo>
                                  <a:pt x="26503" y="26503"/>
                                </a:lnTo>
                                <a:lnTo>
                                  <a:pt x="55266" y="7111"/>
                                </a:lnTo>
                                <a:lnTo>
                                  <a:pt x="90489" y="0"/>
                                </a:lnTo>
                                <a:lnTo>
                                  <a:pt x="1393506" y="0"/>
                                </a:lnTo>
                                <a:lnTo>
                                  <a:pt x="1428729" y="7111"/>
                                </a:lnTo>
                                <a:lnTo>
                                  <a:pt x="1457492" y="26503"/>
                                </a:lnTo>
                                <a:lnTo>
                                  <a:pt x="1476884" y="55266"/>
                                </a:lnTo>
                                <a:lnTo>
                                  <a:pt x="1483995" y="90489"/>
                                </a:lnTo>
                                <a:lnTo>
                                  <a:pt x="1483995" y="452436"/>
                                </a:lnTo>
                                <a:lnTo>
                                  <a:pt x="1476884" y="487658"/>
                                </a:lnTo>
                                <a:lnTo>
                                  <a:pt x="1457492" y="516421"/>
                                </a:lnTo>
                                <a:lnTo>
                                  <a:pt x="1428729" y="535814"/>
                                </a:lnTo>
                                <a:lnTo>
                                  <a:pt x="1393506" y="542925"/>
                                </a:lnTo>
                                <a:lnTo>
                                  <a:pt x="90489" y="542925"/>
                                </a:lnTo>
                                <a:lnTo>
                                  <a:pt x="55266" y="535814"/>
                                </a:lnTo>
                                <a:lnTo>
                                  <a:pt x="26503" y="516421"/>
                                </a:lnTo>
                                <a:lnTo>
                                  <a:pt x="7111" y="487658"/>
                                </a:lnTo>
                                <a:lnTo>
                                  <a:pt x="0" y="452436"/>
                                </a:lnTo>
                                <a:lnTo>
                                  <a:pt x="0" y="90489"/>
                                </a:lnTo>
                                <a:close/>
                              </a:path>
                            </a:pathLst>
                          </a:custGeom>
                          <a:ln w="12700">
                            <a:solidFill>
                              <a:srgbClr val="2F528F"/>
                            </a:solidFill>
                            <a:prstDash val="solid"/>
                          </a:ln>
                        </wps:spPr>
                        <wps:bodyPr wrap="square" lIns="0" tIns="0" rIns="0" bIns="0" rtlCol="0">
                          <a:prstTxWarp prst="textNoShape">
                            <a:avLst/>
                          </a:prstTxWarp>
                          <a:noAutofit/>
                        </wps:bodyPr>
                      </wps:wsp>
                      <wps:wsp>
                        <wps:cNvPr id="11" name="Graphic 11"/>
                        <wps:cNvSpPr/>
                        <wps:spPr>
                          <a:xfrm>
                            <a:off x="1760853" y="3068205"/>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2F528F"/>
                            </a:solidFill>
                            <a:prstDash val="solid"/>
                          </a:ln>
                        </wps:spPr>
                        <wps:bodyPr wrap="square" lIns="0" tIns="0" rIns="0" bIns="0" rtlCol="0">
                          <a:prstTxWarp prst="textNoShape">
                            <a:avLst/>
                          </a:prstTxWarp>
                          <a:noAutofit/>
                        </wps:bodyPr>
                      </wps:wsp>
                      <wps:wsp>
                        <wps:cNvPr id="12" name="Graphic 12"/>
                        <wps:cNvSpPr/>
                        <wps:spPr>
                          <a:xfrm>
                            <a:off x="11427" y="528942"/>
                            <a:ext cx="1483995" cy="493395"/>
                          </a:xfrm>
                          <a:custGeom>
                            <a:avLst/>
                            <a:gdLst/>
                            <a:ahLst/>
                            <a:cxnLst/>
                            <a:rect l="l" t="t" r="r" b="b"/>
                            <a:pathLst>
                              <a:path w="1483995" h="493395">
                                <a:moveTo>
                                  <a:pt x="0" y="82234"/>
                                </a:moveTo>
                                <a:lnTo>
                                  <a:pt x="6462" y="50225"/>
                                </a:lnTo>
                                <a:lnTo>
                                  <a:pt x="24086" y="24086"/>
                                </a:lnTo>
                                <a:lnTo>
                                  <a:pt x="50225" y="6462"/>
                                </a:lnTo>
                                <a:lnTo>
                                  <a:pt x="82234" y="0"/>
                                </a:lnTo>
                                <a:lnTo>
                                  <a:pt x="1401760" y="0"/>
                                </a:lnTo>
                                <a:lnTo>
                                  <a:pt x="1433770" y="6462"/>
                                </a:lnTo>
                                <a:lnTo>
                                  <a:pt x="1459909" y="24086"/>
                                </a:lnTo>
                                <a:lnTo>
                                  <a:pt x="1477533" y="50225"/>
                                </a:lnTo>
                                <a:lnTo>
                                  <a:pt x="1483995" y="82234"/>
                                </a:lnTo>
                                <a:lnTo>
                                  <a:pt x="1483995" y="411160"/>
                                </a:lnTo>
                                <a:lnTo>
                                  <a:pt x="1477533" y="443169"/>
                                </a:lnTo>
                                <a:lnTo>
                                  <a:pt x="1459909" y="469309"/>
                                </a:lnTo>
                                <a:lnTo>
                                  <a:pt x="1433770" y="486932"/>
                                </a:lnTo>
                                <a:lnTo>
                                  <a:pt x="1401760" y="493395"/>
                                </a:lnTo>
                                <a:lnTo>
                                  <a:pt x="82234" y="493395"/>
                                </a:lnTo>
                                <a:lnTo>
                                  <a:pt x="50225" y="486932"/>
                                </a:lnTo>
                                <a:lnTo>
                                  <a:pt x="24086" y="469309"/>
                                </a:lnTo>
                                <a:lnTo>
                                  <a:pt x="6462" y="443169"/>
                                </a:lnTo>
                                <a:lnTo>
                                  <a:pt x="0" y="411160"/>
                                </a:lnTo>
                                <a:lnTo>
                                  <a:pt x="0" y="82234"/>
                                </a:lnTo>
                                <a:close/>
                              </a:path>
                            </a:pathLst>
                          </a:custGeom>
                          <a:ln w="12700">
                            <a:solidFill>
                              <a:srgbClr val="2F528F"/>
                            </a:solidFill>
                            <a:prstDash val="solid"/>
                          </a:ln>
                        </wps:spPr>
                        <wps:bodyPr wrap="square" lIns="0" tIns="0" rIns="0" bIns="0" rtlCol="0">
                          <a:prstTxWarp prst="textNoShape">
                            <a:avLst/>
                          </a:prstTxWarp>
                          <a:noAutofit/>
                        </wps:bodyPr>
                      </wps:wsp>
                      <wps:wsp>
                        <wps:cNvPr id="13" name="Graphic 13"/>
                        <wps:cNvSpPr/>
                        <wps:spPr>
                          <a:xfrm>
                            <a:off x="11427" y="1706168"/>
                            <a:ext cx="1483995" cy="462280"/>
                          </a:xfrm>
                          <a:custGeom>
                            <a:avLst/>
                            <a:gdLst/>
                            <a:ahLst/>
                            <a:cxnLst/>
                            <a:rect l="l" t="t" r="r" b="b"/>
                            <a:pathLst>
                              <a:path w="1483995" h="462280">
                                <a:moveTo>
                                  <a:pt x="0" y="77048"/>
                                </a:moveTo>
                                <a:lnTo>
                                  <a:pt x="6054" y="47057"/>
                                </a:lnTo>
                                <a:lnTo>
                                  <a:pt x="22566" y="22566"/>
                                </a:lnTo>
                                <a:lnTo>
                                  <a:pt x="47057" y="6054"/>
                                </a:lnTo>
                                <a:lnTo>
                                  <a:pt x="77048" y="0"/>
                                </a:lnTo>
                                <a:lnTo>
                                  <a:pt x="1406947" y="0"/>
                                </a:lnTo>
                                <a:lnTo>
                                  <a:pt x="1436938" y="6054"/>
                                </a:lnTo>
                                <a:lnTo>
                                  <a:pt x="1461428" y="22566"/>
                                </a:lnTo>
                                <a:lnTo>
                                  <a:pt x="1477940" y="47057"/>
                                </a:lnTo>
                                <a:lnTo>
                                  <a:pt x="1483995" y="77048"/>
                                </a:lnTo>
                                <a:lnTo>
                                  <a:pt x="1483995" y="385232"/>
                                </a:lnTo>
                                <a:lnTo>
                                  <a:pt x="1477940" y="415222"/>
                                </a:lnTo>
                                <a:lnTo>
                                  <a:pt x="1461428" y="439713"/>
                                </a:lnTo>
                                <a:lnTo>
                                  <a:pt x="1436938" y="456225"/>
                                </a:lnTo>
                                <a:lnTo>
                                  <a:pt x="1406947" y="462280"/>
                                </a:lnTo>
                                <a:lnTo>
                                  <a:pt x="77048" y="462280"/>
                                </a:lnTo>
                                <a:lnTo>
                                  <a:pt x="47057" y="456225"/>
                                </a:lnTo>
                                <a:lnTo>
                                  <a:pt x="22566" y="439713"/>
                                </a:lnTo>
                                <a:lnTo>
                                  <a:pt x="6054" y="415222"/>
                                </a:lnTo>
                                <a:lnTo>
                                  <a:pt x="0" y="385232"/>
                                </a:lnTo>
                                <a:lnTo>
                                  <a:pt x="0" y="77048"/>
                                </a:lnTo>
                                <a:close/>
                              </a:path>
                            </a:pathLst>
                          </a:custGeom>
                          <a:ln w="12700">
                            <a:solidFill>
                              <a:srgbClr val="2F528F"/>
                            </a:solidFill>
                            <a:prstDash val="solid"/>
                          </a:ln>
                        </wps:spPr>
                        <wps:bodyPr wrap="square" lIns="0" tIns="0" rIns="0" bIns="0" rtlCol="0">
                          <a:prstTxWarp prst="textNoShape">
                            <a:avLst/>
                          </a:prstTxWarp>
                          <a:noAutofit/>
                        </wps:bodyPr>
                      </wps:wsp>
                      <wps:wsp>
                        <wps:cNvPr id="14" name="Graphic 14"/>
                        <wps:cNvSpPr/>
                        <wps:spPr>
                          <a:xfrm>
                            <a:off x="6350" y="2700553"/>
                            <a:ext cx="1483995" cy="397510"/>
                          </a:xfrm>
                          <a:custGeom>
                            <a:avLst/>
                            <a:gdLst/>
                            <a:ahLst/>
                            <a:cxnLst/>
                            <a:rect l="l" t="t" r="r" b="b"/>
                            <a:pathLst>
                              <a:path w="1483995" h="397510">
                                <a:moveTo>
                                  <a:pt x="0" y="66252"/>
                                </a:moveTo>
                                <a:lnTo>
                                  <a:pt x="5206" y="40464"/>
                                </a:lnTo>
                                <a:lnTo>
                                  <a:pt x="19404" y="19404"/>
                                </a:lnTo>
                                <a:lnTo>
                                  <a:pt x="40463" y="5206"/>
                                </a:lnTo>
                                <a:lnTo>
                                  <a:pt x="66252" y="0"/>
                                </a:lnTo>
                                <a:lnTo>
                                  <a:pt x="1417743" y="0"/>
                                </a:lnTo>
                                <a:lnTo>
                                  <a:pt x="1443532" y="5206"/>
                                </a:lnTo>
                                <a:lnTo>
                                  <a:pt x="1464591" y="19404"/>
                                </a:lnTo>
                                <a:lnTo>
                                  <a:pt x="1478789" y="40464"/>
                                </a:lnTo>
                                <a:lnTo>
                                  <a:pt x="1483995" y="66252"/>
                                </a:lnTo>
                                <a:lnTo>
                                  <a:pt x="1483995" y="331258"/>
                                </a:lnTo>
                                <a:lnTo>
                                  <a:pt x="1478789" y="357046"/>
                                </a:lnTo>
                                <a:lnTo>
                                  <a:pt x="1464591" y="378105"/>
                                </a:lnTo>
                                <a:lnTo>
                                  <a:pt x="1443532" y="392303"/>
                                </a:lnTo>
                                <a:lnTo>
                                  <a:pt x="1417743" y="397510"/>
                                </a:lnTo>
                                <a:lnTo>
                                  <a:pt x="66252" y="397510"/>
                                </a:lnTo>
                                <a:lnTo>
                                  <a:pt x="40463" y="392303"/>
                                </a:lnTo>
                                <a:lnTo>
                                  <a:pt x="19404" y="378105"/>
                                </a:lnTo>
                                <a:lnTo>
                                  <a:pt x="5206" y="357046"/>
                                </a:lnTo>
                                <a:lnTo>
                                  <a:pt x="0" y="331258"/>
                                </a:lnTo>
                                <a:lnTo>
                                  <a:pt x="0" y="66252"/>
                                </a:lnTo>
                                <a:close/>
                              </a:path>
                            </a:pathLst>
                          </a:custGeom>
                          <a:ln w="12700">
                            <a:solidFill>
                              <a:srgbClr val="2F528F"/>
                            </a:solidFill>
                            <a:prstDash val="solid"/>
                          </a:ln>
                        </wps:spPr>
                        <wps:bodyPr wrap="square" lIns="0" tIns="0" rIns="0" bIns="0" rtlCol="0">
                          <a:prstTxWarp prst="textNoShape">
                            <a:avLst/>
                          </a:prstTxWarp>
                          <a:noAutofit/>
                        </wps:bodyPr>
                      </wps:wsp>
                      <wps:wsp>
                        <wps:cNvPr id="15" name="Graphic 15"/>
                        <wps:cNvSpPr/>
                        <wps:spPr>
                          <a:xfrm>
                            <a:off x="1494788" y="213982"/>
                            <a:ext cx="260350" cy="1040130"/>
                          </a:xfrm>
                          <a:custGeom>
                            <a:avLst/>
                            <a:gdLst/>
                            <a:ahLst/>
                            <a:cxnLst/>
                            <a:rect l="l" t="t" r="r" b="b"/>
                            <a:pathLst>
                              <a:path w="260350" h="1040130">
                                <a:moveTo>
                                  <a:pt x="260350" y="1040130"/>
                                </a:moveTo>
                                <a:lnTo>
                                  <a:pt x="209679" y="1038425"/>
                                </a:lnTo>
                                <a:lnTo>
                                  <a:pt x="168301" y="1033776"/>
                                </a:lnTo>
                                <a:lnTo>
                                  <a:pt x="140403" y="1026880"/>
                                </a:lnTo>
                                <a:lnTo>
                                  <a:pt x="130174" y="1018436"/>
                                </a:lnTo>
                                <a:lnTo>
                                  <a:pt x="130176" y="541759"/>
                                </a:lnTo>
                                <a:lnTo>
                                  <a:pt x="119946" y="533315"/>
                                </a:lnTo>
                                <a:lnTo>
                                  <a:pt x="92048" y="526419"/>
                                </a:lnTo>
                                <a:lnTo>
                                  <a:pt x="50670" y="521770"/>
                                </a:lnTo>
                                <a:lnTo>
                                  <a:pt x="0" y="520065"/>
                                </a:lnTo>
                                <a:lnTo>
                                  <a:pt x="50670" y="518360"/>
                                </a:lnTo>
                                <a:lnTo>
                                  <a:pt x="92048" y="513711"/>
                                </a:lnTo>
                                <a:lnTo>
                                  <a:pt x="119946" y="506815"/>
                                </a:lnTo>
                                <a:lnTo>
                                  <a:pt x="130176" y="498371"/>
                                </a:lnTo>
                                <a:lnTo>
                                  <a:pt x="130176" y="21694"/>
                                </a:lnTo>
                                <a:lnTo>
                                  <a:pt x="140405" y="13249"/>
                                </a:lnTo>
                                <a:lnTo>
                                  <a:pt x="168303" y="6354"/>
                                </a:lnTo>
                                <a:lnTo>
                                  <a:pt x="209680" y="1704"/>
                                </a:lnTo>
                                <a:lnTo>
                                  <a:pt x="260351" y="0"/>
                                </a:lnTo>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1496693" y="1706168"/>
                            <a:ext cx="268605" cy="525145"/>
                          </a:xfrm>
                          <a:custGeom>
                            <a:avLst/>
                            <a:gdLst/>
                            <a:ahLst/>
                            <a:cxnLst/>
                            <a:rect l="l" t="t" r="r" b="b"/>
                            <a:pathLst>
                              <a:path w="268605" h="525145">
                                <a:moveTo>
                                  <a:pt x="268605" y="525145"/>
                                </a:moveTo>
                                <a:lnTo>
                                  <a:pt x="216328" y="523386"/>
                                </a:lnTo>
                                <a:lnTo>
                                  <a:pt x="173639" y="518589"/>
                                </a:lnTo>
                                <a:lnTo>
                                  <a:pt x="144857" y="511474"/>
                                </a:lnTo>
                                <a:lnTo>
                                  <a:pt x="134303" y="502762"/>
                                </a:lnTo>
                                <a:lnTo>
                                  <a:pt x="134303" y="284956"/>
                                </a:lnTo>
                                <a:lnTo>
                                  <a:pt x="123748" y="276243"/>
                                </a:lnTo>
                                <a:lnTo>
                                  <a:pt x="94966" y="269128"/>
                                </a:lnTo>
                                <a:lnTo>
                                  <a:pt x="52276" y="264332"/>
                                </a:lnTo>
                                <a:lnTo>
                                  <a:pt x="0" y="262573"/>
                                </a:lnTo>
                                <a:lnTo>
                                  <a:pt x="52276" y="260814"/>
                                </a:lnTo>
                                <a:lnTo>
                                  <a:pt x="94966" y="256017"/>
                                </a:lnTo>
                                <a:lnTo>
                                  <a:pt x="123748" y="248902"/>
                                </a:lnTo>
                                <a:lnTo>
                                  <a:pt x="134303" y="240190"/>
                                </a:lnTo>
                                <a:lnTo>
                                  <a:pt x="134303" y="22383"/>
                                </a:lnTo>
                                <a:lnTo>
                                  <a:pt x="144857" y="13670"/>
                                </a:lnTo>
                                <a:lnTo>
                                  <a:pt x="173639" y="6555"/>
                                </a:lnTo>
                                <a:lnTo>
                                  <a:pt x="216328" y="1758"/>
                                </a:lnTo>
                                <a:lnTo>
                                  <a:pt x="268605" y="0"/>
                                </a:lnTo>
                              </a:path>
                            </a:pathLst>
                          </a:custGeom>
                          <a:ln w="12700">
                            <a:solidFill>
                              <a:srgbClr val="000000"/>
                            </a:solidFill>
                            <a:prstDash val="solid"/>
                          </a:ln>
                        </wps:spPr>
                        <wps:bodyPr wrap="square" lIns="0" tIns="0" rIns="0" bIns="0" rtlCol="0">
                          <a:prstTxWarp prst="textNoShape">
                            <a:avLst/>
                          </a:prstTxWarp>
                          <a:noAutofit/>
                        </wps:bodyPr>
                      </wps:wsp>
                      <wps:wsp>
                        <wps:cNvPr id="17" name="Graphic 17"/>
                        <wps:cNvSpPr/>
                        <wps:spPr>
                          <a:xfrm>
                            <a:off x="1494788" y="2704998"/>
                            <a:ext cx="260350" cy="556895"/>
                          </a:xfrm>
                          <a:custGeom>
                            <a:avLst/>
                            <a:gdLst/>
                            <a:ahLst/>
                            <a:cxnLst/>
                            <a:rect l="l" t="t" r="r" b="b"/>
                            <a:pathLst>
                              <a:path w="260350" h="556895">
                                <a:moveTo>
                                  <a:pt x="260350" y="556895"/>
                                </a:moveTo>
                                <a:lnTo>
                                  <a:pt x="209679" y="555190"/>
                                </a:lnTo>
                                <a:lnTo>
                                  <a:pt x="168302" y="550541"/>
                                </a:lnTo>
                                <a:lnTo>
                                  <a:pt x="140404" y="543645"/>
                                </a:lnTo>
                                <a:lnTo>
                                  <a:pt x="130175" y="535200"/>
                                </a:lnTo>
                                <a:lnTo>
                                  <a:pt x="130175" y="300142"/>
                                </a:lnTo>
                                <a:lnTo>
                                  <a:pt x="119945" y="291697"/>
                                </a:lnTo>
                                <a:lnTo>
                                  <a:pt x="92047" y="284802"/>
                                </a:lnTo>
                                <a:lnTo>
                                  <a:pt x="50670" y="280153"/>
                                </a:lnTo>
                                <a:lnTo>
                                  <a:pt x="0" y="278448"/>
                                </a:lnTo>
                                <a:lnTo>
                                  <a:pt x="50670" y="276743"/>
                                </a:lnTo>
                                <a:lnTo>
                                  <a:pt x="92047" y="272093"/>
                                </a:lnTo>
                                <a:lnTo>
                                  <a:pt x="119945" y="265197"/>
                                </a:lnTo>
                                <a:lnTo>
                                  <a:pt x="130175" y="256753"/>
                                </a:lnTo>
                                <a:lnTo>
                                  <a:pt x="130175" y="21694"/>
                                </a:lnTo>
                                <a:lnTo>
                                  <a:pt x="140404" y="13250"/>
                                </a:lnTo>
                                <a:lnTo>
                                  <a:pt x="168302" y="6354"/>
                                </a:lnTo>
                                <a:lnTo>
                                  <a:pt x="209679" y="1704"/>
                                </a:lnTo>
                                <a:lnTo>
                                  <a:pt x="260350" y="0"/>
                                </a:lnTo>
                              </a:path>
                            </a:pathLst>
                          </a:custGeom>
                          <a:ln w="12700">
                            <a:solidFill>
                              <a:srgbClr val="000000"/>
                            </a:solidFill>
                            <a:prstDash val="solid"/>
                          </a:ln>
                        </wps:spPr>
                        <wps:bodyPr wrap="square" lIns="0" tIns="0" rIns="0" bIns="0" rtlCol="0">
                          <a:prstTxWarp prst="textNoShape">
                            <a:avLst/>
                          </a:prstTxWarp>
                          <a:noAutofit/>
                        </wps:bodyPr>
                      </wps:wsp>
                      <wps:wsp>
                        <wps:cNvPr id="18" name="Graphic 18"/>
                        <wps:cNvSpPr/>
                        <wps:spPr>
                          <a:xfrm>
                            <a:off x="3232872" y="209968"/>
                            <a:ext cx="1223645" cy="3056255"/>
                          </a:xfrm>
                          <a:custGeom>
                            <a:avLst/>
                            <a:gdLst/>
                            <a:ahLst/>
                            <a:cxnLst/>
                            <a:rect l="l" t="t" r="r" b="b"/>
                            <a:pathLst>
                              <a:path w="1223645" h="3056255">
                                <a:moveTo>
                                  <a:pt x="1221016" y="1811782"/>
                                </a:moveTo>
                                <a:lnTo>
                                  <a:pt x="1135926" y="1816112"/>
                                </a:lnTo>
                                <a:lnTo>
                                  <a:pt x="1151547" y="1843760"/>
                                </a:lnTo>
                                <a:lnTo>
                                  <a:pt x="1231" y="2493962"/>
                                </a:lnTo>
                                <a:lnTo>
                                  <a:pt x="7480" y="2505011"/>
                                </a:lnTo>
                                <a:lnTo>
                                  <a:pt x="1157795" y="1854809"/>
                                </a:lnTo>
                                <a:lnTo>
                                  <a:pt x="1173429" y="1882444"/>
                                </a:lnTo>
                                <a:lnTo>
                                  <a:pt x="1203693" y="1837499"/>
                                </a:lnTo>
                                <a:lnTo>
                                  <a:pt x="1221016" y="1811782"/>
                                </a:lnTo>
                                <a:close/>
                              </a:path>
                              <a:path w="1223645" h="3056255">
                                <a:moveTo>
                                  <a:pt x="1222921" y="1496263"/>
                                </a:moveTo>
                                <a:lnTo>
                                  <a:pt x="1212786" y="1451051"/>
                                </a:lnTo>
                                <a:lnTo>
                                  <a:pt x="1204302" y="1413129"/>
                                </a:lnTo>
                                <a:lnTo>
                                  <a:pt x="1179677" y="1433195"/>
                                </a:lnTo>
                                <a:lnTo>
                                  <a:pt x="11188" y="0"/>
                                </a:lnTo>
                                <a:lnTo>
                                  <a:pt x="1346" y="8026"/>
                                </a:lnTo>
                                <a:lnTo>
                                  <a:pt x="1169847" y="1441221"/>
                                </a:lnTo>
                                <a:lnTo>
                                  <a:pt x="1145235" y="1461274"/>
                                </a:lnTo>
                                <a:lnTo>
                                  <a:pt x="1222921" y="1496263"/>
                                </a:lnTo>
                                <a:close/>
                              </a:path>
                              <a:path w="1223645" h="3056255">
                                <a:moveTo>
                                  <a:pt x="1223556" y="1902587"/>
                                </a:moveTo>
                                <a:lnTo>
                                  <a:pt x="1141971" y="1927110"/>
                                </a:lnTo>
                                <a:lnTo>
                                  <a:pt x="1163739" y="1950224"/>
                                </a:lnTo>
                                <a:lnTo>
                                  <a:pt x="0" y="3046679"/>
                                </a:lnTo>
                                <a:lnTo>
                                  <a:pt x="8712" y="3055924"/>
                                </a:lnTo>
                                <a:lnTo>
                                  <a:pt x="1172438" y="1959470"/>
                                </a:lnTo>
                                <a:lnTo>
                                  <a:pt x="1194219" y="1982571"/>
                                </a:lnTo>
                                <a:lnTo>
                                  <a:pt x="1209268" y="1941512"/>
                                </a:lnTo>
                                <a:lnTo>
                                  <a:pt x="1223556" y="1902587"/>
                                </a:lnTo>
                                <a:close/>
                              </a:path>
                              <a:path w="1223645" h="3056255">
                                <a:moveTo>
                                  <a:pt x="1223556" y="1726692"/>
                                </a:moveTo>
                                <a:lnTo>
                                  <a:pt x="1216253" y="1721154"/>
                                </a:lnTo>
                                <a:lnTo>
                                  <a:pt x="1155763" y="1675117"/>
                                </a:lnTo>
                                <a:lnTo>
                                  <a:pt x="1149858" y="1706321"/>
                                </a:lnTo>
                                <a:lnTo>
                                  <a:pt x="5537" y="1489964"/>
                                </a:lnTo>
                                <a:lnTo>
                                  <a:pt x="3175" y="1502460"/>
                                </a:lnTo>
                                <a:lnTo>
                                  <a:pt x="1143101" y="1717979"/>
                                </a:lnTo>
                                <a:lnTo>
                                  <a:pt x="1145641" y="1728597"/>
                                </a:lnTo>
                                <a:lnTo>
                                  <a:pt x="1143609" y="1739315"/>
                                </a:lnTo>
                                <a:lnTo>
                                  <a:pt x="2870" y="2012619"/>
                                </a:lnTo>
                                <a:lnTo>
                                  <a:pt x="5829" y="2024964"/>
                                </a:lnTo>
                                <a:lnTo>
                                  <a:pt x="1150924" y="1750618"/>
                                </a:lnTo>
                                <a:lnTo>
                                  <a:pt x="1158328" y="1781492"/>
                                </a:lnTo>
                                <a:lnTo>
                                  <a:pt x="1213281" y="1735315"/>
                                </a:lnTo>
                                <a:lnTo>
                                  <a:pt x="1223530" y="1726717"/>
                                </a:lnTo>
                                <a:close/>
                              </a:path>
                              <a:path w="1223645" h="3056255">
                                <a:moveTo>
                                  <a:pt x="1223556" y="1664487"/>
                                </a:moveTo>
                                <a:lnTo>
                                  <a:pt x="1206449" y="1641360"/>
                                </a:lnTo>
                                <a:lnTo>
                                  <a:pt x="1172921" y="1595970"/>
                                </a:lnTo>
                                <a:lnTo>
                                  <a:pt x="1158519" y="1624279"/>
                                </a:lnTo>
                                <a:lnTo>
                                  <a:pt x="7239" y="1038440"/>
                                </a:lnTo>
                                <a:lnTo>
                                  <a:pt x="1473" y="1049756"/>
                                </a:lnTo>
                                <a:lnTo>
                                  <a:pt x="1152753" y="1635594"/>
                                </a:lnTo>
                                <a:lnTo>
                                  <a:pt x="1138364" y="1663890"/>
                                </a:lnTo>
                                <a:lnTo>
                                  <a:pt x="1223556" y="1664487"/>
                                </a:lnTo>
                                <a:close/>
                              </a:path>
                              <a:path w="1223645" h="3056255">
                                <a:moveTo>
                                  <a:pt x="1223556" y="1601025"/>
                                </a:moveTo>
                                <a:lnTo>
                                  <a:pt x="1208557" y="1563636"/>
                                </a:lnTo>
                                <a:lnTo>
                                  <a:pt x="1191856" y="1521942"/>
                                </a:lnTo>
                                <a:lnTo>
                                  <a:pt x="1170774" y="1545704"/>
                                </a:lnTo>
                                <a:lnTo>
                                  <a:pt x="8572" y="514235"/>
                                </a:lnTo>
                                <a:lnTo>
                                  <a:pt x="139" y="523735"/>
                                </a:lnTo>
                                <a:lnTo>
                                  <a:pt x="1162342" y="1555191"/>
                                </a:lnTo>
                                <a:lnTo>
                                  <a:pt x="1141272" y="1578940"/>
                                </a:lnTo>
                                <a:lnTo>
                                  <a:pt x="1223556" y="1601025"/>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2151457" y="116170"/>
                            <a:ext cx="696595" cy="156845"/>
                          </a:xfrm>
                          <a:prstGeom prst="rect">
                            <a:avLst/>
                          </a:prstGeom>
                        </wps:spPr>
                        <wps:txbx>
                          <w:txbxContent>
                            <w:p w14:paraId="646E1CB7" w14:textId="77777777" w:rsidR="00C137F8" w:rsidRDefault="00000000">
                              <w:pPr>
                                <w:spacing w:line="247" w:lineRule="exact"/>
                              </w:pPr>
                              <w:r>
                                <w:rPr>
                                  <w:spacing w:val="-2"/>
                                </w:rPr>
                                <w:t>Profitability</w:t>
                              </w:r>
                            </w:p>
                          </w:txbxContent>
                        </wps:txbx>
                        <wps:bodyPr wrap="square" lIns="0" tIns="0" rIns="0" bIns="0" rtlCol="0">
                          <a:noAutofit/>
                        </wps:bodyPr>
                      </wps:wsp>
                      <wps:wsp>
                        <wps:cNvPr id="20" name="Textbox 20"/>
                        <wps:cNvSpPr txBox="1"/>
                        <wps:spPr>
                          <a:xfrm>
                            <a:off x="353896" y="620980"/>
                            <a:ext cx="789940" cy="289560"/>
                          </a:xfrm>
                          <a:prstGeom prst="rect">
                            <a:avLst/>
                          </a:prstGeom>
                        </wps:spPr>
                        <wps:txbx>
                          <w:txbxContent>
                            <w:p w14:paraId="7EFBE5E7" w14:textId="77777777" w:rsidR="00C137F8" w:rsidRDefault="00000000">
                              <w:pPr>
                                <w:ind w:right="18" w:firstLine="177"/>
                                <w:rPr>
                                  <w:rFonts w:ascii="Arial"/>
                                  <w:b/>
                                  <w:sz w:val="20"/>
                                </w:rPr>
                              </w:pPr>
                              <w:r>
                                <w:rPr>
                                  <w:rFonts w:ascii="Arial"/>
                                  <w:b/>
                                  <w:spacing w:val="-2"/>
                                  <w:sz w:val="20"/>
                                </w:rPr>
                                <w:t>Financial Performance</w:t>
                              </w:r>
                            </w:p>
                          </w:txbxContent>
                        </wps:txbx>
                        <wps:bodyPr wrap="square" lIns="0" tIns="0" rIns="0" bIns="0" rtlCol="0">
                          <a:noAutofit/>
                        </wps:bodyPr>
                      </wps:wsp>
                      <wps:wsp>
                        <wps:cNvPr id="21" name="Textbox 21"/>
                        <wps:cNvSpPr txBox="1"/>
                        <wps:spPr>
                          <a:xfrm>
                            <a:off x="2201806" y="628223"/>
                            <a:ext cx="595630" cy="156845"/>
                          </a:xfrm>
                          <a:prstGeom prst="rect">
                            <a:avLst/>
                          </a:prstGeom>
                        </wps:spPr>
                        <wps:txbx>
                          <w:txbxContent>
                            <w:p w14:paraId="1267B87F" w14:textId="77777777" w:rsidR="00C137F8" w:rsidRDefault="00000000">
                              <w:pPr>
                                <w:spacing w:line="247" w:lineRule="exact"/>
                              </w:pPr>
                              <w:r>
                                <w:rPr>
                                  <w:spacing w:val="-2"/>
                                </w:rPr>
                                <w:t>Leverage</w:t>
                              </w:r>
                            </w:p>
                          </w:txbxContent>
                        </wps:txbx>
                        <wps:bodyPr wrap="square" lIns="0" tIns="0" rIns="0" bIns="0" rtlCol="0">
                          <a:noAutofit/>
                        </wps:bodyPr>
                      </wps:wsp>
                      <wps:wsp>
                        <wps:cNvPr id="22" name="Textbox 22"/>
                        <wps:cNvSpPr txBox="1"/>
                        <wps:spPr>
                          <a:xfrm>
                            <a:off x="1956554" y="1137248"/>
                            <a:ext cx="1092835" cy="156845"/>
                          </a:xfrm>
                          <a:prstGeom prst="rect">
                            <a:avLst/>
                          </a:prstGeom>
                        </wps:spPr>
                        <wps:txbx>
                          <w:txbxContent>
                            <w:p w14:paraId="7ADCD262" w14:textId="77777777" w:rsidR="00C137F8" w:rsidRDefault="00000000">
                              <w:pPr>
                                <w:spacing w:line="247" w:lineRule="exact"/>
                              </w:pPr>
                              <w:r>
                                <w:t>Company</w:t>
                              </w:r>
                              <w:r>
                                <w:rPr>
                                  <w:spacing w:val="-7"/>
                                </w:rPr>
                                <w:t xml:space="preserve"> </w:t>
                              </w:r>
                              <w:r>
                                <w:rPr>
                                  <w:spacing w:val="-2"/>
                                </w:rPr>
                                <w:t>Activity</w:t>
                              </w:r>
                            </w:p>
                          </w:txbxContent>
                        </wps:txbx>
                        <wps:bodyPr wrap="square" lIns="0" tIns="0" rIns="0" bIns="0" rtlCol="0">
                          <a:noAutofit/>
                        </wps:bodyPr>
                      </wps:wsp>
                      <wps:wsp>
                        <wps:cNvPr id="23" name="Textbox 23"/>
                        <wps:cNvSpPr txBox="1"/>
                        <wps:spPr>
                          <a:xfrm>
                            <a:off x="1901887" y="1649302"/>
                            <a:ext cx="1200785" cy="156845"/>
                          </a:xfrm>
                          <a:prstGeom prst="rect">
                            <a:avLst/>
                          </a:prstGeom>
                        </wps:spPr>
                        <wps:txbx>
                          <w:txbxContent>
                            <w:p w14:paraId="3C2F0A8D" w14:textId="77777777" w:rsidR="00C137F8" w:rsidRDefault="00000000">
                              <w:pPr>
                                <w:spacing w:line="247" w:lineRule="exact"/>
                              </w:pPr>
                              <w:r>
                                <w:t>Independent</w:t>
                              </w:r>
                              <w:r>
                                <w:rPr>
                                  <w:spacing w:val="-11"/>
                                </w:rPr>
                                <w:t xml:space="preserve"> </w:t>
                              </w:r>
                              <w:r>
                                <w:rPr>
                                  <w:spacing w:val="-2"/>
                                </w:rPr>
                                <w:t>Board</w:t>
                              </w:r>
                            </w:p>
                          </w:txbxContent>
                        </wps:txbx>
                        <wps:bodyPr wrap="square" lIns="0" tIns="0" rIns="0" bIns="0" rtlCol="0">
                          <a:noAutofit/>
                        </wps:bodyPr>
                      </wps:wsp>
                      <wps:wsp>
                        <wps:cNvPr id="24" name="Textbox 24"/>
                        <wps:cNvSpPr txBox="1"/>
                        <wps:spPr>
                          <a:xfrm>
                            <a:off x="359190" y="1782265"/>
                            <a:ext cx="774700" cy="289560"/>
                          </a:xfrm>
                          <a:prstGeom prst="rect">
                            <a:avLst/>
                          </a:prstGeom>
                        </wps:spPr>
                        <wps:txbx>
                          <w:txbxContent>
                            <w:p w14:paraId="73FFD4B6" w14:textId="77777777" w:rsidR="00C137F8" w:rsidRDefault="00000000">
                              <w:pPr>
                                <w:ind w:right="18" w:firstLine="22"/>
                                <w:rPr>
                                  <w:rFonts w:ascii="Arial"/>
                                  <w:b/>
                                  <w:sz w:val="20"/>
                                </w:rPr>
                              </w:pPr>
                              <w:r>
                                <w:rPr>
                                  <w:rFonts w:ascii="Arial"/>
                                  <w:b/>
                                  <w:spacing w:val="-2"/>
                                  <w:sz w:val="20"/>
                                </w:rPr>
                                <w:t>Governance Mechanisms</w:t>
                              </w:r>
                            </w:p>
                          </w:txbxContent>
                        </wps:txbx>
                        <wps:bodyPr wrap="square" lIns="0" tIns="0" rIns="0" bIns="0" rtlCol="0">
                          <a:noAutofit/>
                        </wps:bodyPr>
                      </wps:wsp>
                      <wps:wsp>
                        <wps:cNvPr id="25" name="Textbox 25"/>
                        <wps:cNvSpPr txBox="1"/>
                        <wps:spPr>
                          <a:xfrm>
                            <a:off x="4628456" y="1670642"/>
                            <a:ext cx="1123950" cy="318770"/>
                          </a:xfrm>
                          <a:prstGeom prst="rect">
                            <a:avLst/>
                          </a:prstGeom>
                        </wps:spPr>
                        <wps:txbx>
                          <w:txbxContent>
                            <w:p w14:paraId="13BC2F50" w14:textId="77777777" w:rsidR="00C137F8" w:rsidRDefault="00000000">
                              <w:pPr>
                                <w:spacing w:line="242" w:lineRule="auto"/>
                                <w:ind w:right="18" w:firstLine="226"/>
                              </w:pPr>
                              <w:r>
                                <w:rPr>
                                  <w:spacing w:val="-2"/>
                                </w:rPr>
                                <w:t xml:space="preserve">Sustainability </w:t>
                              </w:r>
                              <w:r>
                                <w:t>Report</w:t>
                              </w:r>
                              <w:r>
                                <w:rPr>
                                  <w:spacing w:val="-16"/>
                                </w:rPr>
                                <w:t xml:space="preserve"> </w:t>
                              </w:r>
                              <w:r>
                                <w:t>Disclosure</w:t>
                              </w:r>
                            </w:p>
                          </w:txbxContent>
                        </wps:txbx>
                        <wps:bodyPr wrap="square" lIns="0" tIns="0" rIns="0" bIns="0" rtlCol="0">
                          <a:noAutofit/>
                        </wps:bodyPr>
                      </wps:wsp>
                      <wps:wsp>
                        <wps:cNvPr id="26" name="Textbox 26"/>
                        <wps:cNvSpPr txBox="1"/>
                        <wps:spPr>
                          <a:xfrm>
                            <a:off x="2054363" y="2136988"/>
                            <a:ext cx="890905" cy="156845"/>
                          </a:xfrm>
                          <a:prstGeom prst="rect">
                            <a:avLst/>
                          </a:prstGeom>
                        </wps:spPr>
                        <wps:txbx>
                          <w:txbxContent>
                            <w:p w14:paraId="1DB59F66" w14:textId="77777777" w:rsidR="00C137F8" w:rsidRDefault="00000000">
                              <w:pPr>
                                <w:spacing w:line="247" w:lineRule="exact"/>
                              </w:pPr>
                              <w:r>
                                <w:t>Audit</w:t>
                              </w:r>
                              <w:r>
                                <w:rPr>
                                  <w:spacing w:val="-5"/>
                                </w:rPr>
                                <w:t xml:space="preserve"> </w:t>
                              </w:r>
                              <w:proofErr w:type="spellStart"/>
                              <w:r>
                                <w:rPr>
                                  <w:spacing w:val="-2"/>
                                </w:rPr>
                                <w:t>Comitee</w:t>
                              </w:r>
                              <w:proofErr w:type="spellEnd"/>
                            </w:p>
                          </w:txbxContent>
                        </wps:txbx>
                        <wps:bodyPr wrap="square" lIns="0" tIns="0" rIns="0" bIns="0" rtlCol="0">
                          <a:noAutofit/>
                        </wps:bodyPr>
                      </wps:wsp>
                      <wps:wsp>
                        <wps:cNvPr id="27" name="Textbox 27"/>
                        <wps:cNvSpPr txBox="1"/>
                        <wps:spPr>
                          <a:xfrm>
                            <a:off x="2038842" y="2633815"/>
                            <a:ext cx="922019" cy="156845"/>
                          </a:xfrm>
                          <a:prstGeom prst="rect">
                            <a:avLst/>
                          </a:prstGeom>
                        </wps:spPr>
                        <wps:txbx>
                          <w:txbxContent>
                            <w:p w14:paraId="29D291FF" w14:textId="77777777" w:rsidR="00C137F8" w:rsidRDefault="00000000">
                              <w:pPr>
                                <w:spacing w:line="247" w:lineRule="exact"/>
                              </w:pPr>
                              <w:r>
                                <w:t>Company</w:t>
                              </w:r>
                              <w:r>
                                <w:rPr>
                                  <w:spacing w:val="-7"/>
                                </w:rPr>
                                <w:t xml:space="preserve"> </w:t>
                              </w:r>
                              <w:r>
                                <w:rPr>
                                  <w:spacing w:val="-4"/>
                                </w:rPr>
                                <w:t>Size</w:t>
                              </w:r>
                            </w:p>
                          </w:txbxContent>
                        </wps:txbx>
                        <wps:bodyPr wrap="square" lIns="0" tIns="0" rIns="0" bIns="0" rtlCol="0">
                          <a:noAutofit/>
                        </wps:bodyPr>
                      </wps:wsp>
                      <wps:wsp>
                        <wps:cNvPr id="28" name="Textbox 28"/>
                        <wps:cNvSpPr txBox="1"/>
                        <wps:spPr>
                          <a:xfrm>
                            <a:off x="271684" y="2818580"/>
                            <a:ext cx="944244" cy="143510"/>
                          </a:xfrm>
                          <a:prstGeom prst="rect">
                            <a:avLst/>
                          </a:prstGeom>
                        </wps:spPr>
                        <wps:txbx>
                          <w:txbxContent>
                            <w:p w14:paraId="0B86A1D5" w14:textId="77777777" w:rsidR="00C137F8" w:rsidRDefault="00000000">
                              <w:pPr>
                                <w:spacing w:line="225" w:lineRule="exact"/>
                                <w:rPr>
                                  <w:rFonts w:ascii="Arial"/>
                                  <w:b/>
                                  <w:sz w:val="20"/>
                                </w:rPr>
                              </w:pPr>
                              <w:r>
                                <w:rPr>
                                  <w:rFonts w:ascii="Arial"/>
                                  <w:b/>
                                  <w:sz w:val="20"/>
                                </w:rPr>
                                <w:t>Industry</w:t>
                              </w:r>
                              <w:r>
                                <w:rPr>
                                  <w:rFonts w:ascii="Arial"/>
                                  <w:b/>
                                  <w:spacing w:val="-11"/>
                                  <w:sz w:val="20"/>
                                </w:rPr>
                                <w:t xml:space="preserve"> </w:t>
                              </w:r>
                              <w:r>
                                <w:rPr>
                                  <w:rFonts w:ascii="Arial"/>
                                  <w:b/>
                                  <w:spacing w:val="-2"/>
                                  <w:sz w:val="20"/>
                                </w:rPr>
                                <w:t>Profile</w:t>
                              </w:r>
                            </w:p>
                          </w:txbxContent>
                        </wps:txbx>
                        <wps:bodyPr wrap="square" lIns="0" tIns="0" rIns="0" bIns="0" rtlCol="0">
                          <a:noAutofit/>
                        </wps:bodyPr>
                      </wps:wsp>
                      <wps:wsp>
                        <wps:cNvPr id="29" name="Textbox 29"/>
                        <wps:cNvSpPr txBox="1"/>
                        <wps:spPr>
                          <a:xfrm>
                            <a:off x="2031902" y="3179406"/>
                            <a:ext cx="929005" cy="156845"/>
                          </a:xfrm>
                          <a:prstGeom prst="rect">
                            <a:avLst/>
                          </a:prstGeom>
                        </wps:spPr>
                        <wps:txbx>
                          <w:txbxContent>
                            <w:p w14:paraId="2A8810CF" w14:textId="77777777" w:rsidR="00C137F8" w:rsidRDefault="00000000">
                              <w:pPr>
                                <w:spacing w:line="247" w:lineRule="exact"/>
                              </w:pPr>
                              <w:r>
                                <w:t>Industrial</w:t>
                              </w:r>
                              <w:r>
                                <w:rPr>
                                  <w:spacing w:val="-10"/>
                                </w:rPr>
                                <w:t xml:space="preserve"> </w:t>
                              </w:r>
                              <w:r>
                                <w:rPr>
                                  <w:spacing w:val="-4"/>
                                </w:rPr>
                                <w:t>Type</w:t>
                              </w:r>
                            </w:p>
                          </w:txbxContent>
                        </wps:txbx>
                        <wps:bodyPr wrap="square" lIns="0" tIns="0" rIns="0" bIns="0" rtlCol="0">
                          <a:noAutofit/>
                        </wps:bodyPr>
                      </wps:wsp>
                    </wpg:wgp>
                  </a:graphicData>
                </a:graphic>
              </wp:anchor>
            </w:drawing>
          </mc:Choice>
          <mc:Fallback>
            <w:pict>
              <v:group w14:anchorId="16F34EB4" id="Group 2" o:spid="_x0000_s1026" style="position:absolute;margin-left:60.95pt;margin-top:22.7pt;width:467.95pt;height:273.4pt;z-index:-251652096;mso-wrap-distance-left:0;mso-wrap-distance-right:0;mso-position-horizontal-relative:page" coordsize="59429,34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">
                <v:shapetype id="_x0000_t202" coordsize="21600,21600" o:spt="202" path="m,l,21600r21600,l21600,xe">
                  <v:stroke joinstyle="miter"/>
                  <v:path gradientshapeok="t" o:connecttype="rect"/>
                </v:shapetype>
                <v:shape id="Textbox 3" o:spid="_x0000_s1027" type="#_x0000_t202" style="position:absolute;left:43671;top:22131;width:15633;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BA12D81" w14:textId="77777777" w:rsidR="00C137F8" w:rsidRDefault="00000000">
                        <w:pPr>
                          <w:spacing w:line="237" w:lineRule="auto"/>
                          <w:ind w:right="18" w:firstLine="799"/>
                          <w:rPr>
                            <w:rFonts w:ascii="Arial"/>
                            <w:b/>
                          </w:rPr>
                        </w:pPr>
                        <w:r>
                          <w:rPr>
                            <w:rFonts w:ascii="Arial"/>
                            <w:b/>
                          </w:rPr>
                          <w:t>Figure 1 Conceptual</w:t>
                        </w:r>
                        <w:r>
                          <w:rPr>
                            <w:rFonts w:ascii="Arial"/>
                            <w:b/>
                            <w:spacing w:val="-16"/>
                          </w:rPr>
                          <w:t xml:space="preserve"> </w:t>
                        </w:r>
                        <w:r>
                          <w:rPr>
                            <w:rFonts w:ascii="Arial"/>
                            <w:b/>
                          </w:rPr>
                          <w:t>Framework</w:t>
                        </w:r>
                      </w:p>
                    </w:txbxContent>
                  </v:textbox>
                </v:shape>
                <v:shape id="Graphic 4" o:spid="_x0000_s1028" style="position:absolute;left:17627;top:63;width:14840;height:3975;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" path="m,66252l5206,40464,19404,19404,40463,5206,66252,,1417743,r25789,5206l1464591,19404r14198,21060l1483995,66252r,265006l1478789,357046r-14198,21059l1443532,392303r-25789,5207l66252,397510,40463,392303,19404,378105,5206,357046,,331258,,66252xe" filled="f" strokeweight="1pt">
                  <v:path arrowok="t"/>
                </v:shape>
                <v:shape id="Graphic 5" o:spid="_x0000_s1029" style="position:absolute;left:17640;top:5174;width:14840;height:3975;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" path="m,66252l5206,40464,19404,19404,40463,5206,66252,,1417743,r25789,5206l1464591,19404r14198,21060l1483995,66252r,265006l1478789,357046r-14198,21059l1443532,392303r-25789,5207l66252,397510,40463,392303,19404,378105,5206,357046,,331258,,66252xe" filled="f" strokecolor="#2f528f" strokeweight="1pt">
                  <v:path arrowok="t"/>
                </v:shape>
                <v:shape id="Graphic 6" o:spid="_x0000_s1030" style="position:absolute;left:17665;top:10261;width:14840;height:3975;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" path="m,66252l5206,40464,19404,19404,40463,5206,66252,,1417743,r25789,5206l1464591,19404r14198,21060l1483995,66252r,265006l1478789,357046r-14198,21059l1443532,392303r-25789,5207l66252,397510,40463,392303,19404,378105,5206,357046,,331258,,66252xe" filled="f" strokecolor="#2f528f" strokeweight="1pt">
                  <v:path arrowok="t"/>
                </v:shape>
                <v:shape id="Graphic 7" o:spid="_x0000_s1031" style="position:absolute;left:17659;top:15378;width:14840;height:3988;visibility:visible;mso-wrap-style:square;v-text-anchor:top" coordsize="1483995,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" path="m,66464l5223,40593,19467,19467,40593,5223,66464,,1417530,r25872,5223l1464528,19467r14244,21126l1483995,66464r,265851l1478772,358186r-14244,21127l1443402,393557r-25872,5223l66464,398780,40593,393557,19467,379313,5223,358186,,332315,,66464xe" filled="f" strokecolor="#2f528f" strokeweight="1pt">
                  <v:path arrowok="t"/>
                </v:shape>
                <v:shape id="Graphic 8" o:spid="_x0000_s1032" style="position:absolute;left:17640;top:20261;width:14840;height:3976;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" path="m,66252l5206,40464,19404,19404,40463,5206,66252,,1417743,r25789,5206l1464591,19404r14198,21060l1483995,66252r,265006l1478789,357046r-14198,21059l1443532,392303r-25789,5207l66252,397510,40463,392303,19404,378105,5206,357046,,331258,,66252xe" filled="f" strokecolor="#2f528f" strokeweight="1pt">
                  <v:path arrowok="t"/>
                </v:shape>
                <v:shape id="Graphic 9" o:spid="_x0000_s1033" style="position:absolute;left:17614;top:25214;width:14840;height:3975;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" path="m,66252l5206,40464,19404,19404,40463,5206,66252,,1417743,r25789,5206l1464591,19404r14198,21060l1483995,66252r,265006l1478789,357046r-14198,21059l1443532,392303r-25789,5207l66252,397510,40463,392303,19404,378105,5206,357046,,331258,,66252xe" filled="f" strokecolor="#2f528f" strokeweight="1pt">
                  <v:path arrowok="t"/>
                </v:shape>
                <v:shape id="Graphic 10" o:spid="_x0000_s1034" style="position:absolute;left:44526;top:15690;width:14840;height:5429;visibility:visible;mso-wrap-style:square;v-text-anchor:top" coordsize="148399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" path="m,90489l7111,55266,26503,26503,55266,7111,90489,,1393506,r35223,7111l1457492,26503r19392,28763l1483995,90489r,361947l1476884,487658r-19392,28763l1428729,535814r-35223,7111l90489,542925,55266,535814,26503,516421,7111,487658,,452436,,90489xe" filled="f" strokecolor="#2f528f" strokeweight="1pt">
                  <v:path arrowok="t"/>
                </v:shape>
                <v:shape id="Graphic 11" o:spid="_x0000_s1035" style="position:absolute;left:17608;top:30682;width:14840;height:3975;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" path="m,66252l5206,40464,19404,19404,40463,5206,66252,,1417743,r25789,5206l1464591,19404r14198,21060l1483995,66252r,265006l1478789,357046r-14198,21059l1443532,392303r-25789,5207l66252,397510,40463,392303,19404,378105,5206,357046,,331258,,66252xe" filled="f" strokecolor="#2f528f" strokeweight="1pt">
                  <v:path arrowok="t"/>
                </v:shape>
                <v:shape id="Graphic 12" o:spid="_x0000_s1036" style="position:absolute;left:114;top:5289;width:14840;height:4934;visibility:visible;mso-wrap-style:square;v-text-anchor:top" coordsize="1483995,49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" path="m,82234l6462,50225,24086,24086,50225,6462,82234,,1401760,r32010,6462l1459909,24086r17624,26139l1483995,82234r,328926l1477533,443169r-17624,26140l1433770,486932r-32010,6463l82234,493395,50225,486932,24086,469309,6462,443169,,411160,,82234xe" filled="f" strokecolor="#2f528f" strokeweight="1pt">
                  <v:path arrowok="t"/>
                </v:shape>
                <v:shape id="Graphic 13" o:spid="_x0000_s1037" style="position:absolute;left:114;top:17061;width:14840;height:4623;visibility:visible;mso-wrap-style:square;v-text-anchor:top" coordsize="1483995,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" path="m,77048l6054,47057,22566,22566,47057,6054,77048,,1406947,r29991,6054l1461428,22566r16512,24491l1483995,77048r,308184l1477940,415222r-16512,24491l1436938,456225r-29991,6055l77048,462280,47057,456225,22566,439713,6054,415222,,385232,,77048xe" filled="f" strokecolor="#2f528f" strokeweight="1pt">
                  <v:path arrowok="t"/>
                </v:shape>
                <v:shape id="Graphic 14" o:spid="_x0000_s1038" style="position:absolute;left:63;top:27005;width:14840;height:3975;visibility:visible;mso-wrap-style:square;v-text-anchor:top" coordsize="148399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" path="m,66252l5206,40464,19404,19404,40463,5206,66252,,1417743,r25789,5206l1464591,19404r14198,21060l1483995,66252r,265006l1478789,357046r-14198,21059l1443532,392303r-25789,5207l66252,397510,40463,392303,19404,378105,5206,357046,,331258,,66252xe" filled="f" strokecolor="#2f528f" strokeweight="1pt">
                  <v:path arrowok="t"/>
                </v:shape>
                <v:shape id="Graphic 15" o:spid="_x0000_s1039" style="position:absolute;left:14947;top:2139;width:2604;height:10402;visibility:visible;mso-wrap-style:square;v-text-anchor:top" coordsize="260350,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" path="m260350,1040130r-50671,-1705l168301,1033776r-27898,-6896l130174,1018436r2,-476677l119946,533315,92048,526419,50670,521770,,520065r50670,-1705l92048,513711r27898,-6896l130176,498371r,-476677l140405,13249,168303,6354,209680,1704,260351,e" filled="f" strokeweight="1pt">
                  <v:path arrowok="t"/>
                </v:shape>
                <v:shape id="Graphic 16" o:spid="_x0000_s1040" style="position:absolute;left:14966;top:17061;width:2686;height:5252;visibility:visible;mso-wrap-style:square;v-text-anchor:top" coordsize="268605,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" path="m268605,525145r-52277,-1759l173639,518589r-28782,-7115l134303,502762r,-217806l123748,276243,94966,269128,52276,264332,,262573r52276,-1759l94966,256017r28782,-7115l134303,240190r,-217807l144857,13670,173639,6555,216328,1758,268605,e" filled="f" strokeweight="1pt">
                  <v:path arrowok="t"/>
                </v:shape>
                <v:shape id="Graphic 17" o:spid="_x0000_s1041" style="position:absolute;left:14947;top:27049;width:2604;height:5569;visibility:visible;mso-wrap-style:square;v-text-anchor:top" coordsize="260350,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" path="m260350,556895r-50671,-1705l168302,550541r-27898,-6896l130175,535200r,-235058l119945,291697,92047,284802,50670,280153,,278448r50670,-1705l92047,272093r27898,-6896l130175,256753r,-235059l140404,13250,168302,6354,209679,1704,260350,e" filled="f" strokeweight="1pt">
                  <v:path arrowok="t"/>
                </v:shape>
                <v:shape id="Graphic 18" o:spid="_x0000_s1042" style="position:absolute;left:32328;top:2099;width:12237;height:30563;visibility:visible;mso-wrap-style:square;v-text-anchor:top" coordsize="1223645,305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" path="m1221016,1811782r-85090,4330l1151547,1843760,1231,2493962r6249,11049l1157795,1854809r15634,27635l1203693,1837499r17323,-25717xem1222921,1496263r-10135,-45212l1204302,1413129r-24625,20066l11188,,1346,8026,1169847,1441221r-24612,20053l1222921,1496263xem1223556,1902587r-81585,24523l1163739,1950224,,3046679r8712,9245l1172438,1959470r21781,23101l1209268,1941512r14288,-38925xem1223556,1726692r-7303,-5538l1155763,1675117r-5905,31204l5537,1489964r-2362,12496l1143101,1717979r2540,10618l1143609,1739315,2870,2012619r2959,12345l1150924,1750618r7404,30874l1213281,1735315r10249,-8598l1223556,1726692xem1223556,1664487r-17107,-23127l1172921,1595970r-14402,28309l7239,1038440r-5766,11316l1152753,1635594r-14389,28296l1223556,1664487xem1223556,1601025r-14999,-37389l1191856,1521942r-21082,23762l8572,514235,139,523735,1162342,1555191r-21070,23749l1223556,1601025xe" fillcolor="black" stroked="f">
                  <v:path arrowok="t"/>
                </v:shape>
                <v:shape id="Textbox 19" o:spid="_x0000_s1043" type="#_x0000_t202" style="position:absolute;left:21514;top:1161;width:696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46E1CB7" w14:textId="77777777" w:rsidR="00C137F8" w:rsidRDefault="00000000">
                        <w:pPr>
                          <w:spacing w:line="247" w:lineRule="exact"/>
                        </w:pPr>
                        <w:r>
                          <w:rPr>
                            <w:spacing w:val="-2"/>
                          </w:rPr>
                          <w:t>Profitability</w:t>
                        </w:r>
                      </w:p>
                    </w:txbxContent>
                  </v:textbox>
                </v:shape>
                <v:shape id="Textbox 20" o:spid="_x0000_s1044" type="#_x0000_t202" style="position:absolute;left:3538;top:6209;width:790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EFBE5E7" w14:textId="77777777" w:rsidR="00C137F8" w:rsidRDefault="00000000">
                        <w:pPr>
                          <w:ind w:right="18" w:firstLine="177"/>
                          <w:rPr>
                            <w:rFonts w:ascii="Arial"/>
                            <w:b/>
                            <w:sz w:val="20"/>
                          </w:rPr>
                        </w:pPr>
                        <w:r>
                          <w:rPr>
                            <w:rFonts w:ascii="Arial"/>
                            <w:b/>
                            <w:spacing w:val="-2"/>
                            <w:sz w:val="20"/>
                          </w:rPr>
                          <w:t>Financial Performance</w:t>
                        </w:r>
                      </w:p>
                    </w:txbxContent>
                  </v:textbox>
                </v:shape>
                <v:shape id="Textbox 21" o:spid="_x0000_s1045" type="#_x0000_t202" style="position:absolute;left:22018;top:6282;width:595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267B87F" w14:textId="77777777" w:rsidR="00C137F8" w:rsidRDefault="00000000">
                        <w:pPr>
                          <w:spacing w:line="247" w:lineRule="exact"/>
                        </w:pPr>
                        <w:r>
                          <w:rPr>
                            <w:spacing w:val="-2"/>
                          </w:rPr>
                          <w:t>Leverage</w:t>
                        </w:r>
                      </w:p>
                    </w:txbxContent>
                  </v:textbox>
                </v:shape>
                <v:shape id="Textbox 22" o:spid="_x0000_s1046" type="#_x0000_t202" style="position:absolute;left:19565;top:11372;width:1092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ADCD262" w14:textId="77777777" w:rsidR="00C137F8" w:rsidRDefault="00000000">
                        <w:pPr>
                          <w:spacing w:line="247" w:lineRule="exact"/>
                        </w:pPr>
                        <w:r>
                          <w:t>Company</w:t>
                        </w:r>
                        <w:r>
                          <w:rPr>
                            <w:spacing w:val="-7"/>
                          </w:rPr>
                          <w:t xml:space="preserve"> </w:t>
                        </w:r>
                        <w:r>
                          <w:rPr>
                            <w:spacing w:val="-2"/>
                          </w:rPr>
                          <w:t>Activity</w:t>
                        </w:r>
                      </w:p>
                    </w:txbxContent>
                  </v:textbox>
                </v:shape>
                <v:shape id="Textbox 23" o:spid="_x0000_s1047" type="#_x0000_t202" style="position:absolute;left:19018;top:16493;width:1200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C2F0A8D" w14:textId="77777777" w:rsidR="00C137F8" w:rsidRDefault="00000000">
                        <w:pPr>
                          <w:spacing w:line="247" w:lineRule="exact"/>
                        </w:pPr>
                        <w:r>
                          <w:t>Independent</w:t>
                        </w:r>
                        <w:r>
                          <w:rPr>
                            <w:spacing w:val="-11"/>
                          </w:rPr>
                          <w:t xml:space="preserve"> </w:t>
                        </w:r>
                        <w:r>
                          <w:rPr>
                            <w:spacing w:val="-2"/>
                          </w:rPr>
                          <w:t>Board</w:t>
                        </w:r>
                      </w:p>
                    </w:txbxContent>
                  </v:textbox>
                </v:shape>
                <v:shape id="Textbox 24" o:spid="_x0000_s1048" type="#_x0000_t202" style="position:absolute;left:3591;top:17822;width:774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3FFD4B6" w14:textId="77777777" w:rsidR="00C137F8" w:rsidRDefault="00000000">
                        <w:pPr>
                          <w:ind w:right="18" w:firstLine="22"/>
                          <w:rPr>
                            <w:rFonts w:ascii="Arial"/>
                            <w:b/>
                            <w:sz w:val="20"/>
                          </w:rPr>
                        </w:pPr>
                        <w:r>
                          <w:rPr>
                            <w:rFonts w:ascii="Arial"/>
                            <w:b/>
                            <w:spacing w:val="-2"/>
                            <w:sz w:val="20"/>
                          </w:rPr>
                          <w:t>Governance Mechanisms</w:t>
                        </w:r>
                      </w:p>
                    </w:txbxContent>
                  </v:textbox>
                </v:shape>
                <v:shape id="Textbox 25" o:spid="_x0000_s1049" type="#_x0000_t202" style="position:absolute;left:46284;top:16706;width:11240;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3BC2F50" w14:textId="77777777" w:rsidR="00C137F8" w:rsidRDefault="00000000">
                        <w:pPr>
                          <w:spacing w:line="242" w:lineRule="auto"/>
                          <w:ind w:right="18" w:firstLine="226"/>
                        </w:pPr>
                        <w:r>
                          <w:rPr>
                            <w:spacing w:val="-2"/>
                          </w:rPr>
                          <w:t xml:space="preserve">Sustainability </w:t>
                        </w:r>
                        <w:r>
                          <w:t>Report</w:t>
                        </w:r>
                        <w:r>
                          <w:rPr>
                            <w:spacing w:val="-16"/>
                          </w:rPr>
                          <w:t xml:space="preserve"> </w:t>
                        </w:r>
                        <w:r>
                          <w:t>Disclosure</w:t>
                        </w:r>
                      </w:p>
                    </w:txbxContent>
                  </v:textbox>
                </v:shape>
                <v:shape id="Textbox 26" o:spid="_x0000_s1050" type="#_x0000_t202" style="position:absolute;left:20543;top:21369;width:890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DB59F66" w14:textId="77777777" w:rsidR="00C137F8" w:rsidRDefault="00000000">
                        <w:pPr>
                          <w:spacing w:line="247" w:lineRule="exact"/>
                        </w:pPr>
                        <w:r>
                          <w:t>Audit</w:t>
                        </w:r>
                        <w:r>
                          <w:rPr>
                            <w:spacing w:val="-5"/>
                          </w:rPr>
                          <w:t xml:space="preserve"> </w:t>
                        </w:r>
                        <w:proofErr w:type="spellStart"/>
                        <w:r>
                          <w:rPr>
                            <w:spacing w:val="-2"/>
                          </w:rPr>
                          <w:t>Comitee</w:t>
                        </w:r>
                        <w:proofErr w:type="spellEnd"/>
                      </w:p>
                    </w:txbxContent>
                  </v:textbox>
                </v:shape>
                <v:shape id="Textbox 27" o:spid="_x0000_s1051" type="#_x0000_t202" style="position:absolute;left:20388;top:26338;width:922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9D291FF" w14:textId="77777777" w:rsidR="00C137F8" w:rsidRDefault="00000000">
                        <w:pPr>
                          <w:spacing w:line="247" w:lineRule="exact"/>
                        </w:pPr>
                        <w:r>
                          <w:t>Company</w:t>
                        </w:r>
                        <w:r>
                          <w:rPr>
                            <w:spacing w:val="-7"/>
                          </w:rPr>
                          <w:t xml:space="preserve"> </w:t>
                        </w:r>
                        <w:r>
                          <w:rPr>
                            <w:spacing w:val="-4"/>
                          </w:rPr>
                          <w:t>Size</w:t>
                        </w:r>
                      </w:p>
                    </w:txbxContent>
                  </v:textbox>
                </v:shape>
                <v:shape id="Textbox 28" o:spid="_x0000_s1052" type="#_x0000_t202" style="position:absolute;left:2716;top:28185;width:9443;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B86A1D5" w14:textId="77777777" w:rsidR="00C137F8" w:rsidRDefault="00000000">
                        <w:pPr>
                          <w:spacing w:line="225" w:lineRule="exact"/>
                          <w:rPr>
                            <w:rFonts w:ascii="Arial"/>
                            <w:b/>
                            <w:sz w:val="20"/>
                          </w:rPr>
                        </w:pPr>
                        <w:r>
                          <w:rPr>
                            <w:rFonts w:ascii="Arial"/>
                            <w:b/>
                            <w:sz w:val="20"/>
                          </w:rPr>
                          <w:t>Industry</w:t>
                        </w:r>
                        <w:r>
                          <w:rPr>
                            <w:rFonts w:ascii="Arial"/>
                            <w:b/>
                            <w:spacing w:val="-11"/>
                            <w:sz w:val="20"/>
                          </w:rPr>
                          <w:t xml:space="preserve"> </w:t>
                        </w:r>
                        <w:r>
                          <w:rPr>
                            <w:rFonts w:ascii="Arial"/>
                            <w:b/>
                            <w:spacing w:val="-2"/>
                            <w:sz w:val="20"/>
                          </w:rPr>
                          <w:t>Profile</w:t>
                        </w:r>
                      </w:p>
                    </w:txbxContent>
                  </v:textbox>
                </v:shape>
                <v:shape id="Textbox 29" o:spid="_x0000_s1053" type="#_x0000_t202" style="position:absolute;left:20319;top:31794;width:929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A8810CF" w14:textId="77777777" w:rsidR="00C137F8" w:rsidRDefault="00000000">
                        <w:pPr>
                          <w:spacing w:line="247" w:lineRule="exact"/>
                        </w:pPr>
                        <w:r>
                          <w:t>Industrial</w:t>
                        </w:r>
                        <w:r>
                          <w:rPr>
                            <w:spacing w:val="-10"/>
                          </w:rPr>
                          <w:t xml:space="preserve"> </w:t>
                        </w:r>
                        <w:r>
                          <w:rPr>
                            <w:spacing w:val="-4"/>
                          </w:rPr>
                          <w:t>Type</w:t>
                        </w:r>
                      </w:p>
                    </w:txbxContent>
                  </v:textbox>
                </v:shape>
                <w10:wrap type="topAndBottom" anchorx="page"/>
              </v:group>
            </w:pict>
          </mc:Fallback>
        </mc:AlternateContent>
      </w:r>
    </w:p>
    <w:p w14:paraId="025433CE" w14:textId="77777777" w:rsidR="00C137F8" w:rsidRPr="00A06A6E" w:rsidRDefault="00C137F8">
      <w:pPr>
        <w:pStyle w:val="BodyText"/>
        <w:spacing w:before="210"/>
        <w:rPr>
          <w:rFonts w:ascii="Times New Roman"/>
          <w:b/>
        </w:rPr>
      </w:pPr>
    </w:p>
    <w:p w14:paraId="73541616" w14:textId="77777777" w:rsidR="00C137F8" w:rsidRPr="00A06A6E" w:rsidRDefault="00000000">
      <w:pPr>
        <w:pStyle w:val="Heading2"/>
        <w:numPr>
          <w:ilvl w:val="0"/>
          <w:numId w:val="4"/>
        </w:numPr>
        <w:tabs>
          <w:tab w:val="left" w:pos="871"/>
        </w:tabs>
        <w:spacing w:before="1"/>
        <w:ind w:left="871" w:hanging="243"/>
      </w:pPr>
      <w:r w:rsidRPr="00A06A6E">
        <w:rPr>
          <w:b w:val="0"/>
        </w:rPr>
        <w:t>Research Method and Sampling Technique</w:t>
      </w:r>
    </w:p>
    <w:p w14:paraId="7BE0494B" w14:textId="77777777" w:rsidR="00C137F8" w:rsidRPr="00A06A6E" w:rsidRDefault="00C137F8">
      <w:pPr>
        <w:pStyle w:val="BodyText"/>
        <w:spacing w:before="17"/>
        <w:rPr>
          <w:rFonts w:ascii="Arial"/>
          <w:b/>
        </w:rPr>
      </w:pPr>
    </w:p>
    <w:p w14:paraId="6668CA64" w14:textId="77777777" w:rsidR="00C137F8" w:rsidRPr="00A06A6E" w:rsidRDefault="00000000">
      <w:pPr>
        <w:pStyle w:val="ListParagraph"/>
        <w:numPr>
          <w:ilvl w:val="1"/>
          <w:numId w:val="4"/>
        </w:numPr>
        <w:tabs>
          <w:tab w:val="left" w:pos="993"/>
        </w:tabs>
        <w:spacing w:line="251" w:lineRule="exact"/>
        <w:ind w:left="993" w:hanging="365"/>
        <w:rPr>
          <w:rFonts w:ascii="Arial"/>
          <w:b/>
        </w:rPr>
      </w:pPr>
      <w:r w:rsidRPr="00A06A6E">
        <w:rPr>
          <w:rFonts w:ascii="Arial"/>
          <w:b/>
        </w:rPr>
        <w:t>Sampling Technique</w:t>
      </w:r>
    </w:p>
    <w:p w14:paraId="5D2939D0" w14:textId="77777777" w:rsidR="00C137F8" w:rsidRPr="00A06A6E" w:rsidRDefault="00000000">
      <w:pPr>
        <w:pStyle w:val="BodyText"/>
        <w:ind w:left="628" w:right="277"/>
      </w:pPr>
      <w:r w:rsidRPr="00A06A6E">
        <w:t xml:space="preserve">The sample was determined using purposive sampling, whereby companies were selected according to criteria established by the researcher. The stated criteria were: (1) manufacturing companies listed on the IDX during 2021–2023; (2) companies that did not publish a </w:t>
      </w:r>
      <w:r w:rsidRPr="00A06A6E">
        <w:rPr>
          <w:i/>
        </w:rPr>
        <w:t>sustainability report</w:t>
      </w:r>
      <w:r w:rsidRPr="00A06A6E">
        <w:t xml:space="preserve"> separately or within the </w:t>
      </w:r>
      <w:r w:rsidRPr="00A06A6E">
        <w:rPr>
          <w:i/>
        </w:rPr>
        <w:t>annual report</w:t>
      </w:r>
      <w:r w:rsidRPr="00A06A6E">
        <w:t xml:space="preserve"> on the IDX or the company’s official website during 2021–2023; and (3) companies that did not use the GRI index in </w:t>
      </w:r>
      <w:r w:rsidRPr="00A06A6E">
        <w:rPr>
          <w:i/>
        </w:rPr>
        <w:t>sustainability report</w:t>
      </w:r>
      <w:r w:rsidRPr="00A06A6E">
        <w:t>ing during 2021–2023.</w:t>
      </w:r>
    </w:p>
    <w:p w14:paraId="119BD873" w14:textId="77777777" w:rsidR="00C137F8" w:rsidRPr="00A06A6E" w:rsidRDefault="00C137F8">
      <w:pPr>
        <w:pStyle w:val="BodyText"/>
        <w:spacing w:before="20"/>
      </w:pPr>
    </w:p>
    <w:p w14:paraId="22CB7F3B" w14:textId="77777777" w:rsidR="00C137F8" w:rsidRPr="00A06A6E" w:rsidRDefault="00000000">
      <w:pPr>
        <w:pStyle w:val="Heading1"/>
        <w:numPr>
          <w:ilvl w:val="1"/>
          <w:numId w:val="4"/>
        </w:numPr>
        <w:tabs>
          <w:tab w:val="left" w:pos="985"/>
        </w:tabs>
        <w:spacing w:before="1"/>
        <w:ind w:left="985" w:hanging="357"/>
      </w:pPr>
      <w:r w:rsidRPr="00A06A6E">
        <w:t>Variables</w:t>
      </w:r>
      <w:r w:rsidRPr="00A06A6E">
        <w:rPr>
          <w:spacing w:val="-14"/>
        </w:rPr>
        <w:t xml:space="preserve"> </w:t>
      </w:r>
      <w:r w:rsidRPr="00A06A6E">
        <w:t>and</w:t>
      </w:r>
      <w:r w:rsidRPr="00A06A6E">
        <w:rPr>
          <w:spacing w:val="-6"/>
        </w:rPr>
        <w:t xml:space="preserve"> </w:t>
      </w:r>
      <w:r w:rsidRPr="00A06A6E">
        <w:t>Operational</w:t>
      </w:r>
      <w:r w:rsidRPr="00A06A6E">
        <w:rPr>
          <w:spacing w:val="-10"/>
        </w:rPr>
        <w:t xml:space="preserve"> </w:t>
      </w:r>
      <w:r w:rsidRPr="00A06A6E">
        <w:t>Definitions</w:t>
      </w:r>
      <w:r w:rsidRPr="00A06A6E">
        <w:rPr>
          <w:spacing w:val="-8"/>
        </w:rPr>
        <w:t xml:space="preserve"> </w:t>
      </w:r>
      <w:r w:rsidRPr="00A06A6E">
        <w:t>of</w:t>
      </w:r>
      <w:r w:rsidRPr="00A06A6E">
        <w:rPr>
          <w:spacing w:val="-13"/>
        </w:rPr>
        <w:t xml:space="preserve"> </w:t>
      </w:r>
      <w:r w:rsidRPr="00A06A6E">
        <w:rPr>
          <w:spacing w:val="-2"/>
        </w:rPr>
        <w:t>Variables</w:t>
      </w:r>
    </w:p>
    <w:p w14:paraId="73DCD0E6" w14:textId="77777777" w:rsidR="00C137F8" w:rsidRPr="00A06A6E" w:rsidRDefault="00000000">
      <w:pPr>
        <w:spacing w:before="276"/>
        <w:ind w:left="786" w:right="415"/>
        <w:jc w:val="center"/>
        <w:rPr>
          <w:rFonts w:ascii="Times New Roman"/>
          <w:b/>
          <w:sz w:val="24"/>
        </w:rPr>
      </w:pPr>
      <w:r w:rsidRPr="00A06A6E">
        <w:rPr>
          <w:rFonts w:ascii="Times New Roman"/>
          <w:b/>
          <w:sz w:val="24"/>
        </w:rPr>
        <w:t>Table</w:t>
      </w:r>
      <w:r w:rsidRPr="00A06A6E">
        <w:rPr>
          <w:rFonts w:ascii="Times New Roman"/>
          <w:b/>
          <w:spacing w:val="-2"/>
          <w:sz w:val="24"/>
        </w:rPr>
        <w:t xml:space="preserve"> </w:t>
      </w:r>
      <w:r w:rsidRPr="00A06A6E">
        <w:rPr>
          <w:rFonts w:ascii="Times New Roman"/>
          <w:b/>
          <w:sz w:val="24"/>
        </w:rPr>
        <w:t>1</w:t>
      </w:r>
      <w:r w:rsidRPr="00A06A6E">
        <w:rPr>
          <w:rFonts w:ascii="Times New Roman"/>
          <w:b/>
          <w:spacing w:val="-1"/>
          <w:sz w:val="24"/>
        </w:rPr>
        <w:t xml:space="preserve"> </w:t>
      </w:r>
      <w:r w:rsidRPr="00A06A6E">
        <w:rPr>
          <w:rFonts w:ascii="Times New Roman"/>
          <w:b/>
          <w:sz w:val="24"/>
        </w:rPr>
        <w:t>:</w:t>
      </w:r>
      <w:r w:rsidRPr="00A06A6E">
        <w:rPr>
          <w:rFonts w:ascii="Times New Roman"/>
          <w:b/>
          <w:spacing w:val="-1"/>
          <w:sz w:val="24"/>
        </w:rPr>
        <w:t xml:space="preserve"> </w:t>
      </w:r>
      <w:r w:rsidRPr="00A06A6E">
        <w:rPr>
          <w:rFonts w:ascii="Times New Roman"/>
          <w:b/>
          <w:sz w:val="24"/>
        </w:rPr>
        <w:t>Operational</w:t>
      </w:r>
      <w:r w:rsidRPr="00A06A6E">
        <w:rPr>
          <w:rFonts w:ascii="Times New Roman"/>
          <w:b/>
          <w:spacing w:val="-1"/>
          <w:sz w:val="24"/>
        </w:rPr>
        <w:t xml:space="preserve"> </w:t>
      </w:r>
      <w:r w:rsidRPr="00A06A6E">
        <w:rPr>
          <w:rFonts w:ascii="Times New Roman"/>
          <w:b/>
          <w:sz w:val="24"/>
        </w:rPr>
        <w:t>Definition</w:t>
      </w:r>
      <w:r w:rsidRPr="00A06A6E">
        <w:rPr>
          <w:rFonts w:ascii="Times New Roman"/>
          <w:b/>
          <w:spacing w:val="-2"/>
          <w:sz w:val="24"/>
        </w:rPr>
        <w:t xml:space="preserve"> </w:t>
      </w:r>
      <w:r w:rsidRPr="00A06A6E">
        <w:rPr>
          <w:rFonts w:ascii="Times New Roman"/>
          <w:b/>
          <w:sz w:val="24"/>
        </w:rPr>
        <w:t>and</w:t>
      </w:r>
      <w:r w:rsidRPr="00A06A6E">
        <w:rPr>
          <w:rFonts w:ascii="Times New Roman"/>
          <w:b/>
          <w:spacing w:val="-1"/>
          <w:sz w:val="24"/>
        </w:rPr>
        <w:t xml:space="preserve"> </w:t>
      </w:r>
      <w:r w:rsidRPr="00A06A6E">
        <w:rPr>
          <w:rFonts w:ascii="Times New Roman"/>
          <w:b/>
          <w:spacing w:val="-2"/>
          <w:sz w:val="24"/>
        </w:rPr>
        <w:t>Measurement</w:t>
      </w: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4"/>
        <w:gridCol w:w="4963"/>
      </w:tblGrid>
      <w:tr w:rsidR="00C137F8" w:rsidRPr="00A06A6E" w14:paraId="489ED7CA" w14:textId="77777777">
        <w:trPr>
          <w:trHeight w:val="230"/>
        </w:trPr>
        <w:tc>
          <w:tcPr>
            <w:tcW w:w="4104" w:type="dxa"/>
            <w:shd w:val="clear" w:color="auto" w:fill="D0CECE"/>
          </w:tcPr>
          <w:p w14:paraId="7946F8EB" w14:textId="77777777" w:rsidR="00C137F8" w:rsidRPr="00A06A6E" w:rsidRDefault="00000000">
            <w:pPr>
              <w:pStyle w:val="TableParagraph"/>
              <w:spacing w:before="19" w:line="191" w:lineRule="exact"/>
              <w:ind w:left="1010"/>
              <w:rPr>
                <w:rFonts w:ascii="Arial"/>
                <w:b/>
                <w:sz w:val="20"/>
              </w:rPr>
            </w:pPr>
            <w:r w:rsidRPr="00A06A6E">
              <w:rPr>
                <w:rFonts w:ascii="Arial"/>
                <w:b/>
                <w:spacing w:val="-2"/>
                <w:sz w:val="20"/>
              </w:rPr>
              <w:t>Operational</w:t>
            </w:r>
            <w:r w:rsidRPr="00A06A6E">
              <w:rPr>
                <w:rFonts w:ascii="Arial"/>
                <w:b/>
                <w:spacing w:val="5"/>
                <w:sz w:val="20"/>
              </w:rPr>
              <w:t xml:space="preserve"> </w:t>
            </w:r>
            <w:r w:rsidRPr="00A06A6E">
              <w:rPr>
                <w:rFonts w:ascii="Arial"/>
                <w:b/>
                <w:spacing w:val="-2"/>
                <w:sz w:val="20"/>
              </w:rPr>
              <w:t>Definition</w:t>
            </w:r>
          </w:p>
        </w:tc>
        <w:tc>
          <w:tcPr>
            <w:tcW w:w="4963" w:type="dxa"/>
            <w:shd w:val="clear" w:color="auto" w:fill="D0CECE"/>
          </w:tcPr>
          <w:p w14:paraId="32C848D5" w14:textId="77777777" w:rsidR="00C137F8" w:rsidRPr="00A06A6E" w:rsidRDefault="00000000">
            <w:pPr>
              <w:pStyle w:val="TableParagraph"/>
              <w:spacing w:line="210" w:lineRule="exact"/>
              <w:ind w:left="12"/>
              <w:jc w:val="center"/>
              <w:rPr>
                <w:rFonts w:ascii="Arial"/>
                <w:b/>
                <w:sz w:val="20"/>
              </w:rPr>
            </w:pPr>
            <w:r w:rsidRPr="00A06A6E">
              <w:rPr>
                <w:rFonts w:ascii="Arial"/>
                <w:b/>
                <w:spacing w:val="-2"/>
                <w:sz w:val="20"/>
              </w:rPr>
              <w:t>Measurement</w:t>
            </w:r>
          </w:p>
        </w:tc>
      </w:tr>
      <w:tr w:rsidR="00C137F8" w:rsidRPr="00A06A6E" w14:paraId="6083F29B" w14:textId="77777777">
        <w:trPr>
          <w:trHeight w:val="1199"/>
        </w:trPr>
        <w:tc>
          <w:tcPr>
            <w:tcW w:w="4104" w:type="dxa"/>
          </w:tcPr>
          <w:p w14:paraId="10C93402" w14:textId="77777777" w:rsidR="00C137F8" w:rsidRPr="00A06A6E" w:rsidRDefault="00000000">
            <w:pPr>
              <w:pStyle w:val="TableParagraph"/>
              <w:spacing w:line="237" w:lineRule="exact"/>
              <w:ind w:left="110"/>
              <w:rPr>
                <w:rFonts w:ascii="Arial"/>
                <w:b/>
                <w:sz w:val="20"/>
              </w:rPr>
            </w:pPr>
            <w:r w:rsidRPr="00A06A6E">
              <w:rPr>
                <w:rFonts w:ascii="Times New Roman"/>
                <w:sz w:val="24"/>
              </w:rPr>
              <w:t>S</w:t>
            </w:r>
            <w:r w:rsidRPr="00A06A6E">
              <w:rPr>
                <w:rFonts w:ascii="Arial"/>
                <w:b/>
                <w:sz w:val="20"/>
              </w:rPr>
              <w:t>ustainability</w:t>
            </w:r>
            <w:r w:rsidRPr="00A06A6E">
              <w:rPr>
                <w:rFonts w:ascii="Arial"/>
                <w:b/>
                <w:spacing w:val="-12"/>
                <w:sz w:val="20"/>
              </w:rPr>
              <w:t xml:space="preserve"> </w:t>
            </w:r>
            <w:r w:rsidRPr="00A06A6E">
              <w:rPr>
                <w:rFonts w:ascii="Arial"/>
                <w:b/>
                <w:sz w:val="20"/>
              </w:rPr>
              <w:t>Report</w:t>
            </w:r>
            <w:r w:rsidRPr="00A06A6E">
              <w:rPr>
                <w:rFonts w:ascii="Arial"/>
                <w:b/>
                <w:spacing w:val="-10"/>
                <w:sz w:val="20"/>
              </w:rPr>
              <w:t xml:space="preserve"> </w:t>
            </w:r>
            <w:r w:rsidRPr="00A06A6E">
              <w:rPr>
                <w:rFonts w:ascii="Arial"/>
                <w:b/>
                <w:sz w:val="20"/>
              </w:rPr>
              <w:t>Disclosure</w:t>
            </w:r>
            <w:r w:rsidRPr="00A06A6E">
              <w:rPr>
                <w:rFonts w:ascii="Arial"/>
                <w:b/>
                <w:spacing w:val="-14"/>
                <w:sz w:val="20"/>
              </w:rPr>
              <w:t xml:space="preserve"> </w:t>
            </w:r>
            <w:r w:rsidRPr="00A06A6E">
              <w:rPr>
                <w:rFonts w:ascii="Arial"/>
                <w:b/>
                <w:spacing w:val="-4"/>
                <w:sz w:val="20"/>
              </w:rPr>
              <w:t>(SRD)</w:t>
            </w:r>
          </w:p>
          <w:p w14:paraId="11DCD91E" w14:textId="77777777" w:rsidR="00C137F8" w:rsidRPr="00A06A6E" w:rsidRDefault="00000000">
            <w:pPr>
              <w:pStyle w:val="TableParagraph"/>
              <w:ind w:left="110" w:right="212"/>
              <w:rPr>
                <w:sz w:val="20"/>
              </w:rPr>
            </w:pPr>
            <w:r w:rsidRPr="00A06A6E">
              <w:rPr>
                <w:rFonts w:ascii="Arial"/>
                <w:b/>
                <w:sz w:val="20"/>
              </w:rPr>
              <w:t xml:space="preserve">definition: </w:t>
            </w:r>
            <w:r w:rsidRPr="00A06A6E">
              <w:rPr>
                <w:sz w:val="20"/>
              </w:rPr>
              <w:t>Sustainability Report Disclosure is the disclosure of economic, environmental, social, and governance ( ESG)</w:t>
            </w:r>
            <w:r w:rsidRPr="00A06A6E">
              <w:rPr>
                <w:spacing w:val="-7"/>
                <w:sz w:val="20"/>
              </w:rPr>
              <w:t xml:space="preserve"> </w:t>
            </w:r>
            <w:r w:rsidRPr="00A06A6E">
              <w:rPr>
                <w:sz w:val="20"/>
              </w:rPr>
              <w:t>information</w:t>
            </w:r>
            <w:r w:rsidRPr="00A06A6E">
              <w:rPr>
                <w:spacing w:val="-7"/>
                <w:sz w:val="20"/>
              </w:rPr>
              <w:t xml:space="preserve"> </w:t>
            </w:r>
            <w:r w:rsidRPr="00A06A6E">
              <w:rPr>
                <w:sz w:val="20"/>
              </w:rPr>
              <w:t>by</w:t>
            </w:r>
            <w:r w:rsidRPr="00A06A6E">
              <w:rPr>
                <w:spacing w:val="-7"/>
                <w:sz w:val="20"/>
              </w:rPr>
              <w:t xml:space="preserve"> </w:t>
            </w:r>
            <w:r w:rsidRPr="00A06A6E">
              <w:rPr>
                <w:sz w:val="20"/>
              </w:rPr>
              <w:t>a</w:t>
            </w:r>
            <w:r w:rsidRPr="00A06A6E">
              <w:rPr>
                <w:spacing w:val="-7"/>
                <w:sz w:val="20"/>
              </w:rPr>
              <w:t xml:space="preserve"> </w:t>
            </w:r>
            <w:r w:rsidRPr="00A06A6E">
              <w:rPr>
                <w:sz w:val="20"/>
              </w:rPr>
              <w:t>company</w:t>
            </w:r>
            <w:r w:rsidRPr="00A06A6E">
              <w:rPr>
                <w:spacing w:val="-7"/>
                <w:sz w:val="20"/>
              </w:rPr>
              <w:t xml:space="preserve"> </w:t>
            </w:r>
            <w:r w:rsidRPr="00A06A6E">
              <w:rPr>
                <w:sz w:val="20"/>
              </w:rPr>
              <w:t>to</w:t>
            </w:r>
            <w:r w:rsidRPr="00A06A6E">
              <w:rPr>
                <w:spacing w:val="-7"/>
                <w:sz w:val="20"/>
              </w:rPr>
              <w:t xml:space="preserve"> </w:t>
            </w:r>
            <w:r w:rsidRPr="00A06A6E">
              <w:rPr>
                <w:sz w:val="20"/>
              </w:rPr>
              <w:t>provide</w:t>
            </w:r>
          </w:p>
        </w:tc>
        <w:tc>
          <w:tcPr>
            <w:tcW w:w="4963" w:type="dxa"/>
          </w:tcPr>
          <w:p w14:paraId="608203B3" w14:textId="77777777" w:rsidR="00C137F8" w:rsidRPr="00A06A6E" w:rsidRDefault="00000000">
            <w:pPr>
              <w:pStyle w:val="TableParagraph"/>
              <w:ind w:left="110" w:right="180"/>
              <w:rPr>
                <w:sz w:val="20"/>
              </w:rPr>
            </w:pPr>
            <w:r w:rsidRPr="00A06A6E">
              <w:rPr>
                <w:sz w:val="20"/>
              </w:rPr>
              <w:t>The measurement uses the Global Reporting Initiative (GRI standards 2021) indicators, which consist</w:t>
            </w:r>
            <w:r w:rsidRPr="00A06A6E">
              <w:rPr>
                <w:spacing w:val="-6"/>
                <w:sz w:val="20"/>
              </w:rPr>
              <w:t xml:space="preserve"> </w:t>
            </w:r>
            <w:r w:rsidRPr="00A06A6E">
              <w:rPr>
                <w:sz w:val="20"/>
              </w:rPr>
              <w:t>of</w:t>
            </w:r>
            <w:r w:rsidRPr="00A06A6E">
              <w:rPr>
                <w:spacing w:val="-6"/>
                <w:sz w:val="20"/>
              </w:rPr>
              <w:t xml:space="preserve"> </w:t>
            </w:r>
            <w:r w:rsidRPr="00A06A6E">
              <w:rPr>
                <w:sz w:val="20"/>
              </w:rPr>
              <w:t>145</w:t>
            </w:r>
            <w:r w:rsidRPr="00A06A6E">
              <w:rPr>
                <w:spacing w:val="-6"/>
                <w:sz w:val="20"/>
              </w:rPr>
              <w:t xml:space="preserve"> </w:t>
            </w:r>
            <w:r w:rsidRPr="00A06A6E">
              <w:rPr>
                <w:sz w:val="20"/>
              </w:rPr>
              <w:t>disclosure</w:t>
            </w:r>
            <w:r w:rsidRPr="00A06A6E">
              <w:rPr>
                <w:spacing w:val="-6"/>
                <w:sz w:val="20"/>
              </w:rPr>
              <w:t xml:space="preserve"> </w:t>
            </w:r>
            <w:r w:rsidRPr="00A06A6E">
              <w:rPr>
                <w:sz w:val="20"/>
              </w:rPr>
              <w:t>items</w:t>
            </w:r>
            <w:r w:rsidRPr="00A06A6E">
              <w:rPr>
                <w:spacing w:val="-6"/>
                <w:sz w:val="20"/>
              </w:rPr>
              <w:t xml:space="preserve"> </w:t>
            </w:r>
            <w:r w:rsidRPr="00A06A6E">
              <w:rPr>
                <w:sz w:val="20"/>
              </w:rPr>
              <w:t>covering</w:t>
            </w:r>
            <w:r w:rsidRPr="00A06A6E">
              <w:rPr>
                <w:spacing w:val="-6"/>
                <w:sz w:val="20"/>
              </w:rPr>
              <w:t xml:space="preserve"> </w:t>
            </w:r>
            <w:r w:rsidRPr="00A06A6E">
              <w:rPr>
                <w:sz w:val="20"/>
              </w:rPr>
              <w:t>general</w:t>
            </w:r>
            <w:r w:rsidRPr="00A06A6E">
              <w:rPr>
                <w:spacing w:val="-6"/>
                <w:sz w:val="20"/>
              </w:rPr>
              <w:t xml:space="preserve"> </w:t>
            </w:r>
            <w:r w:rsidRPr="00A06A6E">
              <w:rPr>
                <w:sz w:val="20"/>
              </w:rPr>
              <w:t>( 60), economic (13), environ mental (32), and</w:t>
            </w:r>
          </w:p>
          <w:p w14:paraId="76D4E5E1" w14:textId="77777777" w:rsidR="00C137F8" w:rsidRPr="00A06A6E" w:rsidRDefault="00000000">
            <w:pPr>
              <w:pStyle w:val="TableParagraph"/>
              <w:spacing w:before="1"/>
              <w:ind w:left="110"/>
              <w:rPr>
                <w:sz w:val="20"/>
              </w:rPr>
            </w:pPr>
            <w:r w:rsidRPr="00A06A6E">
              <w:rPr>
                <w:sz w:val="20"/>
              </w:rPr>
              <w:t>social</w:t>
            </w:r>
            <w:r w:rsidRPr="00A06A6E">
              <w:rPr>
                <w:spacing w:val="-7"/>
                <w:sz w:val="20"/>
              </w:rPr>
              <w:t xml:space="preserve"> </w:t>
            </w:r>
            <w:r w:rsidRPr="00A06A6E">
              <w:rPr>
                <w:sz w:val="20"/>
              </w:rPr>
              <w:t>aspects</w:t>
            </w:r>
            <w:r w:rsidRPr="00A06A6E">
              <w:rPr>
                <w:spacing w:val="-6"/>
                <w:sz w:val="20"/>
              </w:rPr>
              <w:t xml:space="preserve"> </w:t>
            </w:r>
            <w:r w:rsidRPr="00A06A6E">
              <w:rPr>
                <w:spacing w:val="-2"/>
                <w:sz w:val="20"/>
              </w:rPr>
              <w:t>(40).</w:t>
            </w:r>
          </w:p>
        </w:tc>
      </w:tr>
    </w:tbl>
    <w:p w14:paraId="40FF068A" w14:textId="77777777" w:rsidR="00C137F8" w:rsidRPr="00A06A6E" w:rsidRDefault="00C137F8">
      <w:pPr>
        <w:pStyle w:val="TableParagraph"/>
        <w:rPr>
          <w:sz w:val="20"/>
        </w:rPr>
        <w:sectPr w:rsidR="00C137F8" w:rsidRPr="00A06A6E">
          <w:pgSz w:w="12240" w:h="15840"/>
          <w:pgMar w:top="800" w:right="1440" w:bottom="280" w:left="1080" w:header="44" w:footer="0" w:gutter="0"/>
          <w:cols w:space="720"/>
        </w:sectPr>
      </w:pPr>
    </w:p>
    <w:p w14:paraId="12AABAFF" w14:textId="77777777" w:rsidR="00C137F8" w:rsidRPr="00A06A6E" w:rsidRDefault="00C137F8">
      <w:pPr>
        <w:pStyle w:val="BodyText"/>
        <w:rPr>
          <w:rFonts w:ascii="Times New Roman"/>
          <w:b/>
          <w:sz w:val="20"/>
        </w:rPr>
      </w:pPr>
    </w:p>
    <w:p w14:paraId="3AD47A77" w14:textId="77777777" w:rsidR="00C137F8" w:rsidRPr="00A06A6E" w:rsidRDefault="00C137F8">
      <w:pPr>
        <w:pStyle w:val="BodyText"/>
        <w:rPr>
          <w:rFonts w:ascii="Times New Roman"/>
          <w:b/>
          <w:sz w:val="20"/>
        </w:rPr>
      </w:pPr>
    </w:p>
    <w:p w14:paraId="046AF90E" w14:textId="77777777" w:rsidR="00C137F8" w:rsidRPr="00A06A6E" w:rsidRDefault="00C137F8">
      <w:pPr>
        <w:pStyle w:val="BodyText"/>
        <w:spacing w:before="206"/>
        <w:rPr>
          <w:rFonts w:ascii="Times New Roman"/>
          <w:b/>
          <w:sz w:val="20"/>
        </w:rPr>
      </w:pP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4"/>
        <w:gridCol w:w="4963"/>
      </w:tblGrid>
      <w:tr w:rsidR="00C137F8" w:rsidRPr="00A06A6E" w14:paraId="12B333AF" w14:textId="77777777">
        <w:trPr>
          <w:trHeight w:val="1247"/>
        </w:trPr>
        <w:tc>
          <w:tcPr>
            <w:tcW w:w="4104" w:type="dxa"/>
          </w:tcPr>
          <w:p w14:paraId="16E14F0D" w14:textId="77777777" w:rsidR="00C137F8" w:rsidRPr="00A06A6E" w:rsidRDefault="00000000">
            <w:pPr>
              <w:pStyle w:val="TableParagraph"/>
              <w:ind w:left="110" w:right="396"/>
              <w:rPr>
                <w:sz w:val="20"/>
              </w:rPr>
            </w:pPr>
            <w:r w:rsidRPr="00A06A6E">
              <w:rPr>
                <w:sz w:val="20"/>
              </w:rPr>
              <w:t>transparency and accountability regarding</w:t>
            </w:r>
            <w:r w:rsidRPr="00A06A6E">
              <w:rPr>
                <w:spacing w:val="-13"/>
                <w:sz w:val="20"/>
              </w:rPr>
              <w:t xml:space="preserve"> </w:t>
            </w:r>
            <w:r w:rsidRPr="00A06A6E">
              <w:rPr>
                <w:sz w:val="20"/>
              </w:rPr>
              <w:t>its</w:t>
            </w:r>
            <w:r w:rsidRPr="00A06A6E">
              <w:rPr>
                <w:spacing w:val="-13"/>
                <w:sz w:val="20"/>
              </w:rPr>
              <w:t xml:space="preserve"> </w:t>
            </w:r>
            <w:r w:rsidRPr="00A06A6E">
              <w:rPr>
                <w:sz w:val="20"/>
              </w:rPr>
              <w:t>sustainability</w:t>
            </w:r>
            <w:r w:rsidRPr="00A06A6E">
              <w:rPr>
                <w:spacing w:val="-13"/>
                <w:sz w:val="20"/>
              </w:rPr>
              <w:t xml:space="preserve"> </w:t>
            </w:r>
            <w:r w:rsidRPr="00A06A6E">
              <w:rPr>
                <w:sz w:val="20"/>
              </w:rPr>
              <w:t>performance to stakeholders (GRI, 2021).</w:t>
            </w:r>
          </w:p>
        </w:tc>
        <w:tc>
          <w:tcPr>
            <w:tcW w:w="4963" w:type="dxa"/>
          </w:tcPr>
          <w:p w14:paraId="5CA26BB4" w14:textId="77777777" w:rsidR="00C137F8" w:rsidRPr="00A06A6E" w:rsidRDefault="00C137F8">
            <w:pPr>
              <w:pStyle w:val="TableParagraph"/>
              <w:spacing w:before="41"/>
              <w:rPr>
                <w:rFonts w:ascii="Times New Roman"/>
                <w:b/>
                <w:sz w:val="20"/>
              </w:rPr>
            </w:pPr>
          </w:p>
          <w:p w14:paraId="5E0ACB41" w14:textId="77777777" w:rsidR="00C137F8" w:rsidRPr="00A06A6E" w:rsidRDefault="00000000">
            <w:pPr>
              <w:pStyle w:val="TableParagraph"/>
              <w:spacing w:line="180" w:lineRule="auto"/>
              <w:ind w:left="1139"/>
              <w:rPr>
                <w:rFonts w:ascii="Cambria Math" w:eastAsia="Cambria Math"/>
                <w:sz w:val="20"/>
              </w:rPr>
            </w:pPr>
            <w:r w:rsidRPr="00A06A6E">
              <w:rPr>
                <w:rFonts w:ascii="Cambria Math" w:eastAsia="Cambria Math"/>
                <w:position w:val="-14"/>
                <w:sz w:val="20"/>
              </w:rPr>
              <w:t>𝑆𝑅𝐷</w:t>
            </w:r>
            <w:r w:rsidRPr="00A06A6E">
              <w:rPr>
                <w:rFonts w:ascii="Cambria Math" w:eastAsia="Cambria Math"/>
                <w:spacing w:val="13"/>
                <w:position w:val="-14"/>
                <w:sz w:val="20"/>
              </w:rPr>
              <w:t xml:space="preserve"> </w:t>
            </w:r>
            <w:r w:rsidRPr="00A06A6E">
              <w:rPr>
                <w:rFonts w:ascii="Cambria Math" w:eastAsia="Cambria Math"/>
                <w:position w:val="-14"/>
                <w:sz w:val="20"/>
              </w:rPr>
              <w:t>=</w:t>
            </w:r>
            <w:r w:rsidRPr="00A06A6E">
              <w:rPr>
                <w:rFonts w:ascii="Cambria Math" w:eastAsia="Cambria Math"/>
                <w:spacing w:val="50"/>
                <w:position w:val="-14"/>
                <w:sz w:val="20"/>
              </w:rPr>
              <w:t xml:space="preserve"> </w:t>
            </w:r>
            <w:r w:rsidRPr="00A06A6E">
              <w:rPr>
                <w:rFonts w:ascii="Cambria Math" w:eastAsia="Cambria Math"/>
                <w:sz w:val="20"/>
              </w:rPr>
              <w:t>𝑇𝑜𝑡𝑎𝑙</w:t>
            </w:r>
            <w:r w:rsidRPr="00A06A6E">
              <w:rPr>
                <w:rFonts w:ascii="Cambria Math" w:eastAsia="Cambria Math"/>
                <w:spacing w:val="3"/>
                <w:sz w:val="20"/>
              </w:rPr>
              <w:t xml:space="preserve"> </w:t>
            </w:r>
            <w:r w:rsidRPr="00A06A6E">
              <w:rPr>
                <w:rFonts w:ascii="Cambria Math" w:eastAsia="Cambria Math"/>
                <w:sz w:val="20"/>
              </w:rPr>
              <w:t>𝐼𝑡𝑒𝑚</w:t>
            </w:r>
            <w:r w:rsidRPr="00A06A6E">
              <w:rPr>
                <w:rFonts w:ascii="Cambria Math" w:eastAsia="Cambria Math"/>
                <w:spacing w:val="1"/>
                <w:sz w:val="20"/>
              </w:rPr>
              <w:t xml:space="preserve"> </w:t>
            </w:r>
            <w:r w:rsidRPr="00A06A6E">
              <w:rPr>
                <w:rFonts w:ascii="Cambria Math" w:eastAsia="Cambria Math"/>
                <w:spacing w:val="-2"/>
                <w:sz w:val="20"/>
              </w:rPr>
              <w:t>𝐷𝑖𝑠𝑐𝑙𝑜𝑠𝑢𝑟𝑒</w:t>
            </w:r>
          </w:p>
          <w:p w14:paraId="5F2467E9" w14:textId="77777777" w:rsidR="00C137F8" w:rsidRPr="00A06A6E" w:rsidRDefault="00000000">
            <w:pPr>
              <w:pStyle w:val="TableParagraph"/>
              <w:spacing w:line="187" w:lineRule="exact"/>
              <w:ind w:left="2233"/>
              <w:rPr>
                <w:rFonts w:ascii="Cambria Math" w:eastAsia="Cambria Math"/>
                <w:sz w:val="20"/>
              </w:rPr>
            </w:pPr>
            <w:r w:rsidRPr="00A06A6E">
              <w:rPr>
                <w:rFonts w:ascii="Cambria Math" w:eastAsia="Cambria Math"/>
                <w:noProof/>
                <w:sz w:val="20"/>
              </w:rPr>
              <mc:AlternateContent>
                <mc:Choice Requires="wpg">
                  <w:drawing>
                    <wp:anchor distT="0" distB="0" distL="0" distR="0" simplePos="0" relativeHeight="251659264" behindDoc="1" locked="0" layoutInCell="1" allowOverlap="1" wp14:anchorId="348FA6E1" wp14:editId="0601E533">
                      <wp:simplePos x="0" y="0"/>
                      <wp:positionH relativeFrom="column">
                        <wp:posOffset>1158240</wp:posOffset>
                      </wp:positionH>
                      <wp:positionV relativeFrom="paragraph">
                        <wp:posOffset>-34689</wp:posOffset>
                      </wp:positionV>
                      <wp:extent cx="1274445" cy="952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4445" cy="9525"/>
                                <a:chOff x="0" y="0"/>
                                <a:chExt cx="1274445" cy="9525"/>
                              </a:xfrm>
                            </wpg:grpSpPr>
                            <wps:wsp>
                              <wps:cNvPr id="31" name="Graphic 31"/>
                              <wps:cNvSpPr/>
                              <wps:spPr>
                                <a:xfrm>
                                  <a:off x="0" y="0"/>
                                  <a:ext cx="1274445" cy="9525"/>
                                </a:xfrm>
                                <a:custGeom>
                                  <a:avLst/>
                                  <a:gdLst/>
                                  <a:ahLst/>
                                  <a:cxnLst/>
                                  <a:rect l="l" t="t" r="r" b="b"/>
                                  <a:pathLst>
                                    <a:path w="1274445" h="9525">
                                      <a:moveTo>
                                        <a:pt x="1274064" y="0"/>
                                      </a:moveTo>
                                      <a:lnTo>
                                        <a:pt x="0" y="0"/>
                                      </a:lnTo>
                                      <a:lnTo>
                                        <a:pt x="0" y="9144"/>
                                      </a:lnTo>
                                      <a:lnTo>
                                        <a:pt x="1274064" y="9144"/>
                                      </a:lnTo>
                                      <a:lnTo>
                                        <a:pt x="12740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F27DB8" id="Group 30" o:spid="_x0000_s1026" style="position:absolute;margin-left:91.2pt;margin-top:-2.75pt;width:100.35pt;height:.75pt;z-index:-251657216;mso-wrap-distance-left:0;mso-wrap-distance-right:0" coordsize="127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">
                      <v:shape id="Graphic 31" o:spid="_x0000_s1027" style="position:absolute;width:12744;height:95;visibility:visible;mso-wrap-style:square;v-text-anchor:top" coordsize="12744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" path="m1274064,l,,,9144r1274064,l1274064,xe" fillcolor="black" stroked="f">
                        <v:path arrowok="t"/>
                      </v:shape>
                    </v:group>
                  </w:pict>
                </mc:Fallback>
              </mc:AlternateContent>
            </w:r>
            <w:r w:rsidRPr="00A06A6E">
              <w:rPr>
                <w:rFonts w:ascii="Cambria Math" w:eastAsia="Cambria Math"/>
                <w:sz w:val="20"/>
              </w:rPr>
              <w:t>145</w:t>
            </w:r>
            <w:r w:rsidRPr="00A06A6E">
              <w:rPr>
                <w:rFonts w:ascii="Cambria Math" w:eastAsia="Cambria Math"/>
                <w:spacing w:val="-4"/>
                <w:sz w:val="20"/>
              </w:rPr>
              <w:t xml:space="preserve"> </w:t>
            </w:r>
            <w:r w:rsidRPr="00A06A6E">
              <w:rPr>
                <w:rFonts w:ascii="Cambria Math" w:eastAsia="Cambria Math"/>
                <w:sz w:val="20"/>
              </w:rPr>
              <w:t xml:space="preserve">𝐼𝑡𝑒𝑚 </w:t>
            </w:r>
            <w:r w:rsidRPr="00A06A6E">
              <w:rPr>
                <w:rFonts w:ascii="Cambria Math" w:eastAsia="Cambria Math"/>
                <w:spacing w:val="-5"/>
                <w:sz w:val="20"/>
              </w:rPr>
              <w:t>𝐺𝑅𝐼</w:t>
            </w:r>
          </w:p>
        </w:tc>
      </w:tr>
      <w:tr w:rsidR="00C137F8" w:rsidRPr="00A06A6E" w14:paraId="0129C436" w14:textId="77777777">
        <w:trPr>
          <w:trHeight w:val="2188"/>
        </w:trPr>
        <w:tc>
          <w:tcPr>
            <w:tcW w:w="4104" w:type="dxa"/>
          </w:tcPr>
          <w:p w14:paraId="7FD27279" w14:textId="77777777" w:rsidR="00C137F8" w:rsidRPr="00A06A6E" w:rsidRDefault="00000000">
            <w:pPr>
              <w:pStyle w:val="TableParagraph"/>
              <w:spacing w:before="23"/>
              <w:ind w:left="110"/>
              <w:rPr>
                <w:rFonts w:ascii="Arial"/>
                <w:b/>
                <w:sz w:val="20"/>
              </w:rPr>
            </w:pPr>
            <w:r w:rsidRPr="00A06A6E">
              <w:rPr>
                <w:rFonts w:ascii="Arial"/>
                <w:b/>
                <w:spacing w:val="-2"/>
                <w:sz w:val="20"/>
              </w:rPr>
              <w:t>Profitability</w:t>
            </w:r>
            <w:r w:rsidRPr="00A06A6E">
              <w:rPr>
                <w:rFonts w:ascii="Arial"/>
                <w:b/>
                <w:spacing w:val="9"/>
                <w:sz w:val="20"/>
              </w:rPr>
              <w:t xml:space="preserve"> </w:t>
            </w:r>
            <w:r w:rsidRPr="00A06A6E">
              <w:rPr>
                <w:rFonts w:ascii="Arial"/>
                <w:b/>
                <w:spacing w:val="-5"/>
                <w:sz w:val="20"/>
              </w:rPr>
              <w:t>(P)</w:t>
            </w:r>
          </w:p>
          <w:p w14:paraId="477E8B1C" w14:textId="77777777" w:rsidR="00C137F8" w:rsidRPr="00A06A6E" w:rsidRDefault="00000000">
            <w:pPr>
              <w:pStyle w:val="TableParagraph"/>
              <w:spacing w:before="10"/>
              <w:ind w:left="110" w:right="212"/>
              <w:rPr>
                <w:sz w:val="20"/>
              </w:rPr>
            </w:pPr>
            <w:r w:rsidRPr="00A06A6E">
              <w:rPr>
                <w:rFonts w:ascii="Arial" w:hAnsi="Arial"/>
                <w:b/>
                <w:sz w:val="20"/>
              </w:rPr>
              <w:t>Definition:</w:t>
            </w:r>
            <w:r w:rsidRPr="00A06A6E">
              <w:rPr>
                <w:rFonts w:ascii="Arial" w:hAnsi="Arial"/>
                <w:b/>
                <w:spacing w:val="-7"/>
                <w:sz w:val="20"/>
              </w:rPr>
              <w:t xml:space="preserve"> </w:t>
            </w:r>
            <w:r w:rsidRPr="00A06A6E">
              <w:rPr>
                <w:sz w:val="20"/>
              </w:rPr>
              <w:t>Profitability</w:t>
            </w:r>
            <w:r w:rsidRPr="00A06A6E">
              <w:rPr>
                <w:spacing w:val="-7"/>
                <w:sz w:val="20"/>
              </w:rPr>
              <w:t xml:space="preserve"> </w:t>
            </w:r>
            <w:r w:rsidRPr="00A06A6E">
              <w:rPr>
                <w:sz w:val="20"/>
              </w:rPr>
              <w:t>is</w:t>
            </w:r>
            <w:r w:rsidRPr="00A06A6E">
              <w:rPr>
                <w:spacing w:val="-7"/>
                <w:sz w:val="20"/>
              </w:rPr>
              <w:t xml:space="preserve"> </w:t>
            </w:r>
            <w:r w:rsidRPr="00A06A6E">
              <w:rPr>
                <w:sz w:val="20"/>
              </w:rPr>
              <w:t>a</w:t>
            </w:r>
            <w:r w:rsidRPr="00A06A6E">
              <w:rPr>
                <w:spacing w:val="-7"/>
                <w:sz w:val="20"/>
              </w:rPr>
              <w:t xml:space="preserve"> </w:t>
            </w:r>
            <w:r w:rsidRPr="00A06A6E">
              <w:rPr>
                <w:sz w:val="20"/>
              </w:rPr>
              <w:t>ratio</w:t>
            </w:r>
            <w:r w:rsidRPr="00A06A6E">
              <w:rPr>
                <w:spacing w:val="-7"/>
                <w:sz w:val="20"/>
              </w:rPr>
              <w:t xml:space="preserve"> </w:t>
            </w:r>
            <w:r w:rsidRPr="00A06A6E">
              <w:rPr>
                <w:sz w:val="20"/>
              </w:rPr>
              <w:t>used</w:t>
            </w:r>
            <w:r w:rsidRPr="00A06A6E">
              <w:rPr>
                <w:spacing w:val="-7"/>
                <w:sz w:val="20"/>
              </w:rPr>
              <w:t xml:space="preserve"> </w:t>
            </w:r>
            <w:r w:rsidRPr="00A06A6E">
              <w:rPr>
                <w:sz w:val="20"/>
              </w:rPr>
              <w:t>to assess</w:t>
            </w:r>
            <w:r w:rsidRPr="00A06A6E">
              <w:rPr>
                <w:spacing w:val="-7"/>
                <w:sz w:val="20"/>
              </w:rPr>
              <w:t xml:space="preserve"> </w:t>
            </w:r>
            <w:r w:rsidRPr="00A06A6E">
              <w:rPr>
                <w:sz w:val="20"/>
              </w:rPr>
              <w:t>a</w:t>
            </w:r>
            <w:r w:rsidRPr="00A06A6E">
              <w:rPr>
                <w:spacing w:val="-7"/>
                <w:sz w:val="20"/>
              </w:rPr>
              <w:t xml:space="preserve"> </w:t>
            </w:r>
            <w:r w:rsidRPr="00A06A6E">
              <w:rPr>
                <w:sz w:val="20"/>
              </w:rPr>
              <w:t>company’s</w:t>
            </w:r>
            <w:r w:rsidRPr="00A06A6E">
              <w:rPr>
                <w:spacing w:val="-7"/>
                <w:sz w:val="20"/>
              </w:rPr>
              <w:t xml:space="preserve"> </w:t>
            </w:r>
            <w:r w:rsidRPr="00A06A6E">
              <w:rPr>
                <w:sz w:val="20"/>
              </w:rPr>
              <w:t>ability</w:t>
            </w:r>
            <w:r w:rsidRPr="00A06A6E">
              <w:rPr>
                <w:spacing w:val="-7"/>
                <w:sz w:val="20"/>
              </w:rPr>
              <w:t xml:space="preserve"> </w:t>
            </w:r>
            <w:r w:rsidRPr="00A06A6E">
              <w:rPr>
                <w:sz w:val="20"/>
              </w:rPr>
              <w:t>to</w:t>
            </w:r>
            <w:r w:rsidRPr="00A06A6E">
              <w:rPr>
                <w:spacing w:val="-7"/>
                <w:sz w:val="20"/>
              </w:rPr>
              <w:t xml:space="preserve"> </w:t>
            </w:r>
            <w:r w:rsidRPr="00A06A6E">
              <w:rPr>
                <w:sz w:val="20"/>
              </w:rPr>
              <w:t>earn</w:t>
            </w:r>
            <w:r w:rsidRPr="00A06A6E">
              <w:rPr>
                <w:spacing w:val="-7"/>
                <w:sz w:val="20"/>
              </w:rPr>
              <w:t xml:space="preserve"> </w:t>
            </w:r>
            <w:r w:rsidRPr="00A06A6E">
              <w:rPr>
                <w:sz w:val="20"/>
              </w:rPr>
              <w:t>profit and measure the effectiveness of management in managing company operations. (Kasmir, 2019)</w:t>
            </w:r>
          </w:p>
        </w:tc>
        <w:tc>
          <w:tcPr>
            <w:tcW w:w="4963" w:type="dxa"/>
          </w:tcPr>
          <w:p w14:paraId="5CAB9473" w14:textId="77777777" w:rsidR="00C137F8" w:rsidRPr="00A06A6E" w:rsidRDefault="00000000">
            <w:pPr>
              <w:pStyle w:val="TableParagraph"/>
              <w:spacing w:before="52" w:line="304" w:lineRule="auto"/>
              <w:ind w:left="110" w:right="180"/>
              <w:rPr>
                <w:sz w:val="20"/>
              </w:rPr>
            </w:pPr>
            <w:r w:rsidRPr="00A06A6E">
              <w:rPr>
                <w:sz w:val="20"/>
              </w:rPr>
              <w:t>Profitability</w:t>
            </w:r>
            <w:r w:rsidRPr="00A06A6E">
              <w:rPr>
                <w:spacing w:val="-8"/>
                <w:sz w:val="20"/>
              </w:rPr>
              <w:t xml:space="preserve"> </w:t>
            </w:r>
            <w:r w:rsidRPr="00A06A6E">
              <w:rPr>
                <w:sz w:val="20"/>
              </w:rPr>
              <w:t>is</w:t>
            </w:r>
            <w:r w:rsidRPr="00A06A6E">
              <w:rPr>
                <w:spacing w:val="-1"/>
                <w:sz w:val="20"/>
              </w:rPr>
              <w:t xml:space="preserve"> </w:t>
            </w:r>
            <w:r w:rsidRPr="00A06A6E">
              <w:rPr>
                <w:sz w:val="20"/>
              </w:rPr>
              <w:t>described</w:t>
            </w:r>
            <w:r w:rsidRPr="00A06A6E">
              <w:rPr>
                <w:spacing w:val="-2"/>
                <w:sz w:val="20"/>
              </w:rPr>
              <w:t xml:space="preserve"> </w:t>
            </w:r>
            <w:r w:rsidRPr="00A06A6E">
              <w:rPr>
                <w:sz w:val="20"/>
              </w:rPr>
              <w:t>through</w:t>
            </w:r>
            <w:r w:rsidRPr="00A06A6E">
              <w:rPr>
                <w:spacing w:val="-2"/>
                <w:sz w:val="20"/>
              </w:rPr>
              <w:t xml:space="preserve"> </w:t>
            </w:r>
            <w:r w:rsidRPr="00A06A6E">
              <w:rPr>
                <w:sz w:val="20"/>
              </w:rPr>
              <w:t>return</w:t>
            </w:r>
            <w:r w:rsidRPr="00A06A6E">
              <w:rPr>
                <w:spacing w:val="-1"/>
                <w:sz w:val="20"/>
              </w:rPr>
              <w:t xml:space="preserve"> </w:t>
            </w:r>
            <w:r w:rsidRPr="00A06A6E">
              <w:rPr>
                <w:sz w:val="20"/>
              </w:rPr>
              <w:t>on</w:t>
            </w:r>
            <w:r w:rsidRPr="00A06A6E">
              <w:rPr>
                <w:spacing w:val="-2"/>
                <w:sz w:val="20"/>
              </w:rPr>
              <w:t xml:space="preserve"> </w:t>
            </w:r>
            <w:r w:rsidRPr="00A06A6E">
              <w:rPr>
                <w:sz w:val="20"/>
              </w:rPr>
              <w:t>assets (ROA) which is measured through:</w:t>
            </w:r>
          </w:p>
          <w:p w14:paraId="3D6AF378" w14:textId="77777777" w:rsidR="00C137F8" w:rsidRPr="00A06A6E" w:rsidRDefault="00000000">
            <w:pPr>
              <w:pStyle w:val="TableParagraph"/>
              <w:spacing w:before="215" w:line="180" w:lineRule="auto"/>
              <w:ind w:left="1599"/>
              <w:rPr>
                <w:rFonts w:ascii="Cambria Math" w:eastAsia="Cambria Math"/>
                <w:sz w:val="20"/>
              </w:rPr>
            </w:pPr>
            <w:r w:rsidRPr="00A06A6E">
              <w:rPr>
                <w:rFonts w:ascii="Cambria Math" w:eastAsia="Cambria Math"/>
                <w:position w:val="-14"/>
                <w:sz w:val="20"/>
              </w:rPr>
              <w:t>𝑅𝑂𝐴</w:t>
            </w:r>
            <w:r w:rsidRPr="00A06A6E">
              <w:rPr>
                <w:rFonts w:ascii="Cambria Math" w:eastAsia="Cambria Math"/>
                <w:spacing w:val="10"/>
                <w:position w:val="-14"/>
                <w:sz w:val="20"/>
              </w:rPr>
              <w:t xml:space="preserve"> </w:t>
            </w:r>
            <w:r w:rsidRPr="00A06A6E">
              <w:rPr>
                <w:rFonts w:ascii="Cambria Math" w:eastAsia="Cambria Math"/>
                <w:position w:val="-14"/>
                <w:sz w:val="20"/>
              </w:rPr>
              <w:t>=</w:t>
            </w:r>
            <w:r w:rsidRPr="00A06A6E">
              <w:rPr>
                <w:rFonts w:ascii="Cambria Math" w:eastAsia="Cambria Math"/>
                <w:spacing w:val="47"/>
                <w:position w:val="-14"/>
                <w:sz w:val="20"/>
              </w:rPr>
              <w:t xml:space="preserve"> </w:t>
            </w:r>
            <w:r w:rsidRPr="00A06A6E">
              <w:rPr>
                <w:rFonts w:ascii="Cambria Math" w:eastAsia="Cambria Math"/>
                <w:sz w:val="20"/>
              </w:rPr>
              <w:t>𝑁𝑒𝑡</w:t>
            </w:r>
            <w:r w:rsidRPr="00A06A6E">
              <w:rPr>
                <w:rFonts w:ascii="Cambria Math" w:eastAsia="Cambria Math"/>
                <w:spacing w:val="3"/>
                <w:sz w:val="20"/>
              </w:rPr>
              <w:t xml:space="preserve"> </w:t>
            </w:r>
            <w:r w:rsidRPr="00A06A6E">
              <w:rPr>
                <w:rFonts w:ascii="Cambria Math" w:eastAsia="Cambria Math"/>
                <w:spacing w:val="-2"/>
                <w:sz w:val="20"/>
              </w:rPr>
              <w:t>𝐼𝑛𝑐𝑜𝑚𝑒</w:t>
            </w:r>
          </w:p>
          <w:p w14:paraId="4B0B0774" w14:textId="77777777" w:rsidR="00C137F8" w:rsidRPr="00A06A6E" w:rsidRDefault="00000000">
            <w:pPr>
              <w:pStyle w:val="TableParagraph"/>
              <w:spacing w:line="187" w:lineRule="exact"/>
              <w:ind w:left="2250"/>
              <w:rPr>
                <w:rFonts w:ascii="Cambria Math" w:eastAsia="Cambria Math"/>
                <w:sz w:val="20"/>
              </w:rPr>
            </w:pPr>
            <w:r w:rsidRPr="00A06A6E">
              <w:rPr>
                <w:rFonts w:ascii="Cambria Math" w:eastAsia="Cambria Math"/>
                <w:noProof/>
                <w:sz w:val="20"/>
              </w:rPr>
              <mc:AlternateContent>
                <mc:Choice Requires="wpg">
                  <w:drawing>
                    <wp:anchor distT="0" distB="0" distL="0" distR="0" simplePos="0" relativeHeight="251660288" behindDoc="1" locked="0" layoutInCell="1" allowOverlap="1" wp14:anchorId="11C298BE" wp14:editId="716A61E0">
                      <wp:simplePos x="0" y="0"/>
                      <wp:positionH relativeFrom="column">
                        <wp:posOffset>1429512</wp:posOffset>
                      </wp:positionH>
                      <wp:positionV relativeFrom="paragraph">
                        <wp:posOffset>-34684</wp:posOffset>
                      </wp:positionV>
                      <wp:extent cx="707390" cy="952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390" cy="9525"/>
                                <a:chOff x="0" y="0"/>
                                <a:chExt cx="707390" cy="9525"/>
                              </a:xfrm>
                            </wpg:grpSpPr>
                            <wps:wsp>
                              <wps:cNvPr id="33" name="Graphic 33"/>
                              <wps:cNvSpPr/>
                              <wps:spPr>
                                <a:xfrm>
                                  <a:off x="0" y="0"/>
                                  <a:ext cx="707390" cy="9525"/>
                                </a:xfrm>
                                <a:custGeom>
                                  <a:avLst/>
                                  <a:gdLst/>
                                  <a:ahLst/>
                                  <a:cxnLst/>
                                  <a:rect l="l" t="t" r="r" b="b"/>
                                  <a:pathLst>
                                    <a:path w="707390" h="9525">
                                      <a:moveTo>
                                        <a:pt x="707136" y="0"/>
                                      </a:moveTo>
                                      <a:lnTo>
                                        <a:pt x="0" y="0"/>
                                      </a:lnTo>
                                      <a:lnTo>
                                        <a:pt x="0" y="9143"/>
                                      </a:lnTo>
                                      <a:lnTo>
                                        <a:pt x="707136" y="9143"/>
                                      </a:lnTo>
                                      <a:lnTo>
                                        <a:pt x="707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43FB94" id="Group 32" o:spid="_x0000_s1026" style="position:absolute;margin-left:112.55pt;margin-top:-2.75pt;width:55.7pt;height:.75pt;z-index:-251656192;mso-wrap-distance-left:0;mso-wrap-distance-right:0" coordsize="70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">
                      <v:shape id="Graphic 33" o:spid="_x0000_s1027" style="position:absolute;width:7073;height:95;visibility:visible;mso-wrap-style:square;v-text-anchor:top" coordsize="707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" path="m707136,l,,,9143r707136,l707136,xe" fillcolor="black" stroked="f">
                        <v:path arrowok="t"/>
                      </v:shape>
                    </v:group>
                  </w:pict>
                </mc:Fallback>
              </mc:AlternateContent>
            </w:r>
            <w:r w:rsidRPr="00A06A6E">
              <w:rPr>
                <w:rFonts w:ascii="Cambria Math" w:eastAsia="Cambria Math"/>
                <w:sz w:val="20"/>
              </w:rPr>
              <w:t>𝑇𝑜𝑡𝑎𝑙</w:t>
            </w:r>
            <w:r w:rsidRPr="00A06A6E">
              <w:rPr>
                <w:rFonts w:ascii="Cambria Math" w:eastAsia="Cambria Math"/>
                <w:spacing w:val="1"/>
                <w:sz w:val="20"/>
              </w:rPr>
              <w:t xml:space="preserve"> </w:t>
            </w:r>
            <w:r w:rsidRPr="00A06A6E">
              <w:rPr>
                <w:rFonts w:ascii="Cambria Math" w:eastAsia="Cambria Math"/>
                <w:spacing w:val="-2"/>
                <w:sz w:val="20"/>
              </w:rPr>
              <w:t>𝐴𝑠𝑠𝑒𝑡𝑠</w:t>
            </w:r>
          </w:p>
        </w:tc>
      </w:tr>
      <w:tr w:rsidR="00C137F8" w:rsidRPr="00A06A6E" w14:paraId="2421AE4D" w14:textId="77777777">
        <w:trPr>
          <w:trHeight w:val="1943"/>
        </w:trPr>
        <w:tc>
          <w:tcPr>
            <w:tcW w:w="4104" w:type="dxa"/>
          </w:tcPr>
          <w:p w14:paraId="3A5901A4" w14:textId="77777777" w:rsidR="00C137F8" w:rsidRPr="00A06A6E" w:rsidRDefault="00000000">
            <w:pPr>
              <w:pStyle w:val="TableParagraph"/>
              <w:spacing w:line="229" w:lineRule="exact"/>
              <w:ind w:left="110"/>
              <w:rPr>
                <w:rFonts w:ascii="Arial"/>
                <w:b/>
                <w:sz w:val="20"/>
              </w:rPr>
            </w:pPr>
            <w:r w:rsidRPr="00A06A6E">
              <w:rPr>
                <w:rFonts w:ascii="Arial"/>
                <w:b/>
                <w:sz w:val="20"/>
              </w:rPr>
              <w:t>Leverage</w:t>
            </w:r>
            <w:r w:rsidRPr="00A06A6E">
              <w:rPr>
                <w:rFonts w:ascii="Arial"/>
                <w:b/>
                <w:spacing w:val="-13"/>
                <w:sz w:val="20"/>
              </w:rPr>
              <w:t xml:space="preserve"> </w:t>
            </w:r>
            <w:r w:rsidRPr="00A06A6E">
              <w:rPr>
                <w:rFonts w:ascii="Arial"/>
                <w:b/>
                <w:spacing w:val="-5"/>
                <w:sz w:val="20"/>
              </w:rPr>
              <w:t>(L)</w:t>
            </w:r>
          </w:p>
          <w:p w14:paraId="03A0C900" w14:textId="77777777" w:rsidR="00C137F8" w:rsidRPr="00A06A6E" w:rsidRDefault="00C137F8">
            <w:pPr>
              <w:pStyle w:val="TableParagraph"/>
              <w:spacing w:before="53"/>
              <w:rPr>
                <w:rFonts w:ascii="Times New Roman"/>
                <w:b/>
                <w:sz w:val="20"/>
              </w:rPr>
            </w:pPr>
          </w:p>
          <w:p w14:paraId="4A4BAA77" w14:textId="77777777" w:rsidR="00C137F8" w:rsidRPr="00A06A6E" w:rsidRDefault="00000000">
            <w:pPr>
              <w:pStyle w:val="TableParagraph"/>
              <w:ind w:left="110" w:right="212"/>
              <w:rPr>
                <w:sz w:val="20"/>
              </w:rPr>
            </w:pPr>
            <w:r w:rsidRPr="00A06A6E">
              <w:rPr>
                <w:rFonts w:ascii="Arial" w:hAnsi="Arial"/>
                <w:b/>
                <w:sz w:val="20"/>
              </w:rPr>
              <w:t xml:space="preserve">Definition: </w:t>
            </w:r>
            <w:r w:rsidRPr="00A06A6E">
              <w:rPr>
                <w:sz w:val="20"/>
              </w:rPr>
              <w:t>leverage is a ratio used to measure how far company assets are financed</w:t>
            </w:r>
            <w:r w:rsidRPr="00A06A6E">
              <w:rPr>
                <w:spacing w:val="-7"/>
                <w:sz w:val="20"/>
              </w:rPr>
              <w:t xml:space="preserve"> </w:t>
            </w:r>
            <w:r w:rsidRPr="00A06A6E">
              <w:rPr>
                <w:sz w:val="20"/>
              </w:rPr>
              <w:t>by</w:t>
            </w:r>
            <w:r w:rsidRPr="00A06A6E">
              <w:rPr>
                <w:spacing w:val="-7"/>
                <w:sz w:val="20"/>
              </w:rPr>
              <w:t xml:space="preserve"> </w:t>
            </w:r>
            <w:r w:rsidRPr="00A06A6E">
              <w:rPr>
                <w:sz w:val="20"/>
              </w:rPr>
              <w:t>debt</w:t>
            </w:r>
            <w:r w:rsidRPr="00A06A6E">
              <w:rPr>
                <w:spacing w:val="-7"/>
                <w:sz w:val="20"/>
              </w:rPr>
              <w:t xml:space="preserve"> </w:t>
            </w:r>
            <w:r w:rsidRPr="00A06A6E">
              <w:rPr>
                <w:sz w:val="20"/>
              </w:rPr>
              <w:t>and</w:t>
            </w:r>
            <w:r w:rsidRPr="00A06A6E">
              <w:rPr>
                <w:spacing w:val="-7"/>
                <w:sz w:val="20"/>
              </w:rPr>
              <w:t xml:space="preserve"> </w:t>
            </w:r>
            <w:r w:rsidRPr="00A06A6E">
              <w:rPr>
                <w:sz w:val="20"/>
              </w:rPr>
              <w:t>the</w:t>
            </w:r>
            <w:r w:rsidRPr="00A06A6E">
              <w:rPr>
                <w:spacing w:val="-6"/>
                <w:sz w:val="20"/>
              </w:rPr>
              <w:t xml:space="preserve"> </w:t>
            </w:r>
            <w:r w:rsidRPr="00A06A6E">
              <w:rPr>
                <w:sz w:val="20"/>
              </w:rPr>
              <w:t>company’s</w:t>
            </w:r>
            <w:r w:rsidRPr="00A06A6E">
              <w:rPr>
                <w:spacing w:val="-6"/>
                <w:sz w:val="20"/>
              </w:rPr>
              <w:t xml:space="preserve"> </w:t>
            </w:r>
            <w:r w:rsidRPr="00A06A6E">
              <w:rPr>
                <w:sz w:val="20"/>
              </w:rPr>
              <w:t xml:space="preserve">ability to meet its financial obligations. (Kasmir, </w:t>
            </w:r>
            <w:r w:rsidRPr="00A06A6E">
              <w:rPr>
                <w:spacing w:val="-2"/>
                <w:sz w:val="20"/>
              </w:rPr>
              <w:t>2019)</w:t>
            </w:r>
          </w:p>
        </w:tc>
        <w:tc>
          <w:tcPr>
            <w:tcW w:w="4963" w:type="dxa"/>
          </w:tcPr>
          <w:p w14:paraId="53D76A2D" w14:textId="77777777" w:rsidR="00C137F8" w:rsidRPr="00A06A6E" w:rsidRDefault="00000000">
            <w:pPr>
              <w:pStyle w:val="TableParagraph"/>
              <w:spacing w:before="47" w:line="309" w:lineRule="auto"/>
              <w:ind w:left="110" w:right="180"/>
              <w:rPr>
                <w:sz w:val="20"/>
              </w:rPr>
            </w:pPr>
            <w:r w:rsidRPr="00A06A6E">
              <w:rPr>
                <w:sz w:val="20"/>
              </w:rPr>
              <w:t>This</w:t>
            </w:r>
            <w:r w:rsidRPr="00A06A6E">
              <w:rPr>
                <w:spacing w:val="-6"/>
                <w:sz w:val="20"/>
              </w:rPr>
              <w:t xml:space="preserve"> </w:t>
            </w:r>
            <w:r w:rsidRPr="00A06A6E">
              <w:rPr>
                <w:sz w:val="20"/>
              </w:rPr>
              <w:t>leverage</w:t>
            </w:r>
            <w:r w:rsidRPr="00A06A6E">
              <w:rPr>
                <w:spacing w:val="-6"/>
                <w:sz w:val="20"/>
              </w:rPr>
              <w:t xml:space="preserve"> </w:t>
            </w:r>
            <w:r w:rsidRPr="00A06A6E">
              <w:rPr>
                <w:sz w:val="20"/>
              </w:rPr>
              <w:t>variable</w:t>
            </w:r>
            <w:r w:rsidRPr="00A06A6E">
              <w:rPr>
                <w:spacing w:val="-4"/>
                <w:sz w:val="20"/>
              </w:rPr>
              <w:t xml:space="preserve"> </w:t>
            </w:r>
            <w:r w:rsidRPr="00A06A6E">
              <w:rPr>
                <w:sz w:val="20"/>
              </w:rPr>
              <w:t>is</w:t>
            </w:r>
            <w:r w:rsidRPr="00A06A6E">
              <w:rPr>
                <w:spacing w:val="-6"/>
                <w:sz w:val="20"/>
              </w:rPr>
              <w:t xml:space="preserve"> </w:t>
            </w:r>
            <w:r w:rsidRPr="00A06A6E">
              <w:rPr>
                <w:sz w:val="20"/>
              </w:rPr>
              <w:t>described</w:t>
            </w:r>
            <w:r w:rsidRPr="00A06A6E">
              <w:rPr>
                <w:spacing w:val="-8"/>
                <w:sz w:val="20"/>
              </w:rPr>
              <w:t xml:space="preserve"> </w:t>
            </w:r>
            <w:r w:rsidRPr="00A06A6E">
              <w:rPr>
                <w:sz w:val="20"/>
              </w:rPr>
              <w:t>through</w:t>
            </w:r>
            <w:r w:rsidRPr="00A06A6E">
              <w:rPr>
                <w:spacing w:val="-9"/>
                <w:sz w:val="20"/>
              </w:rPr>
              <w:t xml:space="preserve"> </w:t>
            </w:r>
            <w:r w:rsidRPr="00A06A6E">
              <w:rPr>
                <w:sz w:val="20"/>
              </w:rPr>
              <w:t>the</w:t>
            </w:r>
            <w:r w:rsidRPr="00A06A6E">
              <w:rPr>
                <w:spacing w:val="-7"/>
                <w:sz w:val="20"/>
              </w:rPr>
              <w:t xml:space="preserve"> </w:t>
            </w:r>
            <w:r w:rsidRPr="00A06A6E">
              <w:rPr>
                <w:sz w:val="20"/>
              </w:rPr>
              <w:t>debt to equity ratio (DER) which is measured through:</w:t>
            </w:r>
          </w:p>
          <w:p w14:paraId="0A111D1D" w14:textId="77777777" w:rsidR="00C137F8" w:rsidRPr="00A06A6E" w:rsidRDefault="00000000">
            <w:pPr>
              <w:pStyle w:val="TableParagraph"/>
              <w:spacing w:before="216" w:line="180" w:lineRule="auto"/>
              <w:ind w:left="1551"/>
              <w:rPr>
                <w:rFonts w:ascii="Cambria Math" w:eastAsia="Cambria Math"/>
                <w:sz w:val="20"/>
              </w:rPr>
            </w:pPr>
            <w:r w:rsidRPr="00A06A6E">
              <w:rPr>
                <w:rFonts w:ascii="Cambria Math" w:eastAsia="Cambria Math"/>
                <w:position w:val="-14"/>
                <w:sz w:val="20"/>
              </w:rPr>
              <w:t>𝐿</w:t>
            </w:r>
            <w:r w:rsidRPr="00A06A6E">
              <w:rPr>
                <w:rFonts w:ascii="Cambria Math" w:eastAsia="Cambria Math"/>
                <w:spacing w:val="12"/>
                <w:position w:val="-14"/>
                <w:sz w:val="20"/>
              </w:rPr>
              <w:t xml:space="preserve"> </w:t>
            </w:r>
            <w:r w:rsidRPr="00A06A6E">
              <w:rPr>
                <w:rFonts w:ascii="Cambria Math" w:eastAsia="Cambria Math"/>
                <w:position w:val="-14"/>
                <w:sz w:val="20"/>
              </w:rPr>
              <w:t>=</w:t>
            </w:r>
            <w:r w:rsidRPr="00A06A6E">
              <w:rPr>
                <w:rFonts w:ascii="Cambria Math" w:eastAsia="Cambria Math"/>
                <w:spacing w:val="52"/>
                <w:position w:val="-14"/>
                <w:sz w:val="20"/>
              </w:rPr>
              <w:t xml:space="preserve"> </w:t>
            </w:r>
            <w:r w:rsidRPr="00A06A6E">
              <w:rPr>
                <w:rFonts w:ascii="Cambria Math" w:eastAsia="Cambria Math"/>
                <w:sz w:val="20"/>
              </w:rPr>
              <w:t>𝑇𝑜𝑡𝑎𝑙</w:t>
            </w:r>
            <w:r w:rsidRPr="00A06A6E">
              <w:rPr>
                <w:rFonts w:ascii="Cambria Math" w:eastAsia="Cambria Math"/>
                <w:spacing w:val="5"/>
                <w:sz w:val="20"/>
              </w:rPr>
              <w:t xml:space="preserve"> </w:t>
            </w:r>
            <w:r w:rsidRPr="00A06A6E">
              <w:rPr>
                <w:rFonts w:ascii="Cambria Math" w:eastAsia="Cambria Math"/>
                <w:spacing w:val="-2"/>
                <w:sz w:val="20"/>
              </w:rPr>
              <w:t>𝐿𝑖𝑎𝑏𝑖𝑙𝑖𝑡𝑖𝑒𝑠</w:t>
            </w:r>
          </w:p>
          <w:p w14:paraId="4D969011" w14:textId="77777777" w:rsidR="00C137F8" w:rsidRPr="00A06A6E" w:rsidRDefault="00000000">
            <w:pPr>
              <w:pStyle w:val="TableParagraph"/>
              <w:spacing w:line="187" w:lineRule="exact"/>
              <w:ind w:left="631" w:right="206"/>
              <w:jc w:val="center"/>
              <w:rPr>
                <w:rFonts w:ascii="Cambria Math" w:eastAsia="Cambria Math"/>
                <w:sz w:val="20"/>
              </w:rPr>
            </w:pPr>
            <w:r w:rsidRPr="00A06A6E">
              <w:rPr>
                <w:rFonts w:ascii="Cambria Math" w:eastAsia="Cambria Math"/>
                <w:noProof/>
                <w:sz w:val="20"/>
              </w:rPr>
              <mc:AlternateContent>
                <mc:Choice Requires="wpg">
                  <w:drawing>
                    <wp:anchor distT="0" distB="0" distL="0" distR="0" simplePos="0" relativeHeight="251661312" behindDoc="1" locked="0" layoutInCell="1" allowOverlap="1" wp14:anchorId="1939B8B3" wp14:editId="566F7B46">
                      <wp:simplePos x="0" y="0"/>
                      <wp:positionH relativeFrom="column">
                        <wp:posOffset>1249680</wp:posOffset>
                      </wp:positionH>
                      <wp:positionV relativeFrom="paragraph">
                        <wp:posOffset>-34687</wp:posOffset>
                      </wp:positionV>
                      <wp:extent cx="91757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7575" cy="9525"/>
                                <a:chOff x="0" y="0"/>
                                <a:chExt cx="917575" cy="9525"/>
                              </a:xfrm>
                            </wpg:grpSpPr>
                            <wps:wsp>
                              <wps:cNvPr id="35" name="Graphic 35"/>
                              <wps:cNvSpPr/>
                              <wps:spPr>
                                <a:xfrm>
                                  <a:off x="0" y="0"/>
                                  <a:ext cx="917575" cy="9525"/>
                                </a:xfrm>
                                <a:custGeom>
                                  <a:avLst/>
                                  <a:gdLst/>
                                  <a:ahLst/>
                                  <a:cxnLst/>
                                  <a:rect l="l" t="t" r="r" b="b"/>
                                  <a:pathLst>
                                    <a:path w="917575" h="9525">
                                      <a:moveTo>
                                        <a:pt x="917448" y="0"/>
                                      </a:moveTo>
                                      <a:lnTo>
                                        <a:pt x="0" y="0"/>
                                      </a:lnTo>
                                      <a:lnTo>
                                        <a:pt x="0" y="9143"/>
                                      </a:lnTo>
                                      <a:lnTo>
                                        <a:pt x="917448" y="9143"/>
                                      </a:lnTo>
                                      <a:lnTo>
                                        <a:pt x="9174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B1224C" id="Group 34" o:spid="_x0000_s1026" style="position:absolute;margin-left:98.4pt;margin-top:-2.75pt;width:72.25pt;height:.75pt;z-index:-251655168;mso-wrap-distance-left:0;mso-wrap-distance-right:0" coordsize="91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">
                      <v:shape id="Graphic 35" o:spid="_x0000_s1027" style="position:absolute;width:9175;height:95;visibility:visible;mso-wrap-style:square;v-text-anchor:top" coordsize="917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" path="m917448,l,,,9143r917448,l917448,xe" fillcolor="black" stroked="f">
                        <v:path arrowok="t"/>
                      </v:shape>
                    </v:group>
                  </w:pict>
                </mc:Fallback>
              </mc:AlternateContent>
            </w:r>
            <w:r w:rsidRPr="00A06A6E">
              <w:rPr>
                <w:rFonts w:ascii="Cambria Math" w:eastAsia="Cambria Math"/>
                <w:sz w:val="20"/>
              </w:rPr>
              <w:t>𝑇𝑜𝑡𝑎𝑙</w:t>
            </w:r>
            <w:r w:rsidRPr="00A06A6E">
              <w:rPr>
                <w:rFonts w:ascii="Cambria Math" w:eastAsia="Cambria Math"/>
                <w:spacing w:val="1"/>
                <w:sz w:val="20"/>
              </w:rPr>
              <w:t xml:space="preserve"> </w:t>
            </w:r>
            <w:r w:rsidRPr="00A06A6E">
              <w:rPr>
                <w:rFonts w:ascii="Cambria Math" w:eastAsia="Cambria Math"/>
                <w:spacing w:val="-2"/>
                <w:sz w:val="20"/>
              </w:rPr>
              <w:t>𝐸𝑞𝑢𝑖𝑡𝑦</w:t>
            </w:r>
          </w:p>
        </w:tc>
      </w:tr>
      <w:tr w:rsidR="00C137F8" w:rsidRPr="00A06A6E" w14:paraId="0ED527C4" w14:textId="77777777">
        <w:trPr>
          <w:trHeight w:val="3364"/>
        </w:trPr>
        <w:tc>
          <w:tcPr>
            <w:tcW w:w="4104" w:type="dxa"/>
          </w:tcPr>
          <w:p w14:paraId="3B287672" w14:textId="77777777" w:rsidR="00C137F8" w:rsidRPr="00A06A6E" w:rsidRDefault="00000000">
            <w:pPr>
              <w:pStyle w:val="TableParagraph"/>
              <w:ind w:left="110"/>
              <w:rPr>
                <w:rFonts w:ascii="Arial"/>
                <w:b/>
                <w:sz w:val="20"/>
              </w:rPr>
            </w:pPr>
            <w:r w:rsidRPr="00A06A6E">
              <w:rPr>
                <w:rFonts w:ascii="Arial"/>
                <w:b/>
                <w:sz w:val="20"/>
              </w:rPr>
              <w:t>Independent</w:t>
            </w:r>
            <w:r w:rsidRPr="00A06A6E">
              <w:rPr>
                <w:rFonts w:ascii="Arial"/>
                <w:b/>
                <w:spacing w:val="40"/>
                <w:sz w:val="20"/>
              </w:rPr>
              <w:t xml:space="preserve"> </w:t>
            </w:r>
            <w:r w:rsidRPr="00A06A6E">
              <w:rPr>
                <w:rFonts w:ascii="Arial"/>
                <w:b/>
                <w:sz w:val="20"/>
              </w:rPr>
              <w:t>Board</w:t>
            </w:r>
            <w:r w:rsidRPr="00A06A6E">
              <w:rPr>
                <w:rFonts w:ascii="Arial"/>
                <w:b/>
                <w:spacing w:val="79"/>
                <w:sz w:val="20"/>
              </w:rPr>
              <w:t xml:space="preserve"> </w:t>
            </w:r>
            <w:r w:rsidRPr="00A06A6E">
              <w:rPr>
                <w:rFonts w:ascii="Arial"/>
                <w:b/>
                <w:sz w:val="20"/>
              </w:rPr>
              <w:t>of</w:t>
            </w:r>
            <w:r w:rsidRPr="00A06A6E">
              <w:rPr>
                <w:rFonts w:ascii="Arial"/>
                <w:b/>
                <w:spacing w:val="40"/>
                <w:sz w:val="20"/>
              </w:rPr>
              <w:t xml:space="preserve"> </w:t>
            </w:r>
            <w:r w:rsidRPr="00A06A6E">
              <w:rPr>
                <w:rFonts w:ascii="Arial"/>
                <w:b/>
                <w:sz w:val="20"/>
              </w:rPr>
              <w:t xml:space="preserve">Commissioners </w:t>
            </w:r>
            <w:r w:rsidRPr="00A06A6E">
              <w:rPr>
                <w:rFonts w:ascii="Arial"/>
                <w:b/>
                <w:spacing w:val="-2"/>
                <w:sz w:val="20"/>
              </w:rPr>
              <w:t>(IBC)</w:t>
            </w:r>
          </w:p>
          <w:p w14:paraId="1A54CF47" w14:textId="77777777" w:rsidR="00C137F8" w:rsidRPr="00A06A6E" w:rsidRDefault="00C137F8">
            <w:pPr>
              <w:pStyle w:val="TableParagraph"/>
              <w:spacing w:before="48"/>
              <w:rPr>
                <w:rFonts w:ascii="Times New Roman"/>
                <w:b/>
                <w:sz w:val="20"/>
              </w:rPr>
            </w:pPr>
          </w:p>
          <w:p w14:paraId="42A0A4CB" w14:textId="77777777" w:rsidR="00C137F8" w:rsidRPr="00A06A6E" w:rsidRDefault="00000000">
            <w:pPr>
              <w:pStyle w:val="TableParagraph"/>
              <w:ind w:left="110"/>
              <w:rPr>
                <w:sz w:val="20"/>
              </w:rPr>
            </w:pPr>
            <w:r w:rsidRPr="00A06A6E">
              <w:rPr>
                <w:rFonts w:ascii="Arial"/>
                <w:b/>
                <w:sz w:val="20"/>
              </w:rPr>
              <w:t>Definition: T</w:t>
            </w:r>
            <w:r w:rsidRPr="00A06A6E">
              <w:rPr>
                <w:sz w:val="20"/>
              </w:rPr>
              <w:t>he Independent Board of Commissioners</w:t>
            </w:r>
            <w:r w:rsidRPr="00A06A6E">
              <w:rPr>
                <w:spacing w:val="-7"/>
                <w:sz w:val="20"/>
              </w:rPr>
              <w:t xml:space="preserve"> </w:t>
            </w:r>
            <w:r w:rsidRPr="00A06A6E">
              <w:rPr>
                <w:sz w:val="20"/>
              </w:rPr>
              <w:t>is</w:t>
            </w:r>
            <w:r w:rsidRPr="00A06A6E">
              <w:rPr>
                <w:spacing w:val="-7"/>
                <w:sz w:val="20"/>
              </w:rPr>
              <w:t xml:space="preserve"> </w:t>
            </w:r>
            <w:r w:rsidRPr="00A06A6E">
              <w:rPr>
                <w:sz w:val="20"/>
              </w:rPr>
              <w:t>a</w:t>
            </w:r>
            <w:r w:rsidRPr="00A06A6E">
              <w:rPr>
                <w:spacing w:val="-7"/>
                <w:sz w:val="20"/>
              </w:rPr>
              <w:t xml:space="preserve"> </w:t>
            </w:r>
            <w:r w:rsidRPr="00A06A6E">
              <w:rPr>
                <w:sz w:val="20"/>
              </w:rPr>
              <w:t>member</w:t>
            </w:r>
            <w:r w:rsidRPr="00A06A6E">
              <w:rPr>
                <w:spacing w:val="-7"/>
                <w:sz w:val="20"/>
              </w:rPr>
              <w:t xml:space="preserve"> </w:t>
            </w:r>
            <w:r w:rsidRPr="00A06A6E">
              <w:rPr>
                <w:sz w:val="20"/>
              </w:rPr>
              <w:t>of</w:t>
            </w:r>
            <w:r w:rsidRPr="00A06A6E">
              <w:rPr>
                <w:spacing w:val="-7"/>
                <w:sz w:val="20"/>
              </w:rPr>
              <w:t xml:space="preserve"> </w:t>
            </w:r>
            <w:r w:rsidRPr="00A06A6E">
              <w:rPr>
                <w:sz w:val="20"/>
              </w:rPr>
              <w:t>the</w:t>
            </w:r>
            <w:r w:rsidRPr="00A06A6E">
              <w:rPr>
                <w:spacing w:val="-7"/>
                <w:sz w:val="20"/>
              </w:rPr>
              <w:t xml:space="preserve"> </w:t>
            </w:r>
            <w:r w:rsidRPr="00A06A6E">
              <w:rPr>
                <w:sz w:val="20"/>
              </w:rPr>
              <w:t>board</w:t>
            </w:r>
            <w:r w:rsidRPr="00A06A6E">
              <w:rPr>
                <w:spacing w:val="-7"/>
                <w:sz w:val="20"/>
              </w:rPr>
              <w:t xml:space="preserve"> </w:t>
            </w:r>
            <w:r w:rsidRPr="00A06A6E">
              <w:rPr>
                <w:sz w:val="20"/>
              </w:rPr>
              <w:t>of commissioners who has no financial, management, ownership, or family relationship with other board members, directors, or controlling shareholders, allowing them to supervise the company independently and objectively. (Financial Services Authority (OJK))</w:t>
            </w:r>
          </w:p>
        </w:tc>
        <w:tc>
          <w:tcPr>
            <w:tcW w:w="4963" w:type="dxa"/>
          </w:tcPr>
          <w:p w14:paraId="27DEDCF5" w14:textId="77777777" w:rsidR="00C137F8" w:rsidRPr="00A06A6E" w:rsidRDefault="00000000">
            <w:pPr>
              <w:pStyle w:val="TableParagraph"/>
              <w:spacing w:before="1" w:line="237" w:lineRule="auto"/>
              <w:ind w:left="110"/>
              <w:rPr>
                <w:sz w:val="20"/>
              </w:rPr>
            </w:pPr>
            <w:r w:rsidRPr="00A06A6E">
              <w:rPr>
                <w:sz w:val="20"/>
              </w:rPr>
              <w:t>The</w:t>
            </w:r>
            <w:r w:rsidRPr="00A06A6E">
              <w:rPr>
                <w:spacing w:val="-6"/>
                <w:sz w:val="20"/>
              </w:rPr>
              <w:t xml:space="preserve"> </w:t>
            </w:r>
            <w:r w:rsidRPr="00A06A6E">
              <w:rPr>
                <w:sz w:val="20"/>
              </w:rPr>
              <w:t>Independent</w:t>
            </w:r>
            <w:r w:rsidRPr="00A06A6E">
              <w:rPr>
                <w:spacing w:val="-6"/>
                <w:sz w:val="20"/>
              </w:rPr>
              <w:t xml:space="preserve"> </w:t>
            </w:r>
            <w:r w:rsidRPr="00A06A6E">
              <w:rPr>
                <w:sz w:val="20"/>
              </w:rPr>
              <w:t>Board</w:t>
            </w:r>
            <w:r w:rsidRPr="00A06A6E">
              <w:rPr>
                <w:spacing w:val="-6"/>
                <w:sz w:val="20"/>
              </w:rPr>
              <w:t xml:space="preserve"> </w:t>
            </w:r>
            <w:r w:rsidRPr="00A06A6E">
              <w:rPr>
                <w:sz w:val="20"/>
              </w:rPr>
              <w:t>of</w:t>
            </w:r>
            <w:r w:rsidRPr="00A06A6E">
              <w:rPr>
                <w:spacing w:val="-6"/>
                <w:sz w:val="20"/>
              </w:rPr>
              <w:t xml:space="preserve"> </w:t>
            </w:r>
            <w:r w:rsidRPr="00A06A6E">
              <w:rPr>
                <w:sz w:val="20"/>
              </w:rPr>
              <w:t>Commissioners</w:t>
            </w:r>
            <w:r w:rsidRPr="00A06A6E">
              <w:rPr>
                <w:spacing w:val="-6"/>
                <w:sz w:val="20"/>
              </w:rPr>
              <w:t xml:space="preserve"> </w:t>
            </w:r>
            <w:r w:rsidRPr="00A06A6E">
              <w:rPr>
                <w:sz w:val="20"/>
              </w:rPr>
              <w:t>variable</w:t>
            </w:r>
            <w:r w:rsidRPr="00A06A6E">
              <w:rPr>
                <w:spacing w:val="-6"/>
                <w:sz w:val="20"/>
              </w:rPr>
              <w:t xml:space="preserve"> </w:t>
            </w:r>
            <w:r w:rsidRPr="00A06A6E">
              <w:rPr>
                <w:sz w:val="20"/>
              </w:rPr>
              <w:t>is measured by the proportion of independent commissioners who have no affiliation with major shareholders, directors, or other board members.</w:t>
            </w:r>
          </w:p>
          <w:p w14:paraId="2BCF7B59" w14:textId="77777777" w:rsidR="00C137F8" w:rsidRPr="00A06A6E" w:rsidRDefault="00C137F8">
            <w:pPr>
              <w:pStyle w:val="TableParagraph"/>
              <w:spacing w:before="41"/>
              <w:rPr>
                <w:rFonts w:ascii="Times New Roman"/>
                <w:b/>
                <w:sz w:val="20"/>
              </w:rPr>
            </w:pPr>
          </w:p>
          <w:p w14:paraId="51BBBEBA" w14:textId="77777777" w:rsidR="00C137F8" w:rsidRPr="00A06A6E" w:rsidRDefault="00000000">
            <w:pPr>
              <w:pStyle w:val="TableParagraph"/>
              <w:spacing w:line="180" w:lineRule="auto"/>
              <w:ind w:left="172"/>
              <w:rPr>
                <w:rFonts w:ascii="Cambria Math" w:eastAsia="Cambria Math"/>
                <w:sz w:val="20"/>
              </w:rPr>
            </w:pPr>
            <w:r w:rsidRPr="00A06A6E">
              <w:rPr>
                <w:rFonts w:ascii="Cambria Math" w:eastAsia="Cambria Math"/>
                <w:position w:val="-14"/>
                <w:sz w:val="20"/>
              </w:rPr>
              <w:t>𝐼𝐵𝐶</w:t>
            </w:r>
            <w:r w:rsidRPr="00A06A6E">
              <w:rPr>
                <w:rFonts w:ascii="Cambria Math" w:eastAsia="Cambria Math"/>
                <w:spacing w:val="15"/>
                <w:position w:val="-14"/>
                <w:sz w:val="20"/>
              </w:rPr>
              <w:t xml:space="preserve"> </w:t>
            </w:r>
            <w:r w:rsidRPr="00A06A6E">
              <w:rPr>
                <w:rFonts w:ascii="Cambria Math" w:eastAsia="Cambria Math"/>
                <w:position w:val="-14"/>
                <w:sz w:val="20"/>
              </w:rPr>
              <w:t>=</w:t>
            </w:r>
            <w:r w:rsidRPr="00A06A6E">
              <w:rPr>
                <w:rFonts w:ascii="Cambria Math" w:eastAsia="Cambria Math"/>
                <w:spacing w:val="48"/>
                <w:position w:val="-14"/>
                <w:sz w:val="20"/>
              </w:rPr>
              <w:t xml:space="preserve"> </w:t>
            </w:r>
            <w:r w:rsidRPr="00A06A6E">
              <w:rPr>
                <w:rFonts w:ascii="Cambria Math" w:eastAsia="Cambria Math"/>
                <w:sz w:val="20"/>
              </w:rPr>
              <w:t>𝑇𝑜𝑡𝑎𝑙</w:t>
            </w:r>
            <w:r w:rsidRPr="00A06A6E">
              <w:rPr>
                <w:rFonts w:ascii="Cambria Math" w:eastAsia="Cambria Math"/>
                <w:spacing w:val="2"/>
                <w:sz w:val="20"/>
              </w:rPr>
              <w:t xml:space="preserve"> </w:t>
            </w:r>
            <w:r w:rsidRPr="00A06A6E">
              <w:rPr>
                <w:rFonts w:ascii="Cambria Math" w:eastAsia="Cambria Math"/>
                <w:sz w:val="20"/>
              </w:rPr>
              <w:t>𝐼𝑛𝑑𝑒𝑝𝑒𝑛𝑑𝑒𝑛𝑡</w:t>
            </w:r>
            <w:r w:rsidRPr="00A06A6E">
              <w:rPr>
                <w:rFonts w:ascii="Cambria Math" w:eastAsia="Cambria Math"/>
                <w:spacing w:val="1"/>
                <w:sz w:val="20"/>
              </w:rPr>
              <w:t xml:space="preserve"> </w:t>
            </w:r>
            <w:r w:rsidRPr="00A06A6E">
              <w:rPr>
                <w:rFonts w:ascii="Cambria Math" w:eastAsia="Cambria Math"/>
                <w:sz w:val="20"/>
              </w:rPr>
              <w:t>𝐵𝑜𝑎𝑟𝑑</w:t>
            </w:r>
            <w:r w:rsidRPr="00A06A6E">
              <w:rPr>
                <w:rFonts w:ascii="Cambria Math" w:eastAsia="Cambria Math"/>
                <w:spacing w:val="2"/>
                <w:sz w:val="20"/>
              </w:rPr>
              <w:t xml:space="preserve"> </w:t>
            </w:r>
            <w:r w:rsidRPr="00A06A6E">
              <w:rPr>
                <w:rFonts w:ascii="Cambria Math" w:eastAsia="Cambria Math"/>
                <w:sz w:val="20"/>
              </w:rPr>
              <w:t>𝑜𝑓</w:t>
            </w:r>
            <w:r w:rsidRPr="00A06A6E">
              <w:rPr>
                <w:rFonts w:ascii="Cambria Math" w:eastAsia="Cambria Math"/>
                <w:spacing w:val="2"/>
                <w:sz w:val="20"/>
              </w:rPr>
              <w:t xml:space="preserve"> </w:t>
            </w:r>
            <w:r w:rsidRPr="00A06A6E">
              <w:rPr>
                <w:rFonts w:ascii="Cambria Math" w:eastAsia="Cambria Math"/>
                <w:spacing w:val="-2"/>
                <w:sz w:val="20"/>
              </w:rPr>
              <w:t>𝐶𝑜𝑚𝑚𝑖𝑠𝑖𝑠𝑜𝑛𝑒𝑟𝑠</w:t>
            </w:r>
          </w:p>
          <w:p w14:paraId="2A90C4A8" w14:textId="77777777" w:rsidR="00C137F8" w:rsidRPr="00A06A6E" w:rsidRDefault="00000000">
            <w:pPr>
              <w:pStyle w:val="TableParagraph"/>
              <w:spacing w:line="187" w:lineRule="exact"/>
              <w:ind w:left="1406"/>
              <w:rPr>
                <w:rFonts w:ascii="Cambria Math" w:eastAsia="Cambria Math"/>
                <w:sz w:val="20"/>
              </w:rPr>
            </w:pPr>
            <w:r w:rsidRPr="00A06A6E">
              <w:rPr>
                <w:rFonts w:ascii="Cambria Math" w:eastAsia="Cambria Math"/>
                <w:noProof/>
                <w:sz w:val="20"/>
              </w:rPr>
              <mc:AlternateContent>
                <mc:Choice Requires="wpg">
                  <w:drawing>
                    <wp:anchor distT="0" distB="0" distL="0" distR="0" simplePos="0" relativeHeight="251662336" behindDoc="1" locked="0" layoutInCell="1" allowOverlap="1" wp14:anchorId="0DD91AE1" wp14:editId="5CE8D32C">
                      <wp:simplePos x="0" y="0"/>
                      <wp:positionH relativeFrom="column">
                        <wp:posOffset>515112</wp:posOffset>
                      </wp:positionH>
                      <wp:positionV relativeFrom="paragraph">
                        <wp:posOffset>-34684</wp:posOffset>
                      </wp:positionV>
                      <wp:extent cx="2527300" cy="952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300" cy="9525"/>
                                <a:chOff x="0" y="0"/>
                                <a:chExt cx="2527300" cy="9525"/>
                              </a:xfrm>
                            </wpg:grpSpPr>
                            <wps:wsp>
                              <wps:cNvPr id="37" name="Graphic 37"/>
                              <wps:cNvSpPr/>
                              <wps:spPr>
                                <a:xfrm>
                                  <a:off x="0" y="0"/>
                                  <a:ext cx="2527300" cy="9525"/>
                                </a:xfrm>
                                <a:custGeom>
                                  <a:avLst/>
                                  <a:gdLst/>
                                  <a:ahLst/>
                                  <a:cxnLst/>
                                  <a:rect l="l" t="t" r="r" b="b"/>
                                  <a:pathLst>
                                    <a:path w="2527300" h="9525">
                                      <a:moveTo>
                                        <a:pt x="2526791" y="0"/>
                                      </a:moveTo>
                                      <a:lnTo>
                                        <a:pt x="0" y="0"/>
                                      </a:lnTo>
                                      <a:lnTo>
                                        <a:pt x="0" y="9143"/>
                                      </a:lnTo>
                                      <a:lnTo>
                                        <a:pt x="2526791" y="9143"/>
                                      </a:lnTo>
                                      <a:lnTo>
                                        <a:pt x="25267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1E5D0C" id="Group 36" o:spid="_x0000_s1026" style="position:absolute;margin-left:40.55pt;margin-top:-2.75pt;width:199pt;height:.75pt;z-index:-251654144;mso-wrap-distance-left:0;mso-wrap-distance-right:0" coordsize="25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">
                      <v:shape id="Graphic 37" o:spid="_x0000_s1027" style="position:absolute;width:25273;height:95;visibility:visible;mso-wrap-style:square;v-text-anchor:top" coordsize="2527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" path="m2526791,l,,,9143r2526791,l2526791,xe" fillcolor="black" stroked="f">
                        <v:path arrowok="t"/>
                      </v:shape>
                    </v:group>
                  </w:pict>
                </mc:Fallback>
              </mc:AlternateContent>
            </w:r>
            <w:r w:rsidRPr="00A06A6E">
              <w:rPr>
                <w:rFonts w:ascii="Cambria Math" w:eastAsia="Cambria Math"/>
                <w:sz w:val="20"/>
              </w:rPr>
              <w:t>𝑇𝑜𝑡𝑎𝑙</w:t>
            </w:r>
            <w:r w:rsidRPr="00A06A6E">
              <w:rPr>
                <w:rFonts w:ascii="Cambria Math" w:eastAsia="Cambria Math"/>
                <w:spacing w:val="1"/>
                <w:sz w:val="20"/>
              </w:rPr>
              <w:t xml:space="preserve"> </w:t>
            </w:r>
            <w:r w:rsidRPr="00A06A6E">
              <w:rPr>
                <w:rFonts w:ascii="Cambria Math" w:eastAsia="Cambria Math"/>
                <w:sz w:val="20"/>
              </w:rPr>
              <w:t>𝐵𝑜𝑎𝑟𝑑</w:t>
            </w:r>
            <w:r w:rsidRPr="00A06A6E">
              <w:rPr>
                <w:rFonts w:ascii="Cambria Math" w:eastAsia="Cambria Math"/>
                <w:spacing w:val="2"/>
                <w:sz w:val="20"/>
              </w:rPr>
              <w:t xml:space="preserve"> </w:t>
            </w:r>
            <w:r w:rsidRPr="00A06A6E">
              <w:rPr>
                <w:rFonts w:ascii="Cambria Math" w:eastAsia="Cambria Math"/>
                <w:sz w:val="20"/>
              </w:rPr>
              <w:t>𝑜𝑓</w:t>
            </w:r>
            <w:r w:rsidRPr="00A06A6E">
              <w:rPr>
                <w:rFonts w:ascii="Cambria Math" w:eastAsia="Cambria Math"/>
                <w:spacing w:val="2"/>
                <w:sz w:val="20"/>
              </w:rPr>
              <w:t xml:space="preserve"> </w:t>
            </w:r>
            <w:r w:rsidRPr="00A06A6E">
              <w:rPr>
                <w:rFonts w:ascii="Cambria Math" w:eastAsia="Cambria Math"/>
                <w:spacing w:val="-2"/>
                <w:sz w:val="20"/>
              </w:rPr>
              <w:t>𝐶𝑜𝑚𝑚𝑖𝑠𝑠𝑖𝑜𝑛𝑒𝑟𝑠</w:t>
            </w:r>
          </w:p>
        </w:tc>
      </w:tr>
      <w:tr w:rsidR="00C137F8" w:rsidRPr="00A06A6E" w14:paraId="5FCF0C39" w14:textId="77777777">
        <w:trPr>
          <w:trHeight w:val="2207"/>
        </w:trPr>
        <w:tc>
          <w:tcPr>
            <w:tcW w:w="4104" w:type="dxa"/>
          </w:tcPr>
          <w:p w14:paraId="22634FAA" w14:textId="77777777" w:rsidR="00C137F8" w:rsidRPr="00A06A6E" w:rsidRDefault="00C137F8">
            <w:pPr>
              <w:pStyle w:val="TableParagraph"/>
              <w:spacing w:before="4"/>
              <w:rPr>
                <w:rFonts w:ascii="Times New Roman"/>
                <w:b/>
                <w:sz w:val="20"/>
              </w:rPr>
            </w:pPr>
          </w:p>
          <w:p w14:paraId="56F3EED8" w14:textId="77777777" w:rsidR="00C137F8" w:rsidRPr="00A06A6E" w:rsidRDefault="00000000">
            <w:pPr>
              <w:pStyle w:val="TableParagraph"/>
              <w:ind w:left="110"/>
              <w:rPr>
                <w:rFonts w:ascii="Arial"/>
                <w:b/>
                <w:sz w:val="20"/>
              </w:rPr>
            </w:pPr>
            <w:r w:rsidRPr="00A06A6E">
              <w:rPr>
                <w:rFonts w:ascii="Arial"/>
                <w:b/>
                <w:spacing w:val="-2"/>
                <w:sz w:val="20"/>
              </w:rPr>
              <w:t>Corporate</w:t>
            </w:r>
            <w:r w:rsidRPr="00A06A6E">
              <w:rPr>
                <w:rFonts w:ascii="Arial"/>
                <w:b/>
                <w:spacing w:val="-10"/>
                <w:sz w:val="20"/>
              </w:rPr>
              <w:t xml:space="preserve"> </w:t>
            </w:r>
            <w:r w:rsidRPr="00A06A6E">
              <w:rPr>
                <w:rFonts w:ascii="Arial"/>
                <w:b/>
                <w:spacing w:val="-2"/>
                <w:sz w:val="20"/>
              </w:rPr>
              <w:t>Activities</w:t>
            </w:r>
            <w:r w:rsidRPr="00A06A6E">
              <w:rPr>
                <w:rFonts w:ascii="Arial"/>
                <w:b/>
                <w:spacing w:val="14"/>
                <w:sz w:val="20"/>
              </w:rPr>
              <w:t xml:space="preserve"> </w:t>
            </w:r>
            <w:r w:rsidRPr="00A06A6E">
              <w:rPr>
                <w:rFonts w:ascii="Arial"/>
                <w:b/>
                <w:spacing w:val="-4"/>
                <w:sz w:val="20"/>
              </w:rPr>
              <w:t>(CA)</w:t>
            </w:r>
          </w:p>
          <w:p w14:paraId="671EB640" w14:textId="77777777" w:rsidR="00C137F8" w:rsidRPr="00A06A6E" w:rsidRDefault="00000000">
            <w:pPr>
              <w:pStyle w:val="TableParagraph"/>
              <w:spacing w:before="12" w:line="237" w:lineRule="auto"/>
              <w:ind w:left="110" w:right="61"/>
              <w:rPr>
                <w:sz w:val="20"/>
              </w:rPr>
            </w:pPr>
            <w:r w:rsidRPr="00A06A6E">
              <w:rPr>
                <w:rFonts w:ascii="Arial" w:hAnsi="Arial"/>
                <w:b/>
                <w:sz w:val="20"/>
              </w:rPr>
              <w:t>Definition:</w:t>
            </w:r>
            <w:r w:rsidRPr="00A06A6E">
              <w:rPr>
                <w:rFonts w:ascii="Arial" w:hAnsi="Arial"/>
                <w:b/>
                <w:spacing w:val="-5"/>
                <w:sz w:val="20"/>
              </w:rPr>
              <w:t xml:space="preserve"> </w:t>
            </w:r>
            <w:r w:rsidRPr="00A06A6E">
              <w:rPr>
                <w:sz w:val="20"/>
              </w:rPr>
              <w:t>Corporate</w:t>
            </w:r>
            <w:r w:rsidRPr="00A06A6E">
              <w:rPr>
                <w:spacing w:val="-5"/>
                <w:sz w:val="20"/>
              </w:rPr>
              <w:t xml:space="preserve"> </w:t>
            </w:r>
            <w:r w:rsidRPr="00A06A6E">
              <w:rPr>
                <w:sz w:val="20"/>
              </w:rPr>
              <w:t>activity</w:t>
            </w:r>
            <w:r w:rsidRPr="00A06A6E">
              <w:rPr>
                <w:spacing w:val="-5"/>
                <w:sz w:val="20"/>
              </w:rPr>
              <w:t xml:space="preserve"> </w:t>
            </w:r>
            <w:r w:rsidRPr="00A06A6E">
              <w:rPr>
                <w:sz w:val="20"/>
              </w:rPr>
              <w:t>is</w:t>
            </w:r>
            <w:r w:rsidRPr="00A06A6E">
              <w:rPr>
                <w:spacing w:val="-5"/>
                <w:sz w:val="20"/>
              </w:rPr>
              <w:t xml:space="preserve"> </w:t>
            </w:r>
            <w:r w:rsidRPr="00A06A6E">
              <w:rPr>
                <w:sz w:val="20"/>
              </w:rPr>
              <w:t>a</w:t>
            </w:r>
            <w:r w:rsidRPr="00A06A6E">
              <w:rPr>
                <w:spacing w:val="-5"/>
                <w:sz w:val="20"/>
              </w:rPr>
              <w:t xml:space="preserve"> </w:t>
            </w:r>
            <w:r w:rsidRPr="00A06A6E">
              <w:rPr>
                <w:sz w:val="20"/>
              </w:rPr>
              <w:t>measure of a company’s operational efficiency in managing</w:t>
            </w:r>
            <w:r w:rsidRPr="00A06A6E">
              <w:rPr>
                <w:spacing w:val="-8"/>
                <w:sz w:val="20"/>
              </w:rPr>
              <w:t xml:space="preserve"> </w:t>
            </w:r>
            <w:r w:rsidRPr="00A06A6E">
              <w:rPr>
                <w:sz w:val="20"/>
              </w:rPr>
              <w:t>and</w:t>
            </w:r>
            <w:r w:rsidRPr="00A06A6E">
              <w:rPr>
                <w:spacing w:val="-8"/>
                <w:sz w:val="20"/>
              </w:rPr>
              <w:t xml:space="preserve"> </w:t>
            </w:r>
            <w:r w:rsidRPr="00A06A6E">
              <w:rPr>
                <w:sz w:val="20"/>
              </w:rPr>
              <w:t>utilizing</w:t>
            </w:r>
            <w:r w:rsidRPr="00A06A6E">
              <w:rPr>
                <w:spacing w:val="-8"/>
                <w:sz w:val="20"/>
              </w:rPr>
              <w:t xml:space="preserve"> </w:t>
            </w:r>
            <w:r w:rsidRPr="00A06A6E">
              <w:rPr>
                <w:sz w:val="20"/>
              </w:rPr>
              <w:t>its</w:t>
            </w:r>
            <w:r w:rsidRPr="00A06A6E">
              <w:rPr>
                <w:spacing w:val="-8"/>
                <w:sz w:val="20"/>
              </w:rPr>
              <w:t xml:space="preserve"> </w:t>
            </w:r>
            <w:r w:rsidRPr="00A06A6E">
              <w:rPr>
                <w:sz w:val="20"/>
              </w:rPr>
              <w:t>assets</w:t>
            </w:r>
            <w:r w:rsidRPr="00A06A6E">
              <w:rPr>
                <w:spacing w:val="-8"/>
                <w:sz w:val="20"/>
              </w:rPr>
              <w:t xml:space="preserve"> </w:t>
            </w:r>
            <w:r w:rsidRPr="00A06A6E">
              <w:rPr>
                <w:sz w:val="20"/>
              </w:rPr>
              <w:t>to</w:t>
            </w:r>
            <w:r w:rsidRPr="00A06A6E">
              <w:rPr>
                <w:spacing w:val="-8"/>
                <w:sz w:val="20"/>
              </w:rPr>
              <w:t xml:space="preserve"> </w:t>
            </w:r>
            <w:r w:rsidRPr="00A06A6E">
              <w:rPr>
                <w:sz w:val="20"/>
              </w:rPr>
              <w:t>support business activities.</w:t>
            </w:r>
          </w:p>
        </w:tc>
        <w:tc>
          <w:tcPr>
            <w:tcW w:w="4963" w:type="dxa"/>
          </w:tcPr>
          <w:p w14:paraId="204290AA" w14:textId="77777777" w:rsidR="00C137F8" w:rsidRPr="00A06A6E" w:rsidRDefault="00000000">
            <w:pPr>
              <w:pStyle w:val="TableParagraph"/>
              <w:ind w:left="110" w:right="138"/>
              <w:rPr>
                <w:sz w:val="20"/>
              </w:rPr>
            </w:pPr>
            <w:r w:rsidRPr="00A06A6E">
              <w:rPr>
                <w:sz w:val="20"/>
              </w:rPr>
              <w:t>In</w:t>
            </w:r>
            <w:r w:rsidRPr="00A06A6E">
              <w:rPr>
                <w:spacing w:val="-5"/>
                <w:sz w:val="20"/>
              </w:rPr>
              <w:t xml:space="preserve"> </w:t>
            </w:r>
            <w:r w:rsidRPr="00A06A6E">
              <w:rPr>
                <w:sz w:val="20"/>
              </w:rPr>
              <w:t>this</w:t>
            </w:r>
            <w:r w:rsidRPr="00A06A6E">
              <w:rPr>
                <w:spacing w:val="-5"/>
                <w:sz w:val="20"/>
              </w:rPr>
              <w:t xml:space="preserve"> </w:t>
            </w:r>
            <w:r w:rsidRPr="00A06A6E">
              <w:rPr>
                <w:sz w:val="20"/>
              </w:rPr>
              <w:t>study,</w:t>
            </w:r>
            <w:r w:rsidRPr="00A06A6E">
              <w:rPr>
                <w:spacing w:val="-5"/>
                <w:sz w:val="20"/>
              </w:rPr>
              <w:t xml:space="preserve"> </w:t>
            </w:r>
            <w:r w:rsidRPr="00A06A6E">
              <w:rPr>
                <w:sz w:val="20"/>
              </w:rPr>
              <w:t>corporate</w:t>
            </w:r>
            <w:r w:rsidRPr="00A06A6E">
              <w:rPr>
                <w:spacing w:val="-5"/>
                <w:sz w:val="20"/>
              </w:rPr>
              <w:t xml:space="preserve"> </w:t>
            </w:r>
            <w:r w:rsidRPr="00A06A6E">
              <w:rPr>
                <w:sz w:val="20"/>
              </w:rPr>
              <w:t>activity</w:t>
            </w:r>
            <w:r w:rsidRPr="00A06A6E">
              <w:rPr>
                <w:spacing w:val="-5"/>
                <w:sz w:val="20"/>
              </w:rPr>
              <w:t xml:space="preserve"> </w:t>
            </w:r>
            <w:r w:rsidRPr="00A06A6E">
              <w:rPr>
                <w:sz w:val="20"/>
              </w:rPr>
              <w:t>is</w:t>
            </w:r>
            <w:r w:rsidRPr="00A06A6E">
              <w:rPr>
                <w:spacing w:val="-5"/>
                <w:sz w:val="20"/>
              </w:rPr>
              <w:t xml:space="preserve"> </w:t>
            </w:r>
            <w:r w:rsidRPr="00A06A6E">
              <w:rPr>
                <w:sz w:val="20"/>
              </w:rPr>
              <w:t>measured</w:t>
            </w:r>
            <w:r w:rsidRPr="00A06A6E">
              <w:rPr>
                <w:spacing w:val="-5"/>
                <w:sz w:val="20"/>
              </w:rPr>
              <w:t xml:space="preserve"> </w:t>
            </w:r>
            <w:r w:rsidRPr="00A06A6E">
              <w:rPr>
                <w:sz w:val="20"/>
              </w:rPr>
              <w:t>using</w:t>
            </w:r>
            <w:r w:rsidRPr="00A06A6E">
              <w:rPr>
                <w:spacing w:val="-5"/>
                <w:sz w:val="20"/>
              </w:rPr>
              <w:t xml:space="preserve"> </w:t>
            </w:r>
            <w:r w:rsidRPr="00A06A6E">
              <w:rPr>
                <w:sz w:val="20"/>
              </w:rPr>
              <w:t>the inventory turnover ratio, which reflects the efficiency of inventory management and the company’s ability to optimize working capital invested in inventory.</w:t>
            </w:r>
          </w:p>
          <w:p w14:paraId="34B49450" w14:textId="77777777" w:rsidR="00C137F8" w:rsidRPr="00A06A6E" w:rsidRDefault="00C137F8">
            <w:pPr>
              <w:pStyle w:val="TableParagraph"/>
              <w:spacing w:before="37"/>
              <w:rPr>
                <w:rFonts w:ascii="Times New Roman"/>
                <w:b/>
                <w:sz w:val="20"/>
              </w:rPr>
            </w:pPr>
          </w:p>
          <w:p w14:paraId="0EAA90A4" w14:textId="77777777" w:rsidR="00C137F8" w:rsidRPr="00A06A6E" w:rsidRDefault="00000000">
            <w:pPr>
              <w:pStyle w:val="TableParagraph"/>
              <w:tabs>
                <w:tab w:val="left" w:pos="768"/>
              </w:tabs>
              <w:spacing w:before="1" w:line="180" w:lineRule="auto"/>
              <w:ind w:right="206"/>
              <w:jc w:val="center"/>
              <w:rPr>
                <w:rFonts w:ascii="Cambria Math" w:eastAsia="Cambria Math"/>
                <w:sz w:val="20"/>
              </w:rPr>
            </w:pPr>
            <w:r w:rsidRPr="00A06A6E">
              <w:rPr>
                <w:rFonts w:ascii="Cambria Math" w:eastAsia="Cambria Math"/>
                <w:position w:val="-14"/>
                <w:sz w:val="20"/>
              </w:rPr>
              <w:t>𝐶𝐴</w:t>
            </w:r>
            <w:r w:rsidRPr="00A06A6E">
              <w:rPr>
                <w:rFonts w:ascii="Cambria Math" w:eastAsia="Cambria Math"/>
                <w:spacing w:val="10"/>
                <w:position w:val="-14"/>
                <w:sz w:val="20"/>
              </w:rPr>
              <w:t xml:space="preserve"> </w:t>
            </w:r>
            <w:r w:rsidRPr="00A06A6E">
              <w:rPr>
                <w:rFonts w:ascii="Cambria Math" w:eastAsia="Cambria Math"/>
                <w:spacing w:val="-10"/>
                <w:position w:val="-14"/>
                <w:sz w:val="20"/>
              </w:rPr>
              <w:t>=</w:t>
            </w:r>
            <w:r w:rsidRPr="00A06A6E">
              <w:rPr>
                <w:rFonts w:ascii="Cambria Math" w:eastAsia="Cambria Math"/>
                <w:position w:val="-14"/>
                <w:sz w:val="20"/>
              </w:rPr>
              <w:tab/>
            </w:r>
            <w:r w:rsidRPr="00A06A6E">
              <w:rPr>
                <w:rFonts w:ascii="Cambria Math" w:eastAsia="Cambria Math"/>
                <w:spacing w:val="-2"/>
                <w:sz w:val="20"/>
              </w:rPr>
              <w:t>𝑆𝑎𝑙𝑒𝑠</w:t>
            </w:r>
          </w:p>
          <w:p w14:paraId="407B934F" w14:textId="77777777" w:rsidR="00C137F8" w:rsidRPr="00A06A6E" w:rsidRDefault="00000000">
            <w:pPr>
              <w:pStyle w:val="TableParagraph"/>
              <w:spacing w:line="187" w:lineRule="exact"/>
              <w:ind w:left="767" w:right="206"/>
              <w:jc w:val="center"/>
              <w:rPr>
                <w:rFonts w:ascii="Cambria Math" w:eastAsia="Cambria Math"/>
                <w:sz w:val="20"/>
              </w:rPr>
            </w:pPr>
            <w:r w:rsidRPr="00A06A6E">
              <w:rPr>
                <w:rFonts w:ascii="Cambria Math" w:eastAsia="Cambria Math"/>
                <w:noProof/>
                <w:sz w:val="20"/>
              </w:rPr>
              <mc:AlternateContent>
                <mc:Choice Requires="wpg">
                  <w:drawing>
                    <wp:anchor distT="0" distB="0" distL="0" distR="0" simplePos="0" relativeHeight="251663360" behindDoc="1" locked="0" layoutInCell="1" allowOverlap="1" wp14:anchorId="6AFA29FB" wp14:editId="1A296AB6">
                      <wp:simplePos x="0" y="0"/>
                      <wp:positionH relativeFrom="column">
                        <wp:posOffset>1463040</wp:posOffset>
                      </wp:positionH>
                      <wp:positionV relativeFrom="paragraph">
                        <wp:posOffset>-34683</wp:posOffset>
                      </wp:positionV>
                      <wp:extent cx="576580" cy="952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 cy="9525"/>
                                <a:chOff x="0" y="0"/>
                                <a:chExt cx="576580" cy="9525"/>
                              </a:xfrm>
                            </wpg:grpSpPr>
                            <wps:wsp>
                              <wps:cNvPr id="39" name="Graphic 39"/>
                              <wps:cNvSpPr/>
                              <wps:spPr>
                                <a:xfrm>
                                  <a:off x="0" y="0"/>
                                  <a:ext cx="576580" cy="9525"/>
                                </a:xfrm>
                                <a:custGeom>
                                  <a:avLst/>
                                  <a:gdLst/>
                                  <a:ahLst/>
                                  <a:cxnLst/>
                                  <a:rect l="l" t="t" r="r" b="b"/>
                                  <a:pathLst>
                                    <a:path w="576580" h="9525">
                                      <a:moveTo>
                                        <a:pt x="576072" y="0"/>
                                      </a:moveTo>
                                      <a:lnTo>
                                        <a:pt x="0" y="0"/>
                                      </a:lnTo>
                                      <a:lnTo>
                                        <a:pt x="0" y="9144"/>
                                      </a:lnTo>
                                      <a:lnTo>
                                        <a:pt x="576072" y="9144"/>
                                      </a:lnTo>
                                      <a:lnTo>
                                        <a:pt x="5760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408F97" id="Group 38" o:spid="_x0000_s1026" style="position:absolute;margin-left:115.2pt;margin-top:-2.75pt;width:45.4pt;height:.75pt;z-index:-251653120;mso-wrap-distance-left:0;mso-wrap-distance-right:0" coordsize="57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">
                      <v:shape id="Graphic 39" o:spid="_x0000_s1027" style="position:absolute;width:5765;height:95;visibility:visible;mso-wrap-style:square;v-text-anchor:top" coordsize="5765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" path="m576072,l,,,9144r576072,l576072,xe" fillcolor="black" stroked="f">
                        <v:path arrowok="t"/>
                      </v:shape>
                    </v:group>
                  </w:pict>
                </mc:Fallback>
              </mc:AlternateContent>
            </w:r>
            <w:r w:rsidRPr="00A06A6E">
              <w:rPr>
                <w:rFonts w:ascii="Cambria Math" w:eastAsia="Cambria Math"/>
                <w:spacing w:val="-2"/>
                <w:sz w:val="20"/>
              </w:rPr>
              <w:t>𝐼𝑛𝑣𝑒𝑛𝑡𝑜𝑟𝑦</w:t>
            </w:r>
          </w:p>
        </w:tc>
      </w:tr>
      <w:tr w:rsidR="00C137F8" w:rsidRPr="00A06A6E" w14:paraId="7AD8A0E3" w14:textId="77777777">
        <w:trPr>
          <w:trHeight w:val="1199"/>
        </w:trPr>
        <w:tc>
          <w:tcPr>
            <w:tcW w:w="4104" w:type="dxa"/>
          </w:tcPr>
          <w:p w14:paraId="2514CE56" w14:textId="77777777" w:rsidR="00C137F8" w:rsidRPr="00A06A6E" w:rsidRDefault="00000000">
            <w:pPr>
              <w:pStyle w:val="TableParagraph"/>
              <w:spacing w:line="229" w:lineRule="exact"/>
              <w:ind w:left="110"/>
              <w:rPr>
                <w:rFonts w:ascii="Arial"/>
                <w:b/>
                <w:sz w:val="20"/>
              </w:rPr>
            </w:pPr>
            <w:r w:rsidRPr="00A06A6E">
              <w:rPr>
                <w:rFonts w:ascii="Arial"/>
                <w:b/>
                <w:sz w:val="20"/>
              </w:rPr>
              <w:t>Audit</w:t>
            </w:r>
            <w:r w:rsidRPr="00A06A6E">
              <w:rPr>
                <w:rFonts w:ascii="Arial"/>
                <w:b/>
                <w:spacing w:val="-10"/>
                <w:sz w:val="20"/>
              </w:rPr>
              <w:t xml:space="preserve"> </w:t>
            </w:r>
            <w:r w:rsidRPr="00A06A6E">
              <w:rPr>
                <w:rFonts w:ascii="Arial"/>
                <w:b/>
                <w:sz w:val="20"/>
              </w:rPr>
              <w:t>Committee</w:t>
            </w:r>
            <w:r w:rsidRPr="00A06A6E">
              <w:rPr>
                <w:rFonts w:ascii="Arial"/>
                <w:b/>
                <w:spacing w:val="-10"/>
                <w:sz w:val="20"/>
              </w:rPr>
              <w:t xml:space="preserve"> </w:t>
            </w:r>
            <w:r w:rsidRPr="00A06A6E">
              <w:rPr>
                <w:rFonts w:ascii="Arial"/>
                <w:b/>
                <w:spacing w:val="-4"/>
                <w:sz w:val="20"/>
              </w:rPr>
              <w:t>(AC)</w:t>
            </w:r>
          </w:p>
          <w:p w14:paraId="2A3C74BD" w14:textId="77777777" w:rsidR="00C137F8" w:rsidRPr="00A06A6E" w:rsidRDefault="00C137F8">
            <w:pPr>
              <w:pStyle w:val="TableParagraph"/>
              <w:spacing w:before="30"/>
              <w:rPr>
                <w:rFonts w:ascii="Times New Roman"/>
                <w:b/>
                <w:sz w:val="20"/>
              </w:rPr>
            </w:pPr>
          </w:p>
          <w:p w14:paraId="6C5732AD" w14:textId="77777777" w:rsidR="00C137F8" w:rsidRPr="00A06A6E" w:rsidRDefault="00000000">
            <w:pPr>
              <w:pStyle w:val="TableParagraph"/>
              <w:spacing w:line="230" w:lineRule="atLeast"/>
              <w:ind w:left="110" w:right="396"/>
              <w:rPr>
                <w:sz w:val="20"/>
              </w:rPr>
            </w:pPr>
            <w:r w:rsidRPr="00A06A6E">
              <w:rPr>
                <w:rFonts w:ascii="Arial"/>
                <w:b/>
                <w:sz w:val="20"/>
              </w:rPr>
              <w:t xml:space="preserve">Definition: </w:t>
            </w:r>
            <w:r w:rsidRPr="00A06A6E">
              <w:rPr>
                <w:sz w:val="20"/>
              </w:rPr>
              <w:t>Audit Committee is a committee established by the independent</w:t>
            </w:r>
            <w:r w:rsidRPr="00A06A6E">
              <w:rPr>
                <w:spacing w:val="-10"/>
                <w:sz w:val="20"/>
              </w:rPr>
              <w:t xml:space="preserve"> </w:t>
            </w:r>
            <w:r w:rsidRPr="00A06A6E">
              <w:rPr>
                <w:sz w:val="20"/>
              </w:rPr>
              <w:t>board</w:t>
            </w:r>
            <w:r w:rsidRPr="00A06A6E">
              <w:rPr>
                <w:spacing w:val="-10"/>
                <w:sz w:val="20"/>
              </w:rPr>
              <w:t xml:space="preserve"> </w:t>
            </w:r>
            <w:r w:rsidRPr="00A06A6E">
              <w:rPr>
                <w:sz w:val="20"/>
              </w:rPr>
              <w:t>of</w:t>
            </w:r>
            <w:r w:rsidRPr="00A06A6E">
              <w:rPr>
                <w:spacing w:val="-10"/>
                <w:sz w:val="20"/>
              </w:rPr>
              <w:t xml:space="preserve"> </w:t>
            </w:r>
            <w:r w:rsidRPr="00A06A6E">
              <w:rPr>
                <w:sz w:val="20"/>
              </w:rPr>
              <w:t>commissioners</w:t>
            </w:r>
            <w:r w:rsidRPr="00A06A6E">
              <w:rPr>
                <w:spacing w:val="-10"/>
                <w:sz w:val="20"/>
              </w:rPr>
              <w:t xml:space="preserve"> </w:t>
            </w:r>
            <w:r w:rsidRPr="00A06A6E">
              <w:rPr>
                <w:sz w:val="20"/>
              </w:rPr>
              <w:t>to</w:t>
            </w:r>
          </w:p>
        </w:tc>
        <w:tc>
          <w:tcPr>
            <w:tcW w:w="4963" w:type="dxa"/>
          </w:tcPr>
          <w:p w14:paraId="684003A4" w14:textId="77777777" w:rsidR="00C137F8" w:rsidRPr="00A06A6E" w:rsidRDefault="00000000">
            <w:pPr>
              <w:pStyle w:val="TableParagraph"/>
              <w:spacing w:before="1" w:line="237" w:lineRule="auto"/>
              <w:ind w:left="110" w:right="129"/>
              <w:rPr>
                <w:sz w:val="20"/>
              </w:rPr>
            </w:pPr>
            <w:r w:rsidRPr="00A06A6E">
              <w:rPr>
                <w:sz w:val="20"/>
              </w:rPr>
              <w:t>In this study, the audit committee is measured using a</w:t>
            </w:r>
            <w:r w:rsidRPr="00A06A6E">
              <w:rPr>
                <w:spacing w:val="-5"/>
                <w:sz w:val="20"/>
              </w:rPr>
              <w:t xml:space="preserve"> </w:t>
            </w:r>
            <w:r w:rsidRPr="00A06A6E">
              <w:rPr>
                <w:sz w:val="20"/>
              </w:rPr>
              <w:t>ratio</w:t>
            </w:r>
            <w:r w:rsidRPr="00A06A6E">
              <w:rPr>
                <w:spacing w:val="-5"/>
                <w:sz w:val="20"/>
              </w:rPr>
              <w:t xml:space="preserve"> </w:t>
            </w:r>
            <w:r w:rsidRPr="00A06A6E">
              <w:rPr>
                <w:sz w:val="20"/>
              </w:rPr>
              <w:t>scale</w:t>
            </w:r>
            <w:r w:rsidRPr="00A06A6E">
              <w:rPr>
                <w:spacing w:val="-5"/>
                <w:sz w:val="20"/>
              </w:rPr>
              <w:t xml:space="preserve"> </w:t>
            </w:r>
            <w:r w:rsidRPr="00A06A6E">
              <w:rPr>
                <w:sz w:val="20"/>
              </w:rPr>
              <w:t>based</w:t>
            </w:r>
            <w:r w:rsidRPr="00A06A6E">
              <w:rPr>
                <w:spacing w:val="-5"/>
                <w:sz w:val="20"/>
              </w:rPr>
              <w:t xml:space="preserve"> </w:t>
            </w:r>
            <w:r w:rsidRPr="00A06A6E">
              <w:rPr>
                <w:sz w:val="20"/>
              </w:rPr>
              <w:t>on</w:t>
            </w:r>
            <w:r w:rsidRPr="00A06A6E">
              <w:rPr>
                <w:spacing w:val="-5"/>
                <w:sz w:val="20"/>
              </w:rPr>
              <w:t xml:space="preserve"> </w:t>
            </w:r>
            <w:r w:rsidRPr="00A06A6E">
              <w:rPr>
                <w:sz w:val="20"/>
              </w:rPr>
              <w:t>the</w:t>
            </w:r>
            <w:r w:rsidRPr="00A06A6E">
              <w:rPr>
                <w:spacing w:val="-5"/>
                <w:sz w:val="20"/>
              </w:rPr>
              <w:t xml:space="preserve"> </w:t>
            </w:r>
            <w:r w:rsidRPr="00A06A6E">
              <w:rPr>
                <w:sz w:val="20"/>
              </w:rPr>
              <w:t>number</w:t>
            </w:r>
            <w:r w:rsidRPr="00A06A6E">
              <w:rPr>
                <w:spacing w:val="-5"/>
                <w:sz w:val="20"/>
              </w:rPr>
              <w:t xml:space="preserve"> </w:t>
            </w:r>
            <w:r w:rsidRPr="00A06A6E">
              <w:rPr>
                <w:sz w:val="20"/>
              </w:rPr>
              <w:t>of</w:t>
            </w:r>
            <w:r w:rsidRPr="00A06A6E">
              <w:rPr>
                <w:spacing w:val="-5"/>
                <w:sz w:val="20"/>
              </w:rPr>
              <w:t xml:space="preserve"> </w:t>
            </w:r>
            <w:r w:rsidRPr="00A06A6E">
              <w:rPr>
                <w:sz w:val="20"/>
              </w:rPr>
              <w:t>audit</w:t>
            </w:r>
            <w:r w:rsidRPr="00A06A6E">
              <w:rPr>
                <w:spacing w:val="-5"/>
                <w:sz w:val="20"/>
              </w:rPr>
              <w:t xml:space="preserve"> </w:t>
            </w:r>
            <w:r w:rsidRPr="00A06A6E">
              <w:rPr>
                <w:sz w:val="20"/>
              </w:rPr>
              <w:t>committee meetings held within one year</w:t>
            </w:r>
            <w:r w:rsidRPr="00A06A6E">
              <w:rPr>
                <w:rFonts w:ascii="Arial"/>
                <w:b/>
                <w:sz w:val="20"/>
              </w:rPr>
              <w:t xml:space="preserve">, where </w:t>
            </w:r>
            <w:r w:rsidRPr="00A06A6E">
              <w:rPr>
                <w:sz w:val="20"/>
              </w:rPr>
              <w:t>a higher frequency indicates stronger supervisory intensity.</w:t>
            </w:r>
          </w:p>
        </w:tc>
      </w:tr>
    </w:tbl>
    <w:p w14:paraId="63A11D66" w14:textId="77777777" w:rsidR="00C137F8" w:rsidRPr="00A06A6E" w:rsidRDefault="00C137F8">
      <w:pPr>
        <w:pStyle w:val="TableParagraph"/>
        <w:spacing w:line="237" w:lineRule="auto"/>
        <w:rPr>
          <w:sz w:val="20"/>
        </w:rPr>
        <w:sectPr w:rsidR="00C137F8" w:rsidRPr="00A06A6E">
          <w:pgSz w:w="12240" w:h="15840"/>
          <w:pgMar w:top="800" w:right="1440" w:bottom="280" w:left="1080" w:header="44" w:footer="0" w:gutter="0"/>
          <w:cols w:space="720"/>
        </w:sectPr>
      </w:pPr>
    </w:p>
    <w:p w14:paraId="36F1B27D" w14:textId="77777777" w:rsidR="00C137F8" w:rsidRPr="00A06A6E" w:rsidRDefault="00C137F8">
      <w:pPr>
        <w:pStyle w:val="BodyText"/>
        <w:rPr>
          <w:rFonts w:ascii="Times New Roman"/>
          <w:b/>
          <w:sz w:val="20"/>
        </w:rPr>
      </w:pPr>
    </w:p>
    <w:p w14:paraId="7159367B" w14:textId="77777777" w:rsidR="00C137F8" w:rsidRPr="00A06A6E" w:rsidRDefault="00C137F8">
      <w:pPr>
        <w:pStyle w:val="BodyText"/>
        <w:rPr>
          <w:rFonts w:ascii="Times New Roman"/>
          <w:b/>
          <w:sz w:val="20"/>
        </w:rPr>
      </w:pPr>
    </w:p>
    <w:p w14:paraId="068BFB0F" w14:textId="77777777" w:rsidR="00C137F8" w:rsidRPr="00A06A6E" w:rsidRDefault="00C137F8">
      <w:pPr>
        <w:pStyle w:val="BodyText"/>
        <w:spacing w:before="206"/>
        <w:rPr>
          <w:rFonts w:ascii="Times New Roman"/>
          <w:b/>
          <w:sz w:val="20"/>
        </w:rPr>
      </w:pP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4"/>
        <w:gridCol w:w="4963"/>
      </w:tblGrid>
      <w:tr w:rsidR="00C137F8" w:rsidRPr="00A06A6E" w14:paraId="017E3F68" w14:textId="77777777">
        <w:trPr>
          <w:trHeight w:val="1199"/>
        </w:trPr>
        <w:tc>
          <w:tcPr>
            <w:tcW w:w="4104" w:type="dxa"/>
          </w:tcPr>
          <w:p w14:paraId="432B10FE" w14:textId="77777777" w:rsidR="00C137F8" w:rsidRPr="00A06A6E" w:rsidRDefault="00000000">
            <w:pPr>
              <w:pStyle w:val="TableParagraph"/>
              <w:ind w:left="110" w:right="246"/>
              <w:rPr>
                <w:sz w:val="20"/>
              </w:rPr>
            </w:pPr>
            <w:r w:rsidRPr="00A06A6E">
              <w:rPr>
                <w:sz w:val="20"/>
              </w:rPr>
              <w:t>support management oversight and ensure that corporate governance is conducted</w:t>
            </w:r>
            <w:r w:rsidRPr="00A06A6E">
              <w:rPr>
                <w:spacing w:val="-10"/>
                <w:sz w:val="20"/>
              </w:rPr>
              <w:t xml:space="preserve"> </w:t>
            </w:r>
            <w:r w:rsidRPr="00A06A6E">
              <w:rPr>
                <w:sz w:val="20"/>
              </w:rPr>
              <w:t>in</w:t>
            </w:r>
            <w:r w:rsidRPr="00A06A6E">
              <w:rPr>
                <w:spacing w:val="-10"/>
                <w:sz w:val="20"/>
              </w:rPr>
              <w:t xml:space="preserve"> </w:t>
            </w:r>
            <w:r w:rsidRPr="00A06A6E">
              <w:rPr>
                <w:sz w:val="20"/>
              </w:rPr>
              <w:t>accordance</w:t>
            </w:r>
            <w:r w:rsidRPr="00A06A6E">
              <w:rPr>
                <w:spacing w:val="-10"/>
                <w:sz w:val="20"/>
              </w:rPr>
              <w:t xml:space="preserve"> </w:t>
            </w:r>
            <w:r w:rsidRPr="00A06A6E">
              <w:rPr>
                <w:sz w:val="20"/>
              </w:rPr>
              <w:t>with</w:t>
            </w:r>
            <w:r w:rsidRPr="00A06A6E">
              <w:rPr>
                <w:spacing w:val="-10"/>
                <w:sz w:val="20"/>
              </w:rPr>
              <w:t xml:space="preserve"> </w:t>
            </w:r>
            <w:r w:rsidRPr="00A06A6E">
              <w:rPr>
                <w:sz w:val="20"/>
              </w:rPr>
              <w:t>applicable regulations and principles.</w:t>
            </w:r>
          </w:p>
        </w:tc>
        <w:tc>
          <w:tcPr>
            <w:tcW w:w="4963" w:type="dxa"/>
          </w:tcPr>
          <w:p w14:paraId="6637AFFF" w14:textId="77777777" w:rsidR="00C137F8" w:rsidRPr="00A06A6E" w:rsidRDefault="00C137F8">
            <w:pPr>
              <w:pStyle w:val="TableParagraph"/>
              <w:spacing w:before="48"/>
              <w:rPr>
                <w:rFonts w:ascii="Times New Roman"/>
                <w:b/>
                <w:sz w:val="20"/>
              </w:rPr>
            </w:pPr>
          </w:p>
          <w:p w14:paraId="0167ADAC" w14:textId="77777777" w:rsidR="00C137F8" w:rsidRPr="00A06A6E" w:rsidRDefault="00000000">
            <w:pPr>
              <w:pStyle w:val="TableParagraph"/>
              <w:spacing w:line="242" w:lineRule="auto"/>
              <w:ind w:left="574" w:hanging="464"/>
              <w:rPr>
                <w:sz w:val="20"/>
              </w:rPr>
            </w:pPr>
            <w:r w:rsidRPr="00A06A6E">
              <w:rPr>
                <w:rFonts w:ascii="Symbol" w:hAnsi="Symbol"/>
                <w:sz w:val="20"/>
              </w:rPr>
              <w:t></w:t>
            </w:r>
            <w:r w:rsidRPr="00A06A6E">
              <w:rPr>
                <w:rFonts w:ascii="Times New Roman" w:hAnsi="Times New Roman"/>
                <w:sz w:val="20"/>
              </w:rPr>
              <w:t xml:space="preserve"> </w:t>
            </w:r>
            <w:r w:rsidRPr="00A06A6E">
              <w:rPr>
                <w:sz w:val="20"/>
              </w:rPr>
              <w:t xml:space="preserve">= Frequency of Audit Committee Meeting in 1 year </w:t>
            </w:r>
            <w:r w:rsidRPr="00A06A6E">
              <w:rPr>
                <w:spacing w:val="-2"/>
                <w:sz w:val="20"/>
              </w:rPr>
              <w:t>period</w:t>
            </w:r>
          </w:p>
        </w:tc>
      </w:tr>
      <w:tr w:rsidR="00C137F8" w:rsidRPr="00A06A6E" w14:paraId="60CA3719" w14:textId="77777777">
        <w:trPr>
          <w:trHeight w:val="1732"/>
        </w:trPr>
        <w:tc>
          <w:tcPr>
            <w:tcW w:w="4104" w:type="dxa"/>
          </w:tcPr>
          <w:p w14:paraId="63533ACB" w14:textId="77777777" w:rsidR="00C137F8" w:rsidRPr="00A06A6E" w:rsidRDefault="00000000">
            <w:pPr>
              <w:pStyle w:val="TableParagraph"/>
              <w:spacing w:before="28"/>
              <w:ind w:left="110"/>
              <w:rPr>
                <w:rFonts w:ascii="Arial"/>
                <w:b/>
                <w:sz w:val="20"/>
              </w:rPr>
            </w:pPr>
            <w:r w:rsidRPr="00A06A6E">
              <w:rPr>
                <w:rFonts w:ascii="Arial"/>
                <w:b/>
                <w:spacing w:val="-8"/>
                <w:w w:val="105"/>
                <w:sz w:val="20"/>
              </w:rPr>
              <w:t>Company</w:t>
            </w:r>
            <w:r w:rsidRPr="00A06A6E">
              <w:rPr>
                <w:rFonts w:ascii="Arial"/>
                <w:b/>
                <w:spacing w:val="-3"/>
                <w:w w:val="105"/>
                <w:sz w:val="20"/>
              </w:rPr>
              <w:t xml:space="preserve"> </w:t>
            </w:r>
            <w:r w:rsidRPr="00A06A6E">
              <w:rPr>
                <w:rFonts w:ascii="Arial"/>
                <w:b/>
                <w:spacing w:val="-8"/>
                <w:w w:val="105"/>
                <w:sz w:val="20"/>
              </w:rPr>
              <w:t>Size</w:t>
            </w:r>
            <w:r w:rsidRPr="00A06A6E">
              <w:rPr>
                <w:rFonts w:ascii="Arial"/>
                <w:b/>
                <w:spacing w:val="1"/>
                <w:w w:val="105"/>
                <w:sz w:val="20"/>
              </w:rPr>
              <w:t xml:space="preserve"> </w:t>
            </w:r>
            <w:r w:rsidRPr="00A06A6E">
              <w:rPr>
                <w:rFonts w:ascii="Arial"/>
                <w:b/>
                <w:spacing w:val="-8"/>
                <w:w w:val="105"/>
                <w:sz w:val="20"/>
              </w:rPr>
              <w:t>(CS)</w:t>
            </w:r>
          </w:p>
          <w:p w14:paraId="0B036410" w14:textId="77777777" w:rsidR="00C137F8" w:rsidRPr="00A06A6E" w:rsidRDefault="00000000">
            <w:pPr>
              <w:pStyle w:val="TableParagraph"/>
              <w:spacing w:before="10"/>
              <w:ind w:left="110" w:right="396"/>
              <w:rPr>
                <w:sz w:val="20"/>
              </w:rPr>
            </w:pPr>
            <w:r w:rsidRPr="00A06A6E">
              <w:rPr>
                <w:rFonts w:ascii="Arial"/>
                <w:b/>
                <w:sz w:val="20"/>
              </w:rPr>
              <w:t>Definition:</w:t>
            </w:r>
            <w:r w:rsidRPr="00A06A6E">
              <w:rPr>
                <w:rFonts w:ascii="Arial"/>
                <w:b/>
                <w:spacing w:val="-10"/>
                <w:sz w:val="20"/>
              </w:rPr>
              <w:t xml:space="preserve"> </w:t>
            </w:r>
            <w:r w:rsidRPr="00A06A6E">
              <w:rPr>
                <w:sz w:val="20"/>
              </w:rPr>
              <w:t>Company</w:t>
            </w:r>
            <w:r w:rsidRPr="00A06A6E">
              <w:rPr>
                <w:spacing w:val="-10"/>
                <w:sz w:val="20"/>
              </w:rPr>
              <w:t xml:space="preserve"> </w:t>
            </w:r>
            <w:r w:rsidRPr="00A06A6E">
              <w:rPr>
                <w:sz w:val="20"/>
              </w:rPr>
              <w:t>Size</w:t>
            </w:r>
            <w:r w:rsidRPr="00A06A6E">
              <w:rPr>
                <w:spacing w:val="-9"/>
                <w:sz w:val="20"/>
              </w:rPr>
              <w:t xml:space="preserve"> </w:t>
            </w:r>
            <w:r w:rsidRPr="00A06A6E">
              <w:rPr>
                <w:sz w:val="20"/>
              </w:rPr>
              <w:t>refers</w:t>
            </w:r>
            <w:r w:rsidRPr="00A06A6E">
              <w:rPr>
                <w:spacing w:val="-9"/>
                <w:sz w:val="20"/>
              </w:rPr>
              <w:t xml:space="preserve"> </w:t>
            </w:r>
            <w:r w:rsidRPr="00A06A6E">
              <w:rPr>
                <w:sz w:val="20"/>
              </w:rPr>
              <w:t>to</w:t>
            </w:r>
            <w:r w:rsidRPr="00A06A6E">
              <w:rPr>
                <w:spacing w:val="-9"/>
                <w:sz w:val="20"/>
              </w:rPr>
              <w:t xml:space="preserve"> </w:t>
            </w:r>
            <w:r w:rsidRPr="00A06A6E">
              <w:rPr>
                <w:sz w:val="20"/>
              </w:rPr>
              <w:t>the scale of a company that reflects its overall capacity and resources.</w:t>
            </w:r>
          </w:p>
        </w:tc>
        <w:tc>
          <w:tcPr>
            <w:tcW w:w="4963" w:type="dxa"/>
          </w:tcPr>
          <w:p w14:paraId="1C226AAB" w14:textId="77777777" w:rsidR="00C137F8" w:rsidRPr="00A06A6E" w:rsidRDefault="00000000">
            <w:pPr>
              <w:pStyle w:val="TableParagraph"/>
              <w:ind w:left="110" w:right="70"/>
              <w:rPr>
                <w:sz w:val="20"/>
              </w:rPr>
            </w:pPr>
            <w:r w:rsidRPr="00A06A6E">
              <w:rPr>
                <w:sz w:val="20"/>
              </w:rPr>
              <w:t>In</w:t>
            </w:r>
            <w:r w:rsidRPr="00A06A6E">
              <w:rPr>
                <w:spacing w:val="-5"/>
                <w:sz w:val="20"/>
              </w:rPr>
              <w:t xml:space="preserve"> </w:t>
            </w:r>
            <w:r w:rsidRPr="00A06A6E">
              <w:rPr>
                <w:sz w:val="20"/>
              </w:rPr>
              <w:t>this</w:t>
            </w:r>
            <w:r w:rsidRPr="00A06A6E">
              <w:rPr>
                <w:spacing w:val="-5"/>
                <w:sz w:val="20"/>
              </w:rPr>
              <w:t xml:space="preserve"> </w:t>
            </w:r>
            <w:r w:rsidRPr="00A06A6E">
              <w:rPr>
                <w:sz w:val="20"/>
              </w:rPr>
              <w:t>study,</w:t>
            </w:r>
            <w:r w:rsidRPr="00A06A6E">
              <w:rPr>
                <w:spacing w:val="-5"/>
                <w:sz w:val="20"/>
              </w:rPr>
              <w:t xml:space="preserve"> </w:t>
            </w:r>
            <w:r w:rsidRPr="00A06A6E">
              <w:rPr>
                <w:sz w:val="20"/>
              </w:rPr>
              <w:t>company</w:t>
            </w:r>
            <w:r w:rsidRPr="00A06A6E">
              <w:rPr>
                <w:spacing w:val="-5"/>
                <w:sz w:val="20"/>
              </w:rPr>
              <w:t xml:space="preserve"> </w:t>
            </w:r>
            <w:r w:rsidRPr="00A06A6E">
              <w:rPr>
                <w:sz w:val="20"/>
              </w:rPr>
              <w:t>size</w:t>
            </w:r>
            <w:r w:rsidRPr="00A06A6E">
              <w:rPr>
                <w:spacing w:val="-5"/>
                <w:sz w:val="20"/>
              </w:rPr>
              <w:t xml:space="preserve"> </w:t>
            </w:r>
            <w:r w:rsidRPr="00A06A6E">
              <w:rPr>
                <w:sz w:val="20"/>
              </w:rPr>
              <w:t>is</w:t>
            </w:r>
            <w:r w:rsidRPr="00A06A6E">
              <w:rPr>
                <w:spacing w:val="-5"/>
                <w:sz w:val="20"/>
              </w:rPr>
              <w:t xml:space="preserve"> </w:t>
            </w:r>
            <w:r w:rsidRPr="00A06A6E">
              <w:rPr>
                <w:sz w:val="20"/>
              </w:rPr>
              <w:t>measured</w:t>
            </w:r>
            <w:r w:rsidRPr="00A06A6E">
              <w:rPr>
                <w:spacing w:val="-5"/>
                <w:sz w:val="20"/>
              </w:rPr>
              <w:t xml:space="preserve"> </w:t>
            </w:r>
            <w:r w:rsidRPr="00A06A6E">
              <w:rPr>
                <w:sz w:val="20"/>
              </w:rPr>
              <w:t>using</w:t>
            </w:r>
            <w:r w:rsidRPr="00A06A6E">
              <w:rPr>
                <w:spacing w:val="-5"/>
                <w:sz w:val="20"/>
              </w:rPr>
              <w:t xml:space="preserve"> </w:t>
            </w:r>
            <w:r w:rsidRPr="00A06A6E">
              <w:rPr>
                <w:sz w:val="20"/>
              </w:rPr>
              <w:t>a</w:t>
            </w:r>
            <w:r w:rsidRPr="00A06A6E">
              <w:rPr>
                <w:spacing w:val="-4"/>
                <w:sz w:val="20"/>
              </w:rPr>
              <w:t xml:space="preserve"> </w:t>
            </w:r>
            <w:r w:rsidRPr="00A06A6E">
              <w:rPr>
                <w:rFonts w:ascii="Arial"/>
                <w:b/>
                <w:sz w:val="20"/>
              </w:rPr>
              <w:t>ratio scale based on the natural logarithm of total assets</w:t>
            </w:r>
            <w:r w:rsidRPr="00A06A6E">
              <w:rPr>
                <w:sz w:val="20"/>
              </w:rPr>
              <w:t xml:space="preserve">, where larger values indicate a bigger firm </w:t>
            </w:r>
            <w:r w:rsidRPr="00A06A6E">
              <w:rPr>
                <w:spacing w:val="-2"/>
                <w:sz w:val="20"/>
              </w:rPr>
              <w:t>size.</w:t>
            </w:r>
          </w:p>
          <w:p w14:paraId="6F62E614" w14:textId="77777777" w:rsidR="00C137F8" w:rsidRPr="00A06A6E" w:rsidRDefault="00C137F8">
            <w:pPr>
              <w:pStyle w:val="TableParagraph"/>
              <w:spacing w:before="51"/>
              <w:rPr>
                <w:rFonts w:ascii="Times New Roman"/>
                <w:b/>
                <w:sz w:val="20"/>
              </w:rPr>
            </w:pPr>
          </w:p>
          <w:p w14:paraId="402183CD" w14:textId="77777777" w:rsidR="00C137F8" w:rsidRPr="00A06A6E" w:rsidRDefault="00000000">
            <w:pPr>
              <w:pStyle w:val="TableParagraph"/>
              <w:spacing w:before="1"/>
              <w:ind w:left="1360"/>
              <w:rPr>
                <w:rFonts w:ascii="Cambria Math" w:eastAsia="Cambria Math"/>
                <w:sz w:val="20"/>
              </w:rPr>
            </w:pPr>
            <w:r w:rsidRPr="00A06A6E">
              <w:rPr>
                <w:rFonts w:ascii="Cambria Math" w:eastAsia="Cambria Math"/>
                <w:sz w:val="20"/>
              </w:rPr>
              <w:t>𝑆𝐼𝑍𝐸</w:t>
            </w:r>
            <w:r w:rsidRPr="00A06A6E">
              <w:rPr>
                <w:rFonts w:ascii="Cambria Math" w:eastAsia="Cambria Math"/>
                <w:spacing w:val="15"/>
                <w:sz w:val="20"/>
              </w:rPr>
              <w:t xml:space="preserve"> </w:t>
            </w:r>
            <w:r w:rsidRPr="00A06A6E">
              <w:rPr>
                <w:rFonts w:ascii="Cambria Math" w:eastAsia="Cambria Math"/>
                <w:sz w:val="20"/>
              </w:rPr>
              <w:t>=</w:t>
            </w:r>
            <w:r w:rsidRPr="00A06A6E">
              <w:rPr>
                <w:rFonts w:ascii="Cambria Math" w:eastAsia="Cambria Math"/>
                <w:spacing w:val="7"/>
                <w:sz w:val="20"/>
              </w:rPr>
              <w:t xml:space="preserve"> </w:t>
            </w:r>
            <w:r w:rsidRPr="00A06A6E">
              <w:rPr>
                <w:rFonts w:ascii="Cambria Math" w:eastAsia="Cambria Math"/>
                <w:sz w:val="20"/>
              </w:rPr>
              <w:t>𝐿𝑛 (𝑇𝑜𝑡𝑎𝑙</w:t>
            </w:r>
            <w:r w:rsidRPr="00A06A6E">
              <w:rPr>
                <w:rFonts w:ascii="Cambria Math" w:eastAsia="Cambria Math"/>
                <w:spacing w:val="3"/>
                <w:sz w:val="20"/>
              </w:rPr>
              <w:t xml:space="preserve"> </w:t>
            </w:r>
            <w:r w:rsidRPr="00A06A6E">
              <w:rPr>
                <w:rFonts w:ascii="Cambria Math" w:eastAsia="Cambria Math"/>
                <w:spacing w:val="-2"/>
                <w:sz w:val="20"/>
              </w:rPr>
              <w:t>𝐴𝑠𝑠𝑒𝑡𝑠)</w:t>
            </w:r>
          </w:p>
        </w:tc>
      </w:tr>
      <w:tr w:rsidR="00C137F8" w:rsidRPr="00A06A6E" w14:paraId="119A04E9" w14:textId="77777777">
        <w:trPr>
          <w:trHeight w:val="2073"/>
        </w:trPr>
        <w:tc>
          <w:tcPr>
            <w:tcW w:w="4104" w:type="dxa"/>
          </w:tcPr>
          <w:p w14:paraId="48B09BF0" w14:textId="77777777" w:rsidR="00C137F8" w:rsidRPr="00A06A6E" w:rsidRDefault="00000000">
            <w:pPr>
              <w:pStyle w:val="TableParagraph"/>
              <w:spacing w:line="229" w:lineRule="exact"/>
              <w:ind w:left="110"/>
              <w:rPr>
                <w:rFonts w:ascii="Arial"/>
                <w:b/>
                <w:sz w:val="20"/>
              </w:rPr>
            </w:pPr>
            <w:r w:rsidRPr="00A06A6E">
              <w:rPr>
                <w:rFonts w:ascii="Arial"/>
                <w:b/>
                <w:sz w:val="20"/>
              </w:rPr>
              <w:t>Industrial</w:t>
            </w:r>
            <w:r w:rsidRPr="00A06A6E">
              <w:rPr>
                <w:rFonts w:ascii="Arial"/>
                <w:b/>
                <w:spacing w:val="-13"/>
                <w:sz w:val="20"/>
              </w:rPr>
              <w:t xml:space="preserve"> </w:t>
            </w:r>
            <w:r w:rsidRPr="00A06A6E">
              <w:rPr>
                <w:rFonts w:ascii="Arial"/>
                <w:b/>
                <w:spacing w:val="-4"/>
                <w:sz w:val="20"/>
              </w:rPr>
              <w:t>Type</w:t>
            </w:r>
          </w:p>
          <w:p w14:paraId="3A5B2892" w14:textId="77777777" w:rsidR="00C137F8" w:rsidRPr="00A06A6E" w:rsidRDefault="00000000">
            <w:pPr>
              <w:pStyle w:val="TableParagraph"/>
              <w:spacing w:before="48" w:line="213" w:lineRule="auto"/>
              <w:ind w:left="135"/>
              <w:rPr>
                <w:rFonts w:ascii="Tahoma"/>
                <w:sz w:val="20"/>
              </w:rPr>
            </w:pPr>
            <w:r w:rsidRPr="00A06A6E">
              <w:rPr>
                <w:rFonts w:ascii="Tahoma"/>
                <w:b/>
                <w:sz w:val="20"/>
              </w:rPr>
              <w:t xml:space="preserve">Definition: </w:t>
            </w:r>
            <w:r w:rsidRPr="00A06A6E">
              <w:rPr>
                <w:rFonts w:ascii="Tahoma"/>
                <w:sz w:val="20"/>
              </w:rPr>
              <w:t>Industrial Type refers to the classification of companies based on the environmental</w:t>
            </w:r>
            <w:r w:rsidRPr="00A06A6E">
              <w:rPr>
                <w:rFonts w:ascii="Tahoma"/>
                <w:spacing w:val="-10"/>
                <w:sz w:val="20"/>
              </w:rPr>
              <w:t xml:space="preserve"> </w:t>
            </w:r>
            <w:r w:rsidRPr="00A06A6E">
              <w:rPr>
                <w:rFonts w:ascii="Tahoma"/>
                <w:sz w:val="20"/>
              </w:rPr>
              <w:t>sensitivity</w:t>
            </w:r>
            <w:r w:rsidRPr="00A06A6E">
              <w:rPr>
                <w:rFonts w:ascii="Tahoma"/>
                <w:spacing w:val="-10"/>
                <w:sz w:val="20"/>
              </w:rPr>
              <w:t xml:space="preserve"> </w:t>
            </w:r>
            <w:r w:rsidRPr="00A06A6E">
              <w:rPr>
                <w:rFonts w:ascii="Tahoma"/>
                <w:sz w:val="20"/>
              </w:rPr>
              <w:t>of</w:t>
            </w:r>
            <w:r w:rsidRPr="00A06A6E">
              <w:rPr>
                <w:rFonts w:ascii="Tahoma"/>
                <w:spacing w:val="-10"/>
                <w:sz w:val="20"/>
              </w:rPr>
              <w:t xml:space="preserve"> </w:t>
            </w:r>
            <w:r w:rsidRPr="00A06A6E">
              <w:rPr>
                <w:rFonts w:ascii="Tahoma"/>
                <w:sz w:val="20"/>
              </w:rPr>
              <w:t>their</w:t>
            </w:r>
            <w:r w:rsidRPr="00A06A6E">
              <w:rPr>
                <w:rFonts w:ascii="Tahoma"/>
                <w:spacing w:val="-10"/>
                <w:sz w:val="20"/>
              </w:rPr>
              <w:t xml:space="preserve"> </w:t>
            </w:r>
            <w:r w:rsidRPr="00A06A6E">
              <w:rPr>
                <w:rFonts w:ascii="Tahoma"/>
                <w:sz w:val="20"/>
              </w:rPr>
              <w:t xml:space="preserve">business </w:t>
            </w:r>
            <w:r w:rsidRPr="00A06A6E">
              <w:rPr>
                <w:rFonts w:ascii="Tahoma"/>
                <w:spacing w:val="-2"/>
                <w:sz w:val="20"/>
              </w:rPr>
              <w:t>activities.</w:t>
            </w:r>
          </w:p>
        </w:tc>
        <w:tc>
          <w:tcPr>
            <w:tcW w:w="4963" w:type="dxa"/>
          </w:tcPr>
          <w:p w14:paraId="56302F78" w14:textId="77777777" w:rsidR="00C137F8" w:rsidRPr="00A06A6E" w:rsidRDefault="00000000">
            <w:pPr>
              <w:pStyle w:val="TableParagraph"/>
              <w:ind w:left="110" w:right="148"/>
              <w:rPr>
                <w:sz w:val="20"/>
              </w:rPr>
            </w:pPr>
            <w:r w:rsidRPr="00A06A6E">
              <w:rPr>
                <w:sz w:val="20"/>
              </w:rPr>
              <w:t>Industrial type was measured using a dummy variable, where companies categorized as high-profile industries were assigned a value of 1, while companies</w:t>
            </w:r>
            <w:r w:rsidRPr="00A06A6E">
              <w:rPr>
                <w:spacing w:val="-8"/>
                <w:sz w:val="20"/>
              </w:rPr>
              <w:t xml:space="preserve"> </w:t>
            </w:r>
            <w:r w:rsidRPr="00A06A6E">
              <w:rPr>
                <w:sz w:val="20"/>
              </w:rPr>
              <w:t>categorized</w:t>
            </w:r>
            <w:r w:rsidRPr="00A06A6E">
              <w:rPr>
                <w:spacing w:val="-8"/>
                <w:sz w:val="20"/>
              </w:rPr>
              <w:t xml:space="preserve"> </w:t>
            </w:r>
            <w:r w:rsidRPr="00A06A6E">
              <w:rPr>
                <w:sz w:val="20"/>
              </w:rPr>
              <w:t>as</w:t>
            </w:r>
            <w:r w:rsidRPr="00A06A6E">
              <w:rPr>
                <w:spacing w:val="-8"/>
                <w:sz w:val="20"/>
              </w:rPr>
              <w:t xml:space="preserve"> </w:t>
            </w:r>
            <w:r w:rsidRPr="00A06A6E">
              <w:rPr>
                <w:sz w:val="20"/>
              </w:rPr>
              <w:t>low-profile</w:t>
            </w:r>
            <w:r w:rsidRPr="00A06A6E">
              <w:rPr>
                <w:spacing w:val="-8"/>
                <w:sz w:val="20"/>
              </w:rPr>
              <w:t xml:space="preserve"> </w:t>
            </w:r>
            <w:r w:rsidRPr="00A06A6E">
              <w:rPr>
                <w:sz w:val="20"/>
              </w:rPr>
              <w:t>industries</w:t>
            </w:r>
            <w:r w:rsidRPr="00A06A6E">
              <w:rPr>
                <w:spacing w:val="-8"/>
                <w:sz w:val="20"/>
              </w:rPr>
              <w:t xml:space="preserve"> </w:t>
            </w:r>
            <w:r w:rsidRPr="00A06A6E">
              <w:rPr>
                <w:sz w:val="20"/>
              </w:rPr>
              <w:t>were assigned a value of 0. The industry classification refers</w:t>
            </w:r>
            <w:r w:rsidRPr="00A06A6E">
              <w:rPr>
                <w:spacing w:val="-1"/>
                <w:sz w:val="20"/>
              </w:rPr>
              <w:t xml:space="preserve"> </w:t>
            </w:r>
            <w:r w:rsidRPr="00A06A6E">
              <w:rPr>
                <w:sz w:val="20"/>
              </w:rPr>
              <w:t>to</w:t>
            </w:r>
            <w:r w:rsidRPr="00A06A6E">
              <w:rPr>
                <w:spacing w:val="-1"/>
                <w:sz w:val="20"/>
              </w:rPr>
              <w:t xml:space="preserve"> </w:t>
            </w:r>
            <w:r w:rsidRPr="00A06A6E">
              <w:rPr>
                <w:sz w:val="20"/>
              </w:rPr>
              <w:t>the</w:t>
            </w:r>
            <w:r w:rsidRPr="00A06A6E">
              <w:rPr>
                <w:spacing w:val="-1"/>
                <w:sz w:val="20"/>
              </w:rPr>
              <w:t xml:space="preserve"> </w:t>
            </w:r>
            <w:r w:rsidRPr="00A06A6E">
              <w:rPr>
                <w:sz w:val="20"/>
              </w:rPr>
              <w:t>study</w:t>
            </w:r>
            <w:r w:rsidRPr="00A06A6E">
              <w:rPr>
                <w:spacing w:val="-1"/>
                <w:sz w:val="20"/>
              </w:rPr>
              <w:t xml:space="preserve"> </w:t>
            </w:r>
            <w:r w:rsidRPr="00A06A6E">
              <w:rPr>
                <w:sz w:val="20"/>
              </w:rPr>
              <w:t>conducted</w:t>
            </w:r>
            <w:r w:rsidRPr="00A06A6E">
              <w:rPr>
                <w:spacing w:val="-1"/>
                <w:sz w:val="20"/>
              </w:rPr>
              <w:t xml:space="preserve"> </w:t>
            </w:r>
            <w:r w:rsidRPr="00A06A6E">
              <w:rPr>
                <w:sz w:val="20"/>
              </w:rPr>
              <w:t xml:space="preserve">by </w:t>
            </w:r>
            <w:proofErr w:type="spellStart"/>
            <w:r w:rsidRPr="00A06A6E">
              <w:rPr>
                <w:sz w:val="20"/>
              </w:rPr>
              <w:t>Hackston</w:t>
            </w:r>
            <w:proofErr w:type="spellEnd"/>
            <w:r w:rsidRPr="00A06A6E">
              <w:rPr>
                <w:spacing w:val="-1"/>
                <w:sz w:val="20"/>
              </w:rPr>
              <w:t xml:space="preserve"> </w:t>
            </w:r>
            <w:r w:rsidRPr="00A06A6E">
              <w:rPr>
                <w:sz w:val="20"/>
              </w:rPr>
              <w:t>and</w:t>
            </w:r>
            <w:r w:rsidRPr="00A06A6E">
              <w:rPr>
                <w:spacing w:val="-1"/>
                <w:sz w:val="20"/>
              </w:rPr>
              <w:t xml:space="preserve"> </w:t>
            </w:r>
            <w:r w:rsidRPr="00A06A6E">
              <w:rPr>
                <w:sz w:val="20"/>
              </w:rPr>
              <w:t>Milne (1996), which classifies industries based on environmental sensitivity and public visibility.</w:t>
            </w:r>
          </w:p>
        </w:tc>
      </w:tr>
    </w:tbl>
    <w:p w14:paraId="5CBB0ADA" w14:textId="77777777" w:rsidR="00C137F8" w:rsidRPr="00A06A6E" w:rsidRDefault="00C137F8">
      <w:pPr>
        <w:pStyle w:val="BodyText"/>
        <w:spacing w:before="196"/>
        <w:rPr>
          <w:rFonts w:ascii="Times New Roman"/>
          <w:b/>
          <w:sz w:val="24"/>
        </w:rPr>
      </w:pPr>
    </w:p>
    <w:p w14:paraId="0E9C2D7B" w14:textId="77777777" w:rsidR="00C137F8" w:rsidRPr="00A06A6E" w:rsidRDefault="00000000">
      <w:pPr>
        <w:pStyle w:val="Heading1"/>
        <w:jc w:val="left"/>
      </w:pPr>
      <w:r w:rsidRPr="00A06A6E">
        <w:t>3.3.</w:t>
      </w:r>
      <w:r w:rsidRPr="00A06A6E">
        <w:rPr>
          <w:spacing w:val="-2"/>
        </w:rPr>
        <w:t xml:space="preserve"> </w:t>
      </w:r>
      <w:r w:rsidRPr="00A06A6E">
        <w:t>Classical</w:t>
      </w:r>
      <w:r w:rsidRPr="00A06A6E">
        <w:rPr>
          <w:spacing w:val="-1"/>
        </w:rPr>
        <w:t xml:space="preserve"> </w:t>
      </w:r>
      <w:r w:rsidRPr="00A06A6E">
        <w:t>Assumption</w:t>
      </w:r>
      <w:r w:rsidRPr="00A06A6E">
        <w:rPr>
          <w:spacing w:val="-1"/>
        </w:rPr>
        <w:t xml:space="preserve"> </w:t>
      </w:r>
      <w:r w:rsidRPr="00A06A6E">
        <w:rPr>
          <w:spacing w:val="-4"/>
        </w:rPr>
        <w:t>Test</w:t>
      </w:r>
    </w:p>
    <w:p w14:paraId="18898AD2" w14:textId="77777777" w:rsidR="00C137F8" w:rsidRPr="00A06A6E" w:rsidRDefault="00000000">
      <w:pPr>
        <w:pStyle w:val="BodyText"/>
        <w:spacing w:before="1"/>
        <w:ind w:left="628" w:right="255"/>
        <w:jc w:val="both"/>
      </w:pPr>
      <w:r w:rsidRPr="00A06A6E">
        <w:t>The classical assumption test consists of the normality test, multicollinearity test, autocorrelation test, and heteroscedasticity test (</w:t>
      </w:r>
      <w:proofErr w:type="spellStart"/>
      <w:r w:rsidRPr="00A06A6E">
        <w:t>Ghozali</w:t>
      </w:r>
      <w:proofErr w:type="spellEnd"/>
      <w:r w:rsidRPr="00A06A6E">
        <w:t>, 2021).</w:t>
      </w:r>
    </w:p>
    <w:p w14:paraId="6F9F6A89" w14:textId="77777777" w:rsidR="00C137F8" w:rsidRPr="00A06A6E" w:rsidRDefault="00C137F8">
      <w:pPr>
        <w:pStyle w:val="BodyText"/>
      </w:pPr>
    </w:p>
    <w:p w14:paraId="51C6F837" w14:textId="77777777" w:rsidR="00C137F8" w:rsidRPr="00A06A6E" w:rsidRDefault="00000000">
      <w:pPr>
        <w:pStyle w:val="Heading2"/>
      </w:pPr>
      <w:r w:rsidRPr="00A06A6E">
        <w:t>3.4.</w:t>
      </w:r>
      <w:r w:rsidRPr="00A06A6E">
        <w:rPr>
          <w:spacing w:val="51"/>
        </w:rPr>
        <w:t xml:space="preserve"> </w:t>
      </w:r>
      <w:r w:rsidRPr="00A06A6E">
        <w:t>Multiple</w:t>
      </w:r>
      <w:r w:rsidRPr="00A06A6E">
        <w:rPr>
          <w:spacing w:val="-5"/>
        </w:rPr>
        <w:t xml:space="preserve"> </w:t>
      </w:r>
      <w:r w:rsidRPr="00A06A6E">
        <w:t>Linear</w:t>
      </w:r>
      <w:r w:rsidRPr="00A06A6E">
        <w:rPr>
          <w:spacing w:val="-5"/>
        </w:rPr>
        <w:t xml:space="preserve"> </w:t>
      </w:r>
      <w:r w:rsidRPr="00A06A6E">
        <w:t>Regression</w:t>
      </w:r>
      <w:r w:rsidRPr="00A06A6E">
        <w:rPr>
          <w:spacing w:val="-3"/>
        </w:rPr>
        <w:t xml:space="preserve"> </w:t>
      </w:r>
      <w:r w:rsidRPr="00A06A6E">
        <w:rPr>
          <w:spacing w:val="-2"/>
        </w:rPr>
        <w:t>Analysis</w:t>
      </w:r>
    </w:p>
    <w:p w14:paraId="592D25EE" w14:textId="77777777" w:rsidR="00C137F8" w:rsidRPr="00A06A6E" w:rsidRDefault="00000000">
      <w:pPr>
        <w:pStyle w:val="BodyText"/>
        <w:spacing w:before="1"/>
        <w:ind w:left="628" w:right="254"/>
        <w:jc w:val="both"/>
        <w:rPr>
          <w:rFonts w:ascii="Times New Roman"/>
          <w:sz w:val="24"/>
        </w:rPr>
      </w:pPr>
      <w:r w:rsidRPr="00A06A6E">
        <w:t>Multiple linear regression analysis aims to calculate and/or estimate the population mean or the mean value of the dependent variable based on the previous value of the independent variable (</w:t>
      </w:r>
      <w:proofErr w:type="spellStart"/>
      <w:r w:rsidRPr="00A06A6E">
        <w:t>Ghozali</w:t>
      </w:r>
      <w:proofErr w:type="spellEnd"/>
      <w:r w:rsidRPr="00A06A6E">
        <w:t>, 2021). The multiple linear regression model used is</w:t>
      </w:r>
      <w:r w:rsidRPr="00A06A6E">
        <w:rPr>
          <w:rFonts w:ascii="Times New Roman"/>
          <w:sz w:val="24"/>
        </w:rPr>
        <w:t>:</w:t>
      </w:r>
    </w:p>
    <w:p w14:paraId="3414EE08" w14:textId="77777777" w:rsidR="00C137F8" w:rsidRPr="00A06A6E" w:rsidRDefault="00000000">
      <w:pPr>
        <w:spacing w:before="185"/>
        <w:ind w:left="786" w:right="420"/>
        <w:jc w:val="center"/>
        <w:rPr>
          <w:rFonts w:ascii="Cambria Math" w:eastAsia="Cambria Math"/>
          <w:sz w:val="24"/>
        </w:rPr>
      </w:pPr>
      <w:r w:rsidRPr="00A06A6E">
        <w:rPr>
          <w:rFonts w:ascii="Cambria Math" w:eastAsia="Cambria Math"/>
          <w:sz w:val="24"/>
        </w:rPr>
        <w:t>𝑆𝑅𝐷</w:t>
      </w:r>
      <w:r w:rsidRPr="00A06A6E">
        <w:rPr>
          <w:rFonts w:ascii="Cambria Math" w:eastAsia="Cambria Math"/>
          <w:spacing w:val="19"/>
          <w:sz w:val="24"/>
        </w:rPr>
        <w:t xml:space="preserve"> </w:t>
      </w:r>
      <w:r w:rsidRPr="00A06A6E">
        <w:rPr>
          <w:rFonts w:ascii="Cambria Math" w:eastAsia="Cambria Math"/>
          <w:sz w:val="24"/>
        </w:rPr>
        <w:t>=</w:t>
      </w:r>
      <w:r w:rsidRPr="00A06A6E">
        <w:rPr>
          <w:rFonts w:ascii="Cambria Math" w:eastAsia="Cambria Math"/>
          <w:spacing w:val="65"/>
          <w:sz w:val="24"/>
        </w:rPr>
        <w:t xml:space="preserve"> </w:t>
      </w:r>
      <w:r w:rsidRPr="00A06A6E">
        <w:rPr>
          <w:rFonts w:ascii="Cambria Math" w:eastAsia="Cambria Math"/>
          <w:sz w:val="24"/>
        </w:rPr>
        <w:t>𝛼</w:t>
      </w:r>
      <w:r w:rsidRPr="00A06A6E">
        <w:rPr>
          <w:rFonts w:ascii="Cambria Math" w:eastAsia="Cambria Math"/>
          <w:spacing w:val="6"/>
          <w:sz w:val="24"/>
        </w:rPr>
        <w:t xml:space="preserve"> </w:t>
      </w:r>
      <w:r w:rsidRPr="00A06A6E">
        <w:rPr>
          <w:rFonts w:ascii="Cambria Math" w:eastAsia="Cambria Math"/>
          <w:sz w:val="24"/>
        </w:rPr>
        <w:t>+</w:t>
      </w:r>
      <w:r w:rsidRPr="00A06A6E">
        <w:rPr>
          <w:rFonts w:ascii="Cambria Math" w:eastAsia="Cambria Math"/>
          <w:spacing w:val="53"/>
          <w:sz w:val="24"/>
        </w:rPr>
        <w:t xml:space="preserve"> </w:t>
      </w:r>
      <w:r w:rsidRPr="00A06A6E">
        <w:rPr>
          <w:rFonts w:ascii="Cambria Math" w:eastAsia="Cambria Math"/>
          <w:sz w:val="24"/>
        </w:rPr>
        <w:t>𝛽1𝑃</w:t>
      </w:r>
      <w:r w:rsidRPr="00A06A6E">
        <w:rPr>
          <w:rFonts w:ascii="Cambria Math" w:eastAsia="Cambria Math"/>
          <w:spacing w:val="6"/>
          <w:sz w:val="24"/>
        </w:rPr>
        <w:t xml:space="preserve"> </w:t>
      </w:r>
      <w:r w:rsidRPr="00A06A6E">
        <w:rPr>
          <w:rFonts w:ascii="Cambria Math" w:eastAsia="Cambria Math"/>
          <w:sz w:val="24"/>
        </w:rPr>
        <w:t>+</w:t>
      </w:r>
      <w:r w:rsidRPr="00A06A6E">
        <w:rPr>
          <w:rFonts w:ascii="Cambria Math" w:eastAsia="Cambria Math"/>
          <w:spacing w:val="52"/>
          <w:sz w:val="24"/>
        </w:rPr>
        <w:t xml:space="preserve"> </w:t>
      </w:r>
      <w:r w:rsidRPr="00A06A6E">
        <w:rPr>
          <w:rFonts w:ascii="Cambria Math" w:eastAsia="Cambria Math"/>
          <w:sz w:val="24"/>
        </w:rPr>
        <w:t>𝛽2𝐿</w:t>
      </w:r>
      <w:r w:rsidRPr="00A06A6E">
        <w:rPr>
          <w:rFonts w:ascii="Cambria Math" w:eastAsia="Cambria Math"/>
          <w:spacing w:val="5"/>
          <w:sz w:val="24"/>
        </w:rPr>
        <w:t xml:space="preserve"> </w:t>
      </w:r>
      <w:r w:rsidRPr="00A06A6E">
        <w:rPr>
          <w:rFonts w:ascii="Cambria Math" w:eastAsia="Cambria Math"/>
          <w:sz w:val="24"/>
        </w:rPr>
        <w:t>+</w:t>
      </w:r>
      <w:r w:rsidRPr="00A06A6E">
        <w:rPr>
          <w:rFonts w:ascii="Cambria Math" w:eastAsia="Cambria Math"/>
          <w:spacing w:val="52"/>
          <w:sz w:val="24"/>
        </w:rPr>
        <w:t xml:space="preserve"> </w:t>
      </w:r>
      <w:r w:rsidRPr="00A06A6E">
        <w:rPr>
          <w:rFonts w:ascii="Cambria Math" w:eastAsia="Cambria Math"/>
          <w:sz w:val="24"/>
        </w:rPr>
        <w:t>𝛽3𝐶𝐴</w:t>
      </w:r>
      <w:r w:rsidRPr="00A06A6E">
        <w:rPr>
          <w:rFonts w:ascii="Cambria Math" w:eastAsia="Cambria Math"/>
          <w:spacing w:val="2"/>
          <w:sz w:val="24"/>
        </w:rPr>
        <w:t xml:space="preserve"> </w:t>
      </w:r>
      <w:r w:rsidRPr="00A06A6E">
        <w:rPr>
          <w:rFonts w:ascii="Cambria Math" w:eastAsia="Cambria Math"/>
          <w:sz w:val="24"/>
        </w:rPr>
        <w:t>+</w:t>
      </w:r>
      <w:r w:rsidRPr="00A06A6E">
        <w:rPr>
          <w:rFonts w:ascii="Cambria Math" w:eastAsia="Cambria Math"/>
          <w:spacing w:val="52"/>
          <w:sz w:val="24"/>
        </w:rPr>
        <w:t xml:space="preserve"> </w:t>
      </w:r>
      <w:r w:rsidRPr="00A06A6E">
        <w:rPr>
          <w:rFonts w:ascii="Cambria Math" w:eastAsia="Cambria Math"/>
          <w:sz w:val="24"/>
        </w:rPr>
        <w:t>𝛽4𝐼𝐵𝐶</w:t>
      </w:r>
      <w:r w:rsidRPr="00A06A6E">
        <w:rPr>
          <w:rFonts w:ascii="Cambria Math" w:eastAsia="Cambria Math"/>
          <w:spacing w:val="10"/>
          <w:sz w:val="24"/>
        </w:rPr>
        <w:t xml:space="preserve"> </w:t>
      </w:r>
      <w:r w:rsidRPr="00A06A6E">
        <w:rPr>
          <w:rFonts w:ascii="Cambria Math" w:eastAsia="Cambria Math"/>
          <w:sz w:val="24"/>
        </w:rPr>
        <w:t>+</w:t>
      </w:r>
      <w:r w:rsidRPr="00A06A6E">
        <w:rPr>
          <w:rFonts w:ascii="Cambria Math" w:eastAsia="Cambria Math"/>
          <w:spacing w:val="52"/>
          <w:sz w:val="24"/>
        </w:rPr>
        <w:t xml:space="preserve"> </w:t>
      </w:r>
      <w:r w:rsidRPr="00A06A6E">
        <w:rPr>
          <w:rFonts w:ascii="Cambria Math" w:eastAsia="Cambria Math"/>
          <w:sz w:val="24"/>
        </w:rPr>
        <w:t>𝛽5𝐴𝐶</w:t>
      </w:r>
      <w:r w:rsidRPr="00A06A6E">
        <w:rPr>
          <w:rFonts w:ascii="Cambria Math" w:eastAsia="Cambria Math"/>
          <w:spacing w:val="10"/>
          <w:sz w:val="24"/>
        </w:rPr>
        <w:t xml:space="preserve"> </w:t>
      </w:r>
      <w:r w:rsidRPr="00A06A6E">
        <w:rPr>
          <w:rFonts w:ascii="Cambria Math" w:eastAsia="Cambria Math"/>
          <w:sz w:val="24"/>
        </w:rPr>
        <w:t>+</w:t>
      </w:r>
      <w:r w:rsidRPr="00A06A6E">
        <w:rPr>
          <w:rFonts w:ascii="Cambria Math" w:eastAsia="Cambria Math"/>
          <w:spacing w:val="52"/>
          <w:sz w:val="24"/>
        </w:rPr>
        <w:t xml:space="preserve"> </w:t>
      </w:r>
      <w:r w:rsidRPr="00A06A6E">
        <w:rPr>
          <w:rFonts w:ascii="Cambria Math" w:eastAsia="Cambria Math"/>
          <w:sz w:val="24"/>
        </w:rPr>
        <w:t>𝛽6𝐶𝑆</w:t>
      </w:r>
      <w:r w:rsidRPr="00A06A6E">
        <w:rPr>
          <w:rFonts w:ascii="Cambria Math" w:eastAsia="Cambria Math"/>
          <w:spacing w:val="5"/>
          <w:sz w:val="24"/>
        </w:rPr>
        <w:t xml:space="preserve"> </w:t>
      </w:r>
      <w:r w:rsidRPr="00A06A6E">
        <w:rPr>
          <w:rFonts w:ascii="Cambria Math" w:eastAsia="Cambria Math"/>
          <w:sz w:val="24"/>
        </w:rPr>
        <w:t>+</w:t>
      </w:r>
      <w:r w:rsidRPr="00A06A6E">
        <w:rPr>
          <w:rFonts w:ascii="Cambria Math" w:eastAsia="Cambria Math"/>
          <w:spacing w:val="52"/>
          <w:sz w:val="24"/>
        </w:rPr>
        <w:t xml:space="preserve"> </w:t>
      </w:r>
      <w:r w:rsidRPr="00A06A6E">
        <w:rPr>
          <w:rFonts w:ascii="Cambria Math" w:eastAsia="Cambria Math"/>
          <w:spacing w:val="-4"/>
          <w:sz w:val="24"/>
        </w:rPr>
        <w:t>𝛽7𝐼𝑇</w:t>
      </w:r>
    </w:p>
    <w:p w14:paraId="21FC8931" w14:textId="77777777" w:rsidR="00C137F8" w:rsidRPr="00A06A6E" w:rsidRDefault="00000000">
      <w:pPr>
        <w:pStyle w:val="BodyText"/>
        <w:spacing w:before="10" w:line="251" w:lineRule="exact"/>
        <w:ind w:left="628"/>
      </w:pPr>
      <w:r w:rsidRPr="00A06A6E">
        <w:t>Where</w:t>
      </w:r>
      <w:r w:rsidRPr="00A06A6E">
        <w:rPr>
          <w:spacing w:val="-5"/>
        </w:rPr>
        <w:t xml:space="preserve"> </w:t>
      </w:r>
      <w:r w:rsidRPr="00A06A6E">
        <w:rPr>
          <w:spacing w:val="-10"/>
        </w:rPr>
        <w:t>:</w:t>
      </w:r>
    </w:p>
    <w:p w14:paraId="7027DFEF" w14:textId="77777777" w:rsidR="00C137F8" w:rsidRPr="00A06A6E" w:rsidRDefault="00000000">
      <w:pPr>
        <w:pStyle w:val="BodyText"/>
        <w:tabs>
          <w:tab w:val="left" w:pos="1348"/>
          <w:tab w:val="left" w:pos="5668"/>
        </w:tabs>
        <w:ind w:left="628" w:right="1994"/>
      </w:pPr>
      <w:r w:rsidRPr="00A06A6E">
        <w:rPr>
          <w:spacing w:val="-4"/>
        </w:rPr>
        <w:t>SRD</w:t>
      </w:r>
      <w:r w:rsidRPr="00A06A6E">
        <w:tab/>
        <w:t>: Sustainability Report Disclosure</w:t>
      </w:r>
      <w:r w:rsidRPr="00A06A6E">
        <w:tab/>
        <w:t>AC</w:t>
      </w:r>
      <w:r w:rsidRPr="00A06A6E">
        <w:rPr>
          <w:spacing w:val="-13"/>
        </w:rPr>
        <w:t xml:space="preserve"> </w:t>
      </w:r>
      <w:r w:rsidRPr="00A06A6E">
        <w:t>:</w:t>
      </w:r>
      <w:r w:rsidRPr="00A06A6E">
        <w:rPr>
          <w:spacing w:val="-13"/>
        </w:rPr>
        <w:t xml:space="preserve"> </w:t>
      </w:r>
      <w:r w:rsidRPr="00A06A6E">
        <w:t>Audit</w:t>
      </w:r>
      <w:r w:rsidRPr="00A06A6E">
        <w:rPr>
          <w:spacing w:val="-13"/>
        </w:rPr>
        <w:t xml:space="preserve"> </w:t>
      </w:r>
      <w:proofErr w:type="spellStart"/>
      <w:r w:rsidRPr="00A06A6E">
        <w:t>Commitee</w:t>
      </w:r>
      <w:proofErr w:type="spellEnd"/>
      <w:r w:rsidRPr="00A06A6E">
        <w:t xml:space="preserve"> </w:t>
      </w:r>
      <w:r w:rsidRPr="00A06A6E">
        <w:rPr>
          <w:spacing w:val="-10"/>
        </w:rPr>
        <w:t>P</w:t>
      </w:r>
      <w:r w:rsidRPr="00A06A6E">
        <w:tab/>
        <w:t>: Profitability</w:t>
      </w:r>
      <w:r w:rsidRPr="00A06A6E">
        <w:tab/>
        <w:t>CS</w:t>
      </w:r>
      <w:r w:rsidRPr="00A06A6E">
        <w:rPr>
          <w:spacing w:val="40"/>
        </w:rPr>
        <w:t xml:space="preserve"> </w:t>
      </w:r>
      <w:r w:rsidRPr="00A06A6E">
        <w:t>: Company Size</w:t>
      </w:r>
    </w:p>
    <w:p w14:paraId="44C6CA70" w14:textId="77777777" w:rsidR="00C137F8" w:rsidRPr="00A06A6E" w:rsidRDefault="00000000">
      <w:pPr>
        <w:pStyle w:val="BodyText"/>
        <w:tabs>
          <w:tab w:val="left" w:pos="1348"/>
          <w:tab w:val="left" w:pos="5668"/>
        </w:tabs>
        <w:spacing w:before="3" w:line="237" w:lineRule="auto"/>
        <w:ind w:left="628" w:right="2105"/>
      </w:pPr>
      <w:r w:rsidRPr="00A06A6E">
        <w:rPr>
          <w:spacing w:val="-10"/>
        </w:rPr>
        <w:t>L</w:t>
      </w:r>
      <w:r w:rsidRPr="00A06A6E">
        <w:tab/>
        <w:t>: Leverage</w:t>
      </w:r>
      <w:r w:rsidRPr="00A06A6E">
        <w:tab/>
        <w:t>IT.</w:t>
      </w:r>
      <w:r w:rsidRPr="00A06A6E">
        <w:rPr>
          <w:spacing w:val="40"/>
        </w:rPr>
        <w:t xml:space="preserve"> </w:t>
      </w:r>
      <w:r w:rsidRPr="00A06A6E">
        <w:t>:</w:t>
      </w:r>
      <w:r w:rsidRPr="00A06A6E">
        <w:rPr>
          <w:spacing w:val="-10"/>
        </w:rPr>
        <w:t xml:space="preserve"> </w:t>
      </w:r>
      <w:r w:rsidRPr="00A06A6E">
        <w:t>Industrial</w:t>
      </w:r>
      <w:r w:rsidRPr="00A06A6E">
        <w:rPr>
          <w:spacing w:val="-10"/>
        </w:rPr>
        <w:t xml:space="preserve"> </w:t>
      </w:r>
      <w:r w:rsidRPr="00A06A6E">
        <w:t xml:space="preserve">Type </w:t>
      </w:r>
      <w:r w:rsidRPr="00A06A6E">
        <w:rPr>
          <w:spacing w:val="-6"/>
        </w:rPr>
        <w:t>CA</w:t>
      </w:r>
      <w:r w:rsidRPr="00A06A6E">
        <w:tab/>
        <w:t>: Corporate Activity</w:t>
      </w:r>
    </w:p>
    <w:p w14:paraId="1950F2D9" w14:textId="77777777" w:rsidR="00C137F8" w:rsidRPr="00A06A6E" w:rsidRDefault="00000000">
      <w:pPr>
        <w:pStyle w:val="BodyText"/>
        <w:tabs>
          <w:tab w:val="left" w:pos="1348"/>
        </w:tabs>
        <w:spacing w:before="1"/>
        <w:ind w:left="628"/>
      </w:pPr>
      <w:r w:rsidRPr="00A06A6E">
        <w:rPr>
          <w:spacing w:val="-5"/>
        </w:rPr>
        <w:t>IBC</w:t>
      </w:r>
      <w:r w:rsidRPr="00A06A6E">
        <w:tab/>
        <w:t>:</w:t>
      </w:r>
      <w:r w:rsidRPr="00A06A6E">
        <w:rPr>
          <w:spacing w:val="-5"/>
        </w:rPr>
        <w:t xml:space="preserve"> </w:t>
      </w:r>
      <w:r w:rsidRPr="00A06A6E">
        <w:t>Independent Board</w:t>
      </w:r>
      <w:r w:rsidRPr="00A06A6E">
        <w:rPr>
          <w:spacing w:val="-6"/>
        </w:rPr>
        <w:t xml:space="preserve"> </w:t>
      </w:r>
      <w:r w:rsidRPr="00A06A6E">
        <w:t>of</w:t>
      </w:r>
      <w:r w:rsidRPr="00A06A6E">
        <w:rPr>
          <w:spacing w:val="-3"/>
        </w:rPr>
        <w:t xml:space="preserve"> </w:t>
      </w:r>
      <w:r w:rsidRPr="00A06A6E">
        <w:rPr>
          <w:spacing w:val="-2"/>
        </w:rPr>
        <w:t>Commissioners</w:t>
      </w:r>
    </w:p>
    <w:p w14:paraId="51811F3C" w14:textId="77777777" w:rsidR="00C137F8" w:rsidRPr="00A06A6E" w:rsidRDefault="00000000">
      <w:pPr>
        <w:pStyle w:val="Heading2"/>
        <w:numPr>
          <w:ilvl w:val="0"/>
          <w:numId w:val="4"/>
        </w:numPr>
        <w:tabs>
          <w:tab w:val="left" w:pos="871"/>
        </w:tabs>
        <w:spacing w:before="251"/>
        <w:ind w:left="871" w:hanging="243"/>
      </w:pPr>
      <w:r w:rsidRPr="00A06A6E">
        <w:rPr>
          <w:spacing w:val="-2"/>
        </w:rPr>
        <w:t>Result</w:t>
      </w:r>
    </w:p>
    <w:p w14:paraId="619827AC" w14:textId="77777777" w:rsidR="00C137F8" w:rsidRPr="00A06A6E" w:rsidRDefault="00000000">
      <w:pPr>
        <w:pStyle w:val="ListParagraph"/>
        <w:numPr>
          <w:ilvl w:val="1"/>
          <w:numId w:val="4"/>
        </w:numPr>
        <w:tabs>
          <w:tab w:val="left" w:pos="960"/>
        </w:tabs>
        <w:spacing w:before="1"/>
        <w:ind w:left="960" w:hanging="332"/>
        <w:rPr>
          <w:rFonts w:ascii="Arial"/>
          <w:b/>
          <w:sz w:val="20"/>
        </w:rPr>
      </w:pPr>
      <w:r w:rsidRPr="00A06A6E">
        <w:rPr>
          <w:rFonts w:ascii="Arial"/>
          <w:b/>
          <w:sz w:val="20"/>
        </w:rPr>
        <w:t>Descriptive</w:t>
      </w:r>
      <w:r w:rsidRPr="00A06A6E">
        <w:rPr>
          <w:rFonts w:ascii="Arial"/>
          <w:b/>
          <w:spacing w:val="-8"/>
          <w:sz w:val="20"/>
        </w:rPr>
        <w:t xml:space="preserve"> </w:t>
      </w:r>
      <w:r w:rsidRPr="00A06A6E">
        <w:rPr>
          <w:rFonts w:ascii="Arial"/>
          <w:b/>
          <w:spacing w:val="-2"/>
          <w:sz w:val="20"/>
        </w:rPr>
        <w:t>Statistics</w:t>
      </w:r>
    </w:p>
    <w:p w14:paraId="2536DA63" w14:textId="77777777" w:rsidR="00C137F8" w:rsidRPr="00A06A6E" w:rsidRDefault="00000000">
      <w:pPr>
        <w:pStyle w:val="BodyText"/>
        <w:spacing w:before="49" w:line="300" w:lineRule="auto"/>
        <w:ind w:left="628" w:right="277"/>
      </w:pPr>
      <w:r w:rsidRPr="00A06A6E">
        <w:t>The results of the descriptive statistical analysis are presented in Table 2.</w:t>
      </w:r>
    </w:p>
    <w:p w14:paraId="4464C6D4" w14:textId="77777777" w:rsidR="00C137F8" w:rsidRPr="00A06A6E" w:rsidRDefault="00C137F8">
      <w:pPr>
        <w:pStyle w:val="BodyText"/>
        <w:spacing w:line="300" w:lineRule="auto"/>
        <w:sectPr w:rsidR="00C137F8" w:rsidRPr="00A06A6E">
          <w:pgSz w:w="12240" w:h="15840"/>
          <w:pgMar w:top="800" w:right="1440" w:bottom="280" w:left="1080" w:header="44" w:footer="0" w:gutter="0"/>
          <w:cols w:space="720"/>
        </w:sectPr>
      </w:pPr>
    </w:p>
    <w:p w14:paraId="692C9C10" w14:textId="77777777" w:rsidR="00C137F8" w:rsidRPr="00A06A6E" w:rsidRDefault="00C137F8">
      <w:pPr>
        <w:pStyle w:val="BodyText"/>
        <w:rPr>
          <w:sz w:val="24"/>
        </w:rPr>
      </w:pPr>
    </w:p>
    <w:p w14:paraId="6F6C04FA" w14:textId="77777777" w:rsidR="00C137F8" w:rsidRPr="00A06A6E" w:rsidRDefault="00C137F8">
      <w:pPr>
        <w:pStyle w:val="BodyText"/>
        <w:rPr>
          <w:sz w:val="24"/>
        </w:rPr>
      </w:pPr>
    </w:p>
    <w:p w14:paraId="1E07CBA1" w14:textId="77777777" w:rsidR="00C137F8" w:rsidRPr="00A06A6E" w:rsidRDefault="00C137F8">
      <w:pPr>
        <w:pStyle w:val="BodyText"/>
        <w:spacing w:before="71"/>
        <w:rPr>
          <w:sz w:val="24"/>
        </w:rPr>
      </w:pPr>
    </w:p>
    <w:p w14:paraId="2C1BAD0A" w14:textId="77777777" w:rsidR="00C137F8" w:rsidRPr="00A06A6E" w:rsidRDefault="00000000">
      <w:pPr>
        <w:pStyle w:val="Heading1"/>
        <w:spacing w:before="1" w:after="3" w:line="232" w:lineRule="auto"/>
        <w:ind w:left="3606" w:right="3230" w:firstLine="1052"/>
        <w:jc w:val="left"/>
      </w:pPr>
      <w:r w:rsidRPr="00A06A6E">
        <w:t>Table 2 Descriptive</w:t>
      </w:r>
      <w:r w:rsidRPr="00A06A6E">
        <w:rPr>
          <w:spacing w:val="-15"/>
        </w:rPr>
        <w:t xml:space="preserve"> </w:t>
      </w:r>
      <w:r w:rsidRPr="00A06A6E">
        <w:t>Analysis</w:t>
      </w:r>
      <w:r w:rsidRPr="00A06A6E">
        <w:rPr>
          <w:spacing w:val="-15"/>
        </w:rPr>
        <w:t xml:space="preserve"> </w:t>
      </w:r>
      <w:r w:rsidRPr="00A06A6E">
        <w:t>Results</w:t>
      </w:r>
    </w:p>
    <w:tbl>
      <w:tblPr>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8"/>
        <w:gridCol w:w="850"/>
        <w:gridCol w:w="994"/>
        <w:gridCol w:w="994"/>
        <w:gridCol w:w="989"/>
        <w:gridCol w:w="907"/>
      </w:tblGrid>
      <w:tr w:rsidR="00C137F8" w:rsidRPr="00A06A6E" w14:paraId="7CA2EFF2" w14:textId="77777777">
        <w:trPr>
          <w:trHeight w:val="470"/>
        </w:trPr>
        <w:tc>
          <w:tcPr>
            <w:tcW w:w="4248" w:type="dxa"/>
            <w:shd w:val="clear" w:color="auto" w:fill="D0CECE"/>
          </w:tcPr>
          <w:p w14:paraId="3CCA3266" w14:textId="77777777" w:rsidR="00C137F8" w:rsidRPr="00A06A6E" w:rsidRDefault="00000000">
            <w:pPr>
              <w:pStyle w:val="TableParagraph"/>
              <w:spacing w:before="28"/>
              <w:ind w:left="415"/>
              <w:jc w:val="center"/>
              <w:rPr>
                <w:rFonts w:ascii="Times New Roman"/>
                <w:b/>
                <w:sz w:val="18"/>
              </w:rPr>
            </w:pPr>
            <w:proofErr w:type="spellStart"/>
            <w:r w:rsidRPr="00A06A6E">
              <w:rPr>
                <w:rFonts w:ascii="Times New Roman"/>
                <w:b/>
                <w:spacing w:val="-2"/>
                <w:sz w:val="18"/>
              </w:rPr>
              <w:t>Variabel</w:t>
            </w:r>
            <w:proofErr w:type="spellEnd"/>
          </w:p>
        </w:tc>
        <w:tc>
          <w:tcPr>
            <w:tcW w:w="850" w:type="dxa"/>
            <w:shd w:val="clear" w:color="auto" w:fill="D0CECE"/>
          </w:tcPr>
          <w:p w14:paraId="33FC3DC2" w14:textId="77777777" w:rsidR="00C137F8" w:rsidRPr="00A06A6E" w:rsidRDefault="00000000">
            <w:pPr>
              <w:pStyle w:val="TableParagraph"/>
              <w:spacing w:before="129"/>
              <w:ind w:right="97"/>
              <w:jc w:val="center"/>
              <w:rPr>
                <w:rFonts w:ascii="Times New Roman"/>
                <w:b/>
                <w:sz w:val="18"/>
              </w:rPr>
            </w:pPr>
            <w:r w:rsidRPr="00A06A6E">
              <w:rPr>
                <w:rFonts w:ascii="Times New Roman"/>
                <w:b/>
                <w:spacing w:val="-10"/>
                <w:sz w:val="18"/>
              </w:rPr>
              <w:t>N</w:t>
            </w:r>
          </w:p>
        </w:tc>
        <w:tc>
          <w:tcPr>
            <w:tcW w:w="994" w:type="dxa"/>
            <w:shd w:val="clear" w:color="auto" w:fill="D0CECE"/>
          </w:tcPr>
          <w:p w14:paraId="6EDA18FC" w14:textId="77777777" w:rsidR="00C137F8" w:rsidRPr="00A06A6E" w:rsidRDefault="00000000">
            <w:pPr>
              <w:pStyle w:val="TableParagraph"/>
              <w:spacing w:before="129"/>
              <w:ind w:right="154"/>
              <w:jc w:val="right"/>
              <w:rPr>
                <w:rFonts w:ascii="Times New Roman"/>
                <w:b/>
                <w:sz w:val="18"/>
              </w:rPr>
            </w:pPr>
            <w:r w:rsidRPr="00A06A6E">
              <w:rPr>
                <w:rFonts w:ascii="Times New Roman"/>
                <w:b/>
                <w:spacing w:val="-2"/>
                <w:sz w:val="18"/>
              </w:rPr>
              <w:t>Minimum</w:t>
            </w:r>
          </w:p>
        </w:tc>
        <w:tc>
          <w:tcPr>
            <w:tcW w:w="994" w:type="dxa"/>
            <w:shd w:val="clear" w:color="auto" w:fill="D0CECE"/>
          </w:tcPr>
          <w:p w14:paraId="3FFD6FC3" w14:textId="77777777" w:rsidR="00C137F8" w:rsidRPr="00A06A6E" w:rsidRDefault="00000000">
            <w:pPr>
              <w:pStyle w:val="TableParagraph"/>
              <w:spacing w:before="129"/>
              <w:ind w:right="140"/>
              <w:jc w:val="right"/>
              <w:rPr>
                <w:rFonts w:ascii="Times New Roman"/>
                <w:b/>
                <w:sz w:val="18"/>
              </w:rPr>
            </w:pPr>
            <w:r w:rsidRPr="00A06A6E">
              <w:rPr>
                <w:rFonts w:ascii="Times New Roman"/>
                <w:b/>
                <w:spacing w:val="-2"/>
                <w:sz w:val="18"/>
              </w:rPr>
              <w:t>Maximum</w:t>
            </w:r>
          </w:p>
        </w:tc>
        <w:tc>
          <w:tcPr>
            <w:tcW w:w="989" w:type="dxa"/>
            <w:shd w:val="clear" w:color="auto" w:fill="D0CECE"/>
          </w:tcPr>
          <w:p w14:paraId="78B55B30" w14:textId="77777777" w:rsidR="00C137F8" w:rsidRPr="00A06A6E" w:rsidRDefault="00000000">
            <w:pPr>
              <w:pStyle w:val="TableParagraph"/>
              <w:spacing w:before="129"/>
              <w:ind w:left="219"/>
              <w:rPr>
                <w:rFonts w:ascii="Times New Roman"/>
                <w:b/>
                <w:sz w:val="18"/>
              </w:rPr>
            </w:pPr>
            <w:r w:rsidRPr="00A06A6E">
              <w:rPr>
                <w:rFonts w:ascii="Times New Roman"/>
                <w:b/>
                <w:spacing w:val="-4"/>
                <w:sz w:val="18"/>
              </w:rPr>
              <w:t>Mean</w:t>
            </w:r>
          </w:p>
        </w:tc>
        <w:tc>
          <w:tcPr>
            <w:tcW w:w="907" w:type="dxa"/>
            <w:shd w:val="clear" w:color="auto" w:fill="D0CECE"/>
          </w:tcPr>
          <w:p w14:paraId="607827FD" w14:textId="77777777" w:rsidR="00C137F8" w:rsidRPr="00A06A6E" w:rsidRDefault="00000000">
            <w:pPr>
              <w:pStyle w:val="TableParagraph"/>
              <w:spacing w:before="28"/>
              <w:ind w:left="166" w:right="165" w:firstLine="98"/>
              <w:rPr>
                <w:rFonts w:ascii="Times New Roman"/>
                <w:b/>
                <w:sz w:val="18"/>
              </w:rPr>
            </w:pPr>
            <w:r w:rsidRPr="00A06A6E">
              <w:rPr>
                <w:rFonts w:ascii="Times New Roman"/>
                <w:b/>
                <w:spacing w:val="-4"/>
                <w:sz w:val="18"/>
              </w:rPr>
              <w:t xml:space="preserve">Std </w:t>
            </w:r>
            <w:proofErr w:type="spellStart"/>
            <w:r w:rsidRPr="00A06A6E">
              <w:rPr>
                <w:rFonts w:ascii="Times New Roman"/>
                <w:b/>
                <w:spacing w:val="-2"/>
                <w:sz w:val="18"/>
              </w:rPr>
              <w:t>Deviasi</w:t>
            </w:r>
            <w:proofErr w:type="spellEnd"/>
          </w:p>
        </w:tc>
      </w:tr>
      <w:tr w:rsidR="00C137F8" w:rsidRPr="00A06A6E" w14:paraId="3CC257D0" w14:textId="77777777">
        <w:trPr>
          <w:trHeight w:val="230"/>
        </w:trPr>
        <w:tc>
          <w:tcPr>
            <w:tcW w:w="4248" w:type="dxa"/>
          </w:tcPr>
          <w:p w14:paraId="11DC0B5B" w14:textId="77777777" w:rsidR="00C137F8" w:rsidRPr="00A06A6E" w:rsidRDefault="00000000">
            <w:pPr>
              <w:pStyle w:val="TableParagraph"/>
              <w:spacing w:line="210" w:lineRule="exact"/>
              <w:ind w:left="105"/>
              <w:rPr>
                <w:sz w:val="20"/>
              </w:rPr>
            </w:pPr>
            <w:r w:rsidRPr="00A06A6E">
              <w:rPr>
                <w:spacing w:val="-2"/>
                <w:sz w:val="20"/>
              </w:rPr>
              <w:t>Profitability</w:t>
            </w:r>
            <w:r w:rsidRPr="00A06A6E">
              <w:rPr>
                <w:spacing w:val="12"/>
                <w:sz w:val="20"/>
              </w:rPr>
              <w:t xml:space="preserve"> </w:t>
            </w:r>
            <w:r w:rsidRPr="00A06A6E">
              <w:rPr>
                <w:spacing w:val="-5"/>
                <w:sz w:val="20"/>
              </w:rPr>
              <w:t>(P)</w:t>
            </w:r>
          </w:p>
        </w:tc>
        <w:tc>
          <w:tcPr>
            <w:tcW w:w="850" w:type="dxa"/>
          </w:tcPr>
          <w:p w14:paraId="41AC6006"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0CECA857" w14:textId="77777777" w:rsidR="00C137F8" w:rsidRPr="00A06A6E" w:rsidRDefault="00000000">
            <w:pPr>
              <w:pStyle w:val="TableParagraph"/>
              <w:spacing w:line="210" w:lineRule="exact"/>
              <w:ind w:right="103"/>
              <w:jc w:val="right"/>
              <w:rPr>
                <w:sz w:val="20"/>
              </w:rPr>
            </w:pPr>
            <w:r w:rsidRPr="00A06A6E">
              <w:rPr>
                <w:spacing w:val="-2"/>
                <w:sz w:val="20"/>
              </w:rPr>
              <w:t>-</w:t>
            </w:r>
            <w:r w:rsidRPr="00A06A6E">
              <w:rPr>
                <w:spacing w:val="-5"/>
                <w:sz w:val="20"/>
              </w:rPr>
              <w:t>.20</w:t>
            </w:r>
          </w:p>
        </w:tc>
        <w:tc>
          <w:tcPr>
            <w:tcW w:w="994" w:type="dxa"/>
          </w:tcPr>
          <w:p w14:paraId="6E02C321" w14:textId="77777777" w:rsidR="00C137F8" w:rsidRPr="00A06A6E" w:rsidRDefault="00000000">
            <w:pPr>
              <w:pStyle w:val="TableParagraph"/>
              <w:spacing w:line="210" w:lineRule="exact"/>
              <w:ind w:right="104"/>
              <w:jc w:val="right"/>
              <w:rPr>
                <w:sz w:val="20"/>
              </w:rPr>
            </w:pPr>
            <w:r w:rsidRPr="00A06A6E">
              <w:rPr>
                <w:spacing w:val="-5"/>
                <w:sz w:val="20"/>
              </w:rPr>
              <w:t>.31</w:t>
            </w:r>
          </w:p>
        </w:tc>
        <w:tc>
          <w:tcPr>
            <w:tcW w:w="989" w:type="dxa"/>
          </w:tcPr>
          <w:p w14:paraId="7B04CBA9" w14:textId="77777777" w:rsidR="00C137F8" w:rsidRPr="00A06A6E" w:rsidRDefault="00000000">
            <w:pPr>
              <w:pStyle w:val="TableParagraph"/>
              <w:spacing w:line="210" w:lineRule="exact"/>
              <w:ind w:right="99"/>
              <w:jc w:val="right"/>
              <w:rPr>
                <w:sz w:val="20"/>
              </w:rPr>
            </w:pPr>
            <w:r w:rsidRPr="00A06A6E">
              <w:rPr>
                <w:spacing w:val="-5"/>
                <w:sz w:val="20"/>
              </w:rPr>
              <w:t>.09</w:t>
            </w:r>
          </w:p>
        </w:tc>
        <w:tc>
          <w:tcPr>
            <w:tcW w:w="907" w:type="dxa"/>
          </w:tcPr>
          <w:p w14:paraId="02060A35" w14:textId="77777777" w:rsidR="00C137F8" w:rsidRPr="00A06A6E" w:rsidRDefault="00000000">
            <w:pPr>
              <w:pStyle w:val="TableParagraph"/>
              <w:spacing w:line="210" w:lineRule="exact"/>
              <w:ind w:right="105"/>
              <w:jc w:val="right"/>
              <w:rPr>
                <w:sz w:val="20"/>
              </w:rPr>
            </w:pPr>
            <w:r w:rsidRPr="00A06A6E">
              <w:rPr>
                <w:spacing w:val="-5"/>
                <w:sz w:val="20"/>
              </w:rPr>
              <w:t>.07</w:t>
            </w:r>
          </w:p>
        </w:tc>
      </w:tr>
      <w:tr w:rsidR="00C137F8" w:rsidRPr="00A06A6E" w14:paraId="46CBEE7E" w14:textId="77777777">
        <w:trPr>
          <w:trHeight w:val="230"/>
        </w:trPr>
        <w:tc>
          <w:tcPr>
            <w:tcW w:w="4248" w:type="dxa"/>
          </w:tcPr>
          <w:p w14:paraId="06AFA820" w14:textId="77777777" w:rsidR="00C137F8" w:rsidRPr="00A06A6E" w:rsidRDefault="00000000">
            <w:pPr>
              <w:pStyle w:val="TableParagraph"/>
              <w:spacing w:line="210" w:lineRule="exact"/>
              <w:ind w:left="105"/>
              <w:rPr>
                <w:sz w:val="20"/>
              </w:rPr>
            </w:pPr>
            <w:r w:rsidRPr="00A06A6E">
              <w:rPr>
                <w:sz w:val="20"/>
              </w:rPr>
              <w:t>Leverage</w:t>
            </w:r>
            <w:r w:rsidRPr="00A06A6E">
              <w:rPr>
                <w:spacing w:val="-12"/>
                <w:sz w:val="20"/>
              </w:rPr>
              <w:t xml:space="preserve"> </w:t>
            </w:r>
            <w:r w:rsidRPr="00A06A6E">
              <w:rPr>
                <w:spacing w:val="-5"/>
                <w:sz w:val="20"/>
              </w:rPr>
              <w:t>(L)</w:t>
            </w:r>
          </w:p>
        </w:tc>
        <w:tc>
          <w:tcPr>
            <w:tcW w:w="850" w:type="dxa"/>
          </w:tcPr>
          <w:p w14:paraId="1BD18AC6"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50C59BC8" w14:textId="77777777" w:rsidR="00C137F8" w:rsidRPr="00A06A6E" w:rsidRDefault="00000000">
            <w:pPr>
              <w:pStyle w:val="TableParagraph"/>
              <w:spacing w:line="210" w:lineRule="exact"/>
              <w:ind w:right="103"/>
              <w:jc w:val="right"/>
              <w:rPr>
                <w:sz w:val="20"/>
              </w:rPr>
            </w:pPr>
            <w:r w:rsidRPr="00A06A6E">
              <w:rPr>
                <w:spacing w:val="-5"/>
                <w:sz w:val="20"/>
              </w:rPr>
              <w:t>.05</w:t>
            </w:r>
          </w:p>
        </w:tc>
        <w:tc>
          <w:tcPr>
            <w:tcW w:w="994" w:type="dxa"/>
          </w:tcPr>
          <w:p w14:paraId="47F616EE" w14:textId="77777777" w:rsidR="00C137F8" w:rsidRPr="00A06A6E" w:rsidRDefault="00000000">
            <w:pPr>
              <w:pStyle w:val="TableParagraph"/>
              <w:spacing w:line="210" w:lineRule="exact"/>
              <w:ind w:right="104"/>
              <w:jc w:val="right"/>
              <w:rPr>
                <w:sz w:val="20"/>
              </w:rPr>
            </w:pPr>
            <w:r w:rsidRPr="00A06A6E">
              <w:rPr>
                <w:spacing w:val="-4"/>
                <w:sz w:val="20"/>
              </w:rPr>
              <w:t>3.93</w:t>
            </w:r>
          </w:p>
        </w:tc>
        <w:tc>
          <w:tcPr>
            <w:tcW w:w="989" w:type="dxa"/>
          </w:tcPr>
          <w:p w14:paraId="46DA890B" w14:textId="77777777" w:rsidR="00C137F8" w:rsidRPr="00A06A6E" w:rsidRDefault="00000000">
            <w:pPr>
              <w:pStyle w:val="TableParagraph"/>
              <w:spacing w:line="210" w:lineRule="exact"/>
              <w:ind w:right="100"/>
              <w:jc w:val="right"/>
              <w:rPr>
                <w:sz w:val="20"/>
              </w:rPr>
            </w:pPr>
            <w:r w:rsidRPr="00A06A6E">
              <w:rPr>
                <w:spacing w:val="-5"/>
                <w:sz w:val="20"/>
              </w:rPr>
              <w:t>.78</w:t>
            </w:r>
          </w:p>
        </w:tc>
        <w:tc>
          <w:tcPr>
            <w:tcW w:w="907" w:type="dxa"/>
          </w:tcPr>
          <w:p w14:paraId="48C84A01" w14:textId="77777777" w:rsidR="00C137F8" w:rsidRPr="00A06A6E" w:rsidRDefault="00000000">
            <w:pPr>
              <w:pStyle w:val="TableParagraph"/>
              <w:spacing w:line="210" w:lineRule="exact"/>
              <w:ind w:right="105"/>
              <w:jc w:val="right"/>
              <w:rPr>
                <w:sz w:val="20"/>
              </w:rPr>
            </w:pPr>
            <w:r w:rsidRPr="00A06A6E">
              <w:rPr>
                <w:spacing w:val="-5"/>
                <w:sz w:val="20"/>
              </w:rPr>
              <w:t>.71</w:t>
            </w:r>
          </w:p>
        </w:tc>
      </w:tr>
      <w:tr w:rsidR="00C137F8" w:rsidRPr="00A06A6E" w14:paraId="05CBD8E7" w14:textId="77777777">
        <w:trPr>
          <w:trHeight w:val="230"/>
        </w:trPr>
        <w:tc>
          <w:tcPr>
            <w:tcW w:w="4248" w:type="dxa"/>
          </w:tcPr>
          <w:p w14:paraId="1889215B" w14:textId="77777777" w:rsidR="00C137F8" w:rsidRPr="00A06A6E" w:rsidRDefault="00000000">
            <w:pPr>
              <w:pStyle w:val="TableParagraph"/>
              <w:spacing w:line="210" w:lineRule="exact"/>
              <w:ind w:left="105"/>
              <w:rPr>
                <w:sz w:val="20"/>
              </w:rPr>
            </w:pPr>
            <w:proofErr w:type="spellStart"/>
            <w:r w:rsidRPr="00A06A6E">
              <w:rPr>
                <w:sz w:val="20"/>
              </w:rPr>
              <w:t>Copporate</w:t>
            </w:r>
            <w:proofErr w:type="spellEnd"/>
            <w:r w:rsidRPr="00A06A6E">
              <w:rPr>
                <w:spacing w:val="47"/>
                <w:sz w:val="20"/>
              </w:rPr>
              <w:t xml:space="preserve"> </w:t>
            </w:r>
            <w:r w:rsidRPr="00A06A6E">
              <w:rPr>
                <w:sz w:val="20"/>
              </w:rPr>
              <w:t>Activity</w:t>
            </w:r>
            <w:r w:rsidRPr="00A06A6E">
              <w:rPr>
                <w:spacing w:val="49"/>
                <w:sz w:val="20"/>
              </w:rPr>
              <w:t xml:space="preserve"> </w:t>
            </w:r>
            <w:r w:rsidRPr="00A06A6E">
              <w:rPr>
                <w:spacing w:val="-4"/>
                <w:sz w:val="20"/>
              </w:rPr>
              <w:t>(CA)</w:t>
            </w:r>
          </w:p>
        </w:tc>
        <w:tc>
          <w:tcPr>
            <w:tcW w:w="850" w:type="dxa"/>
          </w:tcPr>
          <w:p w14:paraId="5FD161C5"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7EA0A7DE" w14:textId="77777777" w:rsidR="00C137F8" w:rsidRPr="00A06A6E" w:rsidRDefault="00000000">
            <w:pPr>
              <w:pStyle w:val="TableParagraph"/>
              <w:spacing w:line="210" w:lineRule="exact"/>
              <w:ind w:right="103"/>
              <w:jc w:val="right"/>
              <w:rPr>
                <w:sz w:val="20"/>
              </w:rPr>
            </w:pPr>
            <w:r w:rsidRPr="00A06A6E">
              <w:rPr>
                <w:spacing w:val="-4"/>
                <w:sz w:val="20"/>
              </w:rPr>
              <w:t>1.04</w:t>
            </w:r>
          </w:p>
        </w:tc>
        <w:tc>
          <w:tcPr>
            <w:tcW w:w="994" w:type="dxa"/>
          </w:tcPr>
          <w:p w14:paraId="7454DFAA" w14:textId="77777777" w:rsidR="00C137F8" w:rsidRPr="00A06A6E" w:rsidRDefault="00000000">
            <w:pPr>
              <w:pStyle w:val="TableParagraph"/>
              <w:spacing w:line="210" w:lineRule="exact"/>
              <w:ind w:right="105"/>
              <w:jc w:val="right"/>
              <w:rPr>
                <w:sz w:val="20"/>
              </w:rPr>
            </w:pPr>
            <w:r w:rsidRPr="00A06A6E">
              <w:rPr>
                <w:spacing w:val="-2"/>
                <w:sz w:val="20"/>
              </w:rPr>
              <w:t>29.56</w:t>
            </w:r>
          </w:p>
        </w:tc>
        <w:tc>
          <w:tcPr>
            <w:tcW w:w="989" w:type="dxa"/>
          </w:tcPr>
          <w:p w14:paraId="77156BE0" w14:textId="77777777" w:rsidR="00C137F8" w:rsidRPr="00A06A6E" w:rsidRDefault="00000000">
            <w:pPr>
              <w:pStyle w:val="TableParagraph"/>
              <w:spacing w:line="210" w:lineRule="exact"/>
              <w:ind w:right="99"/>
              <w:jc w:val="right"/>
              <w:rPr>
                <w:sz w:val="20"/>
              </w:rPr>
            </w:pPr>
            <w:r w:rsidRPr="00A06A6E">
              <w:rPr>
                <w:spacing w:val="-4"/>
                <w:sz w:val="20"/>
              </w:rPr>
              <w:t>7.46</w:t>
            </w:r>
          </w:p>
        </w:tc>
        <w:tc>
          <w:tcPr>
            <w:tcW w:w="907" w:type="dxa"/>
          </w:tcPr>
          <w:p w14:paraId="0BD8589B" w14:textId="77777777" w:rsidR="00C137F8" w:rsidRPr="00A06A6E" w:rsidRDefault="00000000">
            <w:pPr>
              <w:pStyle w:val="TableParagraph"/>
              <w:spacing w:line="210" w:lineRule="exact"/>
              <w:ind w:right="105"/>
              <w:jc w:val="right"/>
              <w:rPr>
                <w:sz w:val="20"/>
              </w:rPr>
            </w:pPr>
            <w:r w:rsidRPr="00A06A6E">
              <w:rPr>
                <w:spacing w:val="-5"/>
                <w:sz w:val="20"/>
              </w:rPr>
              <w:t>4.8</w:t>
            </w:r>
          </w:p>
        </w:tc>
      </w:tr>
      <w:tr w:rsidR="00C137F8" w:rsidRPr="00A06A6E" w14:paraId="6D2BB6A3" w14:textId="77777777">
        <w:trPr>
          <w:trHeight w:val="230"/>
        </w:trPr>
        <w:tc>
          <w:tcPr>
            <w:tcW w:w="4248" w:type="dxa"/>
          </w:tcPr>
          <w:p w14:paraId="784CB7EF" w14:textId="77777777" w:rsidR="00C137F8" w:rsidRPr="00A06A6E" w:rsidRDefault="00000000">
            <w:pPr>
              <w:pStyle w:val="TableParagraph"/>
              <w:spacing w:line="210" w:lineRule="exact"/>
              <w:ind w:left="105"/>
              <w:rPr>
                <w:sz w:val="20"/>
              </w:rPr>
            </w:pPr>
            <w:r w:rsidRPr="00A06A6E">
              <w:rPr>
                <w:spacing w:val="-2"/>
                <w:sz w:val="20"/>
              </w:rPr>
              <w:t>Independent</w:t>
            </w:r>
            <w:r w:rsidRPr="00A06A6E">
              <w:rPr>
                <w:spacing w:val="2"/>
                <w:sz w:val="20"/>
              </w:rPr>
              <w:t xml:space="preserve"> </w:t>
            </w:r>
            <w:r w:rsidRPr="00A06A6E">
              <w:rPr>
                <w:spacing w:val="-2"/>
                <w:sz w:val="20"/>
              </w:rPr>
              <w:t>Board</w:t>
            </w:r>
            <w:r w:rsidRPr="00A06A6E">
              <w:rPr>
                <w:spacing w:val="4"/>
                <w:sz w:val="20"/>
              </w:rPr>
              <w:t xml:space="preserve"> </w:t>
            </w:r>
            <w:r w:rsidRPr="00A06A6E">
              <w:rPr>
                <w:spacing w:val="-2"/>
                <w:sz w:val="20"/>
              </w:rPr>
              <w:t>of</w:t>
            </w:r>
            <w:r w:rsidRPr="00A06A6E">
              <w:rPr>
                <w:sz w:val="20"/>
              </w:rPr>
              <w:t xml:space="preserve"> </w:t>
            </w:r>
            <w:r w:rsidRPr="00A06A6E">
              <w:rPr>
                <w:spacing w:val="-2"/>
                <w:sz w:val="20"/>
              </w:rPr>
              <w:t>Commissioners</w:t>
            </w:r>
            <w:r w:rsidRPr="00A06A6E">
              <w:rPr>
                <w:sz w:val="20"/>
              </w:rPr>
              <w:t xml:space="preserve"> </w:t>
            </w:r>
            <w:r w:rsidRPr="00A06A6E">
              <w:rPr>
                <w:spacing w:val="-4"/>
                <w:sz w:val="20"/>
              </w:rPr>
              <w:t>(IBC)</w:t>
            </w:r>
          </w:p>
        </w:tc>
        <w:tc>
          <w:tcPr>
            <w:tcW w:w="850" w:type="dxa"/>
          </w:tcPr>
          <w:p w14:paraId="3239377F"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5812DDB9" w14:textId="77777777" w:rsidR="00C137F8" w:rsidRPr="00A06A6E" w:rsidRDefault="00000000">
            <w:pPr>
              <w:pStyle w:val="TableParagraph"/>
              <w:spacing w:line="210" w:lineRule="exact"/>
              <w:ind w:right="103"/>
              <w:jc w:val="right"/>
              <w:rPr>
                <w:sz w:val="20"/>
              </w:rPr>
            </w:pPr>
            <w:r w:rsidRPr="00A06A6E">
              <w:rPr>
                <w:spacing w:val="-5"/>
                <w:sz w:val="20"/>
              </w:rPr>
              <w:t>.25</w:t>
            </w:r>
          </w:p>
        </w:tc>
        <w:tc>
          <w:tcPr>
            <w:tcW w:w="994" w:type="dxa"/>
          </w:tcPr>
          <w:p w14:paraId="66D0F332" w14:textId="77777777" w:rsidR="00C137F8" w:rsidRPr="00A06A6E" w:rsidRDefault="00000000">
            <w:pPr>
              <w:pStyle w:val="TableParagraph"/>
              <w:spacing w:line="210" w:lineRule="exact"/>
              <w:ind w:right="104"/>
              <w:jc w:val="right"/>
              <w:rPr>
                <w:sz w:val="20"/>
              </w:rPr>
            </w:pPr>
            <w:r w:rsidRPr="00A06A6E">
              <w:rPr>
                <w:spacing w:val="-5"/>
                <w:sz w:val="20"/>
              </w:rPr>
              <w:t>.83</w:t>
            </w:r>
          </w:p>
        </w:tc>
        <w:tc>
          <w:tcPr>
            <w:tcW w:w="989" w:type="dxa"/>
          </w:tcPr>
          <w:p w14:paraId="790EC211" w14:textId="77777777" w:rsidR="00C137F8" w:rsidRPr="00A06A6E" w:rsidRDefault="00000000">
            <w:pPr>
              <w:pStyle w:val="TableParagraph"/>
              <w:spacing w:line="210" w:lineRule="exact"/>
              <w:ind w:right="99"/>
              <w:jc w:val="right"/>
              <w:rPr>
                <w:sz w:val="20"/>
              </w:rPr>
            </w:pPr>
            <w:r w:rsidRPr="00A06A6E">
              <w:rPr>
                <w:spacing w:val="-5"/>
                <w:sz w:val="20"/>
              </w:rPr>
              <w:t>.44</w:t>
            </w:r>
          </w:p>
        </w:tc>
        <w:tc>
          <w:tcPr>
            <w:tcW w:w="907" w:type="dxa"/>
          </w:tcPr>
          <w:p w14:paraId="4637FE83" w14:textId="77777777" w:rsidR="00C137F8" w:rsidRPr="00A06A6E" w:rsidRDefault="00000000">
            <w:pPr>
              <w:pStyle w:val="TableParagraph"/>
              <w:spacing w:line="210" w:lineRule="exact"/>
              <w:ind w:right="105"/>
              <w:jc w:val="right"/>
              <w:rPr>
                <w:sz w:val="20"/>
              </w:rPr>
            </w:pPr>
            <w:r w:rsidRPr="00A06A6E">
              <w:rPr>
                <w:spacing w:val="-5"/>
                <w:sz w:val="20"/>
              </w:rPr>
              <w:t>.12</w:t>
            </w:r>
          </w:p>
        </w:tc>
      </w:tr>
      <w:tr w:rsidR="00C137F8" w:rsidRPr="00A06A6E" w14:paraId="7C333E50" w14:textId="77777777">
        <w:trPr>
          <w:trHeight w:val="230"/>
        </w:trPr>
        <w:tc>
          <w:tcPr>
            <w:tcW w:w="4248" w:type="dxa"/>
          </w:tcPr>
          <w:p w14:paraId="410A7D42" w14:textId="77777777" w:rsidR="00C137F8" w:rsidRPr="00A06A6E" w:rsidRDefault="00000000">
            <w:pPr>
              <w:pStyle w:val="TableParagraph"/>
              <w:spacing w:line="210" w:lineRule="exact"/>
              <w:ind w:left="105"/>
              <w:rPr>
                <w:sz w:val="20"/>
              </w:rPr>
            </w:pPr>
            <w:r w:rsidRPr="00A06A6E">
              <w:rPr>
                <w:sz w:val="20"/>
              </w:rPr>
              <w:t>Audit</w:t>
            </w:r>
            <w:r w:rsidRPr="00A06A6E">
              <w:rPr>
                <w:spacing w:val="40"/>
                <w:sz w:val="20"/>
              </w:rPr>
              <w:t xml:space="preserve"> </w:t>
            </w:r>
            <w:r w:rsidRPr="00A06A6E">
              <w:rPr>
                <w:sz w:val="20"/>
              </w:rPr>
              <w:t>Committee</w:t>
            </w:r>
            <w:r w:rsidRPr="00A06A6E">
              <w:rPr>
                <w:spacing w:val="40"/>
                <w:sz w:val="20"/>
              </w:rPr>
              <w:t xml:space="preserve"> </w:t>
            </w:r>
            <w:r w:rsidRPr="00A06A6E">
              <w:rPr>
                <w:spacing w:val="-4"/>
                <w:sz w:val="20"/>
              </w:rPr>
              <w:t>(AC)</w:t>
            </w:r>
          </w:p>
        </w:tc>
        <w:tc>
          <w:tcPr>
            <w:tcW w:w="850" w:type="dxa"/>
          </w:tcPr>
          <w:p w14:paraId="4A741223"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61E8954A" w14:textId="77777777" w:rsidR="00C137F8" w:rsidRPr="00A06A6E" w:rsidRDefault="00000000">
            <w:pPr>
              <w:pStyle w:val="TableParagraph"/>
              <w:spacing w:line="210" w:lineRule="exact"/>
              <w:ind w:right="103"/>
              <w:jc w:val="right"/>
              <w:rPr>
                <w:sz w:val="20"/>
              </w:rPr>
            </w:pPr>
            <w:r w:rsidRPr="00A06A6E">
              <w:rPr>
                <w:spacing w:val="-10"/>
                <w:sz w:val="20"/>
              </w:rPr>
              <w:t>1</w:t>
            </w:r>
          </w:p>
        </w:tc>
        <w:tc>
          <w:tcPr>
            <w:tcW w:w="994" w:type="dxa"/>
          </w:tcPr>
          <w:p w14:paraId="32B42A26" w14:textId="77777777" w:rsidR="00C137F8" w:rsidRPr="00A06A6E" w:rsidRDefault="00000000">
            <w:pPr>
              <w:pStyle w:val="TableParagraph"/>
              <w:spacing w:line="210" w:lineRule="exact"/>
              <w:ind w:right="105"/>
              <w:jc w:val="right"/>
              <w:rPr>
                <w:sz w:val="20"/>
              </w:rPr>
            </w:pPr>
            <w:r w:rsidRPr="00A06A6E">
              <w:rPr>
                <w:spacing w:val="-5"/>
                <w:sz w:val="20"/>
              </w:rPr>
              <w:t>35</w:t>
            </w:r>
          </w:p>
        </w:tc>
        <w:tc>
          <w:tcPr>
            <w:tcW w:w="989" w:type="dxa"/>
          </w:tcPr>
          <w:p w14:paraId="44C1CDB8" w14:textId="77777777" w:rsidR="00C137F8" w:rsidRPr="00A06A6E" w:rsidRDefault="00000000">
            <w:pPr>
              <w:pStyle w:val="TableParagraph"/>
              <w:spacing w:line="210" w:lineRule="exact"/>
              <w:ind w:right="100"/>
              <w:jc w:val="right"/>
              <w:rPr>
                <w:sz w:val="20"/>
              </w:rPr>
            </w:pPr>
            <w:r w:rsidRPr="00A06A6E">
              <w:rPr>
                <w:spacing w:val="-4"/>
                <w:sz w:val="20"/>
              </w:rPr>
              <w:t>6.82</w:t>
            </w:r>
          </w:p>
        </w:tc>
        <w:tc>
          <w:tcPr>
            <w:tcW w:w="907" w:type="dxa"/>
          </w:tcPr>
          <w:p w14:paraId="59FDE47C" w14:textId="77777777" w:rsidR="00C137F8" w:rsidRPr="00A06A6E" w:rsidRDefault="00000000">
            <w:pPr>
              <w:pStyle w:val="TableParagraph"/>
              <w:spacing w:line="210" w:lineRule="exact"/>
              <w:ind w:right="105"/>
              <w:jc w:val="right"/>
              <w:rPr>
                <w:sz w:val="20"/>
              </w:rPr>
            </w:pPr>
            <w:r w:rsidRPr="00A06A6E">
              <w:rPr>
                <w:spacing w:val="-4"/>
                <w:sz w:val="20"/>
              </w:rPr>
              <w:t>5.13</w:t>
            </w:r>
          </w:p>
        </w:tc>
      </w:tr>
      <w:tr w:rsidR="00C137F8" w:rsidRPr="00A06A6E" w14:paraId="0DF2C5A1" w14:textId="77777777">
        <w:trPr>
          <w:trHeight w:val="230"/>
        </w:trPr>
        <w:tc>
          <w:tcPr>
            <w:tcW w:w="4248" w:type="dxa"/>
          </w:tcPr>
          <w:p w14:paraId="54EA7806" w14:textId="77777777" w:rsidR="00C137F8" w:rsidRPr="00A06A6E" w:rsidRDefault="00000000">
            <w:pPr>
              <w:pStyle w:val="TableParagraph"/>
              <w:spacing w:line="210" w:lineRule="exact"/>
              <w:ind w:left="105"/>
              <w:rPr>
                <w:sz w:val="20"/>
              </w:rPr>
            </w:pPr>
            <w:r w:rsidRPr="00A06A6E">
              <w:rPr>
                <w:sz w:val="20"/>
              </w:rPr>
              <w:t>Company</w:t>
            </w:r>
            <w:r w:rsidRPr="00A06A6E">
              <w:rPr>
                <w:spacing w:val="-8"/>
                <w:sz w:val="20"/>
              </w:rPr>
              <w:t xml:space="preserve"> </w:t>
            </w:r>
            <w:r w:rsidRPr="00A06A6E">
              <w:rPr>
                <w:sz w:val="20"/>
              </w:rPr>
              <w:t>Size</w:t>
            </w:r>
            <w:r w:rsidRPr="00A06A6E">
              <w:rPr>
                <w:spacing w:val="-8"/>
                <w:sz w:val="20"/>
              </w:rPr>
              <w:t xml:space="preserve"> </w:t>
            </w:r>
            <w:r w:rsidRPr="00A06A6E">
              <w:rPr>
                <w:spacing w:val="-5"/>
                <w:sz w:val="20"/>
              </w:rPr>
              <w:t>(CS</w:t>
            </w:r>
          </w:p>
        </w:tc>
        <w:tc>
          <w:tcPr>
            <w:tcW w:w="850" w:type="dxa"/>
          </w:tcPr>
          <w:p w14:paraId="420B6CD9"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4B5BA589" w14:textId="77777777" w:rsidR="00C137F8" w:rsidRPr="00A06A6E" w:rsidRDefault="00000000">
            <w:pPr>
              <w:pStyle w:val="TableParagraph"/>
              <w:spacing w:line="210" w:lineRule="exact"/>
              <w:ind w:right="103"/>
              <w:jc w:val="right"/>
              <w:rPr>
                <w:sz w:val="20"/>
              </w:rPr>
            </w:pPr>
            <w:r w:rsidRPr="00A06A6E">
              <w:rPr>
                <w:spacing w:val="-2"/>
                <w:sz w:val="20"/>
              </w:rPr>
              <w:t>25.61</w:t>
            </w:r>
          </w:p>
        </w:tc>
        <w:tc>
          <w:tcPr>
            <w:tcW w:w="994" w:type="dxa"/>
          </w:tcPr>
          <w:p w14:paraId="15EA5768" w14:textId="77777777" w:rsidR="00C137F8" w:rsidRPr="00A06A6E" w:rsidRDefault="00000000">
            <w:pPr>
              <w:pStyle w:val="TableParagraph"/>
              <w:spacing w:line="210" w:lineRule="exact"/>
              <w:ind w:right="105"/>
              <w:jc w:val="right"/>
              <w:rPr>
                <w:sz w:val="20"/>
              </w:rPr>
            </w:pPr>
            <w:r w:rsidRPr="00A06A6E">
              <w:rPr>
                <w:spacing w:val="-2"/>
                <w:sz w:val="20"/>
              </w:rPr>
              <w:t>33.73</w:t>
            </w:r>
          </w:p>
        </w:tc>
        <w:tc>
          <w:tcPr>
            <w:tcW w:w="989" w:type="dxa"/>
          </w:tcPr>
          <w:p w14:paraId="5A27F411" w14:textId="77777777" w:rsidR="00C137F8" w:rsidRPr="00A06A6E" w:rsidRDefault="00000000">
            <w:pPr>
              <w:pStyle w:val="TableParagraph"/>
              <w:spacing w:line="210" w:lineRule="exact"/>
              <w:ind w:right="99"/>
              <w:jc w:val="right"/>
              <w:rPr>
                <w:sz w:val="20"/>
              </w:rPr>
            </w:pPr>
            <w:r w:rsidRPr="00A06A6E">
              <w:rPr>
                <w:spacing w:val="-2"/>
                <w:sz w:val="20"/>
              </w:rPr>
              <w:t>29.34</w:t>
            </w:r>
          </w:p>
        </w:tc>
        <w:tc>
          <w:tcPr>
            <w:tcW w:w="907" w:type="dxa"/>
          </w:tcPr>
          <w:p w14:paraId="49CB0E5C" w14:textId="77777777" w:rsidR="00C137F8" w:rsidRPr="00A06A6E" w:rsidRDefault="00000000">
            <w:pPr>
              <w:pStyle w:val="TableParagraph"/>
              <w:spacing w:line="210" w:lineRule="exact"/>
              <w:ind w:right="105"/>
              <w:jc w:val="right"/>
              <w:rPr>
                <w:sz w:val="20"/>
              </w:rPr>
            </w:pPr>
            <w:r w:rsidRPr="00A06A6E">
              <w:rPr>
                <w:spacing w:val="-4"/>
                <w:sz w:val="20"/>
              </w:rPr>
              <w:t>1.67</w:t>
            </w:r>
          </w:p>
        </w:tc>
      </w:tr>
      <w:tr w:rsidR="00C137F8" w:rsidRPr="00A06A6E" w14:paraId="239F8137" w14:textId="77777777">
        <w:trPr>
          <w:trHeight w:val="230"/>
        </w:trPr>
        <w:tc>
          <w:tcPr>
            <w:tcW w:w="4248" w:type="dxa"/>
          </w:tcPr>
          <w:p w14:paraId="35945BAD" w14:textId="77777777" w:rsidR="00C137F8" w:rsidRPr="00A06A6E" w:rsidRDefault="00000000">
            <w:pPr>
              <w:pStyle w:val="TableParagraph"/>
              <w:spacing w:line="210" w:lineRule="exact"/>
              <w:ind w:left="105"/>
              <w:rPr>
                <w:sz w:val="20"/>
              </w:rPr>
            </w:pPr>
            <w:r w:rsidRPr="00A06A6E">
              <w:rPr>
                <w:spacing w:val="-6"/>
                <w:sz w:val="20"/>
              </w:rPr>
              <w:t>I</w:t>
            </w:r>
            <w:r w:rsidRPr="00A06A6E">
              <w:rPr>
                <w:spacing w:val="-6"/>
                <w:position w:val="1"/>
                <w:sz w:val="20"/>
              </w:rPr>
              <w:t>)</w:t>
            </w:r>
            <w:proofErr w:type="spellStart"/>
            <w:r w:rsidRPr="00A06A6E">
              <w:rPr>
                <w:spacing w:val="-6"/>
                <w:sz w:val="20"/>
              </w:rPr>
              <w:t>ndustrial</w:t>
            </w:r>
            <w:proofErr w:type="spellEnd"/>
            <w:r w:rsidRPr="00A06A6E">
              <w:rPr>
                <w:spacing w:val="4"/>
                <w:sz w:val="20"/>
              </w:rPr>
              <w:t xml:space="preserve"> </w:t>
            </w:r>
            <w:r w:rsidRPr="00A06A6E">
              <w:rPr>
                <w:spacing w:val="-6"/>
                <w:sz w:val="20"/>
              </w:rPr>
              <w:t>Type</w:t>
            </w:r>
            <w:r w:rsidRPr="00A06A6E">
              <w:rPr>
                <w:spacing w:val="4"/>
                <w:sz w:val="20"/>
              </w:rPr>
              <w:t xml:space="preserve"> </w:t>
            </w:r>
            <w:r w:rsidRPr="00A06A6E">
              <w:rPr>
                <w:spacing w:val="-6"/>
                <w:sz w:val="20"/>
              </w:rPr>
              <w:t>(IT)</w:t>
            </w:r>
          </w:p>
        </w:tc>
        <w:tc>
          <w:tcPr>
            <w:tcW w:w="850" w:type="dxa"/>
          </w:tcPr>
          <w:p w14:paraId="178DB971" w14:textId="77777777" w:rsidR="00C137F8" w:rsidRPr="00A06A6E" w:rsidRDefault="00000000">
            <w:pPr>
              <w:pStyle w:val="TableParagraph"/>
              <w:spacing w:line="210" w:lineRule="exact"/>
              <w:ind w:left="54" w:right="97"/>
              <w:jc w:val="center"/>
              <w:rPr>
                <w:sz w:val="20"/>
              </w:rPr>
            </w:pPr>
            <w:r w:rsidRPr="00A06A6E">
              <w:rPr>
                <w:spacing w:val="-5"/>
                <w:sz w:val="20"/>
              </w:rPr>
              <w:t>156</w:t>
            </w:r>
          </w:p>
        </w:tc>
        <w:tc>
          <w:tcPr>
            <w:tcW w:w="994" w:type="dxa"/>
          </w:tcPr>
          <w:p w14:paraId="330FE35E" w14:textId="77777777" w:rsidR="00C137F8" w:rsidRPr="00A06A6E" w:rsidRDefault="00000000">
            <w:pPr>
              <w:pStyle w:val="TableParagraph"/>
              <w:spacing w:line="210" w:lineRule="exact"/>
              <w:ind w:right="103"/>
              <w:jc w:val="right"/>
              <w:rPr>
                <w:sz w:val="20"/>
              </w:rPr>
            </w:pPr>
            <w:r w:rsidRPr="00A06A6E">
              <w:rPr>
                <w:spacing w:val="-10"/>
                <w:sz w:val="20"/>
              </w:rPr>
              <w:t>0</w:t>
            </w:r>
          </w:p>
        </w:tc>
        <w:tc>
          <w:tcPr>
            <w:tcW w:w="994" w:type="dxa"/>
          </w:tcPr>
          <w:p w14:paraId="03925349" w14:textId="77777777" w:rsidR="00C137F8" w:rsidRPr="00A06A6E" w:rsidRDefault="00000000">
            <w:pPr>
              <w:pStyle w:val="TableParagraph"/>
              <w:spacing w:line="210" w:lineRule="exact"/>
              <w:ind w:right="104"/>
              <w:jc w:val="right"/>
              <w:rPr>
                <w:sz w:val="20"/>
              </w:rPr>
            </w:pPr>
            <w:r w:rsidRPr="00A06A6E">
              <w:rPr>
                <w:spacing w:val="-10"/>
                <w:sz w:val="20"/>
              </w:rPr>
              <w:t>1</w:t>
            </w:r>
          </w:p>
        </w:tc>
        <w:tc>
          <w:tcPr>
            <w:tcW w:w="989" w:type="dxa"/>
          </w:tcPr>
          <w:p w14:paraId="1F91CB99" w14:textId="77777777" w:rsidR="00C137F8" w:rsidRPr="00A06A6E" w:rsidRDefault="00000000">
            <w:pPr>
              <w:pStyle w:val="TableParagraph"/>
              <w:spacing w:line="210" w:lineRule="exact"/>
              <w:ind w:right="100"/>
              <w:jc w:val="right"/>
              <w:rPr>
                <w:sz w:val="20"/>
              </w:rPr>
            </w:pPr>
            <w:r w:rsidRPr="00A06A6E">
              <w:rPr>
                <w:spacing w:val="-5"/>
                <w:sz w:val="20"/>
              </w:rPr>
              <w:t>.88</w:t>
            </w:r>
          </w:p>
        </w:tc>
        <w:tc>
          <w:tcPr>
            <w:tcW w:w="907" w:type="dxa"/>
          </w:tcPr>
          <w:p w14:paraId="373C6946" w14:textId="77777777" w:rsidR="00C137F8" w:rsidRPr="00A06A6E" w:rsidRDefault="00000000">
            <w:pPr>
              <w:pStyle w:val="TableParagraph"/>
              <w:spacing w:line="210" w:lineRule="exact"/>
              <w:ind w:right="105"/>
              <w:jc w:val="right"/>
              <w:rPr>
                <w:sz w:val="20"/>
              </w:rPr>
            </w:pPr>
            <w:r w:rsidRPr="00A06A6E">
              <w:rPr>
                <w:spacing w:val="-5"/>
                <w:sz w:val="20"/>
              </w:rPr>
              <w:t>.32</w:t>
            </w:r>
          </w:p>
        </w:tc>
      </w:tr>
      <w:tr w:rsidR="00C137F8" w:rsidRPr="00A06A6E" w14:paraId="06E93EFF" w14:textId="77777777">
        <w:trPr>
          <w:trHeight w:val="278"/>
        </w:trPr>
        <w:tc>
          <w:tcPr>
            <w:tcW w:w="4248" w:type="dxa"/>
          </w:tcPr>
          <w:p w14:paraId="392CEC34" w14:textId="77777777" w:rsidR="00C137F8" w:rsidRPr="00A06A6E" w:rsidRDefault="00000000">
            <w:pPr>
              <w:pStyle w:val="TableParagraph"/>
              <w:spacing w:before="38" w:line="220" w:lineRule="exact"/>
              <w:ind w:left="105"/>
              <w:rPr>
                <w:sz w:val="20"/>
              </w:rPr>
            </w:pPr>
            <w:r w:rsidRPr="00A06A6E">
              <w:rPr>
                <w:sz w:val="20"/>
              </w:rPr>
              <w:t>Sustainability</w:t>
            </w:r>
            <w:r w:rsidRPr="00A06A6E">
              <w:rPr>
                <w:spacing w:val="-14"/>
                <w:sz w:val="20"/>
              </w:rPr>
              <w:t xml:space="preserve"> </w:t>
            </w:r>
            <w:r w:rsidRPr="00A06A6E">
              <w:rPr>
                <w:sz w:val="20"/>
              </w:rPr>
              <w:t>Report</w:t>
            </w:r>
            <w:r w:rsidRPr="00A06A6E">
              <w:rPr>
                <w:spacing w:val="-14"/>
                <w:sz w:val="20"/>
              </w:rPr>
              <w:t xml:space="preserve"> </w:t>
            </w:r>
            <w:r w:rsidRPr="00A06A6E">
              <w:rPr>
                <w:sz w:val="20"/>
              </w:rPr>
              <w:t>Disclosure</w:t>
            </w:r>
            <w:r w:rsidRPr="00A06A6E">
              <w:rPr>
                <w:spacing w:val="-13"/>
                <w:sz w:val="20"/>
              </w:rPr>
              <w:t xml:space="preserve"> </w:t>
            </w:r>
            <w:r w:rsidRPr="00A06A6E">
              <w:rPr>
                <w:spacing w:val="-4"/>
                <w:sz w:val="20"/>
              </w:rPr>
              <w:t>(SRD</w:t>
            </w:r>
          </w:p>
        </w:tc>
        <w:tc>
          <w:tcPr>
            <w:tcW w:w="850" w:type="dxa"/>
          </w:tcPr>
          <w:p w14:paraId="0B6E5CD6" w14:textId="77777777" w:rsidR="00C137F8" w:rsidRPr="00A06A6E" w:rsidRDefault="00000000">
            <w:pPr>
              <w:pStyle w:val="TableParagraph"/>
              <w:spacing w:before="23"/>
              <w:ind w:left="54" w:right="97"/>
              <w:jc w:val="center"/>
              <w:rPr>
                <w:sz w:val="20"/>
              </w:rPr>
            </w:pPr>
            <w:r w:rsidRPr="00A06A6E">
              <w:rPr>
                <w:spacing w:val="-5"/>
                <w:sz w:val="20"/>
              </w:rPr>
              <w:t>156</w:t>
            </w:r>
          </w:p>
        </w:tc>
        <w:tc>
          <w:tcPr>
            <w:tcW w:w="994" w:type="dxa"/>
          </w:tcPr>
          <w:p w14:paraId="23EC3E55" w14:textId="77777777" w:rsidR="00C137F8" w:rsidRPr="00A06A6E" w:rsidRDefault="00000000">
            <w:pPr>
              <w:pStyle w:val="TableParagraph"/>
              <w:spacing w:before="23"/>
              <w:ind w:right="103"/>
              <w:jc w:val="right"/>
              <w:rPr>
                <w:sz w:val="20"/>
              </w:rPr>
            </w:pPr>
            <w:r w:rsidRPr="00A06A6E">
              <w:rPr>
                <w:spacing w:val="-5"/>
                <w:sz w:val="20"/>
              </w:rPr>
              <w:t>.48</w:t>
            </w:r>
          </w:p>
        </w:tc>
        <w:tc>
          <w:tcPr>
            <w:tcW w:w="994" w:type="dxa"/>
          </w:tcPr>
          <w:p w14:paraId="39200C62" w14:textId="77777777" w:rsidR="00C137F8" w:rsidRPr="00A06A6E" w:rsidRDefault="00000000">
            <w:pPr>
              <w:pStyle w:val="TableParagraph"/>
              <w:spacing w:before="23"/>
              <w:ind w:right="104"/>
              <w:jc w:val="right"/>
              <w:rPr>
                <w:sz w:val="20"/>
              </w:rPr>
            </w:pPr>
            <w:r w:rsidRPr="00A06A6E">
              <w:rPr>
                <w:spacing w:val="-5"/>
                <w:sz w:val="20"/>
              </w:rPr>
              <w:t>.75</w:t>
            </w:r>
          </w:p>
        </w:tc>
        <w:tc>
          <w:tcPr>
            <w:tcW w:w="989" w:type="dxa"/>
          </w:tcPr>
          <w:p w14:paraId="1D87ECB6" w14:textId="77777777" w:rsidR="00C137F8" w:rsidRPr="00A06A6E" w:rsidRDefault="00000000">
            <w:pPr>
              <w:pStyle w:val="TableParagraph"/>
              <w:spacing w:before="23"/>
              <w:ind w:right="99"/>
              <w:jc w:val="right"/>
              <w:rPr>
                <w:sz w:val="20"/>
              </w:rPr>
            </w:pPr>
            <w:r w:rsidRPr="00A06A6E">
              <w:rPr>
                <w:spacing w:val="-5"/>
                <w:sz w:val="20"/>
              </w:rPr>
              <w:t>.58</w:t>
            </w:r>
          </w:p>
        </w:tc>
        <w:tc>
          <w:tcPr>
            <w:tcW w:w="907" w:type="dxa"/>
          </w:tcPr>
          <w:p w14:paraId="0290C52F" w14:textId="77777777" w:rsidR="00C137F8" w:rsidRPr="00A06A6E" w:rsidRDefault="00000000">
            <w:pPr>
              <w:pStyle w:val="TableParagraph"/>
              <w:spacing w:before="23"/>
              <w:ind w:right="105"/>
              <w:jc w:val="right"/>
              <w:rPr>
                <w:sz w:val="20"/>
              </w:rPr>
            </w:pPr>
            <w:r w:rsidRPr="00A06A6E">
              <w:rPr>
                <w:spacing w:val="-5"/>
                <w:sz w:val="20"/>
              </w:rPr>
              <w:t>.05</w:t>
            </w:r>
          </w:p>
        </w:tc>
      </w:tr>
    </w:tbl>
    <w:p w14:paraId="3D22627A" w14:textId="77777777" w:rsidR="00C137F8" w:rsidRPr="00A06A6E" w:rsidRDefault="00000000">
      <w:pPr>
        <w:spacing w:before="86"/>
        <w:ind w:left="628"/>
        <w:jc w:val="both"/>
        <w:rPr>
          <w:rFonts w:ascii="Times New Roman"/>
          <w:b/>
          <w:sz w:val="20"/>
        </w:rPr>
      </w:pPr>
      <w:r w:rsidRPr="00A06A6E">
        <w:rPr>
          <w:rFonts w:ascii="Times New Roman"/>
          <w:sz w:val="20"/>
        </w:rPr>
        <w:t>S</w:t>
      </w:r>
      <w:r w:rsidRPr="00A06A6E">
        <w:rPr>
          <w:rFonts w:ascii="Times New Roman"/>
          <w:b/>
          <w:sz w:val="20"/>
        </w:rPr>
        <w:t>ource:</w:t>
      </w:r>
      <w:r w:rsidRPr="00A06A6E">
        <w:rPr>
          <w:rFonts w:ascii="Times New Roman"/>
          <w:b/>
          <w:spacing w:val="-9"/>
          <w:sz w:val="20"/>
        </w:rPr>
        <w:t xml:space="preserve"> </w:t>
      </w:r>
      <w:r w:rsidRPr="00A06A6E">
        <w:rPr>
          <w:rFonts w:ascii="Times New Roman"/>
          <w:b/>
          <w:sz w:val="20"/>
        </w:rPr>
        <w:t>secondary</w:t>
      </w:r>
      <w:r w:rsidRPr="00A06A6E">
        <w:rPr>
          <w:rFonts w:ascii="Times New Roman"/>
          <w:b/>
          <w:spacing w:val="-8"/>
          <w:sz w:val="20"/>
        </w:rPr>
        <w:t xml:space="preserve"> </w:t>
      </w:r>
      <w:r w:rsidRPr="00A06A6E">
        <w:rPr>
          <w:rFonts w:ascii="Times New Roman"/>
          <w:b/>
          <w:sz w:val="20"/>
        </w:rPr>
        <w:t>data,</w:t>
      </w:r>
      <w:r w:rsidRPr="00A06A6E">
        <w:rPr>
          <w:rFonts w:ascii="Times New Roman"/>
          <w:b/>
          <w:spacing w:val="-7"/>
          <w:sz w:val="20"/>
        </w:rPr>
        <w:t xml:space="preserve"> </w:t>
      </w:r>
      <w:r w:rsidRPr="00A06A6E">
        <w:rPr>
          <w:rFonts w:ascii="Times New Roman"/>
          <w:b/>
          <w:sz w:val="20"/>
        </w:rPr>
        <w:t>2025</w:t>
      </w:r>
      <w:r w:rsidRPr="00A06A6E">
        <w:rPr>
          <w:rFonts w:ascii="Times New Roman"/>
          <w:b/>
          <w:spacing w:val="-7"/>
          <w:sz w:val="20"/>
        </w:rPr>
        <w:t xml:space="preserve"> </w:t>
      </w:r>
      <w:r w:rsidRPr="00A06A6E">
        <w:rPr>
          <w:rFonts w:ascii="Times New Roman"/>
          <w:b/>
          <w:spacing w:val="-2"/>
          <w:sz w:val="20"/>
        </w:rPr>
        <w:t>(processed)</w:t>
      </w:r>
    </w:p>
    <w:p w14:paraId="6B28C8BC" w14:textId="77777777" w:rsidR="00C137F8" w:rsidRPr="00A06A6E" w:rsidRDefault="00C137F8">
      <w:pPr>
        <w:pStyle w:val="BodyText"/>
        <w:spacing w:before="106"/>
        <w:rPr>
          <w:rFonts w:ascii="Times New Roman"/>
          <w:b/>
          <w:sz w:val="20"/>
        </w:rPr>
      </w:pPr>
    </w:p>
    <w:p w14:paraId="16A9D0D5" w14:textId="77777777" w:rsidR="00C137F8" w:rsidRPr="00A06A6E" w:rsidRDefault="00000000">
      <w:pPr>
        <w:pStyle w:val="BodyText"/>
        <w:ind w:left="628" w:right="246"/>
        <w:jc w:val="both"/>
      </w:pPr>
      <w:r w:rsidRPr="00A06A6E">
        <w:t>Table</w:t>
      </w:r>
      <w:r w:rsidRPr="00A06A6E">
        <w:rPr>
          <w:spacing w:val="-5"/>
        </w:rPr>
        <w:t xml:space="preserve"> </w:t>
      </w:r>
      <w:r w:rsidRPr="00A06A6E">
        <w:t>2</w:t>
      </w:r>
      <w:r w:rsidRPr="00A06A6E">
        <w:rPr>
          <w:spacing w:val="-5"/>
        </w:rPr>
        <w:t xml:space="preserve"> </w:t>
      </w:r>
      <w:r w:rsidRPr="00A06A6E">
        <w:t>presents</w:t>
      </w:r>
      <w:r w:rsidRPr="00A06A6E">
        <w:rPr>
          <w:spacing w:val="-5"/>
        </w:rPr>
        <w:t xml:space="preserve"> </w:t>
      </w:r>
      <w:r w:rsidRPr="00A06A6E">
        <w:t>the</w:t>
      </w:r>
      <w:r w:rsidRPr="00A06A6E">
        <w:rPr>
          <w:spacing w:val="-5"/>
        </w:rPr>
        <w:t xml:space="preserve"> </w:t>
      </w:r>
      <w:r w:rsidRPr="00A06A6E">
        <w:t>descriptive</w:t>
      </w:r>
      <w:r w:rsidRPr="00A06A6E">
        <w:rPr>
          <w:spacing w:val="-5"/>
        </w:rPr>
        <w:t xml:space="preserve"> </w:t>
      </w:r>
      <w:r w:rsidRPr="00A06A6E">
        <w:t>statistics</w:t>
      </w:r>
      <w:r w:rsidRPr="00A06A6E">
        <w:rPr>
          <w:spacing w:val="-5"/>
        </w:rPr>
        <w:t xml:space="preserve"> </w:t>
      </w:r>
      <w:r w:rsidRPr="00A06A6E">
        <w:t>of</w:t>
      </w:r>
      <w:r w:rsidRPr="00A06A6E">
        <w:rPr>
          <w:spacing w:val="-5"/>
        </w:rPr>
        <w:t xml:space="preserve"> </w:t>
      </w:r>
      <w:r w:rsidRPr="00A06A6E">
        <w:t>the</w:t>
      </w:r>
      <w:r w:rsidRPr="00A06A6E">
        <w:rPr>
          <w:spacing w:val="-5"/>
        </w:rPr>
        <w:t xml:space="preserve"> </w:t>
      </w:r>
      <w:r w:rsidRPr="00A06A6E">
        <w:t>study</w:t>
      </w:r>
      <w:r w:rsidRPr="00A06A6E">
        <w:rPr>
          <w:spacing w:val="-5"/>
        </w:rPr>
        <w:t xml:space="preserve"> </w:t>
      </w:r>
      <w:r w:rsidRPr="00A06A6E">
        <w:t>variables</w:t>
      </w:r>
      <w:r w:rsidRPr="00A06A6E">
        <w:rPr>
          <w:spacing w:val="-5"/>
        </w:rPr>
        <w:t xml:space="preserve"> </w:t>
      </w:r>
      <w:r w:rsidRPr="00A06A6E">
        <w:t>based</w:t>
      </w:r>
      <w:r w:rsidRPr="00A06A6E">
        <w:rPr>
          <w:spacing w:val="-5"/>
        </w:rPr>
        <w:t xml:space="preserve"> </w:t>
      </w:r>
      <w:r w:rsidRPr="00A06A6E">
        <w:t>on</w:t>
      </w:r>
      <w:r w:rsidRPr="00A06A6E">
        <w:rPr>
          <w:spacing w:val="-5"/>
        </w:rPr>
        <w:t xml:space="preserve"> </w:t>
      </w:r>
      <w:r w:rsidRPr="00A06A6E">
        <w:t>156</w:t>
      </w:r>
      <w:r w:rsidRPr="00A06A6E">
        <w:rPr>
          <w:spacing w:val="-5"/>
        </w:rPr>
        <w:t xml:space="preserve"> </w:t>
      </w:r>
      <w:r w:rsidRPr="00A06A6E">
        <w:t>observations of</w:t>
      </w:r>
      <w:r w:rsidRPr="00A06A6E">
        <w:rPr>
          <w:spacing w:val="-14"/>
        </w:rPr>
        <w:t xml:space="preserve"> </w:t>
      </w:r>
      <w:r w:rsidRPr="00A06A6E">
        <w:t>manufacturing</w:t>
      </w:r>
      <w:r w:rsidRPr="00A06A6E">
        <w:rPr>
          <w:spacing w:val="-14"/>
        </w:rPr>
        <w:t xml:space="preserve"> </w:t>
      </w:r>
      <w:r w:rsidRPr="00A06A6E">
        <w:t>companies.</w:t>
      </w:r>
      <w:r w:rsidRPr="00A06A6E">
        <w:rPr>
          <w:spacing w:val="-14"/>
        </w:rPr>
        <w:t xml:space="preserve"> </w:t>
      </w:r>
      <w:r w:rsidRPr="00A06A6E">
        <w:t>Overall,</w:t>
      </w:r>
      <w:r w:rsidRPr="00A06A6E">
        <w:rPr>
          <w:spacing w:val="-14"/>
        </w:rPr>
        <w:t xml:space="preserve"> </w:t>
      </w:r>
      <w:r w:rsidRPr="00A06A6E">
        <w:t>the</w:t>
      </w:r>
      <w:r w:rsidRPr="00A06A6E">
        <w:rPr>
          <w:spacing w:val="-14"/>
        </w:rPr>
        <w:t xml:space="preserve"> </w:t>
      </w:r>
      <w:r w:rsidRPr="00A06A6E">
        <w:t>data</w:t>
      </w:r>
      <w:r w:rsidRPr="00A06A6E">
        <w:rPr>
          <w:spacing w:val="-14"/>
        </w:rPr>
        <w:t xml:space="preserve"> </w:t>
      </w:r>
      <w:r w:rsidRPr="00A06A6E">
        <w:t>show</w:t>
      </w:r>
      <w:r w:rsidRPr="00A06A6E">
        <w:rPr>
          <w:spacing w:val="-14"/>
        </w:rPr>
        <w:t xml:space="preserve"> </w:t>
      </w:r>
      <w:r w:rsidRPr="00A06A6E">
        <w:t>variation</w:t>
      </w:r>
      <w:r w:rsidRPr="00A06A6E">
        <w:rPr>
          <w:spacing w:val="-14"/>
        </w:rPr>
        <w:t xml:space="preserve"> </w:t>
      </w:r>
      <w:r w:rsidRPr="00A06A6E">
        <w:t>across</w:t>
      </w:r>
      <w:r w:rsidRPr="00A06A6E">
        <w:rPr>
          <w:spacing w:val="-14"/>
        </w:rPr>
        <w:t xml:space="preserve"> </w:t>
      </w:r>
      <w:r w:rsidRPr="00A06A6E">
        <w:t>all</w:t>
      </w:r>
      <w:r w:rsidRPr="00A06A6E">
        <w:rPr>
          <w:spacing w:val="-14"/>
        </w:rPr>
        <w:t xml:space="preserve"> </w:t>
      </w:r>
      <w:r w:rsidRPr="00A06A6E">
        <w:t>variables,</w:t>
      </w:r>
      <w:r w:rsidRPr="00A06A6E">
        <w:rPr>
          <w:spacing w:val="-14"/>
        </w:rPr>
        <w:t xml:space="preserve"> </w:t>
      </w:r>
      <w:r w:rsidRPr="00A06A6E">
        <w:t>indicating heterogeneous firm characteristics in the sample.</w:t>
      </w:r>
    </w:p>
    <w:p w14:paraId="0BBD2AAA" w14:textId="77777777" w:rsidR="00C137F8" w:rsidRPr="00A06A6E" w:rsidRDefault="00000000">
      <w:pPr>
        <w:pStyle w:val="BodyText"/>
        <w:ind w:left="628" w:right="247" w:firstLine="720"/>
        <w:jc w:val="both"/>
      </w:pPr>
      <w:r w:rsidRPr="00A06A6E">
        <w:t>Profitability (P) has a mean value of 0.09 with a standard deviation of 0.07. The minimum value (-0.203) indicates that some firms experienced losses, while the maximum value</w:t>
      </w:r>
      <w:r w:rsidRPr="00A06A6E">
        <w:rPr>
          <w:spacing w:val="-15"/>
        </w:rPr>
        <w:t xml:space="preserve"> </w:t>
      </w:r>
      <w:r w:rsidRPr="00A06A6E">
        <w:t>(0.31)</w:t>
      </w:r>
      <w:r w:rsidRPr="00A06A6E">
        <w:rPr>
          <w:spacing w:val="-15"/>
        </w:rPr>
        <w:t xml:space="preserve"> </w:t>
      </w:r>
      <w:r w:rsidRPr="00A06A6E">
        <w:t>reflects</w:t>
      </w:r>
      <w:r w:rsidRPr="00A06A6E">
        <w:rPr>
          <w:spacing w:val="-15"/>
        </w:rPr>
        <w:t xml:space="preserve"> </w:t>
      </w:r>
      <w:r w:rsidRPr="00A06A6E">
        <w:t>relatively</w:t>
      </w:r>
      <w:r w:rsidRPr="00A06A6E">
        <w:rPr>
          <w:spacing w:val="-15"/>
        </w:rPr>
        <w:t xml:space="preserve"> </w:t>
      </w:r>
      <w:r w:rsidRPr="00A06A6E">
        <w:t>high</w:t>
      </w:r>
      <w:r w:rsidRPr="00A06A6E">
        <w:rPr>
          <w:spacing w:val="-15"/>
        </w:rPr>
        <w:t xml:space="preserve"> </w:t>
      </w:r>
      <w:r w:rsidRPr="00A06A6E">
        <w:t>profitability</w:t>
      </w:r>
      <w:r w:rsidRPr="00A06A6E">
        <w:rPr>
          <w:spacing w:val="-15"/>
        </w:rPr>
        <w:t xml:space="preserve"> </w:t>
      </w:r>
      <w:r w:rsidRPr="00A06A6E">
        <w:t>in</w:t>
      </w:r>
      <w:r w:rsidRPr="00A06A6E">
        <w:rPr>
          <w:spacing w:val="-15"/>
        </w:rPr>
        <w:t xml:space="preserve"> </w:t>
      </w:r>
      <w:r w:rsidRPr="00A06A6E">
        <w:t>certain</w:t>
      </w:r>
      <w:r w:rsidRPr="00A06A6E">
        <w:rPr>
          <w:spacing w:val="-15"/>
        </w:rPr>
        <w:t xml:space="preserve"> </w:t>
      </w:r>
      <w:r w:rsidRPr="00A06A6E">
        <w:t>firms.</w:t>
      </w:r>
      <w:r w:rsidRPr="00A06A6E">
        <w:rPr>
          <w:spacing w:val="-15"/>
        </w:rPr>
        <w:t xml:space="preserve"> </w:t>
      </w:r>
      <w:r w:rsidRPr="00A06A6E">
        <w:t>This</w:t>
      </w:r>
      <w:r w:rsidRPr="00A06A6E">
        <w:rPr>
          <w:spacing w:val="-15"/>
        </w:rPr>
        <w:t xml:space="preserve"> </w:t>
      </w:r>
      <w:r w:rsidRPr="00A06A6E">
        <w:t>suggests</w:t>
      </w:r>
      <w:r w:rsidRPr="00A06A6E">
        <w:rPr>
          <w:spacing w:val="-15"/>
        </w:rPr>
        <w:t xml:space="preserve"> </w:t>
      </w:r>
      <w:r w:rsidRPr="00A06A6E">
        <w:t>that</w:t>
      </w:r>
      <w:r w:rsidRPr="00A06A6E">
        <w:rPr>
          <w:spacing w:val="-15"/>
        </w:rPr>
        <w:t xml:space="preserve"> </w:t>
      </w:r>
      <w:r w:rsidRPr="00A06A6E">
        <w:t>the</w:t>
      </w:r>
      <w:r w:rsidRPr="00A06A6E">
        <w:rPr>
          <w:spacing w:val="-15"/>
        </w:rPr>
        <w:t xml:space="preserve"> </w:t>
      </w:r>
      <w:r w:rsidRPr="00A06A6E">
        <w:t>sample includes firms with varying financial performance conditions.</w:t>
      </w:r>
    </w:p>
    <w:p w14:paraId="731A6078" w14:textId="77777777" w:rsidR="00C137F8" w:rsidRPr="00A06A6E" w:rsidRDefault="00000000">
      <w:pPr>
        <w:pStyle w:val="BodyText"/>
        <w:spacing w:before="1"/>
        <w:ind w:left="628" w:right="249" w:firstLine="720"/>
        <w:jc w:val="both"/>
      </w:pPr>
      <w:r w:rsidRPr="00A06A6E">
        <w:t>Leverage</w:t>
      </w:r>
      <w:r w:rsidRPr="00A06A6E">
        <w:rPr>
          <w:spacing w:val="-16"/>
        </w:rPr>
        <w:t xml:space="preserve"> </w:t>
      </w:r>
      <w:r w:rsidRPr="00A06A6E">
        <w:t>(L)</w:t>
      </w:r>
      <w:r w:rsidRPr="00A06A6E">
        <w:rPr>
          <w:spacing w:val="-15"/>
        </w:rPr>
        <w:t xml:space="preserve"> </w:t>
      </w:r>
      <w:r w:rsidRPr="00A06A6E">
        <w:t>shows</w:t>
      </w:r>
      <w:r w:rsidRPr="00A06A6E">
        <w:rPr>
          <w:spacing w:val="-15"/>
        </w:rPr>
        <w:t xml:space="preserve"> </w:t>
      </w:r>
      <w:r w:rsidRPr="00A06A6E">
        <w:t>a</w:t>
      </w:r>
      <w:r w:rsidRPr="00A06A6E">
        <w:rPr>
          <w:spacing w:val="-16"/>
        </w:rPr>
        <w:t xml:space="preserve"> </w:t>
      </w:r>
      <w:r w:rsidRPr="00A06A6E">
        <w:t>mean</w:t>
      </w:r>
      <w:r w:rsidRPr="00A06A6E">
        <w:rPr>
          <w:spacing w:val="-15"/>
        </w:rPr>
        <w:t xml:space="preserve"> </w:t>
      </w:r>
      <w:r w:rsidRPr="00A06A6E">
        <w:t>of</w:t>
      </w:r>
      <w:r w:rsidRPr="00A06A6E">
        <w:rPr>
          <w:spacing w:val="-15"/>
        </w:rPr>
        <w:t xml:space="preserve"> </w:t>
      </w:r>
      <w:r w:rsidRPr="00A06A6E">
        <w:t>0.78</w:t>
      </w:r>
      <w:r w:rsidRPr="00A06A6E">
        <w:rPr>
          <w:spacing w:val="-15"/>
        </w:rPr>
        <w:t xml:space="preserve"> </w:t>
      </w:r>
      <w:r w:rsidRPr="00A06A6E">
        <w:t>with</w:t>
      </w:r>
      <w:r w:rsidRPr="00A06A6E">
        <w:rPr>
          <w:spacing w:val="-16"/>
        </w:rPr>
        <w:t xml:space="preserve"> </w:t>
      </w:r>
      <w:r w:rsidRPr="00A06A6E">
        <w:t>a</w:t>
      </w:r>
      <w:r w:rsidRPr="00A06A6E">
        <w:rPr>
          <w:spacing w:val="-15"/>
        </w:rPr>
        <w:t xml:space="preserve"> </w:t>
      </w:r>
      <w:r w:rsidRPr="00A06A6E">
        <w:t>standard</w:t>
      </w:r>
      <w:r w:rsidRPr="00A06A6E">
        <w:rPr>
          <w:spacing w:val="-15"/>
        </w:rPr>
        <w:t xml:space="preserve"> </w:t>
      </w:r>
      <w:r w:rsidRPr="00A06A6E">
        <w:t>deviation</w:t>
      </w:r>
      <w:r w:rsidRPr="00A06A6E">
        <w:rPr>
          <w:spacing w:val="-16"/>
        </w:rPr>
        <w:t xml:space="preserve"> </w:t>
      </w:r>
      <w:r w:rsidRPr="00A06A6E">
        <w:t>of</w:t>
      </w:r>
      <w:r w:rsidRPr="00A06A6E">
        <w:rPr>
          <w:spacing w:val="-15"/>
        </w:rPr>
        <w:t xml:space="preserve"> </w:t>
      </w:r>
      <w:r w:rsidRPr="00A06A6E">
        <w:t>0.71.</w:t>
      </w:r>
      <w:r w:rsidRPr="00A06A6E">
        <w:rPr>
          <w:spacing w:val="-15"/>
        </w:rPr>
        <w:t xml:space="preserve"> </w:t>
      </w:r>
      <w:r w:rsidRPr="00A06A6E">
        <w:t>The</w:t>
      </w:r>
      <w:r w:rsidRPr="00A06A6E">
        <w:rPr>
          <w:spacing w:val="-15"/>
        </w:rPr>
        <w:t xml:space="preserve"> </w:t>
      </w:r>
      <w:r w:rsidRPr="00A06A6E">
        <w:t>wide</w:t>
      </w:r>
      <w:r w:rsidRPr="00A06A6E">
        <w:rPr>
          <w:spacing w:val="-16"/>
        </w:rPr>
        <w:t xml:space="preserve"> </w:t>
      </w:r>
      <w:r w:rsidRPr="00A06A6E">
        <w:t>range between</w:t>
      </w:r>
      <w:r w:rsidRPr="00A06A6E">
        <w:rPr>
          <w:spacing w:val="-16"/>
        </w:rPr>
        <w:t xml:space="preserve"> </w:t>
      </w:r>
      <w:r w:rsidRPr="00A06A6E">
        <w:t>the</w:t>
      </w:r>
      <w:r w:rsidRPr="00A06A6E">
        <w:rPr>
          <w:spacing w:val="-15"/>
        </w:rPr>
        <w:t xml:space="preserve"> </w:t>
      </w:r>
      <w:r w:rsidRPr="00A06A6E">
        <w:t>minimum</w:t>
      </w:r>
      <w:r w:rsidRPr="00A06A6E">
        <w:rPr>
          <w:spacing w:val="-15"/>
        </w:rPr>
        <w:t xml:space="preserve"> </w:t>
      </w:r>
      <w:r w:rsidRPr="00A06A6E">
        <w:t>(0.05)</w:t>
      </w:r>
      <w:r w:rsidRPr="00A06A6E">
        <w:rPr>
          <w:spacing w:val="-16"/>
        </w:rPr>
        <w:t xml:space="preserve"> </w:t>
      </w:r>
      <w:r w:rsidRPr="00A06A6E">
        <w:t>and</w:t>
      </w:r>
      <w:r w:rsidRPr="00A06A6E">
        <w:rPr>
          <w:spacing w:val="-15"/>
        </w:rPr>
        <w:t xml:space="preserve"> </w:t>
      </w:r>
      <w:r w:rsidRPr="00A06A6E">
        <w:t>maximum</w:t>
      </w:r>
      <w:r w:rsidRPr="00A06A6E">
        <w:rPr>
          <w:spacing w:val="-15"/>
        </w:rPr>
        <w:t xml:space="preserve"> </w:t>
      </w:r>
      <w:r w:rsidRPr="00A06A6E">
        <w:t>(3.93)</w:t>
      </w:r>
      <w:r w:rsidRPr="00A06A6E">
        <w:rPr>
          <w:spacing w:val="-15"/>
        </w:rPr>
        <w:t xml:space="preserve"> </w:t>
      </w:r>
      <w:r w:rsidRPr="00A06A6E">
        <w:t>indicates</w:t>
      </w:r>
      <w:r w:rsidRPr="00A06A6E">
        <w:rPr>
          <w:spacing w:val="-16"/>
        </w:rPr>
        <w:t xml:space="preserve"> </w:t>
      </w:r>
      <w:r w:rsidRPr="00A06A6E">
        <w:t>substantial</w:t>
      </w:r>
      <w:r w:rsidRPr="00A06A6E">
        <w:rPr>
          <w:spacing w:val="-15"/>
        </w:rPr>
        <w:t xml:space="preserve"> </w:t>
      </w:r>
      <w:r w:rsidRPr="00A06A6E">
        <w:t>differences</w:t>
      </w:r>
      <w:r w:rsidRPr="00A06A6E">
        <w:rPr>
          <w:spacing w:val="-15"/>
        </w:rPr>
        <w:t xml:space="preserve"> </w:t>
      </w:r>
      <w:r w:rsidRPr="00A06A6E">
        <w:t>in</w:t>
      </w:r>
      <w:r w:rsidRPr="00A06A6E">
        <w:rPr>
          <w:spacing w:val="-16"/>
        </w:rPr>
        <w:t xml:space="preserve"> </w:t>
      </w:r>
      <w:r w:rsidRPr="00A06A6E">
        <w:t>capital structure across firms, where some companies rely heavily on debt financing.</w:t>
      </w:r>
    </w:p>
    <w:p w14:paraId="55F3DBF2" w14:textId="77777777" w:rsidR="00C137F8" w:rsidRPr="00A06A6E" w:rsidRDefault="00000000">
      <w:pPr>
        <w:pStyle w:val="BodyText"/>
        <w:ind w:left="628" w:right="250" w:firstLine="720"/>
        <w:jc w:val="both"/>
      </w:pPr>
      <w:r w:rsidRPr="00A06A6E">
        <w:t xml:space="preserve">Corporate activity (CA) has a mean value of 7.46 and a relatively high standard deviation of 4.80, with values ranging from 1.04 to 29.56. This indicates substantial variation in operational efficiency among firms, suggesting differences in asset </w:t>
      </w:r>
      <w:proofErr w:type="spellStart"/>
      <w:r w:rsidRPr="00A06A6E">
        <w:t>utilisation</w:t>
      </w:r>
      <w:proofErr w:type="spellEnd"/>
      <w:r w:rsidRPr="00A06A6E">
        <w:t xml:space="preserve"> and inventory-turnover performance.</w:t>
      </w:r>
    </w:p>
    <w:p w14:paraId="0749B29A" w14:textId="77777777" w:rsidR="00C137F8" w:rsidRPr="00A06A6E" w:rsidRDefault="00000000">
      <w:pPr>
        <w:pStyle w:val="BodyText"/>
        <w:spacing w:before="2" w:line="237" w:lineRule="auto"/>
        <w:ind w:left="628" w:right="250" w:firstLine="720"/>
        <w:jc w:val="both"/>
      </w:pPr>
      <w:r w:rsidRPr="00A06A6E">
        <w:t>The proportion of independent commissioners (IBC) has a mean value of 0.44, indicating that independent members constitute approximately 44% of the board on average. Values range from 0.25 to 0.83, showing variation in governance structures across firms.</w:t>
      </w:r>
    </w:p>
    <w:p w14:paraId="31556FB3" w14:textId="77777777" w:rsidR="00C137F8" w:rsidRPr="00A06A6E" w:rsidRDefault="00000000">
      <w:pPr>
        <w:pStyle w:val="BodyText"/>
        <w:spacing w:before="4"/>
        <w:ind w:left="628" w:right="250" w:firstLine="720"/>
        <w:jc w:val="both"/>
      </w:pPr>
      <w:r w:rsidRPr="00A06A6E">
        <w:t>The audit committee variable has a mean of 6.82 with a standard deviation of 5.13, with values ranging from 1 to 35</w:t>
      </w:r>
      <w:r w:rsidRPr="00A06A6E">
        <w:rPr>
          <w:color w:val="FF0000"/>
        </w:rPr>
        <w:t>.</w:t>
      </w:r>
    </w:p>
    <w:p w14:paraId="35AAF0E2" w14:textId="77777777" w:rsidR="00C137F8" w:rsidRPr="00A06A6E" w:rsidRDefault="00000000">
      <w:pPr>
        <w:pStyle w:val="BodyText"/>
        <w:ind w:left="628" w:right="248" w:firstLine="720"/>
        <w:jc w:val="both"/>
      </w:pPr>
      <w:r w:rsidRPr="00A06A6E">
        <w:t>Company size (CS) has a mean value of 29.34 with a standard deviation of 1.67. The minimum value (25.61) and maximum value (33.73) indicate variations in firm scale among the sampled companies. This suggests that the sample includes both relatively smaller and larger manufacturing firms, although overall firm size tends to be moderately concentrated around the mean.</w:t>
      </w:r>
    </w:p>
    <w:p w14:paraId="79E7D32F" w14:textId="77777777" w:rsidR="00C137F8" w:rsidRPr="00A06A6E" w:rsidRDefault="00000000">
      <w:pPr>
        <w:pStyle w:val="BodyText"/>
        <w:ind w:left="628" w:right="251" w:firstLine="720"/>
        <w:jc w:val="both"/>
      </w:pPr>
      <w:r w:rsidRPr="00A06A6E">
        <w:t>Industrial type (IT) has a mean value of 0.88 with a standard deviation of 0.32. The minimum value (0) and maximum value (1) indicate that the variable is measured as a dummy variable, distinguishing between high-profile and low-profile industries. The mean value suggests that most companies in the sample belong to high-profile industries, which are generally more exposed to environmental and social scrutiny.</w:t>
      </w:r>
    </w:p>
    <w:p w14:paraId="4D9D9E0C" w14:textId="77777777" w:rsidR="00C137F8" w:rsidRPr="00A06A6E" w:rsidRDefault="00000000">
      <w:pPr>
        <w:pStyle w:val="BodyText"/>
        <w:ind w:left="628" w:right="249" w:firstLine="720"/>
        <w:jc w:val="both"/>
      </w:pPr>
      <w:r w:rsidRPr="00A06A6E">
        <w:t>Sustainability Report Disclosure shows a mean value of 0.5782 with a standard deviation of 0.05. The minimum value (0.48) and maximum value (0.75) indicate relatively moderate variation in disclosure levels among firms. This suggests that while sustainability reporting practices are present across all companies, the extent of disclosure varies, with some firms providing more comprehensive sustainability information than others.</w:t>
      </w:r>
    </w:p>
    <w:p w14:paraId="32C50275" w14:textId="77777777" w:rsidR="00C137F8" w:rsidRPr="00A06A6E" w:rsidRDefault="00C137F8">
      <w:pPr>
        <w:pStyle w:val="BodyText"/>
        <w:jc w:val="both"/>
        <w:sectPr w:rsidR="00C137F8" w:rsidRPr="00A06A6E">
          <w:pgSz w:w="12240" w:h="15840"/>
          <w:pgMar w:top="800" w:right="1440" w:bottom="280" w:left="1080" w:header="44" w:footer="0" w:gutter="0"/>
          <w:cols w:space="720"/>
        </w:sectPr>
      </w:pPr>
    </w:p>
    <w:p w14:paraId="4AFC2303" w14:textId="77777777" w:rsidR="00C137F8" w:rsidRPr="00A06A6E" w:rsidRDefault="00C137F8">
      <w:pPr>
        <w:pStyle w:val="BodyText"/>
      </w:pPr>
    </w:p>
    <w:p w14:paraId="45D80221" w14:textId="77777777" w:rsidR="00C137F8" w:rsidRPr="00A06A6E" w:rsidRDefault="00C137F8">
      <w:pPr>
        <w:pStyle w:val="BodyText"/>
      </w:pPr>
    </w:p>
    <w:p w14:paraId="0AD6963D" w14:textId="77777777" w:rsidR="00C137F8" w:rsidRPr="00A06A6E" w:rsidRDefault="00C137F8">
      <w:pPr>
        <w:pStyle w:val="BodyText"/>
      </w:pPr>
    </w:p>
    <w:p w14:paraId="654E6B5D" w14:textId="77777777" w:rsidR="00C137F8" w:rsidRPr="00A06A6E" w:rsidRDefault="00C137F8">
      <w:pPr>
        <w:pStyle w:val="BodyText"/>
        <w:spacing w:before="138"/>
      </w:pPr>
    </w:p>
    <w:p w14:paraId="0C79BA63" w14:textId="77777777" w:rsidR="00C137F8" w:rsidRPr="00A06A6E" w:rsidRDefault="00000000">
      <w:pPr>
        <w:pStyle w:val="ListParagraph"/>
        <w:numPr>
          <w:ilvl w:val="1"/>
          <w:numId w:val="3"/>
        </w:numPr>
        <w:tabs>
          <w:tab w:val="left" w:pos="1053"/>
        </w:tabs>
        <w:spacing w:before="1"/>
        <w:ind w:left="1053" w:hanging="425"/>
        <w:rPr>
          <w:rFonts w:ascii="Arial"/>
          <w:b/>
        </w:rPr>
      </w:pPr>
      <w:r w:rsidRPr="00A06A6E">
        <w:rPr>
          <w:rFonts w:ascii="Arial"/>
          <w:b/>
        </w:rPr>
        <w:t>Result</w:t>
      </w:r>
      <w:r w:rsidRPr="00A06A6E">
        <w:rPr>
          <w:rFonts w:ascii="Arial"/>
          <w:b/>
          <w:spacing w:val="-7"/>
        </w:rPr>
        <w:t xml:space="preserve"> </w:t>
      </w:r>
      <w:r w:rsidRPr="00A06A6E">
        <w:rPr>
          <w:rFonts w:ascii="Arial"/>
          <w:b/>
        </w:rPr>
        <w:t>of</w:t>
      </w:r>
      <w:r w:rsidRPr="00A06A6E">
        <w:rPr>
          <w:rFonts w:ascii="Arial"/>
          <w:b/>
          <w:spacing w:val="-7"/>
        </w:rPr>
        <w:t xml:space="preserve"> </w:t>
      </w:r>
      <w:r w:rsidRPr="00A06A6E">
        <w:rPr>
          <w:rFonts w:ascii="Arial"/>
          <w:b/>
        </w:rPr>
        <w:t>Classical</w:t>
      </w:r>
      <w:r w:rsidRPr="00A06A6E">
        <w:rPr>
          <w:rFonts w:ascii="Arial"/>
          <w:b/>
          <w:spacing w:val="-7"/>
        </w:rPr>
        <w:t xml:space="preserve"> </w:t>
      </w:r>
      <w:r w:rsidRPr="00A06A6E">
        <w:rPr>
          <w:rFonts w:ascii="Arial"/>
          <w:b/>
        </w:rPr>
        <w:t>Assumption</w:t>
      </w:r>
      <w:r w:rsidRPr="00A06A6E">
        <w:rPr>
          <w:rFonts w:ascii="Arial"/>
          <w:b/>
          <w:spacing w:val="-6"/>
        </w:rPr>
        <w:t xml:space="preserve"> </w:t>
      </w:r>
      <w:r w:rsidRPr="00A06A6E">
        <w:rPr>
          <w:rFonts w:ascii="Arial"/>
          <w:b/>
          <w:spacing w:val="-4"/>
        </w:rPr>
        <w:t>Test</w:t>
      </w:r>
    </w:p>
    <w:p w14:paraId="34F01526" w14:textId="77777777" w:rsidR="00C137F8" w:rsidRPr="00A06A6E" w:rsidRDefault="00000000">
      <w:pPr>
        <w:pStyle w:val="Heading1"/>
        <w:numPr>
          <w:ilvl w:val="2"/>
          <w:numId w:val="3"/>
        </w:numPr>
        <w:tabs>
          <w:tab w:val="left" w:pos="1224"/>
        </w:tabs>
        <w:spacing w:before="199"/>
        <w:ind w:left="1224" w:hanging="596"/>
      </w:pPr>
      <w:r w:rsidRPr="00A06A6E">
        <w:t>Normality</w:t>
      </w:r>
      <w:r w:rsidRPr="00A06A6E">
        <w:rPr>
          <w:spacing w:val="-4"/>
        </w:rPr>
        <w:t xml:space="preserve"> Test</w:t>
      </w:r>
    </w:p>
    <w:p w14:paraId="79681A95" w14:textId="77777777" w:rsidR="00C137F8" w:rsidRPr="00A06A6E" w:rsidRDefault="00000000">
      <w:pPr>
        <w:pStyle w:val="BodyText"/>
        <w:spacing w:before="208" w:line="304" w:lineRule="auto"/>
        <w:ind w:left="628" w:right="485" w:firstLine="414"/>
      </w:pPr>
      <w:r w:rsidRPr="00A06A6E">
        <w:t>The results of the normality test using the Kolmogorov–Smirnov statistic are presented in Table 3.</w:t>
      </w:r>
    </w:p>
    <w:p w14:paraId="29D0C6C8" w14:textId="77777777" w:rsidR="00C137F8" w:rsidRPr="00A06A6E" w:rsidRDefault="00000000">
      <w:pPr>
        <w:pStyle w:val="Heading2"/>
        <w:spacing w:before="204" w:line="232" w:lineRule="auto"/>
        <w:ind w:left="3957" w:right="3572" w:firstLine="840"/>
        <w:rPr>
          <w:rFonts w:ascii="Times New Roman"/>
        </w:rPr>
      </w:pPr>
      <w:r w:rsidRPr="00A06A6E">
        <w:rPr>
          <w:rFonts w:ascii="Times New Roman"/>
          <w:w w:val="105"/>
        </w:rPr>
        <w:t xml:space="preserve">Tabel 3 </w:t>
      </w:r>
      <w:r w:rsidRPr="00A06A6E">
        <w:rPr>
          <w:rFonts w:ascii="Times New Roman"/>
          <w:spacing w:val="-4"/>
          <w:w w:val="105"/>
        </w:rPr>
        <w:t>Normality</w:t>
      </w:r>
      <w:r w:rsidRPr="00A06A6E">
        <w:rPr>
          <w:rFonts w:ascii="Times New Roman"/>
          <w:spacing w:val="-11"/>
          <w:w w:val="105"/>
        </w:rPr>
        <w:t xml:space="preserve"> </w:t>
      </w:r>
      <w:r w:rsidRPr="00A06A6E">
        <w:rPr>
          <w:rFonts w:ascii="Times New Roman"/>
          <w:spacing w:val="-4"/>
          <w:w w:val="105"/>
        </w:rPr>
        <w:t>Test</w:t>
      </w:r>
      <w:r w:rsidRPr="00A06A6E">
        <w:rPr>
          <w:rFonts w:ascii="Times New Roman"/>
          <w:spacing w:val="-10"/>
          <w:w w:val="105"/>
        </w:rPr>
        <w:t xml:space="preserve"> </w:t>
      </w:r>
      <w:r w:rsidRPr="00A06A6E">
        <w:rPr>
          <w:rFonts w:ascii="Times New Roman"/>
          <w:spacing w:val="-4"/>
          <w:w w:val="105"/>
        </w:rPr>
        <w:t>Results</w:t>
      </w:r>
    </w:p>
    <w:p w14:paraId="4966BBD9" w14:textId="77777777" w:rsidR="00C137F8" w:rsidRPr="00A06A6E" w:rsidRDefault="00000000">
      <w:pPr>
        <w:spacing w:before="247"/>
        <w:ind w:left="3281"/>
        <w:rPr>
          <w:rFonts w:ascii="Times New Roman"/>
          <w:b/>
        </w:rPr>
      </w:pPr>
      <w:r w:rsidRPr="00A06A6E">
        <w:rPr>
          <w:rFonts w:ascii="Times New Roman"/>
          <w:b/>
        </w:rPr>
        <w:t>One-Sample</w:t>
      </w:r>
      <w:r w:rsidRPr="00A06A6E">
        <w:rPr>
          <w:rFonts w:ascii="Times New Roman"/>
          <w:b/>
          <w:spacing w:val="-12"/>
        </w:rPr>
        <w:t xml:space="preserve"> </w:t>
      </w:r>
      <w:r w:rsidRPr="00A06A6E">
        <w:rPr>
          <w:rFonts w:ascii="Times New Roman"/>
          <w:b/>
        </w:rPr>
        <w:t>Kolmogorov-Smirnov</w:t>
      </w:r>
      <w:r w:rsidRPr="00A06A6E">
        <w:rPr>
          <w:rFonts w:ascii="Times New Roman"/>
          <w:b/>
          <w:spacing w:val="-13"/>
        </w:rPr>
        <w:t xml:space="preserve"> </w:t>
      </w:r>
      <w:r w:rsidRPr="00A06A6E">
        <w:rPr>
          <w:rFonts w:ascii="Times New Roman"/>
          <w:b/>
          <w:spacing w:val="-4"/>
        </w:rPr>
        <w:t>Test</w:t>
      </w:r>
    </w:p>
    <w:p w14:paraId="054161D5" w14:textId="77777777" w:rsidR="00C137F8" w:rsidRPr="00A06A6E" w:rsidRDefault="00000000">
      <w:pPr>
        <w:ind w:left="628"/>
        <w:rPr>
          <w:rFonts w:ascii="Times New Roman"/>
          <w:sz w:val="20"/>
        </w:rPr>
      </w:pPr>
      <w:r w:rsidRPr="00A06A6E">
        <w:rPr>
          <w:rFonts w:ascii="Times New Roman"/>
          <w:noProof/>
          <w:sz w:val="20"/>
        </w:rPr>
        <mc:AlternateContent>
          <mc:Choice Requires="wpg">
            <w:drawing>
              <wp:inline distT="0" distB="0" distL="0" distR="0" wp14:anchorId="41EF8A94" wp14:editId="1DA42E07">
                <wp:extent cx="5401310" cy="363220"/>
                <wp:effectExtent l="0" t="0" r="0" b="8254"/>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1310" cy="363220"/>
                          <a:chOff x="0" y="0"/>
                          <a:chExt cx="5401310" cy="363220"/>
                        </a:xfrm>
                      </wpg:grpSpPr>
                      <wps:wsp>
                        <wps:cNvPr id="41" name="Graphic 41"/>
                        <wps:cNvSpPr/>
                        <wps:spPr>
                          <a:xfrm>
                            <a:off x="0" y="6095"/>
                            <a:ext cx="5401310" cy="350520"/>
                          </a:xfrm>
                          <a:custGeom>
                            <a:avLst/>
                            <a:gdLst/>
                            <a:ahLst/>
                            <a:cxnLst/>
                            <a:rect l="l" t="t" r="r" b="b"/>
                            <a:pathLst>
                              <a:path w="5401310" h="350520">
                                <a:moveTo>
                                  <a:pt x="5401056" y="0"/>
                                </a:moveTo>
                                <a:lnTo>
                                  <a:pt x="3870960" y="0"/>
                                </a:lnTo>
                                <a:lnTo>
                                  <a:pt x="0" y="0"/>
                                </a:lnTo>
                                <a:lnTo>
                                  <a:pt x="0" y="350520"/>
                                </a:lnTo>
                                <a:lnTo>
                                  <a:pt x="3870960" y="350520"/>
                                </a:lnTo>
                                <a:lnTo>
                                  <a:pt x="5401056" y="350520"/>
                                </a:lnTo>
                                <a:lnTo>
                                  <a:pt x="5401056" y="0"/>
                                </a:lnTo>
                                <a:close/>
                              </a:path>
                            </a:pathLst>
                          </a:custGeom>
                          <a:solidFill>
                            <a:srgbClr val="D0CECE"/>
                          </a:solidFill>
                        </wps:spPr>
                        <wps:bodyPr wrap="square" lIns="0" tIns="0" rIns="0" bIns="0" rtlCol="0">
                          <a:prstTxWarp prst="textNoShape">
                            <a:avLst/>
                          </a:prstTxWarp>
                          <a:noAutofit/>
                        </wps:bodyPr>
                      </wps:wsp>
                      <wps:wsp>
                        <wps:cNvPr id="42" name="Graphic 42"/>
                        <wps:cNvSpPr/>
                        <wps:spPr>
                          <a:xfrm>
                            <a:off x="0" y="0"/>
                            <a:ext cx="5401310" cy="363220"/>
                          </a:xfrm>
                          <a:custGeom>
                            <a:avLst/>
                            <a:gdLst/>
                            <a:ahLst/>
                            <a:cxnLst/>
                            <a:rect l="l" t="t" r="r" b="b"/>
                            <a:pathLst>
                              <a:path w="5401310" h="363220">
                                <a:moveTo>
                                  <a:pt x="3877043" y="356616"/>
                                </a:moveTo>
                                <a:lnTo>
                                  <a:pt x="3870960" y="356616"/>
                                </a:lnTo>
                                <a:lnTo>
                                  <a:pt x="2075688" y="356616"/>
                                </a:lnTo>
                                <a:lnTo>
                                  <a:pt x="2069592" y="356616"/>
                                </a:lnTo>
                                <a:lnTo>
                                  <a:pt x="0" y="356616"/>
                                </a:lnTo>
                                <a:lnTo>
                                  <a:pt x="0" y="362712"/>
                                </a:lnTo>
                                <a:lnTo>
                                  <a:pt x="2069592" y="362712"/>
                                </a:lnTo>
                                <a:lnTo>
                                  <a:pt x="2075688" y="362712"/>
                                </a:lnTo>
                                <a:lnTo>
                                  <a:pt x="3870960" y="362712"/>
                                </a:lnTo>
                                <a:lnTo>
                                  <a:pt x="3877043" y="362712"/>
                                </a:lnTo>
                                <a:lnTo>
                                  <a:pt x="3877043" y="356616"/>
                                </a:lnTo>
                                <a:close/>
                              </a:path>
                              <a:path w="5401310" h="363220">
                                <a:moveTo>
                                  <a:pt x="3877043" y="0"/>
                                </a:moveTo>
                                <a:lnTo>
                                  <a:pt x="3870960" y="0"/>
                                </a:lnTo>
                                <a:lnTo>
                                  <a:pt x="0" y="0"/>
                                </a:lnTo>
                                <a:lnTo>
                                  <a:pt x="0" y="6108"/>
                                </a:lnTo>
                                <a:lnTo>
                                  <a:pt x="3870960" y="6108"/>
                                </a:lnTo>
                                <a:lnTo>
                                  <a:pt x="3877043" y="6108"/>
                                </a:lnTo>
                                <a:lnTo>
                                  <a:pt x="3877043" y="0"/>
                                </a:lnTo>
                                <a:close/>
                              </a:path>
                              <a:path w="5401310" h="363220">
                                <a:moveTo>
                                  <a:pt x="5401056" y="356616"/>
                                </a:moveTo>
                                <a:lnTo>
                                  <a:pt x="3877056" y="356616"/>
                                </a:lnTo>
                                <a:lnTo>
                                  <a:pt x="3877056" y="362712"/>
                                </a:lnTo>
                                <a:lnTo>
                                  <a:pt x="5401056" y="362712"/>
                                </a:lnTo>
                                <a:lnTo>
                                  <a:pt x="5401056" y="356616"/>
                                </a:lnTo>
                                <a:close/>
                              </a:path>
                              <a:path w="5401310" h="363220">
                                <a:moveTo>
                                  <a:pt x="5401056" y="0"/>
                                </a:moveTo>
                                <a:lnTo>
                                  <a:pt x="3877056" y="0"/>
                                </a:lnTo>
                                <a:lnTo>
                                  <a:pt x="3877056" y="6108"/>
                                </a:lnTo>
                                <a:lnTo>
                                  <a:pt x="5401056" y="6108"/>
                                </a:lnTo>
                                <a:lnTo>
                                  <a:pt x="5401056" y="0"/>
                                </a:lnTo>
                                <a:close/>
                              </a:path>
                            </a:pathLst>
                          </a:custGeom>
                          <a:solidFill>
                            <a:srgbClr val="000000"/>
                          </a:solidFill>
                        </wps:spPr>
                        <wps:bodyPr wrap="square" lIns="0" tIns="0" rIns="0" bIns="0" rtlCol="0">
                          <a:prstTxWarp prst="textNoShape">
                            <a:avLst/>
                          </a:prstTxWarp>
                          <a:noAutofit/>
                        </wps:bodyPr>
                      </wps:wsp>
                      <wps:wsp>
                        <wps:cNvPr id="43" name="Textbox 43"/>
                        <wps:cNvSpPr txBox="1"/>
                        <wps:spPr>
                          <a:xfrm>
                            <a:off x="0" y="6096"/>
                            <a:ext cx="5401310" cy="350520"/>
                          </a:xfrm>
                          <a:prstGeom prst="rect">
                            <a:avLst/>
                          </a:prstGeom>
                        </wps:spPr>
                        <wps:txbx>
                          <w:txbxContent>
                            <w:p w14:paraId="44A0511C" w14:textId="77777777" w:rsidR="00C137F8" w:rsidRDefault="00000000">
                              <w:pPr>
                                <w:spacing w:line="237" w:lineRule="auto"/>
                                <w:ind w:left="6923" w:hanging="374"/>
                                <w:rPr>
                                  <w:rFonts w:ascii="Times New Roman"/>
                                  <w:sz w:val="24"/>
                                </w:rPr>
                              </w:pPr>
                              <w:r>
                                <w:rPr>
                                  <w:rFonts w:ascii="Times New Roman"/>
                                  <w:spacing w:val="-2"/>
                                  <w:sz w:val="24"/>
                                </w:rPr>
                                <w:t>Unstandardized residual</w:t>
                              </w:r>
                            </w:p>
                          </w:txbxContent>
                        </wps:txbx>
                        <wps:bodyPr wrap="square" lIns="0" tIns="0" rIns="0" bIns="0" rtlCol="0">
                          <a:noAutofit/>
                        </wps:bodyPr>
                      </wps:wsp>
                    </wpg:wgp>
                  </a:graphicData>
                </a:graphic>
              </wp:inline>
            </w:drawing>
          </mc:Choice>
          <mc:Fallback>
            <w:pict>
              <v:group w14:anchorId="41EF8A94" id="Group 40" o:spid="_x0000_s1054" style="width:425.3pt;height:28.6pt;mso-position-horizontal-relative:char;mso-position-vertical-relative:line" coordsize="54013,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">
                <v:shape id="Graphic 41" o:spid="_x0000_s1055" style="position:absolute;top:60;width:54013;height:3506;visibility:visible;mso-wrap-style:square;v-text-anchor:top" coordsize="540131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" path="m5401056,l3870960,,,,,350520r3870960,l5401056,350520,5401056,xe" fillcolor="#d0cece" stroked="f">
                  <v:path arrowok="t"/>
                </v:shape>
                <v:shape id="Graphic 42" o:spid="_x0000_s1056" style="position:absolute;width:54013;height:3632;visibility:visible;mso-wrap-style:square;v-text-anchor:top" coordsize="540131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" path="m3877043,356616r-6083,l2075688,356616r-6096,l,356616r,6096l2069592,362712r6096,l3870960,362712r6083,l3877043,356616xem3877043,r-6083,l,,,6108r3870960,l3877043,6108r,-6108xem5401056,356616r-1524000,l3877056,362712r1524000,l5401056,356616xem5401056,l3877056,r,6108l5401056,6108r,-6108xe" fillcolor="black" stroked="f">
                  <v:path arrowok="t"/>
                </v:shape>
                <v:shape id="Textbox 43" o:spid="_x0000_s1057" type="#_x0000_t202" style="position:absolute;top:60;width:54013;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4A0511C" w14:textId="77777777" w:rsidR="00C137F8" w:rsidRDefault="00000000">
                        <w:pPr>
                          <w:spacing w:line="237" w:lineRule="auto"/>
                          <w:ind w:left="6923" w:hanging="374"/>
                          <w:rPr>
                            <w:rFonts w:ascii="Times New Roman"/>
                            <w:sz w:val="24"/>
                          </w:rPr>
                        </w:pPr>
                        <w:r>
                          <w:rPr>
                            <w:rFonts w:ascii="Times New Roman"/>
                            <w:spacing w:val="-2"/>
                            <w:sz w:val="24"/>
                          </w:rPr>
                          <w:t>Unstandardized residual</w:t>
                        </w:r>
                      </w:p>
                    </w:txbxContent>
                  </v:textbox>
                </v:shape>
                <w10:anchorlock/>
              </v:group>
            </w:pict>
          </mc:Fallback>
        </mc:AlternateContent>
      </w:r>
    </w:p>
    <w:p w14:paraId="3852CE5E" w14:textId="77777777" w:rsidR="00C137F8" w:rsidRPr="00A06A6E" w:rsidRDefault="00000000">
      <w:pPr>
        <w:tabs>
          <w:tab w:val="left" w:pos="8668"/>
        </w:tabs>
        <w:spacing w:line="232" w:lineRule="exact"/>
        <w:ind w:left="739"/>
        <w:rPr>
          <w:rFonts w:ascii="Times New Roman"/>
          <w:sz w:val="24"/>
        </w:rPr>
      </w:pPr>
      <w:r w:rsidRPr="00A06A6E">
        <w:rPr>
          <w:rFonts w:ascii="Times New Roman"/>
          <w:spacing w:val="-10"/>
          <w:sz w:val="24"/>
        </w:rPr>
        <w:t>N</w:t>
      </w:r>
      <w:r w:rsidRPr="00A06A6E">
        <w:rPr>
          <w:rFonts w:ascii="Times New Roman"/>
          <w:sz w:val="24"/>
        </w:rPr>
        <w:tab/>
      </w:r>
      <w:r w:rsidRPr="00A06A6E">
        <w:rPr>
          <w:rFonts w:ascii="Times New Roman"/>
          <w:spacing w:val="-5"/>
          <w:sz w:val="24"/>
        </w:rPr>
        <w:t>156</w:t>
      </w:r>
    </w:p>
    <w:p w14:paraId="5BC3C982" w14:textId="77777777" w:rsidR="00C137F8" w:rsidRPr="00A06A6E" w:rsidRDefault="00000000">
      <w:pPr>
        <w:tabs>
          <w:tab w:val="left" w:pos="3998"/>
          <w:tab w:val="left" w:pos="8128"/>
        </w:tabs>
        <w:spacing w:line="275" w:lineRule="exact"/>
        <w:ind w:left="739"/>
        <w:rPr>
          <w:rFonts w:ascii="Times New Roman"/>
          <w:sz w:val="24"/>
        </w:rPr>
      </w:pPr>
      <w:r w:rsidRPr="00A06A6E">
        <w:rPr>
          <w:rFonts w:ascii="Times New Roman"/>
          <w:spacing w:val="-2"/>
          <w:sz w:val="24"/>
        </w:rPr>
        <w:t>Normal</w:t>
      </w:r>
      <w:r w:rsidRPr="00A06A6E">
        <w:rPr>
          <w:rFonts w:ascii="Times New Roman"/>
          <w:sz w:val="24"/>
        </w:rPr>
        <w:tab/>
      </w:r>
      <w:r w:rsidRPr="00A06A6E">
        <w:rPr>
          <w:rFonts w:ascii="Times New Roman"/>
          <w:spacing w:val="-4"/>
          <w:sz w:val="24"/>
        </w:rPr>
        <w:t>Mean</w:t>
      </w:r>
      <w:r w:rsidRPr="00A06A6E">
        <w:rPr>
          <w:rFonts w:ascii="Times New Roman"/>
          <w:sz w:val="24"/>
        </w:rPr>
        <w:tab/>
      </w:r>
      <w:r w:rsidRPr="00A06A6E">
        <w:rPr>
          <w:rFonts w:ascii="Times New Roman"/>
          <w:spacing w:val="-2"/>
          <w:sz w:val="24"/>
        </w:rPr>
        <w:t>.0000000</w:t>
      </w:r>
    </w:p>
    <w:p w14:paraId="01166682" w14:textId="77777777" w:rsidR="00C137F8" w:rsidRPr="00A06A6E" w:rsidRDefault="00000000">
      <w:pPr>
        <w:tabs>
          <w:tab w:val="left" w:pos="3998"/>
          <w:tab w:val="left" w:pos="8008"/>
        </w:tabs>
        <w:spacing w:before="2" w:line="275" w:lineRule="exact"/>
        <w:ind w:left="739"/>
        <w:rPr>
          <w:rFonts w:ascii="Times New Roman"/>
          <w:sz w:val="24"/>
        </w:rPr>
      </w:pPr>
      <w:r w:rsidRPr="00A06A6E">
        <w:rPr>
          <w:rFonts w:ascii="Times New Roman"/>
          <w:spacing w:val="-2"/>
          <w:sz w:val="24"/>
        </w:rPr>
        <w:t>Parameter</w:t>
      </w:r>
      <w:r w:rsidRPr="00A06A6E">
        <w:rPr>
          <w:rFonts w:ascii="Times New Roman"/>
          <w:sz w:val="24"/>
        </w:rPr>
        <w:tab/>
        <w:t xml:space="preserve">Std. </w:t>
      </w:r>
      <w:r w:rsidRPr="00A06A6E">
        <w:rPr>
          <w:rFonts w:ascii="Times New Roman"/>
          <w:spacing w:val="-2"/>
          <w:sz w:val="24"/>
        </w:rPr>
        <w:t>Deviation</w:t>
      </w:r>
      <w:r w:rsidRPr="00A06A6E">
        <w:rPr>
          <w:rFonts w:ascii="Times New Roman"/>
          <w:sz w:val="24"/>
        </w:rPr>
        <w:tab/>
      </w:r>
      <w:r w:rsidRPr="00A06A6E">
        <w:rPr>
          <w:rFonts w:ascii="Times New Roman"/>
          <w:spacing w:val="-2"/>
          <w:sz w:val="24"/>
        </w:rPr>
        <w:t>.02112935</w:t>
      </w:r>
    </w:p>
    <w:p w14:paraId="53673A61" w14:textId="77777777" w:rsidR="00C137F8" w:rsidRPr="00A06A6E" w:rsidRDefault="00000000">
      <w:pPr>
        <w:pStyle w:val="BodyText"/>
        <w:tabs>
          <w:tab w:val="left" w:pos="3998"/>
          <w:tab w:val="left" w:pos="8728"/>
        </w:tabs>
        <w:spacing w:line="275" w:lineRule="exact"/>
        <w:ind w:left="739"/>
        <w:rPr>
          <w:rFonts w:ascii="Times New Roman"/>
          <w:sz w:val="24"/>
        </w:rPr>
      </w:pPr>
      <w:r w:rsidRPr="00A06A6E">
        <w:rPr>
          <w:rFonts w:ascii="Times New Roman"/>
          <w:position w:val="1"/>
        </w:rPr>
        <w:t>Most</w:t>
      </w:r>
      <w:r w:rsidRPr="00A06A6E">
        <w:rPr>
          <w:rFonts w:ascii="Times New Roman"/>
          <w:spacing w:val="-4"/>
          <w:position w:val="1"/>
        </w:rPr>
        <w:t xml:space="preserve"> </w:t>
      </w:r>
      <w:r w:rsidRPr="00A06A6E">
        <w:rPr>
          <w:rFonts w:ascii="Times New Roman"/>
          <w:position w:val="1"/>
        </w:rPr>
        <w:t>Extreme</w:t>
      </w:r>
      <w:r w:rsidRPr="00A06A6E">
        <w:rPr>
          <w:rFonts w:ascii="Times New Roman"/>
          <w:spacing w:val="-5"/>
          <w:position w:val="1"/>
        </w:rPr>
        <w:t xml:space="preserve"> </w:t>
      </w:r>
      <w:r w:rsidRPr="00A06A6E">
        <w:rPr>
          <w:rFonts w:ascii="Times New Roman"/>
          <w:spacing w:val="-2"/>
          <w:position w:val="1"/>
        </w:rPr>
        <w:t>Differences</w:t>
      </w:r>
      <w:r w:rsidRPr="00A06A6E">
        <w:rPr>
          <w:rFonts w:ascii="Times New Roman"/>
          <w:position w:val="1"/>
        </w:rPr>
        <w:tab/>
      </w:r>
      <w:r w:rsidRPr="00A06A6E">
        <w:rPr>
          <w:rFonts w:ascii="Times New Roman"/>
          <w:spacing w:val="-2"/>
          <w:position w:val="1"/>
        </w:rPr>
        <w:t>Absolute</w:t>
      </w:r>
      <w:r w:rsidRPr="00A06A6E">
        <w:rPr>
          <w:rFonts w:ascii="Times New Roman"/>
          <w:position w:val="1"/>
        </w:rPr>
        <w:tab/>
      </w:r>
      <w:r w:rsidRPr="00A06A6E">
        <w:rPr>
          <w:rFonts w:ascii="Times New Roman"/>
          <w:spacing w:val="-5"/>
          <w:sz w:val="24"/>
        </w:rPr>
        <w:t>.07</w:t>
      </w:r>
    </w:p>
    <w:p w14:paraId="3A377B13" w14:textId="77777777" w:rsidR="00C137F8" w:rsidRPr="00A06A6E" w:rsidRDefault="00000000">
      <w:pPr>
        <w:tabs>
          <w:tab w:val="left" w:pos="4729"/>
        </w:tabs>
        <w:spacing w:before="3" w:line="275" w:lineRule="exact"/>
        <w:ind w:right="689"/>
        <w:jc w:val="right"/>
        <w:rPr>
          <w:rFonts w:ascii="Times New Roman"/>
          <w:sz w:val="24"/>
        </w:rPr>
      </w:pPr>
      <w:r w:rsidRPr="00A06A6E">
        <w:rPr>
          <w:rFonts w:ascii="Times New Roman"/>
          <w:spacing w:val="-2"/>
          <w:sz w:val="24"/>
        </w:rPr>
        <w:t>Positive</w:t>
      </w:r>
      <w:r w:rsidRPr="00A06A6E">
        <w:rPr>
          <w:rFonts w:ascii="Times New Roman"/>
          <w:sz w:val="24"/>
        </w:rPr>
        <w:tab/>
      </w:r>
      <w:r w:rsidRPr="00A06A6E">
        <w:rPr>
          <w:rFonts w:ascii="Times New Roman"/>
          <w:spacing w:val="-5"/>
          <w:sz w:val="24"/>
        </w:rPr>
        <w:t>.07</w:t>
      </w:r>
    </w:p>
    <w:p w14:paraId="7D79530D" w14:textId="77777777" w:rsidR="00C137F8" w:rsidRPr="00A06A6E" w:rsidRDefault="00000000">
      <w:pPr>
        <w:tabs>
          <w:tab w:val="left" w:pos="4649"/>
        </w:tabs>
        <w:spacing w:line="275" w:lineRule="exact"/>
        <w:ind w:right="689"/>
        <w:jc w:val="right"/>
        <w:rPr>
          <w:rFonts w:ascii="Times New Roman"/>
          <w:sz w:val="24"/>
        </w:rPr>
      </w:pPr>
      <w:r w:rsidRPr="00A06A6E">
        <w:rPr>
          <w:rFonts w:ascii="Times New Roman"/>
          <w:spacing w:val="-2"/>
          <w:sz w:val="24"/>
        </w:rPr>
        <w:t>Negative</w:t>
      </w:r>
      <w:r w:rsidRPr="00A06A6E">
        <w:rPr>
          <w:rFonts w:ascii="Times New Roman"/>
          <w:sz w:val="24"/>
        </w:rPr>
        <w:tab/>
        <w:t>-</w:t>
      </w:r>
      <w:r w:rsidRPr="00A06A6E">
        <w:rPr>
          <w:rFonts w:ascii="Times New Roman"/>
          <w:spacing w:val="-5"/>
          <w:sz w:val="24"/>
        </w:rPr>
        <w:t>.05</w:t>
      </w:r>
    </w:p>
    <w:p w14:paraId="3274210B" w14:textId="77777777" w:rsidR="00C137F8" w:rsidRPr="00A06A6E" w:rsidRDefault="00000000">
      <w:pPr>
        <w:tabs>
          <w:tab w:val="left" w:pos="7988"/>
        </w:tabs>
        <w:spacing w:before="2"/>
        <w:ind w:right="689"/>
        <w:jc w:val="right"/>
        <w:rPr>
          <w:rFonts w:ascii="Times New Roman"/>
          <w:sz w:val="24"/>
        </w:rPr>
      </w:pPr>
      <w:proofErr w:type="spellStart"/>
      <w:r w:rsidRPr="00A06A6E">
        <w:rPr>
          <w:rFonts w:ascii="Times New Roman"/>
          <w:sz w:val="24"/>
        </w:rPr>
        <w:t>Asymp</w:t>
      </w:r>
      <w:proofErr w:type="spellEnd"/>
      <w:r w:rsidRPr="00A06A6E">
        <w:rPr>
          <w:rFonts w:ascii="Times New Roman"/>
          <w:sz w:val="24"/>
        </w:rPr>
        <w:t xml:space="preserve">. Sig </w:t>
      </w:r>
      <w:r w:rsidRPr="00A06A6E">
        <w:rPr>
          <w:rFonts w:ascii="Times New Roman"/>
          <w:spacing w:val="-2"/>
          <w:sz w:val="24"/>
        </w:rPr>
        <w:t>(2Tailed)</w:t>
      </w:r>
      <w:r w:rsidRPr="00A06A6E">
        <w:rPr>
          <w:rFonts w:ascii="Times New Roman"/>
          <w:sz w:val="24"/>
        </w:rPr>
        <w:tab/>
      </w:r>
      <w:r w:rsidRPr="00A06A6E">
        <w:rPr>
          <w:rFonts w:ascii="Times New Roman"/>
          <w:spacing w:val="-5"/>
          <w:sz w:val="24"/>
        </w:rPr>
        <w:t>.07</w:t>
      </w:r>
    </w:p>
    <w:p w14:paraId="2C247EA3" w14:textId="77777777" w:rsidR="00C137F8" w:rsidRPr="00A06A6E" w:rsidRDefault="00000000">
      <w:pPr>
        <w:pStyle w:val="BodyText"/>
        <w:spacing w:before="25"/>
        <w:rPr>
          <w:rFonts w:ascii="Times New Roman"/>
          <w:sz w:val="20"/>
        </w:rPr>
      </w:pPr>
      <w:r w:rsidRPr="00A06A6E">
        <w:rPr>
          <w:rFonts w:ascii="Times New Roman"/>
          <w:noProof/>
          <w:sz w:val="20"/>
        </w:rPr>
        <mc:AlternateContent>
          <mc:Choice Requires="wps">
            <w:drawing>
              <wp:anchor distT="0" distB="0" distL="0" distR="0" simplePos="0" relativeHeight="251665408" behindDoc="1" locked="0" layoutInCell="1" allowOverlap="1" wp14:anchorId="3E86895A" wp14:editId="4A500E1F">
                <wp:simplePos x="0" y="0"/>
                <wp:positionH relativeFrom="page">
                  <wp:posOffset>1075944</wp:posOffset>
                </wp:positionH>
                <wp:positionV relativeFrom="paragraph">
                  <wp:posOffset>177517</wp:posOffset>
                </wp:positionV>
                <wp:extent cx="5410200"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6350"/>
                        </a:xfrm>
                        <a:custGeom>
                          <a:avLst/>
                          <a:gdLst/>
                          <a:ahLst/>
                          <a:cxnLst/>
                          <a:rect l="l" t="t" r="r" b="b"/>
                          <a:pathLst>
                            <a:path w="5410200" h="6350">
                              <a:moveTo>
                                <a:pt x="5410200" y="0"/>
                              </a:moveTo>
                              <a:lnTo>
                                <a:pt x="5410200" y="0"/>
                              </a:lnTo>
                              <a:lnTo>
                                <a:pt x="0" y="0"/>
                              </a:lnTo>
                              <a:lnTo>
                                <a:pt x="0" y="6108"/>
                              </a:lnTo>
                              <a:lnTo>
                                <a:pt x="5410200" y="6108"/>
                              </a:lnTo>
                              <a:lnTo>
                                <a:pt x="5410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2D98AE" id="Graphic 44" o:spid="_x0000_s1026" style="position:absolute;margin-left:84.7pt;margin-top:14pt;width:426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4102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" path="m5410200,r,l,,,6108r5410200,l5410200,xe" fillcolor="black" stroked="f">
                <v:path arrowok="t"/>
                <w10:wrap type="topAndBottom" anchorx="page"/>
              </v:shape>
            </w:pict>
          </mc:Fallback>
        </mc:AlternateContent>
      </w:r>
    </w:p>
    <w:p w14:paraId="0F1AEC50" w14:textId="77777777" w:rsidR="00C137F8" w:rsidRPr="00A06A6E" w:rsidRDefault="00000000">
      <w:pPr>
        <w:pStyle w:val="BodyText"/>
        <w:spacing w:before="149"/>
        <w:ind w:left="628" w:right="549" w:firstLine="386"/>
        <w:jc w:val="both"/>
      </w:pPr>
      <w:r w:rsidRPr="00A06A6E">
        <w:t>The Kolmogorov–Smirnov test in Table 3 reports an asymptotic significance value of 0.07, which is greater than 0.05. On this basis, the residuals are treated as normally distributed and the regression analysis proceeds.</w:t>
      </w:r>
    </w:p>
    <w:p w14:paraId="16E87C47" w14:textId="77777777" w:rsidR="00C137F8" w:rsidRPr="00A06A6E" w:rsidRDefault="00C137F8">
      <w:pPr>
        <w:pStyle w:val="BodyText"/>
        <w:spacing w:before="25"/>
      </w:pPr>
    </w:p>
    <w:p w14:paraId="6FF460A5" w14:textId="77777777" w:rsidR="00C137F8" w:rsidRPr="00A06A6E" w:rsidRDefault="00000000">
      <w:pPr>
        <w:pStyle w:val="Heading2"/>
        <w:numPr>
          <w:ilvl w:val="2"/>
          <w:numId w:val="3"/>
        </w:numPr>
        <w:tabs>
          <w:tab w:val="left" w:pos="1173"/>
        </w:tabs>
        <w:spacing w:line="251" w:lineRule="exact"/>
        <w:ind w:left="1173" w:hanging="545"/>
        <w:rPr>
          <w:rFonts w:ascii="Times New Roman"/>
        </w:rPr>
      </w:pPr>
      <w:r w:rsidRPr="00A06A6E">
        <w:rPr>
          <w:rFonts w:ascii="Times New Roman"/>
          <w:spacing w:val="-2"/>
        </w:rPr>
        <w:t>Multicollinearity</w:t>
      </w:r>
      <w:r w:rsidRPr="00A06A6E">
        <w:rPr>
          <w:rFonts w:ascii="Times New Roman"/>
          <w:spacing w:val="17"/>
        </w:rPr>
        <w:t xml:space="preserve"> </w:t>
      </w:r>
      <w:r w:rsidRPr="00A06A6E">
        <w:rPr>
          <w:rFonts w:ascii="Times New Roman"/>
          <w:spacing w:val="-4"/>
        </w:rPr>
        <w:t>Test</w:t>
      </w:r>
    </w:p>
    <w:p w14:paraId="0D2C8445" w14:textId="77777777" w:rsidR="00C137F8" w:rsidRPr="00A06A6E" w:rsidRDefault="00000000">
      <w:pPr>
        <w:pStyle w:val="BodyText"/>
        <w:spacing w:line="251" w:lineRule="exact"/>
        <w:ind w:left="628"/>
      </w:pPr>
      <w:r w:rsidRPr="00A06A6E">
        <w:t>The results of the multicollinearity test are presented in Table 4.</w:t>
      </w:r>
    </w:p>
    <w:p w14:paraId="7FDAF4F3" w14:textId="77777777" w:rsidR="00C137F8" w:rsidRPr="00A06A6E" w:rsidRDefault="00C137F8">
      <w:pPr>
        <w:pStyle w:val="BodyText"/>
      </w:pPr>
    </w:p>
    <w:p w14:paraId="0DF3FCBA" w14:textId="77777777" w:rsidR="00C137F8" w:rsidRPr="00A06A6E" w:rsidRDefault="00C137F8">
      <w:pPr>
        <w:pStyle w:val="BodyText"/>
        <w:spacing w:before="4"/>
      </w:pPr>
    </w:p>
    <w:p w14:paraId="64331527" w14:textId="77777777" w:rsidR="00C137F8" w:rsidRPr="00A06A6E" w:rsidRDefault="00000000">
      <w:pPr>
        <w:spacing w:line="207" w:lineRule="exact"/>
        <w:ind w:left="786"/>
        <w:jc w:val="center"/>
        <w:rPr>
          <w:rFonts w:ascii="Arial"/>
          <w:b/>
          <w:sz w:val="18"/>
        </w:rPr>
      </w:pPr>
      <w:r w:rsidRPr="00A06A6E">
        <w:rPr>
          <w:rFonts w:ascii="Arial"/>
          <w:b/>
          <w:sz w:val="18"/>
        </w:rPr>
        <w:t>Table</w:t>
      </w:r>
      <w:r w:rsidRPr="00A06A6E">
        <w:rPr>
          <w:rFonts w:ascii="Arial"/>
          <w:b/>
          <w:spacing w:val="-5"/>
          <w:sz w:val="18"/>
        </w:rPr>
        <w:t xml:space="preserve"> 4.</w:t>
      </w:r>
    </w:p>
    <w:p w14:paraId="16BF721B" w14:textId="77777777" w:rsidR="00C137F8" w:rsidRPr="00A06A6E" w:rsidRDefault="00000000">
      <w:pPr>
        <w:spacing w:line="207" w:lineRule="exact"/>
        <w:ind w:left="786"/>
        <w:jc w:val="center"/>
        <w:rPr>
          <w:rFonts w:ascii="Arial"/>
          <w:b/>
          <w:sz w:val="18"/>
        </w:rPr>
      </w:pPr>
      <w:r w:rsidRPr="00A06A6E">
        <w:rPr>
          <w:rFonts w:ascii="Arial"/>
          <w:b/>
          <w:noProof/>
          <w:sz w:val="18"/>
        </w:rPr>
        <mc:AlternateContent>
          <mc:Choice Requires="wps">
            <w:drawing>
              <wp:anchor distT="0" distB="0" distL="0" distR="0" simplePos="0" relativeHeight="251651072" behindDoc="0" locked="0" layoutInCell="1" allowOverlap="1" wp14:anchorId="7C3A9F96" wp14:editId="70094602">
                <wp:simplePos x="0" y="0"/>
                <wp:positionH relativeFrom="page">
                  <wp:posOffset>1632204</wp:posOffset>
                </wp:positionH>
                <wp:positionV relativeFrom="paragraph">
                  <wp:posOffset>131464</wp:posOffset>
                </wp:positionV>
                <wp:extent cx="4520565" cy="32258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0565" cy="32258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4"/>
                              <w:gridCol w:w="2774"/>
                            </w:tblGrid>
                            <w:tr w:rsidR="00C137F8" w14:paraId="3198F0EF" w14:textId="77777777">
                              <w:trPr>
                                <w:trHeight w:val="239"/>
                              </w:trPr>
                              <w:tc>
                                <w:tcPr>
                                  <w:tcW w:w="4224" w:type="dxa"/>
                                  <w:vMerge w:val="restart"/>
                                  <w:tcBorders>
                                    <w:left w:val="nil"/>
                                    <w:right w:val="nil"/>
                                  </w:tcBorders>
                                  <w:shd w:val="clear" w:color="auto" w:fill="D0CECE"/>
                                </w:tcPr>
                                <w:p w14:paraId="228872B9" w14:textId="77777777" w:rsidR="00C137F8" w:rsidRDefault="00C137F8">
                                  <w:pPr>
                                    <w:pStyle w:val="TableParagraph"/>
                                    <w:spacing w:before="46"/>
                                    <w:rPr>
                                      <w:rFonts w:ascii="Times New Roman"/>
                                      <w:sz w:val="18"/>
                                    </w:rPr>
                                  </w:pPr>
                                </w:p>
                                <w:p w14:paraId="67A5F254" w14:textId="77777777" w:rsidR="00C137F8" w:rsidRDefault="00000000">
                                  <w:pPr>
                                    <w:pStyle w:val="TableParagraph"/>
                                    <w:ind w:left="405"/>
                                    <w:jc w:val="center"/>
                                    <w:rPr>
                                      <w:rFonts w:ascii="Arial"/>
                                      <w:b/>
                                      <w:sz w:val="18"/>
                                    </w:rPr>
                                  </w:pPr>
                                  <w:r>
                                    <w:rPr>
                                      <w:rFonts w:ascii="Arial"/>
                                      <w:b/>
                                      <w:spacing w:val="-2"/>
                                      <w:sz w:val="18"/>
                                    </w:rPr>
                                    <w:t>Variable</w:t>
                                  </w:r>
                                </w:p>
                              </w:tc>
                              <w:tc>
                                <w:tcPr>
                                  <w:tcW w:w="2774" w:type="dxa"/>
                                  <w:tcBorders>
                                    <w:left w:val="nil"/>
                                    <w:right w:val="nil"/>
                                  </w:tcBorders>
                                  <w:shd w:val="clear" w:color="auto" w:fill="D0CECE"/>
                                </w:tcPr>
                                <w:p w14:paraId="644E7986" w14:textId="77777777" w:rsidR="00C137F8" w:rsidRDefault="00000000">
                                  <w:pPr>
                                    <w:pStyle w:val="TableParagraph"/>
                                    <w:spacing w:before="3"/>
                                    <w:ind w:right="263"/>
                                    <w:jc w:val="right"/>
                                    <w:rPr>
                                      <w:rFonts w:ascii="Arial"/>
                                      <w:b/>
                                      <w:sz w:val="18"/>
                                    </w:rPr>
                                  </w:pPr>
                                  <w:r>
                                    <w:rPr>
                                      <w:rFonts w:ascii="Arial"/>
                                      <w:b/>
                                      <w:sz w:val="18"/>
                                    </w:rPr>
                                    <w:t>Collinearity</w:t>
                                  </w:r>
                                  <w:r>
                                    <w:rPr>
                                      <w:rFonts w:ascii="Arial"/>
                                      <w:b/>
                                      <w:spacing w:val="-9"/>
                                      <w:sz w:val="18"/>
                                    </w:rPr>
                                    <w:t xml:space="preserve"> </w:t>
                                  </w:r>
                                  <w:r>
                                    <w:rPr>
                                      <w:rFonts w:ascii="Arial"/>
                                      <w:b/>
                                      <w:spacing w:val="-2"/>
                                      <w:sz w:val="18"/>
                                    </w:rPr>
                                    <w:t>Statistics</w:t>
                                  </w:r>
                                </w:p>
                              </w:tc>
                            </w:tr>
                            <w:tr w:rsidR="00C137F8" w14:paraId="50E4A97E" w14:textId="77777777">
                              <w:trPr>
                                <w:trHeight w:val="239"/>
                              </w:trPr>
                              <w:tc>
                                <w:tcPr>
                                  <w:tcW w:w="4224" w:type="dxa"/>
                                  <w:vMerge/>
                                  <w:tcBorders>
                                    <w:top w:val="nil"/>
                                    <w:left w:val="nil"/>
                                    <w:right w:val="nil"/>
                                  </w:tcBorders>
                                  <w:shd w:val="clear" w:color="auto" w:fill="D0CECE"/>
                                </w:tcPr>
                                <w:p w14:paraId="535FBFD7" w14:textId="77777777" w:rsidR="00C137F8" w:rsidRDefault="00C137F8">
                                  <w:pPr>
                                    <w:rPr>
                                      <w:sz w:val="2"/>
                                      <w:szCs w:val="2"/>
                                    </w:rPr>
                                  </w:pPr>
                                </w:p>
                              </w:tc>
                              <w:tc>
                                <w:tcPr>
                                  <w:tcW w:w="2774" w:type="dxa"/>
                                  <w:tcBorders>
                                    <w:left w:val="nil"/>
                                    <w:right w:val="nil"/>
                                  </w:tcBorders>
                                  <w:shd w:val="clear" w:color="auto" w:fill="D0CECE"/>
                                </w:tcPr>
                                <w:p w14:paraId="1B4F6BBB" w14:textId="77777777" w:rsidR="00C137F8" w:rsidRDefault="00000000">
                                  <w:pPr>
                                    <w:pStyle w:val="TableParagraph"/>
                                    <w:tabs>
                                      <w:tab w:val="left" w:pos="1671"/>
                                    </w:tabs>
                                    <w:spacing w:before="3"/>
                                    <w:ind w:right="298"/>
                                    <w:jc w:val="right"/>
                                    <w:rPr>
                                      <w:rFonts w:ascii="Arial"/>
                                      <w:b/>
                                      <w:sz w:val="18"/>
                                    </w:rPr>
                                  </w:pPr>
                                  <w:r>
                                    <w:rPr>
                                      <w:rFonts w:ascii="Arial"/>
                                      <w:b/>
                                      <w:spacing w:val="-2"/>
                                      <w:sz w:val="18"/>
                                    </w:rPr>
                                    <w:t>Tolerance</w:t>
                                  </w:r>
                                  <w:r>
                                    <w:rPr>
                                      <w:rFonts w:ascii="Arial"/>
                                      <w:b/>
                                      <w:sz w:val="18"/>
                                    </w:rPr>
                                    <w:tab/>
                                  </w:r>
                                  <w:r>
                                    <w:rPr>
                                      <w:rFonts w:ascii="Arial"/>
                                      <w:b/>
                                      <w:spacing w:val="-5"/>
                                      <w:sz w:val="18"/>
                                    </w:rPr>
                                    <w:t>VIF</w:t>
                                  </w:r>
                                </w:p>
                              </w:tc>
                            </w:tr>
                          </w:tbl>
                          <w:p w14:paraId="6F472854" w14:textId="77777777" w:rsidR="00C137F8" w:rsidRDefault="00C137F8">
                            <w:pPr>
                              <w:pStyle w:val="BodyText"/>
                            </w:pPr>
                          </w:p>
                        </w:txbxContent>
                      </wps:txbx>
                      <wps:bodyPr wrap="square" lIns="0" tIns="0" rIns="0" bIns="0" rtlCol="0">
                        <a:noAutofit/>
                      </wps:bodyPr>
                    </wps:wsp>
                  </a:graphicData>
                </a:graphic>
              </wp:anchor>
            </w:drawing>
          </mc:Choice>
          <mc:Fallback>
            <w:pict>
              <v:shape w14:anchorId="7C3A9F96" id="Textbox 45" o:spid="_x0000_s1058" type="#_x0000_t202" style="position:absolute;left:0;text-align:left;margin-left:128.5pt;margin-top:10.35pt;width:355.95pt;height:25.4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&#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4"/>
                        <w:gridCol w:w="2774"/>
                      </w:tblGrid>
                      <w:tr w:rsidR="00C137F8" w14:paraId="3198F0EF" w14:textId="77777777">
                        <w:trPr>
                          <w:trHeight w:val="239"/>
                        </w:trPr>
                        <w:tc>
                          <w:tcPr>
                            <w:tcW w:w="4224" w:type="dxa"/>
                            <w:vMerge w:val="restart"/>
                            <w:tcBorders>
                              <w:left w:val="nil"/>
                              <w:right w:val="nil"/>
                            </w:tcBorders>
                            <w:shd w:val="clear" w:color="auto" w:fill="D0CECE"/>
                          </w:tcPr>
                          <w:p w14:paraId="228872B9" w14:textId="77777777" w:rsidR="00C137F8" w:rsidRDefault="00C137F8">
                            <w:pPr>
                              <w:pStyle w:val="TableParagraph"/>
                              <w:spacing w:before="46"/>
                              <w:rPr>
                                <w:rFonts w:ascii="Times New Roman"/>
                                <w:sz w:val="18"/>
                              </w:rPr>
                            </w:pPr>
                          </w:p>
                          <w:p w14:paraId="67A5F254" w14:textId="77777777" w:rsidR="00C137F8" w:rsidRDefault="00000000">
                            <w:pPr>
                              <w:pStyle w:val="TableParagraph"/>
                              <w:ind w:left="405"/>
                              <w:jc w:val="center"/>
                              <w:rPr>
                                <w:rFonts w:ascii="Arial"/>
                                <w:b/>
                                <w:sz w:val="18"/>
                              </w:rPr>
                            </w:pPr>
                            <w:r>
                              <w:rPr>
                                <w:rFonts w:ascii="Arial"/>
                                <w:b/>
                                <w:spacing w:val="-2"/>
                                <w:sz w:val="18"/>
                              </w:rPr>
                              <w:t>Variable</w:t>
                            </w:r>
                          </w:p>
                        </w:tc>
                        <w:tc>
                          <w:tcPr>
                            <w:tcW w:w="2774" w:type="dxa"/>
                            <w:tcBorders>
                              <w:left w:val="nil"/>
                              <w:right w:val="nil"/>
                            </w:tcBorders>
                            <w:shd w:val="clear" w:color="auto" w:fill="D0CECE"/>
                          </w:tcPr>
                          <w:p w14:paraId="644E7986" w14:textId="77777777" w:rsidR="00C137F8" w:rsidRDefault="00000000">
                            <w:pPr>
                              <w:pStyle w:val="TableParagraph"/>
                              <w:spacing w:before="3"/>
                              <w:ind w:right="263"/>
                              <w:jc w:val="right"/>
                              <w:rPr>
                                <w:rFonts w:ascii="Arial"/>
                                <w:b/>
                                <w:sz w:val="18"/>
                              </w:rPr>
                            </w:pPr>
                            <w:r>
                              <w:rPr>
                                <w:rFonts w:ascii="Arial"/>
                                <w:b/>
                                <w:sz w:val="18"/>
                              </w:rPr>
                              <w:t>Collinearity</w:t>
                            </w:r>
                            <w:r>
                              <w:rPr>
                                <w:rFonts w:ascii="Arial"/>
                                <w:b/>
                                <w:spacing w:val="-9"/>
                                <w:sz w:val="18"/>
                              </w:rPr>
                              <w:t xml:space="preserve"> </w:t>
                            </w:r>
                            <w:r>
                              <w:rPr>
                                <w:rFonts w:ascii="Arial"/>
                                <w:b/>
                                <w:spacing w:val="-2"/>
                                <w:sz w:val="18"/>
                              </w:rPr>
                              <w:t>Statistics</w:t>
                            </w:r>
                          </w:p>
                        </w:tc>
                      </w:tr>
                      <w:tr w:rsidR="00C137F8" w14:paraId="50E4A97E" w14:textId="77777777">
                        <w:trPr>
                          <w:trHeight w:val="239"/>
                        </w:trPr>
                        <w:tc>
                          <w:tcPr>
                            <w:tcW w:w="4224" w:type="dxa"/>
                            <w:vMerge/>
                            <w:tcBorders>
                              <w:top w:val="nil"/>
                              <w:left w:val="nil"/>
                              <w:right w:val="nil"/>
                            </w:tcBorders>
                            <w:shd w:val="clear" w:color="auto" w:fill="D0CECE"/>
                          </w:tcPr>
                          <w:p w14:paraId="535FBFD7" w14:textId="77777777" w:rsidR="00C137F8" w:rsidRDefault="00C137F8">
                            <w:pPr>
                              <w:rPr>
                                <w:sz w:val="2"/>
                                <w:szCs w:val="2"/>
                              </w:rPr>
                            </w:pPr>
                          </w:p>
                        </w:tc>
                        <w:tc>
                          <w:tcPr>
                            <w:tcW w:w="2774" w:type="dxa"/>
                            <w:tcBorders>
                              <w:left w:val="nil"/>
                              <w:right w:val="nil"/>
                            </w:tcBorders>
                            <w:shd w:val="clear" w:color="auto" w:fill="D0CECE"/>
                          </w:tcPr>
                          <w:p w14:paraId="1B4F6BBB" w14:textId="77777777" w:rsidR="00C137F8" w:rsidRDefault="00000000">
                            <w:pPr>
                              <w:pStyle w:val="TableParagraph"/>
                              <w:tabs>
                                <w:tab w:val="left" w:pos="1671"/>
                              </w:tabs>
                              <w:spacing w:before="3"/>
                              <w:ind w:right="298"/>
                              <w:jc w:val="right"/>
                              <w:rPr>
                                <w:rFonts w:ascii="Arial"/>
                                <w:b/>
                                <w:sz w:val="18"/>
                              </w:rPr>
                            </w:pPr>
                            <w:r>
                              <w:rPr>
                                <w:rFonts w:ascii="Arial"/>
                                <w:b/>
                                <w:spacing w:val="-2"/>
                                <w:sz w:val="18"/>
                              </w:rPr>
                              <w:t>Tolerance</w:t>
                            </w:r>
                            <w:r>
                              <w:rPr>
                                <w:rFonts w:ascii="Arial"/>
                                <w:b/>
                                <w:sz w:val="18"/>
                              </w:rPr>
                              <w:tab/>
                            </w:r>
                            <w:r>
                              <w:rPr>
                                <w:rFonts w:ascii="Arial"/>
                                <w:b/>
                                <w:spacing w:val="-5"/>
                                <w:sz w:val="18"/>
                              </w:rPr>
                              <w:t>VIF</w:t>
                            </w:r>
                          </w:p>
                        </w:tc>
                      </w:tr>
                    </w:tbl>
                    <w:p w14:paraId="6F472854" w14:textId="77777777" w:rsidR="00C137F8" w:rsidRDefault="00C137F8">
                      <w:pPr>
                        <w:pStyle w:val="BodyText"/>
                      </w:pPr>
                    </w:p>
                  </w:txbxContent>
                </v:textbox>
                <w10:wrap anchorx="page"/>
              </v:shape>
            </w:pict>
          </mc:Fallback>
        </mc:AlternateContent>
      </w:r>
      <w:r w:rsidRPr="00A06A6E">
        <w:rPr>
          <w:rFonts w:ascii="Arial"/>
          <w:b/>
          <w:sz w:val="18"/>
        </w:rPr>
        <w:t>Multicollinearity</w:t>
      </w:r>
      <w:r w:rsidRPr="00A06A6E">
        <w:rPr>
          <w:rFonts w:ascii="Arial"/>
          <w:b/>
          <w:spacing w:val="-8"/>
          <w:sz w:val="18"/>
        </w:rPr>
        <w:t xml:space="preserve"> </w:t>
      </w:r>
      <w:r w:rsidRPr="00A06A6E">
        <w:rPr>
          <w:rFonts w:ascii="Arial"/>
          <w:b/>
          <w:sz w:val="18"/>
        </w:rPr>
        <w:t>Test</w:t>
      </w:r>
      <w:r w:rsidRPr="00A06A6E">
        <w:rPr>
          <w:rFonts w:ascii="Arial"/>
          <w:b/>
          <w:spacing w:val="-7"/>
          <w:sz w:val="18"/>
        </w:rPr>
        <w:t xml:space="preserve"> </w:t>
      </w:r>
      <w:r w:rsidRPr="00A06A6E">
        <w:rPr>
          <w:rFonts w:ascii="Arial"/>
          <w:b/>
          <w:spacing w:val="-2"/>
          <w:sz w:val="18"/>
        </w:rPr>
        <w:t>Result</w:t>
      </w:r>
    </w:p>
    <w:p w14:paraId="49892FBA" w14:textId="77777777" w:rsidR="00C137F8" w:rsidRPr="00A06A6E" w:rsidRDefault="00000000">
      <w:pPr>
        <w:tabs>
          <w:tab w:val="left" w:pos="6593"/>
          <w:tab w:val="right" w:pos="8281"/>
        </w:tabs>
        <w:spacing w:before="509"/>
        <w:ind w:left="1655"/>
        <w:rPr>
          <w:position w:val="1"/>
          <w:sz w:val="18"/>
        </w:rPr>
      </w:pPr>
      <w:r w:rsidRPr="00A06A6E">
        <w:rPr>
          <w:rFonts w:ascii="Times New Roman"/>
          <w:spacing w:val="-2"/>
          <w:sz w:val="20"/>
        </w:rPr>
        <w:t>Profitability</w:t>
      </w:r>
      <w:r w:rsidRPr="00A06A6E">
        <w:rPr>
          <w:rFonts w:ascii="Times New Roman"/>
          <w:spacing w:val="13"/>
          <w:sz w:val="20"/>
        </w:rPr>
        <w:t xml:space="preserve"> </w:t>
      </w:r>
      <w:r w:rsidRPr="00A06A6E">
        <w:rPr>
          <w:rFonts w:ascii="Times New Roman"/>
          <w:spacing w:val="-5"/>
          <w:sz w:val="20"/>
        </w:rPr>
        <w:t>(P)</w:t>
      </w:r>
      <w:r w:rsidRPr="00A06A6E">
        <w:rPr>
          <w:rFonts w:ascii="Times New Roman"/>
          <w:sz w:val="20"/>
        </w:rPr>
        <w:tab/>
      </w:r>
      <w:r w:rsidRPr="00A06A6E">
        <w:rPr>
          <w:spacing w:val="-5"/>
          <w:position w:val="1"/>
          <w:sz w:val="18"/>
        </w:rPr>
        <w:t>.83</w:t>
      </w:r>
      <w:r w:rsidRPr="00A06A6E">
        <w:rPr>
          <w:rFonts w:ascii="Times New Roman"/>
          <w:position w:val="1"/>
          <w:sz w:val="18"/>
        </w:rPr>
        <w:tab/>
      </w:r>
      <w:r w:rsidRPr="00A06A6E">
        <w:rPr>
          <w:spacing w:val="-4"/>
          <w:position w:val="1"/>
          <w:sz w:val="18"/>
        </w:rPr>
        <w:t>1.21</w:t>
      </w:r>
    </w:p>
    <w:p w14:paraId="2EF8DC12" w14:textId="77777777" w:rsidR="00C137F8" w:rsidRPr="00A06A6E" w:rsidRDefault="00000000">
      <w:pPr>
        <w:tabs>
          <w:tab w:val="left" w:pos="6593"/>
          <w:tab w:val="right" w:pos="8281"/>
        </w:tabs>
        <w:spacing w:before="39" w:after="34"/>
        <w:ind w:left="1655"/>
        <w:rPr>
          <w:sz w:val="18"/>
        </w:rPr>
      </w:pPr>
      <w:r w:rsidRPr="00A06A6E">
        <w:rPr>
          <w:noProof/>
          <w:sz w:val="18"/>
        </w:rPr>
        <mc:AlternateContent>
          <mc:Choice Requires="wps">
            <w:drawing>
              <wp:anchor distT="0" distB="0" distL="0" distR="0" simplePos="0" relativeHeight="251650048" behindDoc="0" locked="0" layoutInCell="1" allowOverlap="1" wp14:anchorId="2ECFB922" wp14:editId="71FE114F">
                <wp:simplePos x="0" y="0"/>
                <wp:positionH relativeFrom="page">
                  <wp:posOffset>1670304</wp:posOffset>
                </wp:positionH>
                <wp:positionV relativeFrom="paragraph">
                  <wp:posOffset>21690</wp:posOffset>
                </wp:positionV>
                <wp:extent cx="4444365" cy="63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4365" cy="6350"/>
                        </a:xfrm>
                        <a:custGeom>
                          <a:avLst/>
                          <a:gdLst/>
                          <a:ahLst/>
                          <a:cxnLst/>
                          <a:rect l="l" t="t" r="r" b="b"/>
                          <a:pathLst>
                            <a:path w="4444365" h="6350">
                              <a:moveTo>
                                <a:pt x="4443984" y="0"/>
                              </a:moveTo>
                              <a:lnTo>
                                <a:pt x="4443984" y="0"/>
                              </a:lnTo>
                              <a:lnTo>
                                <a:pt x="0" y="0"/>
                              </a:lnTo>
                              <a:lnTo>
                                <a:pt x="0" y="6096"/>
                              </a:lnTo>
                              <a:lnTo>
                                <a:pt x="4443984" y="6096"/>
                              </a:lnTo>
                              <a:lnTo>
                                <a:pt x="4443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C733F" id="Graphic 46" o:spid="_x0000_s1026" style="position:absolute;margin-left:131.5pt;margin-top:1.7pt;width:349.95pt;height:.5pt;z-index:251650048;visibility:visible;mso-wrap-style:square;mso-wrap-distance-left:0;mso-wrap-distance-top:0;mso-wrap-distance-right:0;mso-wrap-distance-bottom:0;mso-position-horizontal:absolute;mso-position-horizontal-relative:page;mso-position-vertical:absolute;mso-position-vertical-relative:text;v-text-anchor:top" coordsize="4444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" path="m4443984,r,l,,,6096r4443984,l4443984,xe" fillcolor="black" stroked="f">
                <v:path arrowok="t"/>
                <w10:wrap anchorx="page"/>
              </v:shape>
            </w:pict>
          </mc:Fallback>
        </mc:AlternateContent>
      </w:r>
      <w:r w:rsidRPr="00A06A6E">
        <w:rPr>
          <w:rFonts w:ascii="Times New Roman"/>
          <w:spacing w:val="-2"/>
          <w:sz w:val="20"/>
        </w:rPr>
        <w:t>Leverage</w:t>
      </w:r>
      <w:r w:rsidRPr="00A06A6E">
        <w:rPr>
          <w:rFonts w:ascii="Times New Roman"/>
          <w:spacing w:val="1"/>
          <w:sz w:val="20"/>
        </w:rPr>
        <w:t xml:space="preserve"> </w:t>
      </w:r>
      <w:r w:rsidRPr="00A06A6E">
        <w:rPr>
          <w:rFonts w:ascii="Times New Roman"/>
          <w:spacing w:val="-5"/>
          <w:sz w:val="20"/>
        </w:rPr>
        <w:t>(L)</w:t>
      </w:r>
      <w:r w:rsidRPr="00A06A6E">
        <w:rPr>
          <w:rFonts w:ascii="Times New Roman"/>
          <w:sz w:val="20"/>
        </w:rPr>
        <w:tab/>
      </w:r>
      <w:r w:rsidRPr="00A06A6E">
        <w:rPr>
          <w:spacing w:val="-5"/>
          <w:sz w:val="18"/>
        </w:rPr>
        <w:t>.78</w:t>
      </w:r>
      <w:r w:rsidRPr="00A06A6E">
        <w:rPr>
          <w:rFonts w:ascii="Times New Roman"/>
          <w:sz w:val="18"/>
        </w:rPr>
        <w:tab/>
      </w:r>
      <w:r w:rsidRPr="00A06A6E">
        <w:rPr>
          <w:spacing w:val="-4"/>
          <w:sz w:val="18"/>
        </w:rPr>
        <w:t>1.28</w:t>
      </w:r>
    </w:p>
    <w:tbl>
      <w:tblPr>
        <w:tblW w:w="0" w:type="auto"/>
        <w:tblInd w:w="1550" w:type="dxa"/>
        <w:tblLayout w:type="fixed"/>
        <w:tblCellMar>
          <w:left w:w="0" w:type="dxa"/>
          <w:right w:w="0" w:type="dxa"/>
        </w:tblCellMar>
        <w:tblLook w:val="01E0" w:firstRow="1" w:lastRow="1" w:firstColumn="1" w:lastColumn="1" w:noHBand="0" w:noVBand="0"/>
      </w:tblPr>
      <w:tblGrid>
        <w:gridCol w:w="1810"/>
        <w:gridCol w:w="2537"/>
        <w:gridCol w:w="1496"/>
        <w:gridCol w:w="1161"/>
      </w:tblGrid>
      <w:tr w:rsidR="00C137F8" w:rsidRPr="00A06A6E" w14:paraId="43ABCD87" w14:textId="77777777">
        <w:trPr>
          <w:trHeight w:val="253"/>
        </w:trPr>
        <w:tc>
          <w:tcPr>
            <w:tcW w:w="1810" w:type="dxa"/>
            <w:tcBorders>
              <w:top w:val="single" w:sz="4" w:space="0" w:color="000000"/>
              <w:bottom w:val="single" w:sz="4" w:space="0" w:color="000000"/>
            </w:tcBorders>
          </w:tcPr>
          <w:p w14:paraId="1C1F6ECA" w14:textId="77777777" w:rsidR="00C137F8" w:rsidRPr="00A06A6E" w:rsidRDefault="00000000">
            <w:pPr>
              <w:pStyle w:val="TableParagraph"/>
              <w:spacing w:line="221" w:lineRule="exact"/>
              <w:ind w:left="112"/>
              <w:rPr>
                <w:rFonts w:ascii="Times New Roman"/>
                <w:sz w:val="20"/>
              </w:rPr>
            </w:pPr>
            <w:proofErr w:type="spellStart"/>
            <w:r w:rsidRPr="00A06A6E">
              <w:rPr>
                <w:rFonts w:ascii="Times New Roman"/>
                <w:sz w:val="20"/>
              </w:rPr>
              <w:t>Copporate</w:t>
            </w:r>
            <w:proofErr w:type="spellEnd"/>
            <w:r w:rsidRPr="00A06A6E">
              <w:rPr>
                <w:rFonts w:ascii="Times New Roman"/>
                <w:spacing w:val="50"/>
                <w:sz w:val="20"/>
              </w:rPr>
              <w:t xml:space="preserve"> </w:t>
            </w:r>
            <w:r w:rsidRPr="00A06A6E">
              <w:rPr>
                <w:rFonts w:ascii="Times New Roman"/>
                <w:spacing w:val="-2"/>
                <w:sz w:val="20"/>
              </w:rPr>
              <w:t>Activity</w:t>
            </w:r>
          </w:p>
        </w:tc>
        <w:tc>
          <w:tcPr>
            <w:tcW w:w="2537" w:type="dxa"/>
            <w:tcBorders>
              <w:top w:val="single" w:sz="4" w:space="0" w:color="000000"/>
              <w:bottom w:val="single" w:sz="4" w:space="0" w:color="000000"/>
            </w:tcBorders>
          </w:tcPr>
          <w:p w14:paraId="7CEA0376" w14:textId="77777777" w:rsidR="00C137F8" w:rsidRPr="00A06A6E" w:rsidRDefault="00000000">
            <w:pPr>
              <w:pStyle w:val="TableParagraph"/>
              <w:spacing w:line="221" w:lineRule="exact"/>
              <w:ind w:left="58"/>
              <w:rPr>
                <w:rFonts w:ascii="Times New Roman"/>
                <w:sz w:val="20"/>
              </w:rPr>
            </w:pPr>
            <w:r w:rsidRPr="00A06A6E">
              <w:rPr>
                <w:rFonts w:ascii="Times New Roman"/>
                <w:spacing w:val="-4"/>
                <w:sz w:val="20"/>
              </w:rPr>
              <w:t>(CA)</w:t>
            </w:r>
          </w:p>
        </w:tc>
        <w:tc>
          <w:tcPr>
            <w:tcW w:w="1496" w:type="dxa"/>
            <w:tcBorders>
              <w:top w:val="single" w:sz="4" w:space="0" w:color="000000"/>
              <w:bottom w:val="single" w:sz="4" w:space="0" w:color="000000"/>
            </w:tcBorders>
          </w:tcPr>
          <w:p w14:paraId="3893BC08" w14:textId="77777777" w:rsidR="00C137F8" w:rsidRPr="00A06A6E" w:rsidRDefault="00000000">
            <w:pPr>
              <w:pStyle w:val="TableParagraph"/>
              <w:spacing w:before="13"/>
              <w:ind w:right="539"/>
              <w:jc w:val="right"/>
              <w:rPr>
                <w:sz w:val="18"/>
              </w:rPr>
            </w:pPr>
            <w:r w:rsidRPr="00A06A6E">
              <w:rPr>
                <w:spacing w:val="-5"/>
                <w:sz w:val="18"/>
              </w:rPr>
              <w:t>.84</w:t>
            </w:r>
          </w:p>
        </w:tc>
        <w:tc>
          <w:tcPr>
            <w:tcW w:w="1161" w:type="dxa"/>
            <w:tcBorders>
              <w:top w:val="single" w:sz="4" w:space="0" w:color="000000"/>
              <w:bottom w:val="single" w:sz="4" w:space="0" w:color="000000"/>
            </w:tcBorders>
          </w:tcPr>
          <w:p w14:paraId="16A1439E" w14:textId="77777777" w:rsidR="00C137F8" w:rsidRPr="00A06A6E" w:rsidRDefault="00000000">
            <w:pPr>
              <w:pStyle w:val="TableParagraph"/>
              <w:spacing w:before="13"/>
              <w:ind w:right="264"/>
              <w:jc w:val="right"/>
              <w:rPr>
                <w:sz w:val="18"/>
              </w:rPr>
            </w:pPr>
            <w:r w:rsidRPr="00A06A6E">
              <w:rPr>
                <w:spacing w:val="-4"/>
                <w:sz w:val="18"/>
              </w:rPr>
              <w:t>1.19</w:t>
            </w:r>
          </w:p>
        </w:tc>
      </w:tr>
      <w:tr w:rsidR="00C137F8" w:rsidRPr="00A06A6E" w14:paraId="5E13AE36" w14:textId="77777777">
        <w:trPr>
          <w:trHeight w:val="263"/>
        </w:trPr>
        <w:tc>
          <w:tcPr>
            <w:tcW w:w="4347" w:type="dxa"/>
            <w:gridSpan w:val="2"/>
            <w:tcBorders>
              <w:bottom w:val="single" w:sz="4" w:space="0" w:color="000000"/>
            </w:tcBorders>
          </w:tcPr>
          <w:p w14:paraId="30F898AC" w14:textId="77777777" w:rsidR="00C137F8" w:rsidRPr="00A06A6E" w:rsidRDefault="00000000">
            <w:pPr>
              <w:pStyle w:val="TableParagraph"/>
              <w:spacing w:line="225" w:lineRule="exact"/>
              <w:ind w:left="112"/>
              <w:rPr>
                <w:rFonts w:ascii="Times New Roman"/>
                <w:sz w:val="20"/>
              </w:rPr>
            </w:pPr>
            <w:r w:rsidRPr="00A06A6E">
              <w:rPr>
                <w:rFonts w:ascii="Times New Roman"/>
                <w:spacing w:val="-2"/>
                <w:sz w:val="20"/>
              </w:rPr>
              <w:t>Independent</w:t>
            </w:r>
            <w:r w:rsidRPr="00A06A6E">
              <w:rPr>
                <w:rFonts w:ascii="Times New Roman"/>
                <w:sz w:val="20"/>
              </w:rPr>
              <w:t xml:space="preserve"> </w:t>
            </w:r>
            <w:r w:rsidRPr="00A06A6E">
              <w:rPr>
                <w:rFonts w:ascii="Times New Roman"/>
                <w:spacing w:val="-2"/>
                <w:sz w:val="20"/>
              </w:rPr>
              <w:t>Board</w:t>
            </w:r>
            <w:r w:rsidRPr="00A06A6E">
              <w:rPr>
                <w:rFonts w:ascii="Times New Roman"/>
                <w:spacing w:val="4"/>
                <w:sz w:val="20"/>
              </w:rPr>
              <w:t xml:space="preserve"> </w:t>
            </w:r>
            <w:r w:rsidRPr="00A06A6E">
              <w:rPr>
                <w:rFonts w:ascii="Times New Roman"/>
                <w:spacing w:val="-2"/>
                <w:sz w:val="20"/>
              </w:rPr>
              <w:t>of</w:t>
            </w:r>
            <w:r w:rsidRPr="00A06A6E">
              <w:rPr>
                <w:rFonts w:ascii="Times New Roman"/>
                <w:spacing w:val="1"/>
                <w:sz w:val="20"/>
              </w:rPr>
              <w:t xml:space="preserve"> </w:t>
            </w:r>
            <w:r w:rsidRPr="00A06A6E">
              <w:rPr>
                <w:rFonts w:ascii="Times New Roman"/>
                <w:spacing w:val="-2"/>
                <w:sz w:val="20"/>
              </w:rPr>
              <w:t>Commissioners</w:t>
            </w:r>
            <w:r w:rsidRPr="00A06A6E">
              <w:rPr>
                <w:rFonts w:ascii="Times New Roman"/>
                <w:spacing w:val="1"/>
                <w:sz w:val="20"/>
              </w:rPr>
              <w:t xml:space="preserve"> </w:t>
            </w:r>
            <w:r w:rsidRPr="00A06A6E">
              <w:rPr>
                <w:rFonts w:ascii="Times New Roman"/>
                <w:spacing w:val="-2"/>
                <w:sz w:val="20"/>
              </w:rPr>
              <w:t>(IBC)</w:t>
            </w:r>
          </w:p>
        </w:tc>
        <w:tc>
          <w:tcPr>
            <w:tcW w:w="1496" w:type="dxa"/>
            <w:tcBorders>
              <w:bottom w:val="single" w:sz="4" w:space="0" w:color="000000"/>
            </w:tcBorders>
          </w:tcPr>
          <w:p w14:paraId="4C05D626" w14:textId="77777777" w:rsidR="00C137F8" w:rsidRPr="00A06A6E" w:rsidRDefault="00000000">
            <w:pPr>
              <w:pStyle w:val="TableParagraph"/>
              <w:spacing w:before="13"/>
              <w:ind w:right="539"/>
              <w:jc w:val="right"/>
              <w:rPr>
                <w:sz w:val="18"/>
              </w:rPr>
            </w:pPr>
            <w:r w:rsidRPr="00A06A6E">
              <w:rPr>
                <w:spacing w:val="-5"/>
                <w:sz w:val="18"/>
              </w:rPr>
              <w:t>.81</w:t>
            </w:r>
          </w:p>
        </w:tc>
        <w:tc>
          <w:tcPr>
            <w:tcW w:w="1161" w:type="dxa"/>
            <w:tcBorders>
              <w:bottom w:val="single" w:sz="4" w:space="0" w:color="000000"/>
            </w:tcBorders>
          </w:tcPr>
          <w:p w14:paraId="16F55D94" w14:textId="77777777" w:rsidR="00C137F8" w:rsidRPr="00A06A6E" w:rsidRDefault="00000000">
            <w:pPr>
              <w:pStyle w:val="TableParagraph"/>
              <w:spacing w:before="13"/>
              <w:ind w:right="264"/>
              <w:jc w:val="right"/>
              <w:rPr>
                <w:sz w:val="18"/>
              </w:rPr>
            </w:pPr>
            <w:r w:rsidRPr="00A06A6E">
              <w:rPr>
                <w:spacing w:val="-4"/>
                <w:sz w:val="18"/>
              </w:rPr>
              <w:t>1.24</w:t>
            </w:r>
          </w:p>
        </w:tc>
      </w:tr>
      <w:tr w:rsidR="00C137F8" w:rsidRPr="00A06A6E" w14:paraId="6DEDD3DF" w14:textId="77777777">
        <w:trPr>
          <w:trHeight w:val="254"/>
        </w:trPr>
        <w:tc>
          <w:tcPr>
            <w:tcW w:w="4347" w:type="dxa"/>
            <w:gridSpan w:val="2"/>
            <w:tcBorders>
              <w:top w:val="single" w:sz="4" w:space="0" w:color="000000"/>
              <w:bottom w:val="single" w:sz="4" w:space="0" w:color="000000"/>
            </w:tcBorders>
          </w:tcPr>
          <w:p w14:paraId="340F3758" w14:textId="77777777" w:rsidR="00C137F8" w:rsidRPr="00A06A6E" w:rsidRDefault="00000000">
            <w:pPr>
              <w:pStyle w:val="TableParagraph"/>
              <w:spacing w:line="221" w:lineRule="exact"/>
              <w:ind w:left="112"/>
              <w:rPr>
                <w:rFonts w:ascii="Times New Roman"/>
                <w:sz w:val="20"/>
              </w:rPr>
            </w:pPr>
            <w:r w:rsidRPr="00A06A6E">
              <w:rPr>
                <w:rFonts w:ascii="Times New Roman"/>
                <w:sz w:val="20"/>
              </w:rPr>
              <w:t>Audit</w:t>
            </w:r>
            <w:r w:rsidRPr="00A06A6E">
              <w:rPr>
                <w:rFonts w:ascii="Times New Roman"/>
                <w:spacing w:val="40"/>
                <w:sz w:val="20"/>
              </w:rPr>
              <w:t xml:space="preserve"> </w:t>
            </w:r>
            <w:r w:rsidRPr="00A06A6E">
              <w:rPr>
                <w:rFonts w:ascii="Times New Roman"/>
                <w:sz w:val="20"/>
              </w:rPr>
              <w:t>Committee</w:t>
            </w:r>
            <w:r w:rsidRPr="00A06A6E">
              <w:rPr>
                <w:rFonts w:ascii="Times New Roman"/>
                <w:spacing w:val="40"/>
                <w:sz w:val="20"/>
              </w:rPr>
              <w:t xml:space="preserve"> </w:t>
            </w:r>
            <w:r w:rsidRPr="00A06A6E">
              <w:rPr>
                <w:rFonts w:ascii="Times New Roman"/>
                <w:spacing w:val="-4"/>
                <w:sz w:val="20"/>
              </w:rPr>
              <w:t>(AC)</w:t>
            </w:r>
          </w:p>
        </w:tc>
        <w:tc>
          <w:tcPr>
            <w:tcW w:w="1496" w:type="dxa"/>
            <w:tcBorders>
              <w:top w:val="single" w:sz="4" w:space="0" w:color="000000"/>
              <w:bottom w:val="single" w:sz="4" w:space="0" w:color="000000"/>
            </w:tcBorders>
          </w:tcPr>
          <w:p w14:paraId="46CAE9C2" w14:textId="77777777" w:rsidR="00C137F8" w:rsidRPr="00A06A6E" w:rsidRDefault="00000000">
            <w:pPr>
              <w:pStyle w:val="TableParagraph"/>
              <w:spacing w:before="13"/>
              <w:ind w:right="539"/>
              <w:jc w:val="right"/>
              <w:rPr>
                <w:sz w:val="18"/>
              </w:rPr>
            </w:pPr>
            <w:r w:rsidRPr="00A06A6E">
              <w:rPr>
                <w:spacing w:val="-5"/>
                <w:sz w:val="18"/>
              </w:rPr>
              <w:t>.90</w:t>
            </w:r>
          </w:p>
        </w:tc>
        <w:tc>
          <w:tcPr>
            <w:tcW w:w="1161" w:type="dxa"/>
            <w:tcBorders>
              <w:top w:val="single" w:sz="4" w:space="0" w:color="000000"/>
              <w:bottom w:val="single" w:sz="4" w:space="0" w:color="000000"/>
            </w:tcBorders>
          </w:tcPr>
          <w:p w14:paraId="7176998E" w14:textId="77777777" w:rsidR="00C137F8" w:rsidRPr="00A06A6E" w:rsidRDefault="00000000">
            <w:pPr>
              <w:pStyle w:val="TableParagraph"/>
              <w:spacing w:before="13"/>
              <w:ind w:right="263"/>
              <w:jc w:val="right"/>
              <w:rPr>
                <w:sz w:val="18"/>
              </w:rPr>
            </w:pPr>
            <w:r w:rsidRPr="00A06A6E">
              <w:rPr>
                <w:spacing w:val="-4"/>
                <w:sz w:val="18"/>
              </w:rPr>
              <w:t>1.11</w:t>
            </w:r>
          </w:p>
        </w:tc>
      </w:tr>
      <w:tr w:rsidR="00C137F8" w:rsidRPr="00A06A6E" w14:paraId="5B1D2297" w14:textId="77777777">
        <w:trPr>
          <w:trHeight w:val="268"/>
        </w:trPr>
        <w:tc>
          <w:tcPr>
            <w:tcW w:w="4347" w:type="dxa"/>
            <w:gridSpan w:val="2"/>
            <w:tcBorders>
              <w:top w:val="single" w:sz="4" w:space="0" w:color="000000"/>
              <w:bottom w:val="single" w:sz="4" w:space="0" w:color="000000"/>
            </w:tcBorders>
          </w:tcPr>
          <w:p w14:paraId="57E5F271" w14:textId="77777777" w:rsidR="00C137F8" w:rsidRPr="00A06A6E" w:rsidRDefault="00000000">
            <w:pPr>
              <w:pStyle w:val="TableParagraph"/>
              <w:ind w:left="112"/>
              <w:rPr>
                <w:rFonts w:ascii="Times New Roman"/>
                <w:sz w:val="20"/>
              </w:rPr>
            </w:pPr>
            <w:r w:rsidRPr="00A06A6E">
              <w:rPr>
                <w:rFonts w:ascii="Times New Roman"/>
                <w:sz w:val="20"/>
              </w:rPr>
              <w:t>Company</w:t>
            </w:r>
            <w:r w:rsidRPr="00A06A6E">
              <w:rPr>
                <w:rFonts w:ascii="Times New Roman"/>
                <w:spacing w:val="-7"/>
                <w:sz w:val="20"/>
              </w:rPr>
              <w:t xml:space="preserve"> </w:t>
            </w:r>
            <w:r w:rsidRPr="00A06A6E">
              <w:rPr>
                <w:rFonts w:ascii="Times New Roman"/>
                <w:sz w:val="20"/>
              </w:rPr>
              <w:t>size</w:t>
            </w:r>
            <w:r w:rsidRPr="00A06A6E">
              <w:rPr>
                <w:rFonts w:ascii="Times New Roman"/>
                <w:spacing w:val="-6"/>
                <w:sz w:val="20"/>
              </w:rPr>
              <w:t xml:space="preserve"> </w:t>
            </w:r>
            <w:r w:rsidRPr="00A06A6E">
              <w:rPr>
                <w:rFonts w:ascii="Times New Roman"/>
                <w:spacing w:val="-4"/>
                <w:sz w:val="20"/>
              </w:rPr>
              <w:t>(CS)</w:t>
            </w:r>
          </w:p>
        </w:tc>
        <w:tc>
          <w:tcPr>
            <w:tcW w:w="1496" w:type="dxa"/>
            <w:tcBorders>
              <w:top w:val="single" w:sz="4" w:space="0" w:color="000000"/>
              <w:bottom w:val="single" w:sz="4" w:space="0" w:color="000000"/>
            </w:tcBorders>
          </w:tcPr>
          <w:p w14:paraId="2B92D090" w14:textId="77777777" w:rsidR="00C137F8" w:rsidRPr="00A06A6E" w:rsidRDefault="00000000">
            <w:pPr>
              <w:pStyle w:val="TableParagraph"/>
              <w:spacing w:before="18"/>
              <w:ind w:right="539"/>
              <w:jc w:val="right"/>
              <w:rPr>
                <w:sz w:val="18"/>
              </w:rPr>
            </w:pPr>
            <w:r w:rsidRPr="00A06A6E">
              <w:rPr>
                <w:spacing w:val="-5"/>
                <w:sz w:val="18"/>
              </w:rPr>
              <w:t>.88</w:t>
            </w:r>
          </w:p>
        </w:tc>
        <w:tc>
          <w:tcPr>
            <w:tcW w:w="1161" w:type="dxa"/>
            <w:tcBorders>
              <w:top w:val="single" w:sz="4" w:space="0" w:color="000000"/>
              <w:bottom w:val="single" w:sz="4" w:space="0" w:color="000000"/>
            </w:tcBorders>
          </w:tcPr>
          <w:p w14:paraId="3A57F34A" w14:textId="77777777" w:rsidR="00C137F8" w:rsidRPr="00A06A6E" w:rsidRDefault="00000000">
            <w:pPr>
              <w:pStyle w:val="TableParagraph"/>
              <w:spacing w:before="18"/>
              <w:ind w:right="264"/>
              <w:jc w:val="right"/>
              <w:rPr>
                <w:sz w:val="18"/>
              </w:rPr>
            </w:pPr>
            <w:r w:rsidRPr="00A06A6E">
              <w:rPr>
                <w:spacing w:val="-4"/>
                <w:sz w:val="18"/>
              </w:rPr>
              <w:t>1.13</w:t>
            </w:r>
          </w:p>
        </w:tc>
      </w:tr>
      <w:tr w:rsidR="00C137F8" w:rsidRPr="00A06A6E" w14:paraId="230CFDAE" w14:textId="77777777">
        <w:trPr>
          <w:trHeight w:val="263"/>
        </w:trPr>
        <w:tc>
          <w:tcPr>
            <w:tcW w:w="4347" w:type="dxa"/>
            <w:gridSpan w:val="2"/>
            <w:tcBorders>
              <w:top w:val="single" w:sz="4" w:space="0" w:color="000000"/>
              <w:bottom w:val="single" w:sz="4" w:space="0" w:color="000000"/>
            </w:tcBorders>
          </w:tcPr>
          <w:p w14:paraId="07C4EA5A" w14:textId="77777777" w:rsidR="00C137F8" w:rsidRPr="00A06A6E" w:rsidRDefault="00000000">
            <w:pPr>
              <w:pStyle w:val="TableParagraph"/>
              <w:ind w:left="112"/>
              <w:rPr>
                <w:rFonts w:ascii="Times New Roman"/>
                <w:sz w:val="20"/>
              </w:rPr>
            </w:pPr>
            <w:r w:rsidRPr="00A06A6E">
              <w:rPr>
                <w:rFonts w:ascii="Times New Roman"/>
                <w:sz w:val="20"/>
              </w:rPr>
              <w:t>Industrial</w:t>
            </w:r>
            <w:r w:rsidRPr="00A06A6E">
              <w:rPr>
                <w:rFonts w:ascii="Times New Roman"/>
                <w:spacing w:val="-7"/>
                <w:sz w:val="20"/>
              </w:rPr>
              <w:t xml:space="preserve"> </w:t>
            </w:r>
            <w:r w:rsidRPr="00A06A6E">
              <w:rPr>
                <w:rFonts w:ascii="Times New Roman"/>
                <w:sz w:val="20"/>
              </w:rPr>
              <w:t>Type</w:t>
            </w:r>
            <w:r w:rsidRPr="00A06A6E">
              <w:rPr>
                <w:rFonts w:ascii="Times New Roman"/>
                <w:spacing w:val="-7"/>
                <w:sz w:val="20"/>
              </w:rPr>
              <w:t xml:space="preserve"> </w:t>
            </w:r>
            <w:r w:rsidRPr="00A06A6E">
              <w:rPr>
                <w:rFonts w:ascii="Times New Roman"/>
                <w:spacing w:val="-4"/>
                <w:sz w:val="20"/>
              </w:rPr>
              <w:t>(IT)</w:t>
            </w:r>
          </w:p>
        </w:tc>
        <w:tc>
          <w:tcPr>
            <w:tcW w:w="1496" w:type="dxa"/>
            <w:tcBorders>
              <w:top w:val="single" w:sz="4" w:space="0" w:color="000000"/>
              <w:bottom w:val="single" w:sz="4" w:space="0" w:color="000000"/>
            </w:tcBorders>
          </w:tcPr>
          <w:p w14:paraId="285F3CF6" w14:textId="77777777" w:rsidR="00C137F8" w:rsidRPr="00A06A6E" w:rsidRDefault="00000000">
            <w:pPr>
              <w:pStyle w:val="TableParagraph"/>
              <w:spacing w:before="13"/>
              <w:ind w:right="539"/>
              <w:jc w:val="right"/>
              <w:rPr>
                <w:sz w:val="18"/>
              </w:rPr>
            </w:pPr>
            <w:r w:rsidRPr="00A06A6E">
              <w:rPr>
                <w:spacing w:val="-5"/>
                <w:sz w:val="18"/>
              </w:rPr>
              <w:t>.82</w:t>
            </w:r>
          </w:p>
        </w:tc>
        <w:tc>
          <w:tcPr>
            <w:tcW w:w="1161" w:type="dxa"/>
            <w:tcBorders>
              <w:top w:val="single" w:sz="4" w:space="0" w:color="000000"/>
              <w:bottom w:val="single" w:sz="4" w:space="0" w:color="000000"/>
            </w:tcBorders>
          </w:tcPr>
          <w:p w14:paraId="68B28108" w14:textId="77777777" w:rsidR="00C137F8" w:rsidRPr="00A06A6E" w:rsidRDefault="00000000">
            <w:pPr>
              <w:pStyle w:val="TableParagraph"/>
              <w:spacing w:before="13"/>
              <w:ind w:right="263"/>
              <w:jc w:val="right"/>
              <w:rPr>
                <w:sz w:val="18"/>
              </w:rPr>
            </w:pPr>
            <w:r w:rsidRPr="00A06A6E">
              <w:rPr>
                <w:spacing w:val="-4"/>
                <w:sz w:val="18"/>
              </w:rPr>
              <w:t>1.23</w:t>
            </w:r>
          </w:p>
        </w:tc>
      </w:tr>
    </w:tbl>
    <w:p w14:paraId="446CB3A8" w14:textId="77777777" w:rsidR="00C137F8" w:rsidRPr="00A06A6E" w:rsidRDefault="00000000">
      <w:pPr>
        <w:spacing w:before="157"/>
        <w:ind w:left="2068"/>
        <w:rPr>
          <w:rFonts w:ascii="Calibri"/>
          <w:i/>
          <w:sz w:val="18"/>
        </w:rPr>
      </w:pPr>
      <w:r w:rsidRPr="00A06A6E">
        <w:rPr>
          <w:rFonts w:ascii="Calibri"/>
          <w:i/>
          <w:sz w:val="18"/>
        </w:rPr>
        <w:t>Source:</w:t>
      </w:r>
      <w:r w:rsidRPr="00A06A6E">
        <w:rPr>
          <w:rFonts w:ascii="Calibri"/>
          <w:i/>
          <w:spacing w:val="-6"/>
          <w:sz w:val="18"/>
        </w:rPr>
        <w:t xml:space="preserve"> </w:t>
      </w:r>
      <w:r w:rsidRPr="00A06A6E">
        <w:rPr>
          <w:rFonts w:ascii="Calibri"/>
          <w:i/>
          <w:sz w:val="18"/>
        </w:rPr>
        <w:t>research</w:t>
      </w:r>
      <w:r w:rsidRPr="00A06A6E">
        <w:rPr>
          <w:rFonts w:ascii="Calibri"/>
          <w:i/>
          <w:spacing w:val="-6"/>
          <w:sz w:val="18"/>
        </w:rPr>
        <w:t xml:space="preserve"> </w:t>
      </w:r>
      <w:r w:rsidRPr="00A06A6E">
        <w:rPr>
          <w:rFonts w:ascii="Calibri"/>
          <w:i/>
          <w:sz w:val="18"/>
        </w:rPr>
        <w:t>data</w:t>
      </w:r>
      <w:r w:rsidRPr="00A06A6E">
        <w:rPr>
          <w:rFonts w:ascii="Calibri"/>
          <w:i/>
          <w:spacing w:val="-6"/>
          <w:sz w:val="18"/>
        </w:rPr>
        <w:t xml:space="preserve"> </w:t>
      </w:r>
      <w:r w:rsidRPr="00A06A6E">
        <w:rPr>
          <w:rFonts w:ascii="Calibri"/>
          <w:i/>
          <w:sz w:val="18"/>
        </w:rPr>
        <w:t>processed</w:t>
      </w:r>
      <w:r w:rsidRPr="00A06A6E">
        <w:rPr>
          <w:rFonts w:ascii="Calibri"/>
          <w:i/>
          <w:spacing w:val="-6"/>
          <w:sz w:val="18"/>
        </w:rPr>
        <w:t xml:space="preserve"> </w:t>
      </w:r>
      <w:r w:rsidRPr="00A06A6E">
        <w:rPr>
          <w:rFonts w:ascii="Calibri"/>
          <w:i/>
          <w:spacing w:val="-2"/>
          <w:sz w:val="18"/>
        </w:rPr>
        <w:t>(2025)</w:t>
      </w:r>
    </w:p>
    <w:p w14:paraId="19351DC2" w14:textId="77777777" w:rsidR="00C137F8" w:rsidRPr="00A06A6E" w:rsidRDefault="00C137F8">
      <w:pPr>
        <w:pStyle w:val="BodyText"/>
        <w:spacing w:before="21"/>
        <w:rPr>
          <w:rFonts w:ascii="Calibri"/>
          <w:i/>
          <w:sz w:val="18"/>
        </w:rPr>
      </w:pPr>
    </w:p>
    <w:p w14:paraId="25C35A45" w14:textId="77777777" w:rsidR="00C137F8" w:rsidRPr="00A06A6E" w:rsidRDefault="00000000">
      <w:pPr>
        <w:pStyle w:val="BodyText"/>
        <w:ind w:left="628" w:right="343" w:firstLine="386"/>
        <w:rPr>
          <w:rFonts w:ascii="Times New Roman"/>
        </w:rPr>
      </w:pPr>
      <w:r w:rsidRPr="00A06A6E">
        <w:rPr>
          <w:rFonts w:ascii="Times New Roman"/>
        </w:rPr>
        <w:t>Table 4 shows that all variables have tolerance values greater than 0.10 and variance inflation factor values below 10. Accordingly, the model does not indicate multicollinearity under the stated criteria.</w:t>
      </w:r>
    </w:p>
    <w:p w14:paraId="526AC4C9" w14:textId="77777777" w:rsidR="00C137F8" w:rsidRPr="00A06A6E" w:rsidRDefault="00C137F8">
      <w:pPr>
        <w:pStyle w:val="BodyText"/>
        <w:rPr>
          <w:rFonts w:ascii="Times New Roman"/>
        </w:rPr>
        <w:sectPr w:rsidR="00C137F8" w:rsidRPr="00A06A6E">
          <w:pgSz w:w="12240" w:h="15840"/>
          <w:pgMar w:top="800" w:right="1440" w:bottom="280" w:left="1080" w:header="44" w:footer="0" w:gutter="0"/>
          <w:cols w:space="720"/>
        </w:sectPr>
      </w:pPr>
    </w:p>
    <w:p w14:paraId="650C23F1" w14:textId="77777777" w:rsidR="00C137F8" w:rsidRPr="00A06A6E" w:rsidRDefault="00C137F8">
      <w:pPr>
        <w:pStyle w:val="BodyText"/>
        <w:rPr>
          <w:rFonts w:ascii="Times New Roman"/>
        </w:rPr>
      </w:pPr>
    </w:p>
    <w:p w14:paraId="1DCBB4FC" w14:textId="77777777" w:rsidR="00C137F8" w:rsidRPr="00A06A6E" w:rsidRDefault="00C137F8">
      <w:pPr>
        <w:pStyle w:val="BodyText"/>
        <w:rPr>
          <w:rFonts w:ascii="Times New Roman"/>
        </w:rPr>
      </w:pPr>
    </w:p>
    <w:p w14:paraId="2AEAF89F" w14:textId="77777777" w:rsidR="00C137F8" w:rsidRPr="00A06A6E" w:rsidRDefault="00C137F8">
      <w:pPr>
        <w:pStyle w:val="BodyText"/>
        <w:rPr>
          <w:rFonts w:ascii="Times New Roman"/>
        </w:rPr>
      </w:pPr>
    </w:p>
    <w:p w14:paraId="1350B3C5" w14:textId="77777777" w:rsidR="00C137F8" w:rsidRPr="00A06A6E" w:rsidRDefault="00C137F8">
      <w:pPr>
        <w:pStyle w:val="BodyText"/>
        <w:spacing w:before="130"/>
        <w:rPr>
          <w:rFonts w:ascii="Times New Roman"/>
        </w:rPr>
      </w:pPr>
    </w:p>
    <w:p w14:paraId="1A0D5566" w14:textId="77777777" w:rsidR="00C137F8" w:rsidRPr="00A06A6E" w:rsidRDefault="00000000">
      <w:pPr>
        <w:pStyle w:val="ListParagraph"/>
        <w:numPr>
          <w:ilvl w:val="2"/>
          <w:numId w:val="3"/>
        </w:numPr>
        <w:tabs>
          <w:tab w:val="left" w:pos="1173"/>
        </w:tabs>
        <w:ind w:left="1173" w:hanging="545"/>
        <w:rPr>
          <w:b/>
        </w:rPr>
      </w:pPr>
      <w:r w:rsidRPr="00A06A6E">
        <w:rPr>
          <w:b/>
          <w:spacing w:val="-2"/>
        </w:rPr>
        <w:t>Autocorrelation</w:t>
      </w:r>
      <w:r w:rsidRPr="00A06A6E">
        <w:rPr>
          <w:b/>
          <w:spacing w:val="15"/>
        </w:rPr>
        <w:t xml:space="preserve"> </w:t>
      </w:r>
      <w:r w:rsidRPr="00A06A6E">
        <w:rPr>
          <w:b/>
          <w:spacing w:val="-4"/>
        </w:rPr>
        <w:t>Test</w:t>
      </w:r>
    </w:p>
    <w:p w14:paraId="0C91F2D0" w14:textId="77777777" w:rsidR="00C137F8" w:rsidRPr="00A06A6E" w:rsidRDefault="00000000">
      <w:pPr>
        <w:spacing w:before="2"/>
        <w:ind w:left="1042"/>
        <w:rPr>
          <w:rFonts w:ascii="Times New Roman"/>
          <w:sz w:val="24"/>
        </w:rPr>
      </w:pPr>
      <w:r w:rsidRPr="00A06A6E">
        <w:rPr>
          <w:rFonts w:ascii="Times New Roman"/>
          <w:sz w:val="24"/>
        </w:rPr>
        <w:t>The results of the autocorrelation test are presented in Table 5.</w:t>
      </w:r>
    </w:p>
    <w:p w14:paraId="561CD759" w14:textId="77777777" w:rsidR="00C137F8" w:rsidRPr="00A06A6E" w:rsidRDefault="00000000">
      <w:pPr>
        <w:pStyle w:val="Heading2"/>
        <w:spacing w:before="135"/>
        <w:ind w:left="3810" w:right="2471" w:firstLine="1063"/>
      </w:pPr>
      <w:r w:rsidRPr="00A06A6E">
        <w:t>Table 5 Autocorrelation</w:t>
      </w:r>
      <w:r w:rsidRPr="00A06A6E">
        <w:rPr>
          <w:spacing w:val="-16"/>
        </w:rPr>
        <w:t xml:space="preserve"> </w:t>
      </w:r>
      <w:r w:rsidRPr="00A06A6E">
        <w:t>Test</w:t>
      </w:r>
      <w:r w:rsidRPr="00A06A6E">
        <w:rPr>
          <w:spacing w:val="-15"/>
        </w:rPr>
        <w:t xml:space="preserve"> </w:t>
      </w:r>
      <w:r w:rsidRPr="00A06A6E">
        <w:t>Result</w:t>
      </w:r>
    </w:p>
    <w:p w14:paraId="2B7E5D9B" w14:textId="77777777" w:rsidR="00C137F8" w:rsidRPr="00A06A6E" w:rsidRDefault="00C137F8">
      <w:pPr>
        <w:pStyle w:val="BodyText"/>
        <w:spacing w:before="46" w:after="1"/>
        <w:rPr>
          <w:rFonts w:ascii="Arial"/>
          <w:b/>
          <w:sz w:val="20"/>
        </w:rPr>
      </w:pP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1474"/>
        <w:gridCol w:w="1469"/>
        <w:gridCol w:w="1474"/>
        <w:gridCol w:w="1484"/>
        <w:gridCol w:w="1479"/>
      </w:tblGrid>
      <w:tr w:rsidR="00C137F8" w:rsidRPr="00A06A6E" w14:paraId="278F171A" w14:textId="77777777">
        <w:trPr>
          <w:trHeight w:val="460"/>
        </w:trPr>
        <w:tc>
          <w:tcPr>
            <w:tcW w:w="1450" w:type="dxa"/>
            <w:shd w:val="clear" w:color="auto" w:fill="BFBFBF"/>
          </w:tcPr>
          <w:p w14:paraId="29D9C8D8" w14:textId="77777777" w:rsidR="00C137F8" w:rsidRPr="00A06A6E" w:rsidRDefault="00000000">
            <w:pPr>
              <w:pStyle w:val="TableParagraph"/>
              <w:spacing w:before="114"/>
              <w:ind w:right="440"/>
              <w:jc w:val="right"/>
              <w:rPr>
                <w:sz w:val="20"/>
              </w:rPr>
            </w:pPr>
            <w:r w:rsidRPr="00A06A6E">
              <w:rPr>
                <w:spacing w:val="-2"/>
                <w:sz w:val="20"/>
              </w:rPr>
              <w:t>Model</w:t>
            </w:r>
          </w:p>
        </w:tc>
        <w:tc>
          <w:tcPr>
            <w:tcW w:w="1474" w:type="dxa"/>
            <w:shd w:val="clear" w:color="auto" w:fill="BFBFBF"/>
          </w:tcPr>
          <w:p w14:paraId="22FACF87" w14:textId="77777777" w:rsidR="00C137F8" w:rsidRPr="00A06A6E" w:rsidRDefault="00000000">
            <w:pPr>
              <w:pStyle w:val="TableParagraph"/>
              <w:spacing w:before="114"/>
              <w:ind w:left="8"/>
              <w:jc w:val="center"/>
              <w:rPr>
                <w:sz w:val="20"/>
              </w:rPr>
            </w:pPr>
            <w:r w:rsidRPr="00A06A6E">
              <w:rPr>
                <w:spacing w:val="-10"/>
                <w:sz w:val="20"/>
              </w:rPr>
              <w:t>R</w:t>
            </w:r>
          </w:p>
        </w:tc>
        <w:tc>
          <w:tcPr>
            <w:tcW w:w="1469" w:type="dxa"/>
            <w:shd w:val="clear" w:color="auto" w:fill="BFBFBF"/>
          </w:tcPr>
          <w:p w14:paraId="0AF82558" w14:textId="77777777" w:rsidR="00C137F8" w:rsidRPr="00A06A6E" w:rsidRDefault="00000000">
            <w:pPr>
              <w:pStyle w:val="TableParagraph"/>
              <w:spacing w:before="114"/>
              <w:ind w:right="313"/>
              <w:jc w:val="right"/>
              <w:rPr>
                <w:sz w:val="20"/>
              </w:rPr>
            </w:pPr>
            <w:r w:rsidRPr="00A06A6E">
              <w:rPr>
                <w:sz w:val="20"/>
              </w:rPr>
              <w:t>R</w:t>
            </w:r>
            <w:r w:rsidRPr="00A06A6E">
              <w:rPr>
                <w:spacing w:val="-2"/>
                <w:sz w:val="20"/>
              </w:rPr>
              <w:t xml:space="preserve"> Square</w:t>
            </w:r>
          </w:p>
        </w:tc>
        <w:tc>
          <w:tcPr>
            <w:tcW w:w="1474" w:type="dxa"/>
            <w:shd w:val="clear" w:color="auto" w:fill="BFBFBF"/>
          </w:tcPr>
          <w:p w14:paraId="6CBD5664" w14:textId="77777777" w:rsidR="00C137F8" w:rsidRPr="00A06A6E" w:rsidRDefault="00000000">
            <w:pPr>
              <w:pStyle w:val="TableParagraph"/>
              <w:spacing w:line="230" w:lineRule="exact"/>
              <w:ind w:left="412" w:right="234" w:hanging="167"/>
              <w:rPr>
                <w:sz w:val="20"/>
              </w:rPr>
            </w:pPr>
            <w:r w:rsidRPr="00A06A6E">
              <w:rPr>
                <w:sz w:val="20"/>
              </w:rPr>
              <w:t>Adjusted</w:t>
            </w:r>
            <w:r w:rsidRPr="00A06A6E">
              <w:rPr>
                <w:spacing w:val="-14"/>
                <w:sz w:val="20"/>
              </w:rPr>
              <w:t xml:space="preserve"> </w:t>
            </w:r>
            <w:r w:rsidRPr="00A06A6E">
              <w:rPr>
                <w:sz w:val="20"/>
              </w:rPr>
              <w:t xml:space="preserve">R </w:t>
            </w:r>
            <w:r w:rsidRPr="00A06A6E">
              <w:rPr>
                <w:spacing w:val="-2"/>
                <w:sz w:val="20"/>
              </w:rPr>
              <w:t>Square</w:t>
            </w:r>
          </w:p>
        </w:tc>
        <w:tc>
          <w:tcPr>
            <w:tcW w:w="1484" w:type="dxa"/>
            <w:shd w:val="clear" w:color="auto" w:fill="BFBFBF"/>
          </w:tcPr>
          <w:p w14:paraId="36A827B9" w14:textId="77777777" w:rsidR="00C137F8" w:rsidRPr="00A06A6E" w:rsidRDefault="00000000">
            <w:pPr>
              <w:pStyle w:val="TableParagraph"/>
              <w:spacing w:line="230" w:lineRule="exact"/>
              <w:ind w:left="150" w:right="139" w:firstLine="77"/>
              <w:rPr>
                <w:sz w:val="20"/>
              </w:rPr>
            </w:pPr>
            <w:r w:rsidRPr="00A06A6E">
              <w:rPr>
                <w:sz w:val="20"/>
              </w:rPr>
              <w:t>Std Error of The</w:t>
            </w:r>
            <w:r w:rsidRPr="00A06A6E">
              <w:rPr>
                <w:spacing w:val="-14"/>
                <w:sz w:val="20"/>
              </w:rPr>
              <w:t xml:space="preserve"> </w:t>
            </w:r>
            <w:r w:rsidRPr="00A06A6E">
              <w:rPr>
                <w:sz w:val="20"/>
              </w:rPr>
              <w:t>Estimate</w:t>
            </w:r>
          </w:p>
        </w:tc>
        <w:tc>
          <w:tcPr>
            <w:tcW w:w="1479" w:type="dxa"/>
            <w:shd w:val="clear" w:color="auto" w:fill="BFBFBF"/>
          </w:tcPr>
          <w:p w14:paraId="6C08C589" w14:textId="77777777" w:rsidR="00C137F8" w:rsidRPr="00A06A6E" w:rsidRDefault="00000000">
            <w:pPr>
              <w:pStyle w:val="TableParagraph"/>
              <w:spacing w:line="230" w:lineRule="exact"/>
              <w:ind w:left="399" w:right="383" w:firstLine="44"/>
              <w:rPr>
                <w:sz w:val="20"/>
              </w:rPr>
            </w:pPr>
            <w:r w:rsidRPr="00A06A6E">
              <w:rPr>
                <w:spacing w:val="-2"/>
                <w:sz w:val="20"/>
              </w:rPr>
              <w:t>Durbin Watson</w:t>
            </w:r>
          </w:p>
        </w:tc>
      </w:tr>
      <w:tr w:rsidR="00C137F8" w:rsidRPr="00A06A6E" w14:paraId="4083AE10" w14:textId="77777777">
        <w:trPr>
          <w:trHeight w:val="230"/>
        </w:trPr>
        <w:tc>
          <w:tcPr>
            <w:tcW w:w="1450" w:type="dxa"/>
          </w:tcPr>
          <w:p w14:paraId="3775FD83" w14:textId="77777777" w:rsidR="00C137F8" w:rsidRPr="00A06A6E" w:rsidRDefault="00000000">
            <w:pPr>
              <w:pStyle w:val="TableParagraph"/>
              <w:spacing w:line="210" w:lineRule="exact"/>
              <w:ind w:right="449"/>
              <w:jc w:val="right"/>
              <w:rPr>
                <w:sz w:val="20"/>
              </w:rPr>
            </w:pPr>
            <w:r w:rsidRPr="00A06A6E">
              <w:rPr>
                <w:spacing w:val="-10"/>
                <w:sz w:val="20"/>
              </w:rPr>
              <w:t>1</w:t>
            </w:r>
          </w:p>
        </w:tc>
        <w:tc>
          <w:tcPr>
            <w:tcW w:w="1474" w:type="dxa"/>
          </w:tcPr>
          <w:p w14:paraId="448B65DA" w14:textId="77777777" w:rsidR="00C137F8" w:rsidRPr="00A06A6E" w:rsidRDefault="00000000">
            <w:pPr>
              <w:pStyle w:val="TableParagraph"/>
              <w:spacing w:line="210" w:lineRule="exact"/>
              <w:ind w:left="803"/>
              <w:rPr>
                <w:sz w:val="20"/>
              </w:rPr>
            </w:pPr>
            <w:r w:rsidRPr="00A06A6E">
              <w:rPr>
                <w:spacing w:val="-5"/>
                <w:sz w:val="20"/>
              </w:rPr>
              <w:t>.89</w:t>
            </w:r>
          </w:p>
        </w:tc>
        <w:tc>
          <w:tcPr>
            <w:tcW w:w="1469" w:type="dxa"/>
          </w:tcPr>
          <w:p w14:paraId="32CF3F2D" w14:textId="77777777" w:rsidR="00C137F8" w:rsidRPr="00A06A6E" w:rsidRDefault="00000000">
            <w:pPr>
              <w:pStyle w:val="TableParagraph"/>
              <w:spacing w:line="210" w:lineRule="exact"/>
              <w:ind w:right="375"/>
              <w:jc w:val="right"/>
              <w:rPr>
                <w:sz w:val="20"/>
              </w:rPr>
            </w:pPr>
            <w:r w:rsidRPr="00A06A6E">
              <w:rPr>
                <w:spacing w:val="-5"/>
                <w:sz w:val="20"/>
              </w:rPr>
              <w:t>.80</w:t>
            </w:r>
          </w:p>
        </w:tc>
        <w:tc>
          <w:tcPr>
            <w:tcW w:w="1474" w:type="dxa"/>
          </w:tcPr>
          <w:p w14:paraId="53B7792A" w14:textId="77777777" w:rsidR="00C137F8" w:rsidRPr="00A06A6E" w:rsidRDefault="00000000">
            <w:pPr>
              <w:pStyle w:val="TableParagraph"/>
              <w:spacing w:line="210" w:lineRule="exact"/>
              <w:ind w:left="803"/>
              <w:rPr>
                <w:sz w:val="20"/>
              </w:rPr>
            </w:pPr>
            <w:r w:rsidRPr="00A06A6E">
              <w:rPr>
                <w:spacing w:val="-5"/>
                <w:sz w:val="20"/>
              </w:rPr>
              <w:t>.79</w:t>
            </w:r>
          </w:p>
        </w:tc>
        <w:tc>
          <w:tcPr>
            <w:tcW w:w="1484" w:type="dxa"/>
          </w:tcPr>
          <w:p w14:paraId="40B0159A" w14:textId="77777777" w:rsidR="00C137F8" w:rsidRPr="00A06A6E" w:rsidRDefault="00000000">
            <w:pPr>
              <w:pStyle w:val="TableParagraph"/>
              <w:spacing w:line="210" w:lineRule="exact"/>
              <w:ind w:left="751"/>
              <w:rPr>
                <w:sz w:val="20"/>
              </w:rPr>
            </w:pPr>
            <w:r w:rsidRPr="00A06A6E">
              <w:rPr>
                <w:spacing w:val="-4"/>
                <w:sz w:val="20"/>
              </w:rPr>
              <w:t>.022</w:t>
            </w:r>
          </w:p>
        </w:tc>
        <w:tc>
          <w:tcPr>
            <w:tcW w:w="1479" w:type="dxa"/>
          </w:tcPr>
          <w:p w14:paraId="3E398A84" w14:textId="77777777" w:rsidR="00C137F8" w:rsidRPr="00A06A6E" w:rsidRDefault="00000000">
            <w:pPr>
              <w:pStyle w:val="TableParagraph"/>
              <w:spacing w:line="210" w:lineRule="exact"/>
              <w:ind w:left="750"/>
              <w:rPr>
                <w:sz w:val="20"/>
              </w:rPr>
            </w:pPr>
            <w:r w:rsidRPr="00A06A6E">
              <w:rPr>
                <w:spacing w:val="-4"/>
                <w:sz w:val="20"/>
              </w:rPr>
              <w:t>2.11</w:t>
            </w:r>
          </w:p>
        </w:tc>
      </w:tr>
    </w:tbl>
    <w:p w14:paraId="16B979ED" w14:textId="77777777" w:rsidR="00C137F8" w:rsidRPr="00A06A6E" w:rsidRDefault="00000000">
      <w:pPr>
        <w:spacing w:before="160"/>
        <w:ind w:left="628"/>
        <w:rPr>
          <w:rFonts w:ascii="Calibri"/>
          <w:i/>
          <w:sz w:val="18"/>
        </w:rPr>
      </w:pPr>
      <w:r w:rsidRPr="00A06A6E">
        <w:rPr>
          <w:rFonts w:ascii="Calibri"/>
          <w:i/>
          <w:sz w:val="18"/>
        </w:rPr>
        <w:t>Source:</w:t>
      </w:r>
      <w:r w:rsidRPr="00A06A6E">
        <w:rPr>
          <w:rFonts w:ascii="Calibri"/>
          <w:i/>
          <w:spacing w:val="-6"/>
          <w:sz w:val="18"/>
        </w:rPr>
        <w:t xml:space="preserve"> </w:t>
      </w:r>
      <w:r w:rsidRPr="00A06A6E">
        <w:rPr>
          <w:rFonts w:ascii="Calibri"/>
          <w:i/>
          <w:sz w:val="18"/>
        </w:rPr>
        <w:t>research</w:t>
      </w:r>
      <w:r w:rsidRPr="00A06A6E">
        <w:rPr>
          <w:rFonts w:ascii="Calibri"/>
          <w:i/>
          <w:spacing w:val="-6"/>
          <w:sz w:val="18"/>
        </w:rPr>
        <w:t xml:space="preserve"> </w:t>
      </w:r>
      <w:r w:rsidRPr="00A06A6E">
        <w:rPr>
          <w:rFonts w:ascii="Calibri"/>
          <w:i/>
          <w:sz w:val="18"/>
        </w:rPr>
        <w:t>data</w:t>
      </w:r>
      <w:r w:rsidRPr="00A06A6E">
        <w:rPr>
          <w:rFonts w:ascii="Calibri"/>
          <w:i/>
          <w:spacing w:val="-6"/>
          <w:sz w:val="18"/>
        </w:rPr>
        <w:t xml:space="preserve"> </w:t>
      </w:r>
      <w:r w:rsidRPr="00A06A6E">
        <w:rPr>
          <w:rFonts w:ascii="Calibri"/>
          <w:i/>
          <w:sz w:val="18"/>
        </w:rPr>
        <w:t>processed</w:t>
      </w:r>
      <w:r w:rsidRPr="00A06A6E">
        <w:rPr>
          <w:rFonts w:ascii="Calibri"/>
          <w:i/>
          <w:spacing w:val="-6"/>
          <w:sz w:val="18"/>
        </w:rPr>
        <w:t xml:space="preserve"> </w:t>
      </w:r>
      <w:r w:rsidRPr="00A06A6E">
        <w:rPr>
          <w:rFonts w:ascii="Calibri"/>
          <w:i/>
          <w:spacing w:val="-2"/>
          <w:sz w:val="18"/>
        </w:rPr>
        <w:t>(2025)</w:t>
      </w:r>
    </w:p>
    <w:p w14:paraId="648731F7" w14:textId="77777777" w:rsidR="00C137F8" w:rsidRPr="00A06A6E" w:rsidRDefault="00C137F8">
      <w:pPr>
        <w:pStyle w:val="BodyText"/>
        <w:spacing w:before="26"/>
        <w:rPr>
          <w:rFonts w:ascii="Calibri"/>
          <w:i/>
          <w:sz w:val="18"/>
        </w:rPr>
      </w:pPr>
    </w:p>
    <w:p w14:paraId="3194CBC4" w14:textId="77777777" w:rsidR="00C137F8" w:rsidRPr="00A06A6E" w:rsidRDefault="00000000">
      <w:pPr>
        <w:spacing w:line="278" w:lineRule="auto"/>
        <w:ind w:left="628" w:right="485" w:firstLine="414"/>
        <w:rPr>
          <w:rFonts w:ascii="Times New Roman"/>
          <w:sz w:val="24"/>
        </w:rPr>
      </w:pPr>
      <w:r w:rsidRPr="00A06A6E">
        <w:rPr>
          <w:rFonts w:ascii="Times New Roman"/>
          <w:sz w:val="24"/>
        </w:rPr>
        <w:t>Table 5 indicates that the model satisfies the stated autocorrelation criterion. The Durbin</w:t>
      </w:r>
      <w:r w:rsidRPr="00A06A6E">
        <w:rPr>
          <w:rFonts w:ascii="Times New Roman"/>
          <w:sz w:val="24"/>
        </w:rPr>
        <w:t>–</w:t>
      </w:r>
      <w:r w:rsidRPr="00A06A6E">
        <w:rPr>
          <w:rFonts w:ascii="Times New Roman"/>
          <w:sz w:val="24"/>
        </w:rPr>
        <w:t>Watson value of 2.11 lies between 1.83 and 2.17.</w:t>
      </w:r>
    </w:p>
    <w:p w14:paraId="3459DB6C" w14:textId="77777777" w:rsidR="00C137F8" w:rsidRPr="00A06A6E" w:rsidRDefault="00C137F8">
      <w:pPr>
        <w:pStyle w:val="BodyText"/>
        <w:spacing w:before="235"/>
        <w:rPr>
          <w:rFonts w:ascii="Times New Roman"/>
          <w:sz w:val="24"/>
        </w:rPr>
      </w:pPr>
    </w:p>
    <w:p w14:paraId="76438111" w14:textId="77777777" w:rsidR="00C137F8" w:rsidRPr="00A06A6E" w:rsidRDefault="00000000">
      <w:pPr>
        <w:pStyle w:val="Heading2"/>
        <w:numPr>
          <w:ilvl w:val="2"/>
          <w:numId w:val="3"/>
        </w:numPr>
        <w:tabs>
          <w:tab w:val="left" w:pos="1235"/>
        </w:tabs>
        <w:spacing w:before="1"/>
        <w:ind w:left="1235" w:hanging="607"/>
      </w:pPr>
      <w:r w:rsidRPr="00A06A6E">
        <w:rPr>
          <w:spacing w:val="-2"/>
        </w:rPr>
        <w:t>Heteroscedasticity</w:t>
      </w:r>
      <w:r w:rsidRPr="00A06A6E">
        <w:rPr>
          <w:spacing w:val="16"/>
        </w:rPr>
        <w:t xml:space="preserve"> </w:t>
      </w:r>
      <w:r w:rsidRPr="00A06A6E">
        <w:rPr>
          <w:spacing w:val="-4"/>
        </w:rPr>
        <w:t>Test</w:t>
      </w:r>
    </w:p>
    <w:p w14:paraId="16BB6A48" w14:textId="77777777" w:rsidR="00C137F8" w:rsidRPr="00A06A6E" w:rsidRDefault="00000000">
      <w:pPr>
        <w:spacing w:before="166" w:line="300" w:lineRule="auto"/>
        <w:ind w:left="628" w:right="254" w:firstLine="414"/>
        <w:jc w:val="both"/>
        <w:rPr>
          <w:rFonts w:ascii="Georgia"/>
        </w:rPr>
      </w:pPr>
      <w:r w:rsidRPr="00A06A6E">
        <w:rPr>
          <w:rFonts w:ascii="Times New Roman"/>
          <w:sz w:val="24"/>
        </w:rPr>
        <w:t xml:space="preserve">The heteroscedasticity test assesses whether residual variance differs across observations. Based on the </w:t>
      </w:r>
      <w:proofErr w:type="spellStart"/>
      <w:r w:rsidRPr="00A06A6E">
        <w:rPr>
          <w:rFonts w:ascii="Times New Roman"/>
          <w:sz w:val="24"/>
        </w:rPr>
        <w:t>Glejser</w:t>
      </w:r>
      <w:proofErr w:type="spellEnd"/>
      <w:r w:rsidRPr="00A06A6E">
        <w:rPr>
          <w:rFonts w:ascii="Times New Roman"/>
          <w:sz w:val="24"/>
        </w:rPr>
        <w:t xml:space="preserve"> test, the reported significance values for the seven independent variables</w:t>
      </w:r>
      <w:r w:rsidRPr="00A06A6E">
        <w:rPr>
          <w:rFonts w:ascii="Times New Roman"/>
          <w:sz w:val="24"/>
        </w:rPr>
        <w:t>—</w:t>
      </w:r>
      <w:r w:rsidRPr="00A06A6E">
        <w:rPr>
          <w:rFonts w:ascii="Times New Roman"/>
          <w:sz w:val="24"/>
        </w:rPr>
        <w:t>profitability, leverage, corporate activity, the independent board of commissioners, the audit committee, company size, and industrial type</w:t>
      </w:r>
      <w:r w:rsidRPr="00A06A6E">
        <w:rPr>
          <w:rFonts w:ascii="Times New Roman"/>
          <w:sz w:val="24"/>
        </w:rPr>
        <w:t>—</w:t>
      </w:r>
      <w:r w:rsidRPr="00A06A6E">
        <w:rPr>
          <w:rFonts w:ascii="Times New Roman"/>
          <w:sz w:val="24"/>
        </w:rPr>
        <w:t>are 0.05 or higher. Under the criterion stated in the manuscript, the model does not indicate heteroscedasticity.</w:t>
      </w:r>
    </w:p>
    <w:p w14:paraId="2EE8FE6F" w14:textId="77777777" w:rsidR="00C137F8" w:rsidRPr="00A06A6E" w:rsidRDefault="00000000">
      <w:pPr>
        <w:spacing w:before="159"/>
        <w:ind w:left="3796" w:right="2471" w:firstLine="1111"/>
        <w:rPr>
          <w:rFonts w:ascii="Arial"/>
          <w:b/>
          <w:sz w:val="20"/>
        </w:rPr>
      </w:pPr>
      <w:r w:rsidRPr="00A06A6E">
        <w:rPr>
          <w:rFonts w:ascii="Arial"/>
          <w:b/>
          <w:sz w:val="20"/>
        </w:rPr>
        <w:t>Table 6 Heteroscedasticity</w:t>
      </w:r>
      <w:r w:rsidRPr="00A06A6E">
        <w:rPr>
          <w:rFonts w:ascii="Arial"/>
          <w:b/>
          <w:spacing w:val="-14"/>
          <w:sz w:val="20"/>
        </w:rPr>
        <w:t xml:space="preserve"> </w:t>
      </w:r>
      <w:r w:rsidRPr="00A06A6E">
        <w:rPr>
          <w:rFonts w:ascii="Arial"/>
          <w:b/>
          <w:sz w:val="20"/>
        </w:rPr>
        <w:t>Test</w:t>
      </w:r>
      <w:r w:rsidRPr="00A06A6E">
        <w:rPr>
          <w:rFonts w:ascii="Arial"/>
          <w:b/>
          <w:spacing w:val="-14"/>
          <w:sz w:val="20"/>
        </w:rPr>
        <w:t xml:space="preserve"> </w:t>
      </w:r>
      <w:r w:rsidRPr="00A06A6E">
        <w:rPr>
          <w:rFonts w:ascii="Arial"/>
          <w:b/>
          <w:sz w:val="20"/>
        </w:rPr>
        <w:t>Result</w:t>
      </w: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2"/>
        <w:gridCol w:w="1128"/>
        <w:gridCol w:w="1123"/>
        <w:gridCol w:w="2664"/>
      </w:tblGrid>
      <w:tr w:rsidR="00C137F8" w:rsidRPr="00A06A6E" w14:paraId="4283677A" w14:textId="77777777">
        <w:trPr>
          <w:trHeight w:val="230"/>
        </w:trPr>
        <w:tc>
          <w:tcPr>
            <w:tcW w:w="3912" w:type="dxa"/>
            <w:shd w:val="clear" w:color="auto" w:fill="BFBFBF"/>
          </w:tcPr>
          <w:p w14:paraId="3B75BD98" w14:textId="77777777" w:rsidR="00C137F8" w:rsidRPr="00A06A6E" w:rsidRDefault="00000000">
            <w:pPr>
              <w:pStyle w:val="TableParagraph"/>
              <w:spacing w:line="210" w:lineRule="exact"/>
              <w:ind w:left="423"/>
              <w:jc w:val="center"/>
              <w:rPr>
                <w:rFonts w:ascii="Times New Roman"/>
                <w:b/>
                <w:sz w:val="20"/>
              </w:rPr>
            </w:pPr>
            <w:r w:rsidRPr="00A06A6E">
              <w:rPr>
                <w:rFonts w:ascii="Times New Roman"/>
                <w:b/>
                <w:spacing w:val="-2"/>
                <w:sz w:val="20"/>
              </w:rPr>
              <w:t>Variable</w:t>
            </w:r>
          </w:p>
        </w:tc>
        <w:tc>
          <w:tcPr>
            <w:tcW w:w="1128" w:type="dxa"/>
            <w:shd w:val="clear" w:color="auto" w:fill="BFBFBF"/>
          </w:tcPr>
          <w:p w14:paraId="2EF73ED2" w14:textId="77777777" w:rsidR="00C137F8" w:rsidRPr="00A06A6E" w:rsidRDefault="00000000">
            <w:pPr>
              <w:pStyle w:val="TableParagraph"/>
              <w:spacing w:line="210" w:lineRule="exact"/>
              <w:ind w:left="734"/>
              <w:rPr>
                <w:rFonts w:ascii="Times New Roman"/>
                <w:b/>
                <w:sz w:val="20"/>
              </w:rPr>
            </w:pPr>
            <w:r w:rsidRPr="00A06A6E">
              <w:rPr>
                <w:rFonts w:ascii="Times New Roman"/>
                <w:b/>
                <w:spacing w:val="-10"/>
                <w:sz w:val="20"/>
              </w:rPr>
              <w:t>t</w:t>
            </w:r>
          </w:p>
        </w:tc>
        <w:tc>
          <w:tcPr>
            <w:tcW w:w="1123" w:type="dxa"/>
            <w:shd w:val="clear" w:color="auto" w:fill="BFBFBF"/>
          </w:tcPr>
          <w:p w14:paraId="5E31C685" w14:textId="77777777" w:rsidR="00C137F8" w:rsidRPr="00A06A6E" w:rsidRDefault="00000000">
            <w:pPr>
              <w:pStyle w:val="TableParagraph"/>
              <w:spacing w:line="210" w:lineRule="exact"/>
              <w:ind w:right="208"/>
              <w:jc w:val="right"/>
              <w:rPr>
                <w:rFonts w:ascii="Times New Roman"/>
                <w:b/>
                <w:sz w:val="20"/>
              </w:rPr>
            </w:pPr>
            <w:r w:rsidRPr="00A06A6E">
              <w:rPr>
                <w:rFonts w:ascii="Times New Roman"/>
                <w:b/>
                <w:spacing w:val="-5"/>
                <w:sz w:val="20"/>
              </w:rPr>
              <w:t>Sig</w:t>
            </w:r>
          </w:p>
        </w:tc>
        <w:tc>
          <w:tcPr>
            <w:tcW w:w="2664" w:type="dxa"/>
            <w:shd w:val="clear" w:color="auto" w:fill="BFBFBF"/>
          </w:tcPr>
          <w:p w14:paraId="3699BA0D" w14:textId="77777777" w:rsidR="00C137F8" w:rsidRPr="00A06A6E" w:rsidRDefault="00000000">
            <w:pPr>
              <w:pStyle w:val="TableParagraph"/>
              <w:spacing w:line="210" w:lineRule="exact"/>
              <w:ind w:left="1034"/>
              <w:rPr>
                <w:rFonts w:ascii="Times New Roman"/>
                <w:b/>
                <w:sz w:val="20"/>
              </w:rPr>
            </w:pPr>
            <w:proofErr w:type="spellStart"/>
            <w:r w:rsidRPr="00A06A6E">
              <w:rPr>
                <w:rFonts w:ascii="Times New Roman"/>
                <w:b/>
                <w:spacing w:val="-2"/>
                <w:sz w:val="20"/>
              </w:rPr>
              <w:t>Keterangan</w:t>
            </w:r>
            <w:proofErr w:type="spellEnd"/>
          </w:p>
        </w:tc>
      </w:tr>
      <w:tr w:rsidR="00C137F8" w:rsidRPr="00A06A6E" w14:paraId="67D55A55" w14:textId="77777777">
        <w:trPr>
          <w:trHeight w:val="230"/>
        </w:trPr>
        <w:tc>
          <w:tcPr>
            <w:tcW w:w="3912" w:type="dxa"/>
          </w:tcPr>
          <w:p w14:paraId="46259C98" w14:textId="77777777" w:rsidR="00C137F8" w:rsidRPr="00A06A6E" w:rsidRDefault="00000000">
            <w:pPr>
              <w:pStyle w:val="TableParagraph"/>
              <w:spacing w:line="210" w:lineRule="exact"/>
              <w:ind w:left="139"/>
              <w:rPr>
                <w:rFonts w:ascii="Times New Roman"/>
                <w:sz w:val="20"/>
              </w:rPr>
            </w:pPr>
            <w:r w:rsidRPr="00A06A6E">
              <w:rPr>
                <w:rFonts w:ascii="Times New Roman"/>
                <w:spacing w:val="-2"/>
                <w:sz w:val="20"/>
              </w:rPr>
              <w:t>Profitability</w:t>
            </w:r>
            <w:r w:rsidRPr="00A06A6E">
              <w:rPr>
                <w:rFonts w:ascii="Times New Roman"/>
                <w:spacing w:val="13"/>
                <w:sz w:val="20"/>
              </w:rPr>
              <w:t xml:space="preserve"> </w:t>
            </w:r>
            <w:r w:rsidRPr="00A06A6E">
              <w:rPr>
                <w:rFonts w:ascii="Times New Roman"/>
                <w:spacing w:val="-5"/>
                <w:sz w:val="20"/>
              </w:rPr>
              <w:t>(P)</w:t>
            </w:r>
          </w:p>
        </w:tc>
        <w:tc>
          <w:tcPr>
            <w:tcW w:w="1128" w:type="dxa"/>
          </w:tcPr>
          <w:p w14:paraId="2BF554ED" w14:textId="77777777" w:rsidR="00C137F8" w:rsidRPr="00A06A6E" w:rsidRDefault="00000000">
            <w:pPr>
              <w:pStyle w:val="TableParagraph"/>
              <w:spacing w:line="210" w:lineRule="exact"/>
              <w:ind w:right="100"/>
              <w:jc w:val="right"/>
              <w:rPr>
                <w:rFonts w:ascii="Times New Roman"/>
                <w:sz w:val="20"/>
              </w:rPr>
            </w:pPr>
            <w:r w:rsidRPr="00A06A6E">
              <w:rPr>
                <w:rFonts w:ascii="Times New Roman"/>
                <w:spacing w:val="-4"/>
                <w:sz w:val="20"/>
              </w:rPr>
              <w:t>1,06</w:t>
            </w:r>
          </w:p>
        </w:tc>
        <w:tc>
          <w:tcPr>
            <w:tcW w:w="1123" w:type="dxa"/>
          </w:tcPr>
          <w:p w14:paraId="7DC7DC8A" w14:textId="77777777" w:rsidR="00C137F8" w:rsidRPr="00A06A6E" w:rsidRDefault="00000000">
            <w:pPr>
              <w:pStyle w:val="TableParagraph"/>
              <w:spacing w:line="210" w:lineRule="exact"/>
              <w:ind w:right="98"/>
              <w:jc w:val="right"/>
              <w:rPr>
                <w:rFonts w:ascii="Times New Roman"/>
                <w:sz w:val="20"/>
              </w:rPr>
            </w:pPr>
            <w:r w:rsidRPr="00A06A6E">
              <w:rPr>
                <w:rFonts w:ascii="Times New Roman"/>
                <w:spacing w:val="-5"/>
                <w:sz w:val="20"/>
              </w:rPr>
              <w:t>.29</w:t>
            </w:r>
          </w:p>
        </w:tc>
        <w:tc>
          <w:tcPr>
            <w:tcW w:w="2664" w:type="dxa"/>
          </w:tcPr>
          <w:p w14:paraId="77648F2B" w14:textId="77777777" w:rsidR="00C137F8" w:rsidRPr="00A06A6E" w:rsidRDefault="00000000">
            <w:pPr>
              <w:pStyle w:val="TableParagraph"/>
              <w:spacing w:line="210" w:lineRule="exact"/>
              <w:ind w:right="399"/>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r w:rsidR="00C137F8" w:rsidRPr="00A06A6E" w14:paraId="19A33477" w14:textId="77777777">
        <w:trPr>
          <w:trHeight w:val="230"/>
        </w:trPr>
        <w:tc>
          <w:tcPr>
            <w:tcW w:w="3912" w:type="dxa"/>
          </w:tcPr>
          <w:p w14:paraId="7EF75680" w14:textId="77777777" w:rsidR="00C137F8" w:rsidRPr="00A06A6E" w:rsidRDefault="00000000">
            <w:pPr>
              <w:pStyle w:val="TableParagraph"/>
              <w:spacing w:line="210" w:lineRule="exact"/>
              <w:ind w:left="139"/>
              <w:rPr>
                <w:rFonts w:ascii="Times New Roman"/>
                <w:sz w:val="20"/>
              </w:rPr>
            </w:pPr>
            <w:r w:rsidRPr="00A06A6E">
              <w:rPr>
                <w:rFonts w:ascii="Times New Roman"/>
                <w:spacing w:val="-2"/>
                <w:sz w:val="20"/>
              </w:rPr>
              <w:t>Leverage</w:t>
            </w:r>
            <w:r w:rsidRPr="00A06A6E">
              <w:rPr>
                <w:rFonts w:ascii="Times New Roman"/>
                <w:spacing w:val="1"/>
                <w:sz w:val="20"/>
              </w:rPr>
              <w:t xml:space="preserve"> </w:t>
            </w:r>
            <w:r w:rsidRPr="00A06A6E">
              <w:rPr>
                <w:rFonts w:ascii="Times New Roman"/>
                <w:spacing w:val="-5"/>
                <w:sz w:val="20"/>
              </w:rPr>
              <w:t>(L)</w:t>
            </w:r>
          </w:p>
        </w:tc>
        <w:tc>
          <w:tcPr>
            <w:tcW w:w="1128" w:type="dxa"/>
          </w:tcPr>
          <w:p w14:paraId="71BE74B8" w14:textId="77777777" w:rsidR="00C137F8" w:rsidRPr="00A06A6E" w:rsidRDefault="00000000">
            <w:pPr>
              <w:pStyle w:val="TableParagraph"/>
              <w:spacing w:line="210" w:lineRule="exact"/>
              <w:ind w:right="99"/>
              <w:jc w:val="right"/>
              <w:rPr>
                <w:rFonts w:ascii="Times New Roman"/>
                <w:sz w:val="20"/>
              </w:rPr>
            </w:pPr>
            <w:r w:rsidRPr="00A06A6E">
              <w:rPr>
                <w:rFonts w:ascii="Times New Roman"/>
                <w:spacing w:val="-2"/>
                <w:sz w:val="20"/>
              </w:rPr>
              <w:t>-</w:t>
            </w:r>
            <w:r w:rsidRPr="00A06A6E">
              <w:rPr>
                <w:rFonts w:ascii="Times New Roman"/>
                <w:spacing w:val="-5"/>
                <w:sz w:val="20"/>
              </w:rPr>
              <w:t>,63</w:t>
            </w:r>
          </w:p>
        </w:tc>
        <w:tc>
          <w:tcPr>
            <w:tcW w:w="1123" w:type="dxa"/>
          </w:tcPr>
          <w:p w14:paraId="32909960" w14:textId="77777777" w:rsidR="00C137F8" w:rsidRPr="00A06A6E" w:rsidRDefault="00000000">
            <w:pPr>
              <w:pStyle w:val="TableParagraph"/>
              <w:spacing w:line="210" w:lineRule="exact"/>
              <w:ind w:right="97"/>
              <w:jc w:val="right"/>
              <w:rPr>
                <w:rFonts w:ascii="Times New Roman"/>
                <w:sz w:val="20"/>
              </w:rPr>
            </w:pPr>
            <w:r w:rsidRPr="00A06A6E">
              <w:rPr>
                <w:rFonts w:ascii="Times New Roman"/>
                <w:spacing w:val="-5"/>
                <w:sz w:val="20"/>
              </w:rPr>
              <w:t>.53</w:t>
            </w:r>
          </w:p>
        </w:tc>
        <w:tc>
          <w:tcPr>
            <w:tcW w:w="2664" w:type="dxa"/>
          </w:tcPr>
          <w:p w14:paraId="7058CC51" w14:textId="77777777" w:rsidR="00C137F8" w:rsidRPr="00A06A6E" w:rsidRDefault="00000000">
            <w:pPr>
              <w:pStyle w:val="TableParagraph"/>
              <w:spacing w:line="210" w:lineRule="exact"/>
              <w:ind w:right="399"/>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r w:rsidR="00C137F8" w:rsidRPr="00A06A6E" w14:paraId="0665B69C" w14:textId="77777777">
        <w:trPr>
          <w:trHeight w:val="230"/>
        </w:trPr>
        <w:tc>
          <w:tcPr>
            <w:tcW w:w="3912" w:type="dxa"/>
          </w:tcPr>
          <w:p w14:paraId="25208895" w14:textId="77777777" w:rsidR="00C137F8" w:rsidRPr="00A06A6E" w:rsidRDefault="00000000">
            <w:pPr>
              <w:pStyle w:val="TableParagraph"/>
              <w:spacing w:line="210" w:lineRule="exact"/>
              <w:ind w:left="139"/>
              <w:rPr>
                <w:rFonts w:ascii="Times New Roman"/>
                <w:sz w:val="20"/>
              </w:rPr>
            </w:pPr>
            <w:proofErr w:type="spellStart"/>
            <w:r w:rsidRPr="00A06A6E">
              <w:rPr>
                <w:rFonts w:ascii="Times New Roman"/>
                <w:sz w:val="20"/>
              </w:rPr>
              <w:t>Copporate</w:t>
            </w:r>
            <w:proofErr w:type="spellEnd"/>
            <w:r w:rsidRPr="00A06A6E">
              <w:rPr>
                <w:rFonts w:ascii="Times New Roman"/>
                <w:spacing w:val="35"/>
                <w:sz w:val="20"/>
              </w:rPr>
              <w:t xml:space="preserve"> </w:t>
            </w:r>
            <w:r w:rsidRPr="00A06A6E">
              <w:rPr>
                <w:rFonts w:ascii="Times New Roman"/>
                <w:sz w:val="20"/>
              </w:rPr>
              <w:t>Activity</w:t>
            </w:r>
            <w:r w:rsidRPr="00A06A6E">
              <w:rPr>
                <w:rFonts w:ascii="Times New Roman"/>
                <w:spacing w:val="33"/>
                <w:sz w:val="20"/>
              </w:rPr>
              <w:t xml:space="preserve">  </w:t>
            </w:r>
            <w:r w:rsidRPr="00A06A6E">
              <w:rPr>
                <w:rFonts w:ascii="Times New Roman"/>
                <w:spacing w:val="-4"/>
                <w:sz w:val="20"/>
              </w:rPr>
              <w:t>(CA)</w:t>
            </w:r>
          </w:p>
        </w:tc>
        <w:tc>
          <w:tcPr>
            <w:tcW w:w="1128" w:type="dxa"/>
          </w:tcPr>
          <w:p w14:paraId="6C247D50" w14:textId="77777777" w:rsidR="00C137F8" w:rsidRPr="00A06A6E" w:rsidRDefault="00000000">
            <w:pPr>
              <w:pStyle w:val="TableParagraph"/>
              <w:spacing w:line="210" w:lineRule="exact"/>
              <w:ind w:right="99"/>
              <w:jc w:val="right"/>
              <w:rPr>
                <w:rFonts w:ascii="Times New Roman"/>
                <w:sz w:val="20"/>
              </w:rPr>
            </w:pPr>
            <w:r w:rsidRPr="00A06A6E">
              <w:rPr>
                <w:rFonts w:ascii="Times New Roman"/>
                <w:spacing w:val="-2"/>
                <w:sz w:val="20"/>
              </w:rPr>
              <w:t>-</w:t>
            </w:r>
            <w:r w:rsidRPr="00A06A6E">
              <w:rPr>
                <w:rFonts w:ascii="Times New Roman"/>
                <w:spacing w:val="-4"/>
                <w:sz w:val="20"/>
              </w:rPr>
              <w:t>1,78</w:t>
            </w:r>
          </w:p>
        </w:tc>
        <w:tc>
          <w:tcPr>
            <w:tcW w:w="1123" w:type="dxa"/>
          </w:tcPr>
          <w:p w14:paraId="4EE86750" w14:textId="77777777" w:rsidR="00C137F8" w:rsidRPr="00A06A6E" w:rsidRDefault="00000000">
            <w:pPr>
              <w:pStyle w:val="TableParagraph"/>
              <w:spacing w:line="210" w:lineRule="exact"/>
              <w:ind w:right="98"/>
              <w:jc w:val="right"/>
              <w:rPr>
                <w:rFonts w:ascii="Times New Roman"/>
                <w:sz w:val="20"/>
              </w:rPr>
            </w:pPr>
            <w:r w:rsidRPr="00A06A6E">
              <w:rPr>
                <w:rFonts w:ascii="Times New Roman"/>
                <w:spacing w:val="-5"/>
                <w:sz w:val="20"/>
              </w:rPr>
              <w:t>.08</w:t>
            </w:r>
          </w:p>
        </w:tc>
        <w:tc>
          <w:tcPr>
            <w:tcW w:w="2664" w:type="dxa"/>
          </w:tcPr>
          <w:p w14:paraId="44D04EA4" w14:textId="77777777" w:rsidR="00C137F8" w:rsidRPr="00A06A6E" w:rsidRDefault="00000000">
            <w:pPr>
              <w:pStyle w:val="TableParagraph"/>
              <w:spacing w:line="210" w:lineRule="exact"/>
              <w:ind w:right="399"/>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r w:rsidR="00C137F8" w:rsidRPr="00A06A6E" w14:paraId="267FC210" w14:textId="77777777">
        <w:trPr>
          <w:trHeight w:val="230"/>
        </w:trPr>
        <w:tc>
          <w:tcPr>
            <w:tcW w:w="3912" w:type="dxa"/>
          </w:tcPr>
          <w:p w14:paraId="071B27A9" w14:textId="77777777" w:rsidR="00C137F8" w:rsidRPr="00A06A6E" w:rsidRDefault="00000000">
            <w:pPr>
              <w:pStyle w:val="TableParagraph"/>
              <w:spacing w:line="210" w:lineRule="exact"/>
              <w:ind w:left="139"/>
              <w:rPr>
                <w:rFonts w:ascii="Times New Roman"/>
                <w:sz w:val="20"/>
              </w:rPr>
            </w:pPr>
            <w:r w:rsidRPr="00A06A6E">
              <w:rPr>
                <w:rFonts w:ascii="Times New Roman"/>
                <w:spacing w:val="-2"/>
                <w:sz w:val="20"/>
              </w:rPr>
              <w:t>Independent</w:t>
            </w:r>
            <w:r w:rsidRPr="00A06A6E">
              <w:rPr>
                <w:rFonts w:ascii="Times New Roman"/>
                <w:spacing w:val="1"/>
                <w:sz w:val="20"/>
              </w:rPr>
              <w:t xml:space="preserve"> </w:t>
            </w:r>
            <w:r w:rsidRPr="00A06A6E">
              <w:rPr>
                <w:rFonts w:ascii="Times New Roman"/>
                <w:spacing w:val="-2"/>
                <w:sz w:val="20"/>
              </w:rPr>
              <w:t>Board</w:t>
            </w:r>
            <w:r w:rsidRPr="00A06A6E">
              <w:rPr>
                <w:rFonts w:ascii="Times New Roman"/>
                <w:spacing w:val="4"/>
                <w:sz w:val="20"/>
              </w:rPr>
              <w:t xml:space="preserve"> </w:t>
            </w:r>
            <w:r w:rsidRPr="00A06A6E">
              <w:rPr>
                <w:rFonts w:ascii="Times New Roman"/>
                <w:spacing w:val="-2"/>
                <w:sz w:val="20"/>
              </w:rPr>
              <w:t>of</w:t>
            </w:r>
            <w:r w:rsidRPr="00A06A6E">
              <w:rPr>
                <w:rFonts w:ascii="Times New Roman"/>
                <w:spacing w:val="1"/>
                <w:sz w:val="20"/>
              </w:rPr>
              <w:t xml:space="preserve"> </w:t>
            </w:r>
            <w:r w:rsidRPr="00A06A6E">
              <w:rPr>
                <w:rFonts w:ascii="Times New Roman"/>
                <w:spacing w:val="-2"/>
                <w:sz w:val="20"/>
              </w:rPr>
              <w:t>Commissioners</w:t>
            </w:r>
            <w:r w:rsidRPr="00A06A6E">
              <w:rPr>
                <w:rFonts w:ascii="Times New Roman"/>
                <w:spacing w:val="1"/>
                <w:sz w:val="20"/>
              </w:rPr>
              <w:t xml:space="preserve"> </w:t>
            </w:r>
            <w:r w:rsidRPr="00A06A6E">
              <w:rPr>
                <w:rFonts w:ascii="Times New Roman"/>
                <w:spacing w:val="-2"/>
                <w:sz w:val="20"/>
              </w:rPr>
              <w:t>(IBC)</w:t>
            </w:r>
          </w:p>
        </w:tc>
        <w:tc>
          <w:tcPr>
            <w:tcW w:w="1128" w:type="dxa"/>
          </w:tcPr>
          <w:p w14:paraId="37CD3F95" w14:textId="77777777" w:rsidR="00C137F8" w:rsidRPr="00A06A6E" w:rsidRDefault="00000000">
            <w:pPr>
              <w:pStyle w:val="TableParagraph"/>
              <w:spacing w:line="210" w:lineRule="exact"/>
              <w:ind w:right="99"/>
              <w:jc w:val="right"/>
              <w:rPr>
                <w:rFonts w:ascii="Times New Roman"/>
                <w:sz w:val="20"/>
              </w:rPr>
            </w:pPr>
            <w:r w:rsidRPr="00A06A6E">
              <w:rPr>
                <w:rFonts w:ascii="Times New Roman"/>
                <w:spacing w:val="-5"/>
                <w:sz w:val="20"/>
              </w:rPr>
              <w:t>,69</w:t>
            </w:r>
          </w:p>
        </w:tc>
        <w:tc>
          <w:tcPr>
            <w:tcW w:w="1123" w:type="dxa"/>
          </w:tcPr>
          <w:p w14:paraId="580D1204" w14:textId="77777777" w:rsidR="00C137F8" w:rsidRPr="00A06A6E" w:rsidRDefault="00000000">
            <w:pPr>
              <w:pStyle w:val="TableParagraph"/>
              <w:spacing w:line="210" w:lineRule="exact"/>
              <w:ind w:right="97"/>
              <w:jc w:val="right"/>
              <w:rPr>
                <w:rFonts w:ascii="Times New Roman"/>
                <w:sz w:val="20"/>
              </w:rPr>
            </w:pPr>
            <w:r w:rsidRPr="00A06A6E">
              <w:rPr>
                <w:rFonts w:ascii="Times New Roman"/>
                <w:spacing w:val="-5"/>
                <w:sz w:val="20"/>
              </w:rPr>
              <w:t>.50</w:t>
            </w:r>
          </w:p>
        </w:tc>
        <w:tc>
          <w:tcPr>
            <w:tcW w:w="2664" w:type="dxa"/>
          </w:tcPr>
          <w:p w14:paraId="087909F5" w14:textId="77777777" w:rsidR="00C137F8" w:rsidRPr="00A06A6E" w:rsidRDefault="00000000">
            <w:pPr>
              <w:pStyle w:val="TableParagraph"/>
              <w:spacing w:line="210" w:lineRule="exact"/>
              <w:ind w:right="400"/>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r w:rsidR="00C137F8" w:rsidRPr="00A06A6E" w14:paraId="6A1A8EBF" w14:textId="77777777">
        <w:trPr>
          <w:trHeight w:val="230"/>
        </w:trPr>
        <w:tc>
          <w:tcPr>
            <w:tcW w:w="3912" w:type="dxa"/>
          </w:tcPr>
          <w:p w14:paraId="0E44B349" w14:textId="77777777" w:rsidR="00C137F8" w:rsidRPr="00A06A6E" w:rsidRDefault="00000000">
            <w:pPr>
              <w:pStyle w:val="TableParagraph"/>
              <w:spacing w:line="210" w:lineRule="exact"/>
              <w:ind w:left="139"/>
              <w:rPr>
                <w:rFonts w:ascii="Times New Roman"/>
                <w:sz w:val="20"/>
              </w:rPr>
            </w:pPr>
            <w:r w:rsidRPr="00A06A6E">
              <w:rPr>
                <w:rFonts w:ascii="Times New Roman"/>
                <w:sz w:val="20"/>
              </w:rPr>
              <w:t>Audit</w:t>
            </w:r>
            <w:r w:rsidRPr="00A06A6E">
              <w:rPr>
                <w:rFonts w:ascii="Times New Roman"/>
                <w:spacing w:val="40"/>
                <w:sz w:val="20"/>
              </w:rPr>
              <w:t xml:space="preserve"> </w:t>
            </w:r>
            <w:r w:rsidRPr="00A06A6E">
              <w:rPr>
                <w:rFonts w:ascii="Times New Roman"/>
                <w:sz w:val="20"/>
              </w:rPr>
              <w:t>Committee</w:t>
            </w:r>
            <w:r w:rsidRPr="00A06A6E">
              <w:rPr>
                <w:rFonts w:ascii="Times New Roman"/>
                <w:spacing w:val="40"/>
                <w:sz w:val="20"/>
              </w:rPr>
              <w:t xml:space="preserve"> </w:t>
            </w:r>
            <w:r w:rsidRPr="00A06A6E">
              <w:rPr>
                <w:rFonts w:ascii="Times New Roman"/>
                <w:spacing w:val="-4"/>
                <w:sz w:val="20"/>
              </w:rPr>
              <w:t>(AC)</w:t>
            </w:r>
          </w:p>
        </w:tc>
        <w:tc>
          <w:tcPr>
            <w:tcW w:w="1128" w:type="dxa"/>
          </w:tcPr>
          <w:p w14:paraId="7C9EB854" w14:textId="77777777" w:rsidR="00C137F8" w:rsidRPr="00A06A6E" w:rsidRDefault="00000000">
            <w:pPr>
              <w:pStyle w:val="TableParagraph"/>
              <w:spacing w:line="210" w:lineRule="exact"/>
              <w:ind w:right="99"/>
              <w:jc w:val="right"/>
              <w:rPr>
                <w:rFonts w:ascii="Times New Roman"/>
                <w:sz w:val="20"/>
              </w:rPr>
            </w:pPr>
            <w:r w:rsidRPr="00A06A6E">
              <w:rPr>
                <w:rFonts w:ascii="Times New Roman"/>
                <w:spacing w:val="-2"/>
                <w:sz w:val="20"/>
              </w:rPr>
              <w:t>-</w:t>
            </w:r>
            <w:r w:rsidRPr="00A06A6E">
              <w:rPr>
                <w:rFonts w:ascii="Times New Roman"/>
                <w:spacing w:val="-4"/>
                <w:sz w:val="20"/>
              </w:rPr>
              <w:t>1,66</w:t>
            </w:r>
          </w:p>
        </w:tc>
        <w:tc>
          <w:tcPr>
            <w:tcW w:w="1123" w:type="dxa"/>
          </w:tcPr>
          <w:p w14:paraId="70127349" w14:textId="77777777" w:rsidR="00C137F8" w:rsidRPr="00A06A6E" w:rsidRDefault="00000000">
            <w:pPr>
              <w:pStyle w:val="TableParagraph"/>
              <w:spacing w:line="210" w:lineRule="exact"/>
              <w:ind w:right="97"/>
              <w:jc w:val="right"/>
              <w:rPr>
                <w:rFonts w:ascii="Times New Roman"/>
                <w:sz w:val="20"/>
              </w:rPr>
            </w:pPr>
            <w:r w:rsidRPr="00A06A6E">
              <w:rPr>
                <w:rFonts w:ascii="Times New Roman"/>
                <w:spacing w:val="-5"/>
                <w:sz w:val="20"/>
              </w:rPr>
              <w:t>.10</w:t>
            </w:r>
          </w:p>
        </w:tc>
        <w:tc>
          <w:tcPr>
            <w:tcW w:w="2664" w:type="dxa"/>
          </w:tcPr>
          <w:p w14:paraId="0EDDB2A1" w14:textId="77777777" w:rsidR="00C137F8" w:rsidRPr="00A06A6E" w:rsidRDefault="00000000">
            <w:pPr>
              <w:pStyle w:val="TableParagraph"/>
              <w:spacing w:line="210" w:lineRule="exact"/>
              <w:ind w:right="399"/>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r w:rsidR="00C137F8" w:rsidRPr="00A06A6E" w14:paraId="3AC081B7" w14:textId="77777777">
        <w:trPr>
          <w:trHeight w:val="230"/>
        </w:trPr>
        <w:tc>
          <w:tcPr>
            <w:tcW w:w="3912" w:type="dxa"/>
          </w:tcPr>
          <w:p w14:paraId="17E32170" w14:textId="77777777" w:rsidR="00C137F8" w:rsidRPr="00A06A6E" w:rsidRDefault="00000000">
            <w:pPr>
              <w:pStyle w:val="TableParagraph"/>
              <w:spacing w:line="210" w:lineRule="exact"/>
              <w:ind w:left="139"/>
              <w:rPr>
                <w:rFonts w:ascii="Times New Roman"/>
                <w:sz w:val="20"/>
              </w:rPr>
            </w:pPr>
            <w:r w:rsidRPr="00A06A6E">
              <w:rPr>
                <w:rFonts w:ascii="Times New Roman"/>
                <w:sz w:val="20"/>
              </w:rPr>
              <w:t>Company</w:t>
            </w:r>
            <w:r w:rsidRPr="00A06A6E">
              <w:rPr>
                <w:rFonts w:ascii="Times New Roman"/>
                <w:spacing w:val="-7"/>
                <w:sz w:val="20"/>
              </w:rPr>
              <w:t xml:space="preserve"> </w:t>
            </w:r>
            <w:r w:rsidRPr="00A06A6E">
              <w:rPr>
                <w:rFonts w:ascii="Times New Roman"/>
                <w:sz w:val="20"/>
              </w:rPr>
              <w:t>size</w:t>
            </w:r>
            <w:r w:rsidRPr="00A06A6E">
              <w:rPr>
                <w:rFonts w:ascii="Times New Roman"/>
                <w:spacing w:val="-6"/>
                <w:sz w:val="20"/>
              </w:rPr>
              <w:t xml:space="preserve"> </w:t>
            </w:r>
            <w:r w:rsidRPr="00A06A6E">
              <w:rPr>
                <w:rFonts w:ascii="Times New Roman"/>
                <w:spacing w:val="-4"/>
                <w:sz w:val="20"/>
              </w:rPr>
              <w:t>(CS)</w:t>
            </w:r>
          </w:p>
        </w:tc>
        <w:tc>
          <w:tcPr>
            <w:tcW w:w="1128" w:type="dxa"/>
          </w:tcPr>
          <w:p w14:paraId="7F867650" w14:textId="77777777" w:rsidR="00C137F8" w:rsidRPr="00A06A6E" w:rsidRDefault="00000000">
            <w:pPr>
              <w:pStyle w:val="TableParagraph"/>
              <w:spacing w:line="210" w:lineRule="exact"/>
              <w:ind w:right="100"/>
              <w:jc w:val="right"/>
              <w:rPr>
                <w:rFonts w:ascii="Times New Roman"/>
                <w:sz w:val="20"/>
              </w:rPr>
            </w:pPr>
            <w:r w:rsidRPr="00A06A6E">
              <w:rPr>
                <w:rFonts w:ascii="Times New Roman"/>
                <w:spacing w:val="-4"/>
                <w:sz w:val="20"/>
              </w:rPr>
              <w:t>3,05</w:t>
            </w:r>
          </w:p>
        </w:tc>
        <w:tc>
          <w:tcPr>
            <w:tcW w:w="1123" w:type="dxa"/>
          </w:tcPr>
          <w:p w14:paraId="6475D6D8" w14:textId="77777777" w:rsidR="00C137F8" w:rsidRPr="00A06A6E" w:rsidRDefault="00000000">
            <w:pPr>
              <w:pStyle w:val="TableParagraph"/>
              <w:spacing w:line="210" w:lineRule="exact"/>
              <w:ind w:right="97"/>
              <w:jc w:val="right"/>
              <w:rPr>
                <w:rFonts w:ascii="Times New Roman"/>
                <w:sz w:val="20"/>
              </w:rPr>
            </w:pPr>
            <w:r w:rsidRPr="00A06A6E">
              <w:rPr>
                <w:rFonts w:ascii="Times New Roman"/>
                <w:spacing w:val="-5"/>
                <w:sz w:val="20"/>
              </w:rPr>
              <w:t>,05</w:t>
            </w:r>
          </w:p>
        </w:tc>
        <w:tc>
          <w:tcPr>
            <w:tcW w:w="2664" w:type="dxa"/>
          </w:tcPr>
          <w:p w14:paraId="17BFF902" w14:textId="77777777" w:rsidR="00C137F8" w:rsidRPr="00A06A6E" w:rsidRDefault="00000000">
            <w:pPr>
              <w:pStyle w:val="TableParagraph"/>
              <w:spacing w:line="210" w:lineRule="exact"/>
              <w:ind w:right="399"/>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r w:rsidR="00C137F8" w:rsidRPr="00A06A6E" w14:paraId="2FAB2B65" w14:textId="77777777">
        <w:trPr>
          <w:trHeight w:val="229"/>
        </w:trPr>
        <w:tc>
          <w:tcPr>
            <w:tcW w:w="3912" w:type="dxa"/>
          </w:tcPr>
          <w:p w14:paraId="063D27F8" w14:textId="77777777" w:rsidR="00C137F8" w:rsidRPr="00A06A6E" w:rsidRDefault="00000000">
            <w:pPr>
              <w:pStyle w:val="TableParagraph"/>
              <w:spacing w:line="210" w:lineRule="exact"/>
              <w:ind w:left="139"/>
              <w:rPr>
                <w:rFonts w:ascii="Times New Roman"/>
                <w:sz w:val="20"/>
              </w:rPr>
            </w:pPr>
            <w:r w:rsidRPr="00A06A6E">
              <w:rPr>
                <w:rFonts w:ascii="Times New Roman"/>
                <w:sz w:val="20"/>
              </w:rPr>
              <w:t>Industrial</w:t>
            </w:r>
            <w:r w:rsidRPr="00A06A6E">
              <w:rPr>
                <w:rFonts w:ascii="Times New Roman"/>
                <w:spacing w:val="-7"/>
                <w:sz w:val="20"/>
              </w:rPr>
              <w:t xml:space="preserve"> </w:t>
            </w:r>
            <w:r w:rsidRPr="00A06A6E">
              <w:rPr>
                <w:rFonts w:ascii="Times New Roman"/>
                <w:sz w:val="20"/>
              </w:rPr>
              <w:t>Type</w:t>
            </w:r>
            <w:r w:rsidRPr="00A06A6E">
              <w:rPr>
                <w:rFonts w:ascii="Times New Roman"/>
                <w:spacing w:val="-7"/>
                <w:sz w:val="20"/>
              </w:rPr>
              <w:t xml:space="preserve"> </w:t>
            </w:r>
            <w:r w:rsidRPr="00A06A6E">
              <w:rPr>
                <w:rFonts w:ascii="Times New Roman"/>
                <w:spacing w:val="-4"/>
                <w:sz w:val="20"/>
              </w:rPr>
              <w:t>(IT)</w:t>
            </w:r>
          </w:p>
        </w:tc>
        <w:tc>
          <w:tcPr>
            <w:tcW w:w="1128" w:type="dxa"/>
          </w:tcPr>
          <w:p w14:paraId="73330A71" w14:textId="77777777" w:rsidR="00C137F8" w:rsidRPr="00A06A6E" w:rsidRDefault="00000000">
            <w:pPr>
              <w:pStyle w:val="TableParagraph"/>
              <w:spacing w:line="210" w:lineRule="exact"/>
              <w:ind w:right="99"/>
              <w:jc w:val="right"/>
              <w:rPr>
                <w:rFonts w:ascii="Times New Roman"/>
                <w:sz w:val="20"/>
              </w:rPr>
            </w:pPr>
            <w:r w:rsidRPr="00A06A6E">
              <w:rPr>
                <w:rFonts w:ascii="Times New Roman"/>
                <w:spacing w:val="-5"/>
                <w:sz w:val="20"/>
              </w:rPr>
              <w:t>,95</w:t>
            </w:r>
          </w:p>
        </w:tc>
        <w:tc>
          <w:tcPr>
            <w:tcW w:w="1123" w:type="dxa"/>
          </w:tcPr>
          <w:p w14:paraId="0824777B" w14:textId="77777777" w:rsidR="00C137F8" w:rsidRPr="00A06A6E" w:rsidRDefault="00000000">
            <w:pPr>
              <w:pStyle w:val="TableParagraph"/>
              <w:spacing w:line="210" w:lineRule="exact"/>
              <w:ind w:right="97"/>
              <w:jc w:val="right"/>
              <w:rPr>
                <w:rFonts w:ascii="Times New Roman"/>
                <w:sz w:val="20"/>
              </w:rPr>
            </w:pPr>
            <w:r w:rsidRPr="00A06A6E">
              <w:rPr>
                <w:rFonts w:ascii="Times New Roman"/>
                <w:spacing w:val="-5"/>
                <w:sz w:val="20"/>
              </w:rPr>
              <w:t>,34</w:t>
            </w:r>
          </w:p>
        </w:tc>
        <w:tc>
          <w:tcPr>
            <w:tcW w:w="2664" w:type="dxa"/>
          </w:tcPr>
          <w:p w14:paraId="7A0868D8" w14:textId="77777777" w:rsidR="00C137F8" w:rsidRPr="00A06A6E" w:rsidRDefault="00000000">
            <w:pPr>
              <w:pStyle w:val="TableParagraph"/>
              <w:spacing w:line="210" w:lineRule="exact"/>
              <w:ind w:right="399"/>
              <w:jc w:val="right"/>
              <w:rPr>
                <w:rFonts w:ascii="Times New Roman"/>
                <w:sz w:val="20"/>
              </w:rPr>
            </w:pPr>
            <w:r w:rsidRPr="00A06A6E">
              <w:rPr>
                <w:rFonts w:ascii="Times New Roman"/>
                <w:sz w:val="20"/>
              </w:rPr>
              <w:t>No</w:t>
            </w:r>
            <w:r w:rsidRPr="00A06A6E">
              <w:rPr>
                <w:rFonts w:ascii="Times New Roman"/>
                <w:spacing w:val="-3"/>
                <w:sz w:val="20"/>
              </w:rPr>
              <w:t xml:space="preserve"> </w:t>
            </w:r>
            <w:r w:rsidRPr="00A06A6E">
              <w:rPr>
                <w:rFonts w:ascii="Times New Roman"/>
                <w:spacing w:val="-2"/>
                <w:sz w:val="20"/>
              </w:rPr>
              <w:t>heteroscedasticity</w:t>
            </w:r>
          </w:p>
        </w:tc>
      </w:tr>
    </w:tbl>
    <w:p w14:paraId="54AC7E28" w14:textId="77777777" w:rsidR="00C137F8" w:rsidRPr="00A06A6E" w:rsidRDefault="00000000">
      <w:pPr>
        <w:spacing w:before="1"/>
        <w:ind w:left="1042"/>
        <w:rPr>
          <w:rFonts w:ascii="Times New Roman"/>
          <w:i/>
          <w:sz w:val="20"/>
        </w:rPr>
      </w:pPr>
      <w:r w:rsidRPr="00A06A6E">
        <w:rPr>
          <w:rFonts w:ascii="Times New Roman"/>
          <w:i/>
          <w:sz w:val="20"/>
        </w:rPr>
        <w:t>Source:</w:t>
      </w:r>
      <w:r w:rsidRPr="00A06A6E">
        <w:rPr>
          <w:rFonts w:ascii="Times New Roman"/>
          <w:i/>
          <w:spacing w:val="-9"/>
          <w:sz w:val="20"/>
        </w:rPr>
        <w:t xml:space="preserve"> </w:t>
      </w:r>
      <w:r w:rsidRPr="00A06A6E">
        <w:rPr>
          <w:rFonts w:ascii="Times New Roman"/>
          <w:i/>
          <w:sz w:val="20"/>
        </w:rPr>
        <w:t>research</w:t>
      </w:r>
      <w:r w:rsidRPr="00A06A6E">
        <w:rPr>
          <w:rFonts w:ascii="Times New Roman"/>
          <w:i/>
          <w:spacing w:val="-7"/>
          <w:sz w:val="20"/>
        </w:rPr>
        <w:t xml:space="preserve"> </w:t>
      </w:r>
      <w:r w:rsidRPr="00A06A6E">
        <w:rPr>
          <w:rFonts w:ascii="Times New Roman"/>
          <w:i/>
          <w:sz w:val="20"/>
        </w:rPr>
        <w:t>data</w:t>
      </w:r>
      <w:r w:rsidRPr="00A06A6E">
        <w:rPr>
          <w:rFonts w:ascii="Times New Roman"/>
          <w:i/>
          <w:spacing w:val="-7"/>
          <w:sz w:val="20"/>
        </w:rPr>
        <w:t xml:space="preserve"> </w:t>
      </w:r>
      <w:r w:rsidRPr="00A06A6E">
        <w:rPr>
          <w:rFonts w:ascii="Times New Roman"/>
          <w:i/>
          <w:sz w:val="20"/>
        </w:rPr>
        <w:t>processed</w:t>
      </w:r>
      <w:r w:rsidRPr="00A06A6E">
        <w:rPr>
          <w:rFonts w:ascii="Times New Roman"/>
          <w:i/>
          <w:spacing w:val="-7"/>
          <w:sz w:val="20"/>
        </w:rPr>
        <w:t xml:space="preserve"> </w:t>
      </w:r>
      <w:r w:rsidRPr="00A06A6E">
        <w:rPr>
          <w:rFonts w:ascii="Times New Roman"/>
          <w:i/>
          <w:spacing w:val="-2"/>
          <w:sz w:val="20"/>
        </w:rPr>
        <w:t>(2025)</w:t>
      </w:r>
    </w:p>
    <w:p w14:paraId="7870B4C5" w14:textId="77777777" w:rsidR="00C137F8" w:rsidRPr="00A06A6E" w:rsidRDefault="00000000">
      <w:pPr>
        <w:pStyle w:val="ListParagraph"/>
        <w:numPr>
          <w:ilvl w:val="1"/>
          <w:numId w:val="2"/>
        </w:numPr>
        <w:tabs>
          <w:tab w:val="left" w:pos="960"/>
        </w:tabs>
        <w:spacing w:before="220"/>
        <w:ind w:left="960" w:hanging="332"/>
        <w:rPr>
          <w:rFonts w:ascii="Arial"/>
          <w:b/>
          <w:sz w:val="20"/>
        </w:rPr>
      </w:pPr>
      <w:r w:rsidRPr="00A06A6E">
        <w:rPr>
          <w:rFonts w:ascii="Arial"/>
          <w:b/>
          <w:sz w:val="20"/>
        </w:rPr>
        <w:t>Multiple</w:t>
      </w:r>
      <w:r w:rsidRPr="00A06A6E">
        <w:rPr>
          <w:rFonts w:ascii="Arial"/>
          <w:b/>
          <w:spacing w:val="-11"/>
          <w:sz w:val="20"/>
        </w:rPr>
        <w:t xml:space="preserve"> </w:t>
      </w:r>
      <w:r w:rsidRPr="00A06A6E">
        <w:rPr>
          <w:rFonts w:ascii="Arial"/>
          <w:b/>
          <w:sz w:val="20"/>
        </w:rPr>
        <w:t>Linear</w:t>
      </w:r>
      <w:r w:rsidRPr="00A06A6E">
        <w:rPr>
          <w:rFonts w:ascii="Arial"/>
          <w:b/>
          <w:spacing w:val="-11"/>
          <w:sz w:val="20"/>
        </w:rPr>
        <w:t xml:space="preserve"> </w:t>
      </w:r>
      <w:r w:rsidRPr="00A06A6E">
        <w:rPr>
          <w:rFonts w:ascii="Arial"/>
          <w:b/>
          <w:sz w:val="20"/>
        </w:rPr>
        <w:t>Regression</w:t>
      </w:r>
      <w:r w:rsidRPr="00A06A6E">
        <w:rPr>
          <w:rFonts w:ascii="Arial"/>
          <w:b/>
          <w:spacing w:val="-11"/>
          <w:sz w:val="20"/>
        </w:rPr>
        <w:t xml:space="preserve"> </w:t>
      </w:r>
      <w:r w:rsidRPr="00A06A6E">
        <w:rPr>
          <w:rFonts w:ascii="Arial"/>
          <w:b/>
          <w:spacing w:val="-2"/>
          <w:sz w:val="20"/>
        </w:rPr>
        <w:t>Analysis</w:t>
      </w:r>
    </w:p>
    <w:p w14:paraId="16D3ED85" w14:textId="77777777" w:rsidR="00C137F8" w:rsidRPr="00A06A6E" w:rsidRDefault="00000000">
      <w:pPr>
        <w:pStyle w:val="BodyText"/>
        <w:spacing w:before="212" w:line="300" w:lineRule="auto"/>
        <w:ind w:left="628" w:right="252" w:firstLine="414"/>
        <w:jc w:val="both"/>
        <w:rPr>
          <w:rFonts w:ascii="Georgia"/>
        </w:rPr>
      </w:pPr>
      <w:r w:rsidRPr="00A06A6E">
        <w:rPr>
          <w:rFonts w:ascii="Georgia"/>
        </w:rPr>
        <w:t>The multiple linear regression results presented in Table 7 are used to assess model fit through the F-test, explanatory power through the adjusted R</w:t>
      </w:r>
      <w:r w:rsidRPr="00A06A6E">
        <w:rPr>
          <w:rFonts w:ascii="Georgia"/>
        </w:rPr>
        <w:t>²</w:t>
      </w:r>
      <w:r w:rsidRPr="00A06A6E">
        <w:rPr>
          <w:rFonts w:ascii="Georgia"/>
        </w:rPr>
        <w:t xml:space="preserve"> value, and the individual hypotheses through the reported significance values.</w:t>
      </w:r>
    </w:p>
    <w:p w14:paraId="5B4BB5D8" w14:textId="77777777" w:rsidR="00C137F8" w:rsidRPr="00A06A6E" w:rsidRDefault="00C137F8">
      <w:pPr>
        <w:pStyle w:val="BodyText"/>
        <w:spacing w:line="300" w:lineRule="auto"/>
        <w:jc w:val="both"/>
        <w:rPr>
          <w:rFonts w:ascii="Georgia"/>
        </w:rPr>
        <w:sectPr w:rsidR="00C137F8" w:rsidRPr="00A06A6E">
          <w:pgSz w:w="12240" w:h="15840"/>
          <w:pgMar w:top="800" w:right="1440" w:bottom="280" w:left="1080" w:header="44" w:footer="0" w:gutter="0"/>
          <w:cols w:space="720"/>
        </w:sectPr>
      </w:pPr>
    </w:p>
    <w:p w14:paraId="028C17F5" w14:textId="77777777" w:rsidR="00C137F8" w:rsidRPr="00A06A6E" w:rsidRDefault="00C137F8">
      <w:pPr>
        <w:pStyle w:val="BodyText"/>
        <w:rPr>
          <w:rFonts w:ascii="Georgia"/>
          <w:sz w:val="20"/>
        </w:rPr>
      </w:pPr>
    </w:p>
    <w:p w14:paraId="537FC87A" w14:textId="77777777" w:rsidR="00C137F8" w:rsidRPr="00A06A6E" w:rsidRDefault="00C137F8">
      <w:pPr>
        <w:pStyle w:val="BodyText"/>
        <w:rPr>
          <w:rFonts w:ascii="Georgia"/>
          <w:sz w:val="20"/>
        </w:rPr>
      </w:pPr>
    </w:p>
    <w:p w14:paraId="683ACC2F" w14:textId="77777777" w:rsidR="00C137F8" w:rsidRPr="00A06A6E" w:rsidRDefault="00C137F8">
      <w:pPr>
        <w:pStyle w:val="BodyText"/>
        <w:spacing w:before="216"/>
        <w:rPr>
          <w:rFonts w:ascii="Georgia"/>
          <w:sz w:val="20"/>
        </w:rPr>
      </w:pPr>
    </w:p>
    <w:p w14:paraId="32B80C14" w14:textId="77777777" w:rsidR="00C137F8" w:rsidRPr="00A06A6E" w:rsidRDefault="00000000">
      <w:pPr>
        <w:spacing w:line="243" w:lineRule="exact"/>
        <w:ind w:left="786"/>
        <w:jc w:val="center"/>
        <w:rPr>
          <w:rFonts w:ascii="Calibri"/>
          <w:b/>
          <w:sz w:val="20"/>
        </w:rPr>
      </w:pPr>
      <w:r w:rsidRPr="00A06A6E">
        <w:rPr>
          <w:rFonts w:ascii="Calibri"/>
          <w:b/>
          <w:sz w:val="20"/>
        </w:rPr>
        <w:t>Table</w:t>
      </w:r>
      <w:r w:rsidRPr="00A06A6E">
        <w:rPr>
          <w:rFonts w:ascii="Calibri"/>
          <w:b/>
          <w:spacing w:val="-5"/>
          <w:sz w:val="20"/>
        </w:rPr>
        <w:t xml:space="preserve"> 7.</w:t>
      </w:r>
    </w:p>
    <w:p w14:paraId="59B42F69" w14:textId="77777777" w:rsidR="00C137F8" w:rsidRPr="00A06A6E" w:rsidRDefault="00000000">
      <w:pPr>
        <w:spacing w:after="6" w:line="229" w:lineRule="exact"/>
        <w:ind w:left="786" w:right="1"/>
        <w:jc w:val="center"/>
        <w:rPr>
          <w:sz w:val="20"/>
        </w:rPr>
      </w:pPr>
      <w:r w:rsidRPr="00A06A6E">
        <w:rPr>
          <w:sz w:val="20"/>
        </w:rPr>
        <w:t>Multiple</w:t>
      </w:r>
      <w:r w:rsidRPr="00A06A6E">
        <w:rPr>
          <w:spacing w:val="-10"/>
          <w:sz w:val="20"/>
        </w:rPr>
        <w:t xml:space="preserve"> </w:t>
      </w:r>
      <w:r w:rsidRPr="00A06A6E">
        <w:rPr>
          <w:sz w:val="20"/>
        </w:rPr>
        <w:t>Regression</w:t>
      </w:r>
      <w:r w:rsidRPr="00A06A6E">
        <w:rPr>
          <w:spacing w:val="-10"/>
          <w:sz w:val="20"/>
        </w:rPr>
        <w:t xml:space="preserve"> </w:t>
      </w:r>
      <w:r w:rsidRPr="00A06A6E">
        <w:rPr>
          <w:sz w:val="20"/>
        </w:rPr>
        <w:t>Analysis</w:t>
      </w:r>
      <w:r w:rsidRPr="00A06A6E">
        <w:rPr>
          <w:spacing w:val="-9"/>
          <w:sz w:val="20"/>
        </w:rPr>
        <w:t xml:space="preserve"> </w:t>
      </w:r>
      <w:r w:rsidRPr="00A06A6E">
        <w:rPr>
          <w:spacing w:val="-2"/>
          <w:sz w:val="20"/>
        </w:rPr>
        <w:t>Results</w:t>
      </w:r>
    </w:p>
    <w:tbl>
      <w:tblPr>
        <w:tblW w:w="0" w:type="auto"/>
        <w:tblInd w:w="717" w:type="dxa"/>
        <w:tblLayout w:type="fixed"/>
        <w:tblCellMar>
          <w:left w:w="0" w:type="dxa"/>
          <w:right w:w="0" w:type="dxa"/>
        </w:tblCellMar>
        <w:tblLook w:val="01E0" w:firstRow="1" w:lastRow="1" w:firstColumn="1" w:lastColumn="1" w:noHBand="0" w:noVBand="0"/>
      </w:tblPr>
      <w:tblGrid>
        <w:gridCol w:w="3835"/>
        <w:gridCol w:w="1620"/>
        <w:gridCol w:w="940"/>
        <w:gridCol w:w="986"/>
        <w:gridCol w:w="1279"/>
      </w:tblGrid>
      <w:tr w:rsidR="00C137F8" w:rsidRPr="00A06A6E" w14:paraId="6DBC6C58" w14:textId="77777777">
        <w:trPr>
          <w:trHeight w:val="205"/>
        </w:trPr>
        <w:tc>
          <w:tcPr>
            <w:tcW w:w="3835" w:type="dxa"/>
            <w:tcBorders>
              <w:top w:val="single" w:sz="4" w:space="0" w:color="000000"/>
              <w:bottom w:val="single" w:sz="4" w:space="0" w:color="000000"/>
            </w:tcBorders>
            <w:shd w:val="clear" w:color="auto" w:fill="BFBFBF"/>
          </w:tcPr>
          <w:p w14:paraId="708BA84E" w14:textId="77777777" w:rsidR="00C137F8" w:rsidRPr="00A06A6E" w:rsidRDefault="00000000">
            <w:pPr>
              <w:pStyle w:val="TableParagraph"/>
              <w:spacing w:line="186" w:lineRule="exact"/>
              <w:ind w:left="438"/>
              <w:jc w:val="center"/>
              <w:rPr>
                <w:rFonts w:ascii="Arial"/>
                <w:b/>
                <w:sz w:val="18"/>
              </w:rPr>
            </w:pPr>
            <w:r w:rsidRPr="00A06A6E">
              <w:rPr>
                <w:rFonts w:ascii="Arial"/>
                <w:b/>
                <w:spacing w:val="-2"/>
                <w:sz w:val="18"/>
              </w:rPr>
              <w:t>Variable</w:t>
            </w:r>
          </w:p>
        </w:tc>
        <w:tc>
          <w:tcPr>
            <w:tcW w:w="1620" w:type="dxa"/>
            <w:tcBorders>
              <w:top w:val="single" w:sz="4" w:space="0" w:color="000000"/>
              <w:bottom w:val="single" w:sz="4" w:space="0" w:color="000000"/>
            </w:tcBorders>
            <w:shd w:val="clear" w:color="auto" w:fill="BFBFBF"/>
          </w:tcPr>
          <w:p w14:paraId="38C4BE62" w14:textId="77777777" w:rsidR="00C137F8" w:rsidRPr="00A06A6E" w:rsidRDefault="00000000">
            <w:pPr>
              <w:pStyle w:val="TableParagraph"/>
              <w:spacing w:line="186" w:lineRule="exact"/>
              <w:ind w:left="177"/>
              <w:rPr>
                <w:rFonts w:ascii="Arial"/>
                <w:b/>
                <w:sz w:val="18"/>
              </w:rPr>
            </w:pPr>
            <w:r w:rsidRPr="00A06A6E">
              <w:rPr>
                <w:rFonts w:ascii="Arial"/>
                <w:b/>
                <w:spacing w:val="-2"/>
                <w:sz w:val="18"/>
              </w:rPr>
              <w:t>Coefficient</w:t>
            </w:r>
          </w:p>
        </w:tc>
        <w:tc>
          <w:tcPr>
            <w:tcW w:w="940" w:type="dxa"/>
            <w:tcBorders>
              <w:top w:val="single" w:sz="4" w:space="0" w:color="000000"/>
              <w:bottom w:val="single" w:sz="4" w:space="0" w:color="000000"/>
            </w:tcBorders>
            <w:shd w:val="clear" w:color="auto" w:fill="BFBFBF"/>
          </w:tcPr>
          <w:p w14:paraId="6EC88DCA" w14:textId="77777777" w:rsidR="00C137F8" w:rsidRPr="00A06A6E" w:rsidRDefault="00000000">
            <w:pPr>
              <w:pStyle w:val="TableParagraph"/>
              <w:spacing w:line="186" w:lineRule="exact"/>
              <w:ind w:left="199"/>
              <w:rPr>
                <w:rFonts w:ascii="Arial"/>
                <w:b/>
                <w:sz w:val="18"/>
              </w:rPr>
            </w:pPr>
            <w:r w:rsidRPr="00A06A6E">
              <w:rPr>
                <w:rFonts w:ascii="Arial"/>
                <w:b/>
                <w:spacing w:val="-10"/>
                <w:sz w:val="18"/>
              </w:rPr>
              <w:t>t</w:t>
            </w:r>
          </w:p>
        </w:tc>
        <w:tc>
          <w:tcPr>
            <w:tcW w:w="986" w:type="dxa"/>
            <w:tcBorders>
              <w:top w:val="single" w:sz="4" w:space="0" w:color="000000"/>
              <w:bottom w:val="single" w:sz="4" w:space="0" w:color="000000"/>
            </w:tcBorders>
            <w:shd w:val="clear" w:color="auto" w:fill="BFBFBF"/>
          </w:tcPr>
          <w:p w14:paraId="1EF47692" w14:textId="77777777" w:rsidR="00C137F8" w:rsidRPr="00A06A6E" w:rsidRDefault="00000000">
            <w:pPr>
              <w:pStyle w:val="TableParagraph"/>
              <w:spacing w:line="186" w:lineRule="exact"/>
              <w:ind w:left="256"/>
              <w:rPr>
                <w:rFonts w:ascii="Arial"/>
                <w:b/>
                <w:sz w:val="18"/>
              </w:rPr>
            </w:pPr>
            <w:r w:rsidRPr="00A06A6E">
              <w:rPr>
                <w:rFonts w:ascii="Arial"/>
                <w:b/>
                <w:spacing w:val="-4"/>
                <w:sz w:val="18"/>
              </w:rPr>
              <w:t>Sig.</w:t>
            </w:r>
          </w:p>
        </w:tc>
        <w:tc>
          <w:tcPr>
            <w:tcW w:w="1279" w:type="dxa"/>
            <w:tcBorders>
              <w:top w:val="single" w:sz="4" w:space="0" w:color="000000"/>
              <w:bottom w:val="single" w:sz="4" w:space="0" w:color="000000"/>
            </w:tcBorders>
            <w:shd w:val="clear" w:color="auto" w:fill="BFBFBF"/>
          </w:tcPr>
          <w:p w14:paraId="23758001" w14:textId="77777777" w:rsidR="00C137F8" w:rsidRPr="00A06A6E" w:rsidRDefault="00000000">
            <w:pPr>
              <w:pStyle w:val="TableParagraph"/>
              <w:spacing w:line="186" w:lineRule="exact"/>
              <w:ind w:left="264"/>
              <w:rPr>
                <w:rFonts w:ascii="Arial"/>
                <w:b/>
                <w:sz w:val="18"/>
              </w:rPr>
            </w:pPr>
            <w:r w:rsidRPr="00A06A6E">
              <w:rPr>
                <w:rFonts w:ascii="Arial"/>
                <w:b/>
                <w:spacing w:val="-2"/>
                <w:sz w:val="18"/>
              </w:rPr>
              <w:t>Decision</w:t>
            </w:r>
          </w:p>
        </w:tc>
      </w:tr>
      <w:tr w:rsidR="00C137F8" w:rsidRPr="00A06A6E" w14:paraId="37DC0BF7" w14:textId="77777777">
        <w:trPr>
          <w:trHeight w:val="282"/>
        </w:trPr>
        <w:tc>
          <w:tcPr>
            <w:tcW w:w="3835" w:type="dxa"/>
            <w:tcBorders>
              <w:top w:val="single" w:sz="4" w:space="0" w:color="000000"/>
            </w:tcBorders>
          </w:tcPr>
          <w:p w14:paraId="70955ED5" w14:textId="77777777" w:rsidR="00C137F8" w:rsidRPr="00A06A6E" w:rsidRDefault="00000000">
            <w:pPr>
              <w:pStyle w:val="TableParagraph"/>
              <w:spacing w:before="19"/>
              <w:ind w:left="124"/>
              <w:rPr>
                <w:rFonts w:ascii="Times New Roman"/>
                <w:sz w:val="20"/>
              </w:rPr>
            </w:pPr>
            <w:r w:rsidRPr="00A06A6E">
              <w:rPr>
                <w:rFonts w:ascii="Times New Roman"/>
                <w:spacing w:val="-2"/>
                <w:sz w:val="20"/>
              </w:rPr>
              <w:t>(Constant)</w:t>
            </w:r>
          </w:p>
        </w:tc>
        <w:tc>
          <w:tcPr>
            <w:tcW w:w="1620" w:type="dxa"/>
            <w:tcBorders>
              <w:top w:val="single" w:sz="4" w:space="0" w:color="000000"/>
            </w:tcBorders>
          </w:tcPr>
          <w:p w14:paraId="2D63FCC1" w14:textId="77777777" w:rsidR="00C137F8" w:rsidRPr="00A06A6E" w:rsidRDefault="00000000">
            <w:pPr>
              <w:pStyle w:val="TableParagraph"/>
              <w:spacing w:before="19"/>
              <w:ind w:left="753"/>
              <w:rPr>
                <w:rFonts w:ascii="Times New Roman"/>
                <w:sz w:val="20"/>
              </w:rPr>
            </w:pPr>
            <w:r w:rsidRPr="00A06A6E">
              <w:rPr>
                <w:rFonts w:ascii="Times New Roman"/>
                <w:spacing w:val="-2"/>
                <w:sz w:val="20"/>
              </w:rPr>
              <w:t>-</w:t>
            </w:r>
            <w:r w:rsidRPr="00A06A6E">
              <w:rPr>
                <w:rFonts w:ascii="Times New Roman"/>
                <w:spacing w:val="-4"/>
                <w:sz w:val="20"/>
              </w:rPr>
              <w:t>.046</w:t>
            </w:r>
          </w:p>
        </w:tc>
        <w:tc>
          <w:tcPr>
            <w:tcW w:w="940" w:type="dxa"/>
            <w:tcBorders>
              <w:top w:val="single" w:sz="4" w:space="0" w:color="000000"/>
            </w:tcBorders>
          </w:tcPr>
          <w:p w14:paraId="6FE436D3" w14:textId="77777777" w:rsidR="00C137F8" w:rsidRPr="00A06A6E" w:rsidRDefault="00000000">
            <w:pPr>
              <w:pStyle w:val="TableParagraph"/>
              <w:spacing w:before="19"/>
              <w:ind w:right="251"/>
              <w:jc w:val="right"/>
              <w:rPr>
                <w:rFonts w:ascii="Times New Roman"/>
                <w:sz w:val="20"/>
              </w:rPr>
            </w:pPr>
            <w:r w:rsidRPr="00A06A6E">
              <w:rPr>
                <w:rFonts w:ascii="Times New Roman"/>
                <w:spacing w:val="-2"/>
                <w:sz w:val="20"/>
              </w:rPr>
              <w:t>-4.666</w:t>
            </w:r>
          </w:p>
        </w:tc>
        <w:tc>
          <w:tcPr>
            <w:tcW w:w="986" w:type="dxa"/>
            <w:tcBorders>
              <w:top w:val="single" w:sz="4" w:space="0" w:color="000000"/>
            </w:tcBorders>
          </w:tcPr>
          <w:p w14:paraId="21183E21" w14:textId="77777777" w:rsidR="00C137F8" w:rsidRPr="00A06A6E" w:rsidRDefault="00000000">
            <w:pPr>
              <w:pStyle w:val="TableParagraph"/>
              <w:spacing w:before="19"/>
              <w:ind w:right="104"/>
              <w:jc w:val="right"/>
              <w:rPr>
                <w:rFonts w:ascii="Times New Roman"/>
                <w:sz w:val="20"/>
              </w:rPr>
            </w:pPr>
            <w:r w:rsidRPr="00A06A6E">
              <w:rPr>
                <w:rFonts w:ascii="Times New Roman"/>
                <w:spacing w:val="-4"/>
                <w:sz w:val="20"/>
              </w:rPr>
              <w:t>.000</w:t>
            </w:r>
          </w:p>
        </w:tc>
        <w:tc>
          <w:tcPr>
            <w:tcW w:w="1279" w:type="dxa"/>
            <w:tcBorders>
              <w:top w:val="single" w:sz="4" w:space="0" w:color="000000"/>
            </w:tcBorders>
          </w:tcPr>
          <w:p w14:paraId="3A144D08" w14:textId="77777777" w:rsidR="00C137F8" w:rsidRPr="00A06A6E" w:rsidRDefault="00000000">
            <w:pPr>
              <w:pStyle w:val="TableParagraph"/>
              <w:spacing w:before="19"/>
              <w:ind w:left="111"/>
              <w:rPr>
                <w:rFonts w:ascii="Times New Roman"/>
                <w:sz w:val="20"/>
              </w:rPr>
            </w:pPr>
            <w:r w:rsidRPr="00A06A6E">
              <w:rPr>
                <w:rFonts w:ascii="Times New Roman"/>
                <w:sz w:val="20"/>
              </w:rPr>
              <w:t>-</w:t>
            </w:r>
          </w:p>
        </w:tc>
      </w:tr>
      <w:tr w:rsidR="00C137F8" w:rsidRPr="00A06A6E" w14:paraId="7CF014B7" w14:textId="77777777">
        <w:trPr>
          <w:trHeight w:val="273"/>
        </w:trPr>
        <w:tc>
          <w:tcPr>
            <w:tcW w:w="3835" w:type="dxa"/>
          </w:tcPr>
          <w:p w14:paraId="0FC3D754" w14:textId="77777777" w:rsidR="00C137F8" w:rsidRPr="00A06A6E" w:rsidRDefault="00000000">
            <w:pPr>
              <w:pStyle w:val="TableParagraph"/>
              <w:spacing w:before="25" w:line="228" w:lineRule="exact"/>
              <w:ind w:left="124"/>
              <w:rPr>
                <w:rFonts w:ascii="Times New Roman"/>
                <w:sz w:val="20"/>
              </w:rPr>
            </w:pPr>
            <w:r w:rsidRPr="00A06A6E">
              <w:rPr>
                <w:rFonts w:ascii="Times New Roman"/>
                <w:spacing w:val="-2"/>
                <w:sz w:val="20"/>
              </w:rPr>
              <w:t>Profitability</w:t>
            </w:r>
            <w:r w:rsidRPr="00A06A6E">
              <w:rPr>
                <w:rFonts w:ascii="Times New Roman"/>
                <w:spacing w:val="13"/>
                <w:sz w:val="20"/>
              </w:rPr>
              <w:t xml:space="preserve"> </w:t>
            </w:r>
            <w:r w:rsidRPr="00A06A6E">
              <w:rPr>
                <w:rFonts w:ascii="Times New Roman"/>
                <w:spacing w:val="-5"/>
                <w:sz w:val="20"/>
              </w:rPr>
              <w:t>(P)</w:t>
            </w:r>
          </w:p>
        </w:tc>
        <w:tc>
          <w:tcPr>
            <w:tcW w:w="1620" w:type="dxa"/>
          </w:tcPr>
          <w:p w14:paraId="672867C3" w14:textId="77777777" w:rsidR="00C137F8" w:rsidRPr="00A06A6E" w:rsidRDefault="00000000">
            <w:pPr>
              <w:pStyle w:val="TableParagraph"/>
              <w:spacing w:before="25" w:line="228" w:lineRule="exact"/>
              <w:ind w:left="820"/>
              <w:rPr>
                <w:rFonts w:ascii="Times New Roman"/>
                <w:sz w:val="20"/>
              </w:rPr>
            </w:pPr>
            <w:r w:rsidRPr="00A06A6E">
              <w:rPr>
                <w:rFonts w:ascii="Times New Roman"/>
                <w:spacing w:val="-4"/>
                <w:sz w:val="20"/>
              </w:rPr>
              <w:t>.067</w:t>
            </w:r>
          </w:p>
        </w:tc>
        <w:tc>
          <w:tcPr>
            <w:tcW w:w="940" w:type="dxa"/>
          </w:tcPr>
          <w:p w14:paraId="1421912A" w14:textId="77777777" w:rsidR="00C137F8" w:rsidRPr="00A06A6E" w:rsidRDefault="00000000">
            <w:pPr>
              <w:pStyle w:val="TableParagraph"/>
              <w:spacing w:before="25" w:line="228" w:lineRule="exact"/>
              <w:ind w:right="251"/>
              <w:jc w:val="right"/>
              <w:rPr>
                <w:rFonts w:ascii="Times New Roman"/>
                <w:sz w:val="20"/>
              </w:rPr>
            </w:pPr>
            <w:r w:rsidRPr="00A06A6E">
              <w:rPr>
                <w:rFonts w:ascii="Times New Roman"/>
                <w:spacing w:val="-2"/>
                <w:sz w:val="20"/>
              </w:rPr>
              <w:t>2.555</w:t>
            </w:r>
          </w:p>
        </w:tc>
        <w:tc>
          <w:tcPr>
            <w:tcW w:w="986" w:type="dxa"/>
          </w:tcPr>
          <w:p w14:paraId="66CAAC42" w14:textId="77777777" w:rsidR="00C137F8" w:rsidRPr="00A06A6E" w:rsidRDefault="00000000">
            <w:pPr>
              <w:pStyle w:val="TableParagraph"/>
              <w:spacing w:before="25" w:line="228" w:lineRule="exact"/>
              <w:ind w:right="104"/>
              <w:jc w:val="right"/>
              <w:rPr>
                <w:rFonts w:ascii="Times New Roman"/>
                <w:sz w:val="20"/>
              </w:rPr>
            </w:pPr>
            <w:r w:rsidRPr="00A06A6E">
              <w:rPr>
                <w:rFonts w:ascii="Times New Roman"/>
                <w:spacing w:val="-4"/>
                <w:sz w:val="20"/>
              </w:rPr>
              <w:t>.012</w:t>
            </w:r>
          </w:p>
        </w:tc>
        <w:tc>
          <w:tcPr>
            <w:tcW w:w="1279" w:type="dxa"/>
          </w:tcPr>
          <w:p w14:paraId="083F3C11" w14:textId="77777777" w:rsidR="00C137F8" w:rsidRPr="00A06A6E" w:rsidRDefault="00000000">
            <w:pPr>
              <w:pStyle w:val="TableParagraph"/>
              <w:spacing w:before="25" w:line="228" w:lineRule="exact"/>
              <w:ind w:left="111"/>
              <w:rPr>
                <w:rFonts w:ascii="Times New Roman"/>
                <w:sz w:val="20"/>
              </w:rPr>
            </w:pPr>
            <w:r w:rsidRPr="00A06A6E">
              <w:rPr>
                <w:rFonts w:ascii="Times New Roman"/>
                <w:sz w:val="20"/>
              </w:rPr>
              <w:t>H1</w:t>
            </w:r>
            <w:r w:rsidRPr="00A06A6E">
              <w:rPr>
                <w:rFonts w:ascii="Times New Roman"/>
                <w:spacing w:val="-3"/>
                <w:sz w:val="20"/>
              </w:rPr>
              <w:t xml:space="preserve"> </w:t>
            </w:r>
            <w:r w:rsidRPr="00A06A6E">
              <w:rPr>
                <w:rFonts w:ascii="Times New Roman"/>
                <w:spacing w:val="-2"/>
                <w:sz w:val="20"/>
              </w:rPr>
              <w:t>accepted</w:t>
            </w:r>
          </w:p>
        </w:tc>
      </w:tr>
      <w:tr w:rsidR="00C137F8" w:rsidRPr="00A06A6E" w14:paraId="3DEE859D" w14:textId="77777777">
        <w:trPr>
          <w:trHeight w:val="264"/>
        </w:trPr>
        <w:tc>
          <w:tcPr>
            <w:tcW w:w="3835" w:type="dxa"/>
          </w:tcPr>
          <w:p w14:paraId="2157A7B2" w14:textId="77777777" w:rsidR="00C137F8" w:rsidRPr="00A06A6E" w:rsidRDefault="00000000">
            <w:pPr>
              <w:pStyle w:val="TableParagraph"/>
              <w:spacing w:before="11"/>
              <w:ind w:left="124"/>
              <w:rPr>
                <w:rFonts w:ascii="Times New Roman"/>
                <w:sz w:val="20"/>
              </w:rPr>
            </w:pPr>
            <w:r w:rsidRPr="00A06A6E">
              <w:rPr>
                <w:rFonts w:ascii="Times New Roman"/>
                <w:spacing w:val="-2"/>
                <w:sz w:val="20"/>
              </w:rPr>
              <w:t>Leverage</w:t>
            </w:r>
            <w:r w:rsidRPr="00A06A6E">
              <w:rPr>
                <w:rFonts w:ascii="Times New Roman"/>
                <w:spacing w:val="1"/>
                <w:sz w:val="20"/>
              </w:rPr>
              <w:t xml:space="preserve"> </w:t>
            </w:r>
            <w:r w:rsidRPr="00A06A6E">
              <w:rPr>
                <w:rFonts w:ascii="Times New Roman"/>
                <w:spacing w:val="-5"/>
                <w:sz w:val="20"/>
              </w:rPr>
              <w:t>(L)</w:t>
            </w:r>
          </w:p>
        </w:tc>
        <w:tc>
          <w:tcPr>
            <w:tcW w:w="1620" w:type="dxa"/>
          </w:tcPr>
          <w:p w14:paraId="3AC90AD7" w14:textId="77777777" w:rsidR="00C137F8" w:rsidRPr="00A06A6E" w:rsidRDefault="00000000">
            <w:pPr>
              <w:pStyle w:val="TableParagraph"/>
              <w:spacing w:before="15" w:line="228" w:lineRule="exact"/>
              <w:ind w:left="820"/>
              <w:rPr>
                <w:rFonts w:ascii="Times New Roman"/>
                <w:sz w:val="20"/>
              </w:rPr>
            </w:pPr>
            <w:r w:rsidRPr="00A06A6E">
              <w:rPr>
                <w:rFonts w:ascii="Times New Roman"/>
                <w:spacing w:val="-4"/>
                <w:sz w:val="20"/>
              </w:rPr>
              <w:t>.008</w:t>
            </w:r>
          </w:p>
        </w:tc>
        <w:tc>
          <w:tcPr>
            <w:tcW w:w="940" w:type="dxa"/>
          </w:tcPr>
          <w:p w14:paraId="4DB1B644" w14:textId="77777777" w:rsidR="00C137F8" w:rsidRPr="00A06A6E" w:rsidRDefault="00000000">
            <w:pPr>
              <w:pStyle w:val="TableParagraph"/>
              <w:spacing w:before="15" w:line="228" w:lineRule="exact"/>
              <w:ind w:right="251"/>
              <w:jc w:val="right"/>
              <w:rPr>
                <w:rFonts w:ascii="Times New Roman"/>
                <w:sz w:val="20"/>
              </w:rPr>
            </w:pPr>
            <w:r w:rsidRPr="00A06A6E">
              <w:rPr>
                <w:rFonts w:ascii="Times New Roman"/>
                <w:spacing w:val="-2"/>
                <w:sz w:val="20"/>
              </w:rPr>
              <w:t>2.985</w:t>
            </w:r>
          </w:p>
        </w:tc>
        <w:tc>
          <w:tcPr>
            <w:tcW w:w="986" w:type="dxa"/>
          </w:tcPr>
          <w:p w14:paraId="35AA3894" w14:textId="77777777" w:rsidR="00C137F8" w:rsidRPr="00A06A6E" w:rsidRDefault="00000000">
            <w:pPr>
              <w:pStyle w:val="TableParagraph"/>
              <w:spacing w:before="15" w:line="228" w:lineRule="exact"/>
              <w:ind w:right="104"/>
              <w:jc w:val="right"/>
              <w:rPr>
                <w:rFonts w:ascii="Times New Roman"/>
                <w:sz w:val="20"/>
              </w:rPr>
            </w:pPr>
            <w:r w:rsidRPr="00A06A6E">
              <w:rPr>
                <w:rFonts w:ascii="Times New Roman"/>
                <w:spacing w:val="-4"/>
                <w:sz w:val="20"/>
              </w:rPr>
              <w:t>.003</w:t>
            </w:r>
          </w:p>
        </w:tc>
        <w:tc>
          <w:tcPr>
            <w:tcW w:w="1279" w:type="dxa"/>
          </w:tcPr>
          <w:p w14:paraId="5E49527E" w14:textId="77777777" w:rsidR="00C137F8" w:rsidRPr="00A06A6E" w:rsidRDefault="00000000">
            <w:pPr>
              <w:pStyle w:val="TableParagraph"/>
              <w:spacing w:before="15" w:line="228" w:lineRule="exact"/>
              <w:ind w:left="111"/>
              <w:rPr>
                <w:rFonts w:ascii="Times New Roman"/>
                <w:sz w:val="20"/>
              </w:rPr>
            </w:pPr>
            <w:r w:rsidRPr="00A06A6E">
              <w:rPr>
                <w:rFonts w:ascii="Times New Roman"/>
                <w:sz w:val="20"/>
              </w:rPr>
              <w:t>H2</w:t>
            </w:r>
            <w:r w:rsidRPr="00A06A6E">
              <w:rPr>
                <w:rFonts w:ascii="Times New Roman"/>
                <w:spacing w:val="-3"/>
                <w:sz w:val="20"/>
              </w:rPr>
              <w:t xml:space="preserve"> </w:t>
            </w:r>
            <w:r w:rsidRPr="00A06A6E">
              <w:rPr>
                <w:rFonts w:ascii="Times New Roman"/>
                <w:spacing w:val="-2"/>
                <w:sz w:val="20"/>
              </w:rPr>
              <w:t>accepted</w:t>
            </w:r>
          </w:p>
        </w:tc>
      </w:tr>
      <w:tr w:rsidR="00C137F8" w:rsidRPr="00A06A6E" w14:paraId="49AFA103" w14:textId="77777777">
        <w:trPr>
          <w:trHeight w:val="266"/>
        </w:trPr>
        <w:tc>
          <w:tcPr>
            <w:tcW w:w="3835" w:type="dxa"/>
          </w:tcPr>
          <w:p w14:paraId="0288A9B6" w14:textId="77777777" w:rsidR="00C137F8" w:rsidRPr="00A06A6E" w:rsidRDefault="00000000">
            <w:pPr>
              <w:pStyle w:val="TableParagraph"/>
              <w:spacing w:before="11"/>
              <w:ind w:left="124"/>
              <w:rPr>
                <w:rFonts w:ascii="Times New Roman"/>
                <w:sz w:val="20"/>
              </w:rPr>
            </w:pPr>
            <w:proofErr w:type="spellStart"/>
            <w:r w:rsidRPr="00A06A6E">
              <w:rPr>
                <w:rFonts w:ascii="Times New Roman"/>
                <w:sz w:val="20"/>
              </w:rPr>
              <w:t>Copporate</w:t>
            </w:r>
            <w:proofErr w:type="spellEnd"/>
            <w:r w:rsidRPr="00A06A6E">
              <w:rPr>
                <w:rFonts w:ascii="Times New Roman"/>
                <w:spacing w:val="50"/>
                <w:sz w:val="20"/>
              </w:rPr>
              <w:t xml:space="preserve"> </w:t>
            </w:r>
            <w:r w:rsidRPr="00A06A6E">
              <w:rPr>
                <w:rFonts w:ascii="Times New Roman"/>
                <w:spacing w:val="-2"/>
                <w:sz w:val="20"/>
              </w:rPr>
              <w:t>Activity(CA)</w:t>
            </w:r>
          </w:p>
        </w:tc>
        <w:tc>
          <w:tcPr>
            <w:tcW w:w="1620" w:type="dxa"/>
          </w:tcPr>
          <w:p w14:paraId="4FE35E25" w14:textId="77777777" w:rsidR="00C137F8" w:rsidRPr="00A06A6E" w:rsidRDefault="00000000">
            <w:pPr>
              <w:pStyle w:val="TableParagraph"/>
              <w:spacing w:before="15"/>
              <w:ind w:left="820"/>
              <w:rPr>
                <w:rFonts w:ascii="Times New Roman"/>
                <w:sz w:val="20"/>
              </w:rPr>
            </w:pPr>
            <w:r w:rsidRPr="00A06A6E">
              <w:rPr>
                <w:rFonts w:ascii="Times New Roman"/>
                <w:spacing w:val="-4"/>
                <w:sz w:val="20"/>
              </w:rPr>
              <w:t>.002</w:t>
            </w:r>
          </w:p>
        </w:tc>
        <w:tc>
          <w:tcPr>
            <w:tcW w:w="940" w:type="dxa"/>
          </w:tcPr>
          <w:p w14:paraId="609F7FAB" w14:textId="77777777" w:rsidR="00C137F8" w:rsidRPr="00A06A6E" w:rsidRDefault="00000000">
            <w:pPr>
              <w:pStyle w:val="TableParagraph"/>
              <w:spacing w:before="15"/>
              <w:ind w:right="251"/>
              <w:jc w:val="right"/>
              <w:rPr>
                <w:rFonts w:ascii="Times New Roman"/>
                <w:sz w:val="20"/>
              </w:rPr>
            </w:pPr>
            <w:r w:rsidRPr="00A06A6E">
              <w:rPr>
                <w:rFonts w:ascii="Times New Roman"/>
                <w:spacing w:val="-4"/>
                <w:sz w:val="20"/>
              </w:rPr>
              <w:t>.718</w:t>
            </w:r>
          </w:p>
        </w:tc>
        <w:tc>
          <w:tcPr>
            <w:tcW w:w="986" w:type="dxa"/>
          </w:tcPr>
          <w:p w14:paraId="61F1A5E0" w14:textId="77777777" w:rsidR="00C137F8" w:rsidRPr="00A06A6E" w:rsidRDefault="00000000">
            <w:pPr>
              <w:pStyle w:val="TableParagraph"/>
              <w:spacing w:before="15"/>
              <w:ind w:right="104"/>
              <w:jc w:val="right"/>
              <w:rPr>
                <w:rFonts w:ascii="Times New Roman"/>
                <w:sz w:val="20"/>
              </w:rPr>
            </w:pPr>
            <w:r w:rsidRPr="00A06A6E">
              <w:rPr>
                <w:rFonts w:ascii="Times New Roman"/>
                <w:spacing w:val="-4"/>
                <w:sz w:val="20"/>
              </w:rPr>
              <w:t>.474</w:t>
            </w:r>
          </w:p>
        </w:tc>
        <w:tc>
          <w:tcPr>
            <w:tcW w:w="1279" w:type="dxa"/>
          </w:tcPr>
          <w:p w14:paraId="0E756BA7" w14:textId="77777777" w:rsidR="00C137F8" w:rsidRPr="00A06A6E" w:rsidRDefault="00000000">
            <w:pPr>
              <w:pStyle w:val="TableParagraph"/>
              <w:spacing w:before="15"/>
              <w:ind w:left="111"/>
              <w:rPr>
                <w:rFonts w:ascii="Times New Roman"/>
                <w:sz w:val="20"/>
              </w:rPr>
            </w:pPr>
            <w:r w:rsidRPr="00A06A6E">
              <w:rPr>
                <w:rFonts w:ascii="Times New Roman"/>
                <w:sz w:val="20"/>
              </w:rPr>
              <w:t>H3</w:t>
            </w:r>
            <w:r w:rsidRPr="00A06A6E">
              <w:rPr>
                <w:rFonts w:ascii="Times New Roman"/>
                <w:spacing w:val="-3"/>
                <w:sz w:val="20"/>
              </w:rPr>
              <w:t xml:space="preserve"> </w:t>
            </w:r>
            <w:r w:rsidRPr="00A06A6E">
              <w:rPr>
                <w:rFonts w:ascii="Times New Roman"/>
                <w:spacing w:val="-2"/>
                <w:sz w:val="20"/>
              </w:rPr>
              <w:t>reject</w:t>
            </w:r>
          </w:p>
        </w:tc>
      </w:tr>
      <w:tr w:rsidR="00C137F8" w:rsidRPr="00A06A6E" w14:paraId="18BB7D7C" w14:textId="77777777">
        <w:trPr>
          <w:trHeight w:val="261"/>
        </w:trPr>
        <w:tc>
          <w:tcPr>
            <w:tcW w:w="3835" w:type="dxa"/>
          </w:tcPr>
          <w:p w14:paraId="71C0C488" w14:textId="77777777" w:rsidR="00C137F8" w:rsidRPr="00A06A6E" w:rsidRDefault="00000000">
            <w:pPr>
              <w:pStyle w:val="TableParagraph"/>
              <w:spacing w:before="13" w:line="228" w:lineRule="exact"/>
              <w:ind w:left="124"/>
              <w:rPr>
                <w:rFonts w:ascii="Times New Roman"/>
                <w:sz w:val="20"/>
              </w:rPr>
            </w:pPr>
            <w:r w:rsidRPr="00A06A6E">
              <w:rPr>
                <w:rFonts w:ascii="Times New Roman"/>
                <w:spacing w:val="-2"/>
                <w:sz w:val="20"/>
              </w:rPr>
              <w:t>Independent</w:t>
            </w:r>
            <w:r w:rsidRPr="00A06A6E">
              <w:rPr>
                <w:rFonts w:ascii="Times New Roman"/>
                <w:sz w:val="20"/>
              </w:rPr>
              <w:t xml:space="preserve"> </w:t>
            </w:r>
            <w:r w:rsidRPr="00A06A6E">
              <w:rPr>
                <w:rFonts w:ascii="Times New Roman"/>
                <w:spacing w:val="-2"/>
                <w:sz w:val="20"/>
              </w:rPr>
              <w:t>Board</w:t>
            </w:r>
            <w:r w:rsidRPr="00A06A6E">
              <w:rPr>
                <w:rFonts w:ascii="Times New Roman"/>
                <w:spacing w:val="4"/>
                <w:sz w:val="20"/>
              </w:rPr>
              <w:t xml:space="preserve"> </w:t>
            </w:r>
            <w:r w:rsidRPr="00A06A6E">
              <w:rPr>
                <w:rFonts w:ascii="Times New Roman"/>
                <w:spacing w:val="-2"/>
                <w:sz w:val="20"/>
              </w:rPr>
              <w:t>of</w:t>
            </w:r>
            <w:r w:rsidRPr="00A06A6E">
              <w:rPr>
                <w:rFonts w:ascii="Times New Roman"/>
                <w:spacing w:val="1"/>
                <w:sz w:val="20"/>
              </w:rPr>
              <w:t xml:space="preserve"> </w:t>
            </w:r>
            <w:r w:rsidRPr="00A06A6E">
              <w:rPr>
                <w:rFonts w:ascii="Times New Roman"/>
                <w:spacing w:val="-2"/>
                <w:sz w:val="20"/>
              </w:rPr>
              <w:t>Commissioners</w:t>
            </w:r>
            <w:r w:rsidRPr="00A06A6E">
              <w:rPr>
                <w:rFonts w:ascii="Times New Roman"/>
                <w:spacing w:val="1"/>
                <w:sz w:val="20"/>
              </w:rPr>
              <w:t xml:space="preserve"> </w:t>
            </w:r>
            <w:r w:rsidRPr="00A06A6E">
              <w:rPr>
                <w:rFonts w:ascii="Times New Roman"/>
                <w:spacing w:val="-2"/>
                <w:sz w:val="20"/>
              </w:rPr>
              <w:t>(IBC)</w:t>
            </w:r>
          </w:p>
        </w:tc>
        <w:tc>
          <w:tcPr>
            <w:tcW w:w="1620" w:type="dxa"/>
          </w:tcPr>
          <w:p w14:paraId="0B408A73" w14:textId="77777777" w:rsidR="00C137F8" w:rsidRPr="00A06A6E" w:rsidRDefault="00000000">
            <w:pPr>
              <w:pStyle w:val="TableParagraph"/>
              <w:spacing w:before="13" w:line="228" w:lineRule="exact"/>
              <w:ind w:left="820"/>
              <w:rPr>
                <w:rFonts w:ascii="Times New Roman"/>
                <w:sz w:val="20"/>
              </w:rPr>
            </w:pPr>
            <w:r w:rsidRPr="00A06A6E">
              <w:rPr>
                <w:rFonts w:ascii="Times New Roman"/>
                <w:spacing w:val="-4"/>
                <w:sz w:val="20"/>
              </w:rPr>
              <w:t>.042</w:t>
            </w:r>
          </w:p>
        </w:tc>
        <w:tc>
          <w:tcPr>
            <w:tcW w:w="940" w:type="dxa"/>
          </w:tcPr>
          <w:p w14:paraId="460C06C3" w14:textId="77777777" w:rsidR="00C137F8" w:rsidRPr="00A06A6E" w:rsidRDefault="00000000">
            <w:pPr>
              <w:pStyle w:val="TableParagraph"/>
              <w:spacing w:before="13" w:line="228" w:lineRule="exact"/>
              <w:ind w:right="251"/>
              <w:jc w:val="right"/>
              <w:rPr>
                <w:rFonts w:ascii="Times New Roman"/>
                <w:sz w:val="20"/>
              </w:rPr>
            </w:pPr>
            <w:r w:rsidRPr="00A06A6E">
              <w:rPr>
                <w:rFonts w:ascii="Times New Roman"/>
                <w:spacing w:val="-2"/>
                <w:sz w:val="20"/>
              </w:rPr>
              <w:t>2.649</w:t>
            </w:r>
          </w:p>
        </w:tc>
        <w:tc>
          <w:tcPr>
            <w:tcW w:w="986" w:type="dxa"/>
          </w:tcPr>
          <w:p w14:paraId="566C4E64" w14:textId="77777777" w:rsidR="00C137F8" w:rsidRPr="00A06A6E" w:rsidRDefault="00000000">
            <w:pPr>
              <w:pStyle w:val="TableParagraph"/>
              <w:spacing w:before="13" w:line="228" w:lineRule="exact"/>
              <w:ind w:right="104"/>
              <w:jc w:val="right"/>
              <w:rPr>
                <w:rFonts w:ascii="Times New Roman"/>
                <w:sz w:val="20"/>
              </w:rPr>
            </w:pPr>
            <w:r w:rsidRPr="00A06A6E">
              <w:rPr>
                <w:rFonts w:ascii="Times New Roman"/>
                <w:spacing w:val="-4"/>
                <w:sz w:val="20"/>
              </w:rPr>
              <w:t>.009</w:t>
            </w:r>
          </w:p>
        </w:tc>
        <w:tc>
          <w:tcPr>
            <w:tcW w:w="1279" w:type="dxa"/>
          </w:tcPr>
          <w:p w14:paraId="14082D38" w14:textId="77777777" w:rsidR="00C137F8" w:rsidRPr="00A06A6E" w:rsidRDefault="00000000">
            <w:pPr>
              <w:pStyle w:val="TableParagraph"/>
              <w:spacing w:before="13" w:line="228" w:lineRule="exact"/>
              <w:ind w:left="111"/>
              <w:rPr>
                <w:rFonts w:ascii="Times New Roman"/>
                <w:sz w:val="20"/>
              </w:rPr>
            </w:pPr>
            <w:r w:rsidRPr="00A06A6E">
              <w:rPr>
                <w:rFonts w:ascii="Times New Roman"/>
                <w:sz w:val="20"/>
              </w:rPr>
              <w:t>H4</w:t>
            </w:r>
            <w:r w:rsidRPr="00A06A6E">
              <w:rPr>
                <w:rFonts w:ascii="Times New Roman"/>
                <w:spacing w:val="-3"/>
                <w:sz w:val="20"/>
              </w:rPr>
              <w:t xml:space="preserve"> </w:t>
            </w:r>
            <w:r w:rsidRPr="00A06A6E">
              <w:rPr>
                <w:rFonts w:ascii="Times New Roman"/>
                <w:spacing w:val="-2"/>
                <w:sz w:val="20"/>
              </w:rPr>
              <w:t>accepted</w:t>
            </w:r>
          </w:p>
        </w:tc>
      </w:tr>
      <w:tr w:rsidR="00C137F8" w:rsidRPr="00A06A6E" w14:paraId="1E312744" w14:textId="77777777">
        <w:trPr>
          <w:trHeight w:val="266"/>
        </w:trPr>
        <w:tc>
          <w:tcPr>
            <w:tcW w:w="3835" w:type="dxa"/>
          </w:tcPr>
          <w:p w14:paraId="6BC9C41A" w14:textId="77777777" w:rsidR="00C137F8" w:rsidRPr="00A06A6E" w:rsidRDefault="00000000">
            <w:pPr>
              <w:pStyle w:val="TableParagraph"/>
              <w:spacing w:before="11"/>
              <w:ind w:left="124"/>
              <w:rPr>
                <w:rFonts w:ascii="Times New Roman"/>
                <w:sz w:val="20"/>
              </w:rPr>
            </w:pPr>
            <w:r w:rsidRPr="00A06A6E">
              <w:rPr>
                <w:rFonts w:ascii="Times New Roman"/>
                <w:sz w:val="20"/>
              </w:rPr>
              <w:t>Audit</w:t>
            </w:r>
            <w:r w:rsidRPr="00A06A6E">
              <w:rPr>
                <w:rFonts w:ascii="Times New Roman"/>
                <w:spacing w:val="40"/>
                <w:sz w:val="20"/>
              </w:rPr>
              <w:t xml:space="preserve"> </w:t>
            </w:r>
            <w:r w:rsidRPr="00A06A6E">
              <w:rPr>
                <w:rFonts w:ascii="Times New Roman"/>
                <w:sz w:val="20"/>
              </w:rPr>
              <w:t>Committee</w:t>
            </w:r>
            <w:r w:rsidRPr="00A06A6E">
              <w:rPr>
                <w:rFonts w:ascii="Times New Roman"/>
                <w:spacing w:val="40"/>
                <w:sz w:val="20"/>
              </w:rPr>
              <w:t xml:space="preserve"> </w:t>
            </w:r>
            <w:r w:rsidRPr="00A06A6E">
              <w:rPr>
                <w:rFonts w:ascii="Times New Roman"/>
                <w:spacing w:val="-4"/>
                <w:sz w:val="20"/>
              </w:rPr>
              <w:t>(AC)</w:t>
            </w:r>
          </w:p>
        </w:tc>
        <w:tc>
          <w:tcPr>
            <w:tcW w:w="1620" w:type="dxa"/>
          </w:tcPr>
          <w:p w14:paraId="36751348" w14:textId="77777777" w:rsidR="00C137F8" w:rsidRPr="00A06A6E" w:rsidRDefault="00000000">
            <w:pPr>
              <w:pStyle w:val="TableParagraph"/>
              <w:spacing w:before="15"/>
              <w:ind w:left="753"/>
              <w:rPr>
                <w:rFonts w:ascii="Times New Roman"/>
                <w:sz w:val="20"/>
              </w:rPr>
            </w:pPr>
            <w:r w:rsidRPr="00A06A6E">
              <w:rPr>
                <w:rFonts w:ascii="Times New Roman"/>
                <w:spacing w:val="-2"/>
                <w:sz w:val="20"/>
              </w:rPr>
              <w:t>-</w:t>
            </w:r>
            <w:r w:rsidRPr="00A06A6E">
              <w:rPr>
                <w:rFonts w:ascii="Times New Roman"/>
                <w:spacing w:val="-4"/>
                <w:sz w:val="20"/>
              </w:rPr>
              <w:t>.005</w:t>
            </w:r>
          </w:p>
        </w:tc>
        <w:tc>
          <w:tcPr>
            <w:tcW w:w="940" w:type="dxa"/>
          </w:tcPr>
          <w:p w14:paraId="4471721E" w14:textId="77777777" w:rsidR="00C137F8" w:rsidRPr="00A06A6E" w:rsidRDefault="00000000">
            <w:pPr>
              <w:pStyle w:val="TableParagraph"/>
              <w:spacing w:before="15"/>
              <w:ind w:right="251"/>
              <w:jc w:val="right"/>
              <w:rPr>
                <w:rFonts w:ascii="Times New Roman"/>
                <w:sz w:val="20"/>
              </w:rPr>
            </w:pPr>
            <w:r w:rsidRPr="00A06A6E">
              <w:rPr>
                <w:rFonts w:ascii="Times New Roman"/>
                <w:spacing w:val="-2"/>
                <w:sz w:val="20"/>
              </w:rPr>
              <w:t>-1.334</w:t>
            </w:r>
          </w:p>
        </w:tc>
        <w:tc>
          <w:tcPr>
            <w:tcW w:w="986" w:type="dxa"/>
          </w:tcPr>
          <w:p w14:paraId="4F33D53F" w14:textId="77777777" w:rsidR="00C137F8" w:rsidRPr="00A06A6E" w:rsidRDefault="00000000">
            <w:pPr>
              <w:pStyle w:val="TableParagraph"/>
              <w:spacing w:before="15"/>
              <w:ind w:right="104"/>
              <w:jc w:val="right"/>
              <w:rPr>
                <w:rFonts w:ascii="Times New Roman"/>
                <w:sz w:val="20"/>
              </w:rPr>
            </w:pPr>
            <w:r w:rsidRPr="00A06A6E">
              <w:rPr>
                <w:rFonts w:ascii="Times New Roman"/>
                <w:spacing w:val="-4"/>
                <w:sz w:val="20"/>
              </w:rPr>
              <w:t>.184</w:t>
            </w:r>
          </w:p>
        </w:tc>
        <w:tc>
          <w:tcPr>
            <w:tcW w:w="1279" w:type="dxa"/>
          </w:tcPr>
          <w:p w14:paraId="12889E64" w14:textId="77777777" w:rsidR="00C137F8" w:rsidRPr="00A06A6E" w:rsidRDefault="00000000">
            <w:pPr>
              <w:pStyle w:val="TableParagraph"/>
              <w:spacing w:before="15"/>
              <w:ind w:left="111"/>
              <w:rPr>
                <w:rFonts w:ascii="Times New Roman"/>
                <w:sz w:val="20"/>
              </w:rPr>
            </w:pPr>
            <w:r w:rsidRPr="00A06A6E">
              <w:rPr>
                <w:rFonts w:ascii="Times New Roman"/>
                <w:sz w:val="20"/>
              </w:rPr>
              <w:t>H5</w:t>
            </w:r>
            <w:r w:rsidRPr="00A06A6E">
              <w:rPr>
                <w:rFonts w:ascii="Times New Roman"/>
                <w:spacing w:val="-3"/>
                <w:sz w:val="20"/>
              </w:rPr>
              <w:t xml:space="preserve"> </w:t>
            </w:r>
            <w:r w:rsidRPr="00A06A6E">
              <w:rPr>
                <w:rFonts w:ascii="Times New Roman"/>
                <w:spacing w:val="-2"/>
                <w:sz w:val="20"/>
              </w:rPr>
              <w:t>reject</w:t>
            </w:r>
          </w:p>
        </w:tc>
      </w:tr>
      <w:tr w:rsidR="00C137F8" w:rsidRPr="00A06A6E" w14:paraId="7084D73D" w14:textId="77777777">
        <w:trPr>
          <w:trHeight w:val="264"/>
        </w:trPr>
        <w:tc>
          <w:tcPr>
            <w:tcW w:w="3835" w:type="dxa"/>
          </w:tcPr>
          <w:p w14:paraId="5EBC1360" w14:textId="77777777" w:rsidR="00C137F8" w:rsidRPr="00A06A6E" w:rsidRDefault="00000000">
            <w:pPr>
              <w:pStyle w:val="TableParagraph"/>
              <w:spacing w:before="13"/>
              <w:ind w:left="124"/>
              <w:rPr>
                <w:rFonts w:ascii="Times New Roman"/>
                <w:sz w:val="20"/>
              </w:rPr>
            </w:pPr>
            <w:r w:rsidRPr="00A06A6E">
              <w:rPr>
                <w:rFonts w:ascii="Times New Roman"/>
                <w:sz w:val="20"/>
              </w:rPr>
              <w:t>Company</w:t>
            </w:r>
            <w:r w:rsidRPr="00A06A6E">
              <w:rPr>
                <w:rFonts w:ascii="Times New Roman"/>
                <w:spacing w:val="-7"/>
                <w:sz w:val="20"/>
              </w:rPr>
              <w:t xml:space="preserve"> </w:t>
            </w:r>
            <w:r w:rsidRPr="00A06A6E">
              <w:rPr>
                <w:rFonts w:ascii="Times New Roman"/>
                <w:sz w:val="20"/>
              </w:rPr>
              <w:t>size</w:t>
            </w:r>
            <w:r w:rsidRPr="00A06A6E">
              <w:rPr>
                <w:rFonts w:ascii="Times New Roman"/>
                <w:spacing w:val="-6"/>
                <w:sz w:val="20"/>
              </w:rPr>
              <w:t xml:space="preserve"> </w:t>
            </w:r>
            <w:r w:rsidRPr="00A06A6E">
              <w:rPr>
                <w:rFonts w:ascii="Times New Roman"/>
                <w:spacing w:val="-4"/>
                <w:sz w:val="20"/>
              </w:rPr>
              <w:t>(CS)</w:t>
            </w:r>
          </w:p>
        </w:tc>
        <w:tc>
          <w:tcPr>
            <w:tcW w:w="1620" w:type="dxa"/>
          </w:tcPr>
          <w:p w14:paraId="70402223" w14:textId="77777777" w:rsidR="00C137F8" w:rsidRPr="00A06A6E" w:rsidRDefault="00000000">
            <w:pPr>
              <w:pStyle w:val="TableParagraph"/>
              <w:spacing w:before="13"/>
              <w:ind w:left="820"/>
              <w:rPr>
                <w:rFonts w:ascii="Times New Roman"/>
                <w:sz w:val="20"/>
              </w:rPr>
            </w:pPr>
            <w:r w:rsidRPr="00A06A6E">
              <w:rPr>
                <w:rFonts w:ascii="Times New Roman"/>
                <w:spacing w:val="-4"/>
                <w:sz w:val="20"/>
              </w:rPr>
              <w:t>.023</w:t>
            </w:r>
          </w:p>
        </w:tc>
        <w:tc>
          <w:tcPr>
            <w:tcW w:w="940" w:type="dxa"/>
          </w:tcPr>
          <w:p w14:paraId="676A97DE" w14:textId="77777777" w:rsidR="00C137F8" w:rsidRPr="00A06A6E" w:rsidRDefault="00000000">
            <w:pPr>
              <w:pStyle w:val="TableParagraph"/>
              <w:spacing w:before="13"/>
              <w:ind w:left="136"/>
              <w:rPr>
                <w:rFonts w:ascii="Times New Roman"/>
                <w:sz w:val="20"/>
              </w:rPr>
            </w:pPr>
            <w:r w:rsidRPr="00A06A6E">
              <w:rPr>
                <w:rFonts w:ascii="Times New Roman"/>
                <w:spacing w:val="-2"/>
                <w:sz w:val="20"/>
              </w:rPr>
              <w:t>20.918</w:t>
            </w:r>
          </w:p>
        </w:tc>
        <w:tc>
          <w:tcPr>
            <w:tcW w:w="986" w:type="dxa"/>
          </w:tcPr>
          <w:p w14:paraId="7F5102ED" w14:textId="77777777" w:rsidR="00C137F8" w:rsidRPr="00A06A6E" w:rsidRDefault="00000000">
            <w:pPr>
              <w:pStyle w:val="TableParagraph"/>
              <w:spacing w:before="13"/>
              <w:ind w:right="105"/>
              <w:jc w:val="right"/>
              <w:rPr>
                <w:rFonts w:ascii="Times New Roman"/>
                <w:sz w:val="20"/>
              </w:rPr>
            </w:pPr>
            <w:r w:rsidRPr="00A06A6E">
              <w:rPr>
                <w:rFonts w:ascii="Times New Roman"/>
                <w:spacing w:val="-2"/>
                <w:sz w:val="20"/>
              </w:rPr>
              <w:t>0,000</w:t>
            </w:r>
          </w:p>
        </w:tc>
        <w:tc>
          <w:tcPr>
            <w:tcW w:w="1279" w:type="dxa"/>
          </w:tcPr>
          <w:p w14:paraId="61EA31C9" w14:textId="77777777" w:rsidR="00C137F8" w:rsidRPr="00A06A6E" w:rsidRDefault="00000000">
            <w:pPr>
              <w:pStyle w:val="TableParagraph"/>
              <w:spacing w:before="13"/>
              <w:ind w:left="111"/>
              <w:rPr>
                <w:rFonts w:ascii="Times New Roman"/>
                <w:sz w:val="20"/>
              </w:rPr>
            </w:pPr>
            <w:r w:rsidRPr="00A06A6E">
              <w:rPr>
                <w:rFonts w:ascii="Times New Roman"/>
                <w:sz w:val="20"/>
              </w:rPr>
              <w:t>H6</w:t>
            </w:r>
            <w:r w:rsidRPr="00A06A6E">
              <w:rPr>
                <w:rFonts w:ascii="Times New Roman"/>
                <w:spacing w:val="-3"/>
                <w:sz w:val="20"/>
              </w:rPr>
              <w:t xml:space="preserve"> </w:t>
            </w:r>
            <w:r w:rsidRPr="00A06A6E">
              <w:rPr>
                <w:rFonts w:ascii="Times New Roman"/>
                <w:spacing w:val="-2"/>
                <w:sz w:val="20"/>
              </w:rPr>
              <w:t>accepted</w:t>
            </w:r>
          </w:p>
        </w:tc>
      </w:tr>
      <w:tr w:rsidR="00C137F8" w:rsidRPr="00A06A6E" w14:paraId="3CE8ED4D" w14:textId="77777777">
        <w:trPr>
          <w:trHeight w:val="264"/>
        </w:trPr>
        <w:tc>
          <w:tcPr>
            <w:tcW w:w="3835" w:type="dxa"/>
          </w:tcPr>
          <w:p w14:paraId="33423C97" w14:textId="77777777" w:rsidR="00C137F8" w:rsidRPr="00A06A6E" w:rsidRDefault="00000000">
            <w:pPr>
              <w:pStyle w:val="TableParagraph"/>
              <w:spacing w:before="13"/>
              <w:ind w:left="124"/>
              <w:rPr>
                <w:rFonts w:ascii="Times New Roman"/>
                <w:sz w:val="20"/>
              </w:rPr>
            </w:pPr>
            <w:r w:rsidRPr="00A06A6E">
              <w:rPr>
                <w:rFonts w:ascii="Times New Roman"/>
                <w:sz w:val="20"/>
              </w:rPr>
              <w:t>Industrial</w:t>
            </w:r>
            <w:r w:rsidRPr="00A06A6E">
              <w:rPr>
                <w:rFonts w:ascii="Times New Roman"/>
                <w:spacing w:val="-7"/>
                <w:sz w:val="20"/>
              </w:rPr>
              <w:t xml:space="preserve"> </w:t>
            </w:r>
            <w:r w:rsidRPr="00A06A6E">
              <w:rPr>
                <w:rFonts w:ascii="Times New Roman"/>
                <w:sz w:val="20"/>
              </w:rPr>
              <w:t>Type</w:t>
            </w:r>
            <w:r w:rsidRPr="00A06A6E">
              <w:rPr>
                <w:rFonts w:ascii="Times New Roman"/>
                <w:spacing w:val="-7"/>
                <w:sz w:val="20"/>
              </w:rPr>
              <w:t xml:space="preserve"> </w:t>
            </w:r>
            <w:r w:rsidRPr="00A06A6E">
              <w:rPr>
                <w:rFonts w:ascii="Times New Roman"/>
                <w:spacing w:val="-4"/>
                <w:sz w:val="20"/>
              </w:rPr>
              <w:t>(IT)</w:t>
            </w:r>
          </w:p>
        </w:tc>
        <w:tc>
          <w:tcPr>
            <w:tcW w:w="1620" w:type="dxa"/>
          </w:tcPr>
          <w:p w14:paraId="0F1B4965" w14:textId="77777777" w:rsidR="00C137F8" w:rsidRPr="00A06A6E" w:rsidRDefault="00000000">
            <w:pPr>
              <w:pStyle w:val="TableParagraph"/>
              <w:spacing w:before="13"/>
              <w:ind w:left="820"/>
              <w:rPr>
                <w:rFonts w:ascii="Times New Roman"/>
                <w:sz w:val="20"/>
              </w:rPr>
            </w:pPr>
            <w:r w:rsidRPr="00A06A6E">
              <w:rPr>
                <w:rFonts w:ascii="Times New Roman"/>
                <w:spacing w:val="-4"/>
                <w:sz w:val="20"/>
              </w:rPr>
              <w:t>.021</w:t>
            </w:r>
          </w:p>
        </w:tc>
        <w:tc>
          <w:tcPr>
            <w:tcW w:w="940" w:type="dxa"/>
          </w:tcPr>
          <w:p w14:paraId="24DB67AF" w14:textId="77777777" w:rsidR="00C137F8" w:rsidRPr="00A06A6E" w:rsidRDefault="00000000">
            <w:pPr>
              <w:pStyle w:val="TableParagraph"/>
              <w:spacing w:before="13"/>
              <w:ind w:right="251"/>
              <w:jc w:val="right"/>
              <w:rPr>
                <w:rFonts w:ascii="Times New Roman"/>
                <w:sz w:val="20"/>
              </w:rPr>
            </w:pPr>
            <w:r w:rsidRPr="00A06A6E">
              <w:rPr>
                <w:rFonts w:ascii="Times New Roman"/>
                <w:spacing w:val="-2"/>
                <w:sz w:val="20"/>
              </w:rPr>
              <w:t>3.489</w:t>
            </w:r>
          </w:p>
        </w:tc>
        <w:tc>
          <w:tcPr>
            <w:tcW w:w="986" w:type="dxa"/>
          </w:tcPr>
          <w:p w14:paraId="10255CB3" w14:textId="77777777" w:rsidR="00C137F8" w:rsidRPr="00A06A6E" w:rsidRDefault="00000000">
            <w:pPr>
              <w:pStyle w:val="TableParagraph"/>
              <w:spacing w:before="13"/>
              <w:ind w:right="104"/>
              <w:jc w:val="right"/>
              <w:rPr>
                <w:rFonts w:ascii="Times New Roman"/>
                <w:sz w:val="20"/>
              </w:rPr>
            </w:pPr>
            <w:r w:rsidRPr="00A06A6E">
              <w:rPr>
                <w:rFonts w:ascii="Times New Roman"/>
                <w:spacing w:val="-4"/>
                <w:sz w:val="20"/>
              </w:rPr>
              <w:t>.001</w:t>
            </w:r>
          </w:p>
        </w:tc>
        <w:tc>
          <w:tcPr>
            <w:tcW w:w="1279" w:type="dxa"/>
          </w:tcPr>
          <w:p w14:paraId="0461F461" w14:textId="77777777" w:rsidR="00C137F8" w:rsidRPr="00A06A6E" w:rsidRDefault="00000000">
            <w:pPr>
              <w:pStyle w:val="TableParagraph"/>
              <w:spacing w:before="13"/>
              <w:ind w:left="111"/>
              <w:rPr>
                <w:rFonts w:ascii="Times New Roman"/>
                <w:sz w:val="20"/>
              </w:rPr>
            </w:pPr>
            <w:r w:rsidRPr="00A06A6E">
              <w:rPr>
                <w:rFonts w:ascii="Times New Roman"/>
                <w:sz w:val="20"/>
              </w:rPr>
              <w:t>H7</w:t>
            </w:r>
            <w:r w:rsidRPr="00A06A6E">
              <w:rPr>
                <w:rFonts w:ascii="Times New Roman"/>
                <w:spacing w:val="-3"/>
                <w:sz w:val="20"/>
              </w:rPr>
              <w:t xml:space="preserve"> </w:t>
            </w:r>
            <w:r w:rsidRPr="00A06A6E">
              <w:rPr>
                <w:rFonts w:ascii="Times New Roman"/>
                <w:spacing w:val="-2"/>
                <w:sz w:val="20"/>
              </w:rPr>
              <w:t>accepted</w:t>
            </w:r>
          </w:p>
        </w:tc>
      </w:tr>
      <w:tr w:rsidR="00C137F8" w:rsidRPr="00A06A6E" w14:paraId="2DD9A3F0" w14:textId="77777777">
        <w:trPr>
          <w:trHeight w:val="276"/>
        </w:trPr>
        <w:tc>
          <w:tcPr>
            <w:tcW w:w="3835" w:type="dxa"/>
            <w:tcBorders>
              <w:bottom w:val="single" w:sz="4" w:space="0" w:color="000000"/>
            </w:tcBorders>
          </w:tcPr>
          <w:p w14:paraId="4EE4886D" w14:textId="77777777" w:rsidR="00C137F8" w:rsidRPr="00A06A6E" w:rsidRDefault="00000000">
            <w:pPr>
              <w:pStyle w:val="TableParagraph"/>
              <w:spacing w:before="13"/>
              <w:ind w:left="124"/>
              <w:rPr>
                <w:rFonts w:ascii="Times New Roman"/>
                <w:sz w:val="20"/>
              </w:rPr>
            </w:pPr>
            <w:r w:rsidRPr="00A06A6E">
              <w:rPr>
                <w:rFonts w:ascii="Times New Roman"/>
                <w:sz w:val="20"/>
              </w:rPr>
              <w:t>R</w:t>
            </w:r>
            <w:r w:rsidRPr="00A06A6E">
              <w:rPr>
                <w:rFonts w:ascii="Times New Roman"/>
                <w:spacing w:val="-6"/>
                <w:sz w:val="20"/>
              </w:rPr>
              <w:t xml:space="preserve"> </w:t>
            </w:r>
            <w:r w:rsidRPr="00A06A6E">
              <w:rPr>
                <w:rFonts w:ascii="Times New Roman"/>
                <w:sz w:val="20"/>
              </w:rPr>
              <w:t>Square</w:t>
            </w:r>
            <w:r w:rsidRPr="00A06A6E">
              <w:rPr>
                <w:rFonts w:ascii="Times New Roman"/>
                <w:spacing w:val="-4"/>
                <w:sz w:val="20"/>
              </w:rPr>
              <w:t xml:space="preserve"> </w:t>
            </w:r>
            <w:r w:rsidRPr="00A06A6E">
              <w:rPr>
                <w:rFonts w:ascii="Times New Roman"/>
                <w:sz w:val="20"/>
              </w:rPr>
              <w:t>/Adjusted</w:t>
            </w:r>
            <w:r w:rsidRPr="00A06A6E">
              <w:rPr>
                <w:rFonts w:ascii="Times New Roman"/>
                <w:spacing w:val="-5"/>
                <w:sz w:val="20"/>
              </w:rPr>
              <w:t xml:space="preserve"> </w:t>
            </w:r>
            <w:r w:rsidRPr="00A06A6E">
              <w:rPr>
                <w:rFonts w:ascii="Times New Roman"/>
                <w:sz w:val="20"/>
              </w:rPr>
              <w:t>R</w:t>
            </w:r>
            <w:r w:rsidRPr="00A06A6E">
              <w:rPr>
                <w:rFonts w:ascii="Times New Roman"/>
                <w:spacing w:val="-5"/>
                <w:sz w:val="20"/>
              </w:rPr>
              <w:t xml:space="preserve"> </w:t>
            </w:r>
            <w:r w:rsidRPr="00A06A6E">
              <w:rPr>
                <w:rFonts w:ascii="Times New Roman"/>
                <w:spacing w:val="-2"/>
                <w:sz w:val="20"/>
              </w:rPr>
              <w:t>Square</w:t>
            </w:r>
          </w:p>
        </w:tc>
        <w:tc>
          <w:tcPr>
            <w:tcW w:w="1620" w:type="dxa"/>
            <w:tcBorders>
              <w:bottom w:val="single" w:sz="4" w:space="0" w:color="000000"/>
            </w:tcBorders>
          </w:tcPr>
          <w:p w14:paraId="30529531" w14:textId="77777777" w:rsidR="00C137F8" w:rsidRPr="00A06A6E" w:rsidRDefault="00000000">
            <w:pPr>
              <w:pStyle w:val="TableParagraph"/>
              <w:spacing w:before="13"/>
              <w:ind w:right="132"/>
              <w:jc w:val="right"/>
              <w:rPr>
                <w:rFonts w:ascii="Times New Roman"/>
                <w:sz w:val="20"/>
              </w:rPr>
            </w:pPr>
            <w:r w:rsidRPr="00A06A6E">
              <w:rPr>
                <w:rFonts w:ascii="Times New Roman"/>
                <w:sz w:val="20"/>
              </w:rPr>
              <w:t>.797</w:t>
            </w:r>
            <w:r w:rsidRPr="00A06A6E">
              <w:rPr>
                <w:rFonts w:ascii="Times New Roman"/>
                <w:spacing w:val="-5"/>
                <w:sz w:val="20"/>
              </w:rPr>
              <w:t xml:space="preserve"> </w:t>
            </w:r>
            <w:r w:rsidRPr="00A06A6E">
              <w:rPr>
                <w:rFonts w:ascii="Times New Roman"/>
                <w:sz w:val="20"/>
              </w:rPr>
              <w:t>/</w:t>
            </w:r>
            <w:r w:rsidRPr="00A06A6E">
              <w:rPr>
                <w:rFonts w:ascii="Times New Roman"/>
                <w:spacing w:val="-2"/>
                <w:sz w:val="20"/>
              </w:rPr>
              <w:t xml:space="preserve"> </w:t>
            </w:r>
            <w:r w:rsidRPr="00A06A6E">
              <w:rPr>
                <w:rFonts w:ascii="Times New Roman"/>
                <w:spacing w:val="-4"/>
                <w:sz w:val="20"/>
              </w:rPr>
              <w:t>.787</w:t>
            </w:r>
          </w:p>
        </w:tc>
        <w:tc>
          <w:tcPr>
            <w:tcW w:w="940" w:type="dxa"/>
            <w:tcBorders>
              <w:bottom w:val="single" w:sz="4" w:space="0" w:color="000000"/>
            </w:tcBorders>
          </w:tcPr>
          <w:p w14:paraId="6B32393D" w14:textId="77777777" w:rsidR="00C137F8" w:rsidRPr="00A06A6E" w:rsidRDefault="00C137F8">
            <w:pPr>
              <w:pStyle w:val="TableParagraph"/>
              <w:rPr>
                <w:rFonts w:ascii="Times New Roman"/>
                <w:sz w:val="20"/>
              </w:rPr>
            </w:pPr>
          </w:p>
        </w:tc>
        <w:tc>
          <w:tcPr>
            <w:tcW w:w="986" w:type="dxa"/>
            <w:tcBorders>
              <w:bottom w:val="single" w:sz="4" w:space="0" w:color="000000"/>
            </w:tcBorders>
          </w:tcPr>
          <w:p w14:paraId="00CABB18" w14:textId="77777777" w:rsidR="00C137F8" w:rsidRPr="00A06A6E" w:rsidRDefault="00C137F8">
            <w:pPr>
              <w:pStyle w:val="TableParagraph"/>
              <w:rPr>
                <w:rFonts w:ascii="Times New Roman"/>
                <w:sz w:val="20"/>
              </w:rPr>
            </w:pPr>
          </w:p>
        </w:tc>
        <w:tc>
          <w:tcPr>
            <w:tcW w:w="1279" w:type="dxa"/>
            <w:tcBorders>
              <w:bottom w:val="single" w:sz="4" w:space="0" w:color="000000"/>
            </w:tcBorders>
          </w:tcPr>
          <w:p w14:paraId="7C784AC7" w14:textId="77777777" w:rsidR="00C137F8" w:rsidRPr="00A06A6E" w:rsidRDefault="00C137F8">
            <w:pPr>
              <w:pStyle w:val="TableParagraph"/>
              <w:rPr>
                <w:rFonts w:ascii="Times New Roman"/>
                <w:sz w:val="20"/>
              </w:rPr>
            </w:pPr>
          </w:p>
        </w:tc>
      </w:tr>
      <w:tr w:rsidR="00C137F8" w:rsidRPr="00A06A6E" w14:paraId="4F52361B" w14:textId="77777777">
        <w:trPr>
          <w:trHeight w:val="268"/>
        </w:trPr>
        <w:tc>
          <w:tcPr>
            <w:tcW w:w="3835" w:type="dxa"/>
            <w:tcBorders>
              <w:top w:val="single" w:sz="4" w:space="0" w:color="000000"/>
              <w:bottom w:val="single" w:sz="4" w:space="0" w:color="000000"/>
            </w:tcBorders>
          </w:tcPr>
          <w:p w14:paraId="117305EF" w14:textId="77777777" w:rsidR="00C137F8" w:rsidRPr="00A06A6E" w:rsidRDefault="00000000">
            <w:pPr>
              <w:pStyle w:val="TableParagraph"/>
              <w:ind w:left="538"/>
              <w:rPr>
                <w:rFonts w:ascii="Times New Roman"/>
                <w:sz w:val="20"/>
              </w:rPr>
            </w:pPr>
            <w:r w:rsidRPr="00A06A6E">
              <w:rPr>
                <w:rFonts w:ascii="Times New Roman"/>
                <w:sz w:val="20"/>
              </w:rPr>
              <w:t>Uji</w:t>
            </w:r>
            <w:r w:rsidRPr="00A06A6E">
              <w:rPr>
                <w:rFonts w:ascii="Times New Roman"/>
                <w:spacing w:val="-4"/>
                <w:sz w:val="20"/>
              </w:rPr>
              <w:t xml:space="preserve"> </w:t>
            </w:r>
            <w:r w:rsidRPr="00A06A6E">
              <w:rPr>
                <w:rFonts w:ascii="Times New Roman"/>
                <w:spacing w:val="-10"/>
                <w:sz w:val="20"/>
              </w:rPr>
              <w:t>F</w:t>
            </w:r>
          </w:p>
        </w:tc>
        <w:tc>
          <w:tcPr>
            <w:tcW w:w="1620" w:type="dxa"/>
            <w:tcBorders>
              <w:top w:val="single" w:sz="4" w:space="0" w:color="000000"/>
              <w:bottom w:val="single" w:sz="4" w:space="0" w:color="000000"/>
            </w:tcBorders>
          </w:tcPr>
          <w:p w14:paraId="04B749D7" w14:textId="77777777" w:rsidR="00C137F8" w:rsidRPr="00A06A6E" w:rsidRDefault="00000000">
            <w:pPr>
              <w:pStyle w:val="TableParagraph"/>
              <w:spacing w:line="225" w:lineRule="exact"/>
              <w:ind w:right="143"/>
              <w:jc w:val="right"/>
              <w:rPr>
                <w:rFonts w:ascii="Times New Roman"/>
                <w:sz w:val="20"/>
              </w:rPr>
            </w:pPr>
            <w:r w:rsidRPr="00A06A6E">
              <w:rPr>
                <w:rFonts w:ascii="Times New Roman"/>
                <w:spacing w:val="-2"/>
                <w:sz w:val="20"/>
              </w:rPr>
              <w:t>82.891</w:t>
            </w:r>
          </w:p>
        </w:tc>
        <w:tc>
          <w:tcPr>
            <w:tcW w:w="940" w:type="dxa"/>
            <w:tcBorders>
              <w:top w:val="single" w:sz="4" w:space="0" w:color="000000"/>
              <w:bottom w:val="single" w:sz="4" w:space="0" w:color="000000"/>
            </w:tcBorders>
          </w:tcPr>
          <w:p w14:paraId="0698706F" w14:textId="77777777" w:rsidR="00C137F8" w:rsidRPr="00A06A6E" w:rsidRDefault="00C137F8">
            <w:pPr>
              <w:pStyle w:val="TableParagraph"/>
              <w:rPr>
                <w:rFonts w:ascii="Times New Roman"/>
                <w:sz w:val="18"/>
              </w:rPr>
            </w:pPr>
          </w:p>
        </w:tc>
        <w:tc>
          <w:tcPr>
            <w:tcW w:w="986" w:type="dxa"/>
            <w:tcBorders>
              <w:top w:val="single" w:sz="4" w:space="0" w:color="000000"/>
              <w:bottom w:val="single" w:sz="4" w:space="0" w:color="000000"/>
            </w:tcBorders>
          </w:tcPr>
          <w:p w14:paraId="211E1610" w14:textId="77777777" w:rsidR="00C137F8" w:rsidRPr="00A06A6E" w:rsidRDefault="00C137F8">
            <w:pPr>
              <w:pStyle w:val="TableParagraph"/>
              <w:rPr>
                <w:rFonts w:ascii="Times New Roman"/>
                <w:sz w:val="18"/>
              </w:rPr>
            </w:pPr>
          </w:p>
        </w:tc>
        <w:tc>
          <w:tcPr>
            <w:tcW w:w="1279" w:type="dxa"/>
            <w:tcBorders>
              <w:top w:val="single" w:sz="4" w:space="0" w:color="000000"/>
              <w:bottom w:val="single" w:sz="4" w:space="0" w:color="000000"/>
            </w:tcBorders>
          </w:tcPr>
          <w:p w14:paraId="1A411F15" w14:textId="77777777" w:rsidR="00C137F8" w:rsidRPr="00A06A6E" w:rsidRDefault="00C137F8">
            <w:pPr>
              <w:pStyle w:val="TableParagraph"/>
              <w:rPr>
                <w:rFonts w:ascii="Times New Roman"/>
                <w:sz w:val="18"/>
              </w:rPr>
            </w:pPr>
          </w:p>
        </w:tc>
      </w:tr>
      <w:tr w:rsidR="00C137F8" w:rsidRPr="00A06A6E" w14:paraId="14DAEC39" w14:textId="77777777">
        <w:trPr>
          <w:trHeight w:val="263"/>
        </w:trPr>
        <w:tc>
          <w:tcPr>
            <w:tcW w:w="3835" w:type="dxa"/>
            <w:tcBorders>
              <w:top w:val="single" w:sz="4" w:space="0" w:color="000000"/>
              <w:bottom w:val="single" w:sz="4" w:space="0" w:color="000000"/>
            </w:tcBorders>
          </w:tcPr>
          <w:p w14:paraId="1FF27C9B" w14:textId="77777777" w:rsidR="00C137F8" w:rsidRPr="00A06A6E" w:rsidRDefault="00000000">
            <w:pPr>
              <w:pStyle w:val="TableParagraph"/>
              <w:ind w:left="538"/>
              <w:rPr>
                <w:rFonts w:ascii="Times New Roman"/>
                <w:sz w:val="20"/>
              </w:rPr>
            </w:pPr>
            <w:r w:rsidRPr="00A06A6E">
              <w:rPr>
                <w:rFonts w:ascii="Times New Roman"/>
                <w:sz w:val="20"/>
              </w:rPr>
              <w:t>Sig</w:t>
            </w:r>
            <w:r w:rsidRPr="00A06A6E">
              <w:rPr>
                <w:rFonts w:ascii="Times New Roman"/>
                <w:spacing w:val="-3"/>
                <w:sz w:val="20"/>
              </w:rPr>
              <w:t xml:space="preserve"> </w:t>
            </w:r>
            <w:r w:rsidRPr="00A06A6E">
              <w:rPr>
                <w:rFonts w:ascii="Times New Roman"/>
                <w:spacing w:val="-10"/>
                <w:sz w:val="20"/>
              </w:rPr>
              <w:t>F</w:t>
            </w:r>
          </w:p>
        </w:tc>
        <w:tc>
          <w:tcPr>
            <w:tcW w:w="1620" w:type="dxa"/>
            <w:tcBorders>
              <w:top w:val="single" w:sz="4" w:space="0" w:color="000000"/>
              <w:bottom w:val="single" w:sz="4" w:space="0" w:color="000000"/>
            </w:tcBorders>
          </w:tcPr>
          <w:p w14:paraId="34A31522" w14:textId="77777777" w:rsidR="00C137F8" w:rsidRPr="00A06A6E" w:rsidRDefault="00000000">
            <w:pPr>
              <w:pStyle w:val="TableParagraph"/>
              <w:ind w:right="144"/>
              <w:jc w:val="right"/>
              <w:rPr>
                <w:rFonts w:ascii="Times New Roman"/>
                <w:sz w:val="20"/>
              </w:rPr>
            </w:pPr>
            <w:r w:rsidRPr="00A06A6E">
              <w:rPr>
                <w:rFonts w:ascii="Times New Roman"/>
                <w:spacing w:val="-2"/>
                <w:sz w:val="20"/>
              </w:rPr>
              <w:t>0,000</w:t>
            </w:r>
          </w:p>
        </w:tc>
        <w:tc>
          <w:tcPr>
            <w:tcW w:w="940" w:type="dxa"/>
            <w:tcBorders>
              <w:top w:val="single" w:sz="4" w:space="0" w:color="000000"/>
              <w:bottom w:val="single" w:sz="4" w:space="0" w:color="000000"/>
            </w:tcBorders>
          </w:tcPr>
          <w:p w14:paraId="6F6E967C" w14:textId="77777777" w:rsidR="00C137F8" w:rsidRPr="00A06A6E" w:rsidRDefault="00C137F8">
            <w:pPr>
              <w:pStyle w:val="TableParagraph"/>
              <w:rPr>
                <w:rFonts w:ascii="Times New Roman"/>
                <w:sz w:val="18"/>
              </w:rPr>
            </w:pPr>
          </w:p>
        </w:tc>
        <w:tc>
          <w:tcPr>
            <w:tcW w:w="986" w:type="dxa"/>
            <w:tcBorders>
              <w:top w:val="single" w:sz="4" w:space="0" w:color="000000"/>
              <w:bottom w:val="single" w:sz="4" w:space="0" w:color="000000"/>
            </w:tcBorders>
          </w:tcPr>
          <w:p w14:paraId="00900AC9" w14:textId="77777777" w:rsidR="00C137F8" w:rsidRPr="00A06A6E" w:rsidRDefault="00C137F8">
            <w:pPr>
              <w:pStyle w:val="TableParagraph"/>
              <w:rPr>
                <w:rFonts w:ascii="Times New Roman"/>
                <w:sz w:val="18"/>
              </w:rPr>
            </w:pPr>
          </w:p>
        </w:tc>
        <w:tc>
          <w:tcPr>
            <w:tcW w:w="1279" w:type="dxa"/>
            <w:tcBorders>
              <w:top w:val="single" w:sz="4" w:space="0" w:color="000000"/>
              <w:bottom w:val="single" w:sz="4" w:space="0" w:color="000000"/>
            </w:tcBorders>
          </w:tcPr>
          <w:p w14:paraId="30FA7EB0" w14:textId="77777777" w:rsidR="00C137F8" w:rsidRPr="00A06A6E" w:rsidRDefault="00C137F8">
            <w:pPr>
              <w:pStyle w:val="TableParagraph"/>
              <w:rPr>
                <w:rFonts w:ascii="Times New Roman"/>
                <w:sz w:val="18"/>
              </w:rPr>
            </w:pPr>
          </w:p>
        </w:tc>
      </w:tr>
      <w:tr w:rsidR="00C137F8" w:rsidRPr="00A06A6E" w14:paraId="08927893" w14:textId="77777777">
        <w:trPr>
          <w:trHeight w:val="221"/>
        </w:trPr>
        <w:tc>
          <w:tcPr>
            <w:tcW w:w="3835" w:type="dxa"/>
            <w:tcBorders>
              <w:top w:val="single" w:sz="4" w:space="0" w:color="000000"/>
            </w:tcBorders>
          </w:tcPr>
          <w:p w14:paraId="2DA51439" w14:textId="77777777" w:rsidR="00C137F8" w:rsidRPr="00A06A6E" w:rsidRDefault="00000000">
            <w:pPr>
              <w:pStyle w:val="TableParagraph"/>
              <w:spacing w:before="1" w:line="200" w:lineRule="exact"/>
              <w:ind w:left="617"/>
              <w:rPr>
                <w:rFonts w:ascii="Calibri"/>
                <w:i/>
                <w:sz w:val="18"/>
              </w:rPr>
            </w:pPr>
            <w:r w:rsidRPr="00A06A6E">
              <w:rPr>
                <w:rFonts w:ascii="Calibri"/>
                <w:i/>
                <w:sz w:val="18"/>
              </w:rPr>
              <w:t>Source:</w:t>
            </w:r>
            <w:r w:rsidRPr="00A06A6E">
              <w:rPr>
                <w:rFonts w:ascii="Calibri"/>
                <w:i/>
                <w:spacing w:val="-6"/>
                <w:sz w:val="18"/>
              </w:rPr>
              <w:t xml:space="preserve"> </w:t>
            </w:r>
            <w:r w:rsidRPr="00A06A6E">
              <w:rPr>
                <w:rFonts w:ascii="Calibri"/>
                <w:i/>
                <w:sz w:val="18"/>
              </w:rPr>
              <w:t>research</w:t>
            </w:r>
            <w:r w:rsidRPr="00A06A6E">
              <w:rPr>
                <w:rFonts w:ascii="Calibri"/>
                <w:i/>
                <w:spacing w:val="-6"/>
                <w:sz w:val="18"/>
              </w:rPr>
              <w:t xml:space="preserve"> </w:t>
            </w:r>
            <w:r w:rsidRPr="00A06A6E">
              <w:rPr>
                <w:rFonts w:ascii="Calibri"/>
                <w:i/>
                <w:sz w:val="18"/>
              </w:rPr>
              <w:t>data</w:t>
            </w:r>
            <w:r w:rsidRPr="00A06A6E">
              <w:rPr>
                <w:rFonts w:ascii="Calibri"/>
                <w:i/>
                <w:spacing w:val="-6"/>
                <w:sz w:val="18"/>
              </w:rPr>
              <w:t xml:space="preserve"> </w:t>
            </w:r>
            <w:r w:rsidRPr="00A06A6E">
              <w:rPr>
                <w:rFonts w:ascii="Calibri"/>
                <w:i/>
                <w:sz w:val="18"/>
              </w:rPr>
              <w:t>processed</w:t>
            </w:r>
            <w:r w:rsidRPr="00A06A6E">
              <w:rPr>
                <w:rFonts w:ascii="Calibri"/>
                <w:i/>
                <w:spacing w:val="-6"/>
                <w:sz w:val="18"/>
              </w:rPr>
              <w:t xml:space="preserve"> </w:t>
            </w:r>
            <w:r w:rsidRPr="00A06A6E">
              <w:rPr>
                <w:rFonts w:ascii="Calibri"/>
                <w:i/>
                <w:spacing w:val="-2"/>
                <w:sz w:val="18"/>
              </w:rPr>
              <w:t>(2022)</w:t>
            </w:r>
          </w:p>
        </w:tc>
        <w:tc>
          <w:tcPr>
            <w:tcW w:w="1620" w:type="dxa"/>
            <w:tcBorders>
              <w:top w:val="single" w:sz="4" w:space="0" w:color="000000"/>
            </w:tcBorders>
          </w:tcPr>
          <w:p w14:paraId="310591CE" w14:textId="77777777" w:rsidR="00C137F8" w:rsidRPr="00A06A6E" w:rsidRDefault="00C137F8">
            <w:pPr>
              <w:pStyle w:val="TableParagraph"/>
              <w:rPr>
                <w:rFonts w:ascii="Times New Roman"/>
                <w:sz w:val="14"/>
              </w:rPr>
            </w:pPr>
          </w:p>
        </w:tc>
        <w:tc>
          <w:tcPr>
            <w:tcW w:w="940" w:type="dxa"/>
            <w:tcBorders>
              <w:top w:val="single" w:sz="4" w:space="0" w:color="000000"/>
            </w:tcBorders>
          </w:tcPr>
          <w:p w14:paraId="3DB76BC8" w14:textId="77777777" w:rsidR="00C137F8" w:rsidRPr="00A06A6E" w:rsidRDefault="00C137F8">
            <w:pPr>
              <w:pStyle w:val="TableParagraph"/>
              <w:rPr>
                <w:rFonts w:ascii="Times New Roman"/>
                <w:sz w:val="14"/>
              </w:rPr>
            </w:pPr>
          </w:p>
        </w:tc>
        <w:tc>
          <w:tcPr>
            <w:tcW w:w="986" w:type="dxa"/>
            <w:tcBorders>
              <w:top w:val="single" w:sz="4" w:space="0" w:color="000000"/>
            </w:tcBorders>
          </w:tcPr>
          <w:p w14:paraId="40AEB4FB" w14:textId="77777777" w:rsidR="00C137F8" w:rsidRPr="00A06A6E" w:rsidRDefault="00C137F8">
            <w:pPr>
              <w:pStyle w:val="TableParagraph"/>
              <w:rPr>
                <w:rFonts w:ascii="Times New Roman"/>
                <w:sz w:val="14"/>
              </w:rPr>
            </w:pPr>
          </w:p>
        </w:tc>
        <w:tc>
          <w:tcPr>
            <w:tcW w:w="1279" w:type="dxa"/>
            <w:tcBorders>
              <w:top w:val="single" w:sz="4" w:space="0" w:color="000000"/>
            </w:tcBorders>
          </w:tcPr>
          <w:p w14:paraId="0961D0C3" w14:textId="77777777" w:rsidR="00C137F8" w:rsidRPr="00A06A6E" w:rsidRDefault="00C137F8">
            <w:pPr>
              <w:pStyle w:val="TableParagraph"/>
              <w:rPr>
                <w:rFonts w:ascii="Times New Roman"/>
                <w:sz w:val="14"/>
              </w:rPr>
            </w:pPr>
          </w:p>
        </w:tc>
      </w:tr>
    </w:tbl>
    <w:p w14:paraId="76284790" w14:textId="77777777" w:rsidR="00C137F8" w:rsidRPr="00A06A6E" w:rsidRDefault="00000000">
      <w:pPr>
        <w:pStyle w:val="Heading1"/>
        <w:numPr>
          <w:ilvl w:val="2"/>
          <w:numId w:val="2"/>
        </w:numPr>
        <w:tabs>
          <w:tab w:val="left" w:pos="1168"/>
        </w:tabs>
        <w:spacing w:before="188"/>
      </w:pPr>
      <w:r w:rsidRPr="00A06A6E">
        <w:t>Goodness</w:t>
      </w:r>
      <w:r w:rsidRPr="00A06A6E">
        <w:rPr>
          <w:spacing w:val="-2"/>
        </w:rPr>
        <w:t xml:space="preserve"> </w:t>
      </w:r>
      <w:r w:rsidRPr="00A06A6E">
        <w:t>of</w:t>
      </w:r>
      <w:r w:rsidRPr="00A06A6E">
        <w:rPr>
          <w:spacing w:val="-1"/>
        </w:rPr>
        <w:t xml:space="preserve"> </w:t>
      </w:r>
      <w:r w:rsidRPr="00A06A6E">
        <w:rPr>
          <w:spacing w:val="-5"/>
        </w:rPr>
        <w:t>fit</w:t>
      </w:r>
    </w:p>
    <w:p w14:paraId="024E46F1" w14:textId="77777777" w:rsidR="00C137F8" w:rsidRPr="00A06A6E" w:rsidRDefault="00000000">
      <w:pPr>
        <w:spacing w:before="161"/>
        <w:ind w:left="628" w:right="254" w:firstLine="916"/>
        <w:jc w:val="both"/>
        <w:rPr>
          <w:rFonts w:ascii="Times New Roman"/>
          <w:sz w:val="24"/>
        </w:rPr>
      </w:pPr>
      <w:r w:rsidRPr="00A06A6E">
        <w:rPr>
          <w:rFonts w:ascii="Times New Roman"/>
          <w:sz w:val="24"/>
        </w:rPr>
        <w:t>The goodness-of-fit test assesses whether the regression model is statistically appropriate. Table 7 reports an F-value of 82.891 with a significance value below 0.05. Accordingly, the independent variables jointly explain a statistically significant proportion of the variation in sustainability report disclosure.</w:t>
      </w:r>
    </w:p>
    <w:p w14:paraId="1004471F" w14:textId="77777777" w:rsidR="00C137F8" w:rsidRPr="00A06A6E" w:rsidRDefault="00000000">
      <w:pPr>
        <w:pStyle w:val="ListParagraph"/>
        <w:numPr>
          <w:ilvl w:val="2"/>
          <w:numId w:val="2"/>
        </w:numPr>
        <w:tabs>
          <w:tab w:val="left" w:pos="1168"/>
        </w:tabs>
        <w:spacing w:before="163"/>
        <w:jc w:val="both"/>
        <w:rPr>
          <w:b/>
          <w:sz w:val="24"/>
        </w:rPr>
      </w:pPr>
      <w:r w:rsidRPr="00A06A6E">
        <w:rPr>
          <w:b/>
          <w:sz w:val="24"/>
        </w:rPr>
        <w:t>Coefficient</w:t>
      </w:r>
      <w:r w:rsidRPr="00A06A6E">
        <w:rPr>
          <w:b/>
          <w:spacing w:val="-5"/>
          <w:sz w:val="24"/>
        </w:rPr>
        <w:t xml:space="preserve"> </w:t>
      </w:r>
      <w:r w:rsidRPr="00A06A6E">
        <w:rPr>
          <w:b/>
          <w:sz w:val="24"/>
        </w:rPr>
        <w:t>of</w:t>
      </w:r>
      <w:r w:rsidRPr="00A06A6E">
        <w:rPr>
          <w:b/>
          <w:spacing w:val="-2"/>
          <w:sz w:val="24"/>
        </w:rPr>
        <w:t xml:space="preserve"> </w:t>
      </w:r>
      <w:r w:rsidRPr="00A06A6E">
        <w:rPr>
          <w:b/>
          <w:sz w:val="24"/>
        </w:rPr>
        <w:t>Determination</w:t>
      </w:r>
      <w:r w:rsidRPr="00A06A6E">
        <w:rPr>
          <w:b/>
          <w:spacing w:val="-2"/>
          <w:sz w:val="24"/>
        </w:rPr>
        <w:t xml:space="preserve"> </w:t>
      </w:r>
      <w:r w:rsidRPr="00A06A6E">
        <w:rPr>
          <w:b/>
          <w:sz w:val="24"/>
        </w:rPr>
        <w:t>Test</w:t>
      </w:r>
      <w:r w:rsidRPr="00A06A6E">
        <w:rPr>
          <w:b/>
          <w:spacing w:val="-2"/>
          <w:sz w:val="24"/>
        </w:rPr>
        <w:t xml:space="preserve"> </w:t>
      </w:r>
      <w:r w:rsidRPr="00A06A6E">
        <w:rPr>
          <w:b/>
          <w:sz w:val="24"/>
        </w:rPr>
        <w:t>Results</w:t>
      </w:r>
      <w:r w:rsidRPr="00A06A6E">
        <w:rPr>
          <w:b/>
          <w:spacing w:val="-2"/>
          <w:sz w:val="24"/>
        </w:rPr>
        <w:t xml:space="preserve"> </w:t>
      </w:r>
      <w:r w:rsidRPr="00A06A6E">
        <w:rPr>
          <w:b/>
          <w:spacing w:val="-4"/>
          <w:sz w:val="24"/>
        </w:rPr>
        <w:t>(R²)</w:t>
      </w:r>
    </w:p>
    <w:p w14:paraId="0F293341" w14:textId="77777777" w:rsidR="00C137F8" w:rsidRPr="00A06A6E" w:rsidRDefault="00000000">
      <w:pPr>
        <w:spacing w:before="156"/>
        <w:ind w:left="628" w:right="249" w:firstLine="720"/>
        <w:jc w:val="both"/>
        <w:rPr>
          <w:rFonts w:ascii="Times New Roman"/>
          <w:sz w:val="24"/>
        </w:rPr>
      </w:pPr>
      <w:r w:rsidRPr="00A06A6E">
        <w:rPr>
          <w:rFonts w:ascii="Times New Roman"/>
          <w:sz w:val="24"/>
        </w:rPr>
        <w:t>The regression model reports an adjusted R</w:t>
      </w:r>
      <w:r w:rsidRPr="00A06A6E">
        <w:rPr>
          <w:rFonts w:ascii="Times New Roman"/>
          <w:sz w:val="24"/>
        </w:rPr>
        <w:t>²</w:t>
      </w:r>
      <w:r w:rsidRPr="00A06A6E">
        <w:rPr>
          <w:rFonts w:ascii="Times New Roman"/>
          <w:sz w:val="24"/>
        </w:rPr>
        <w:t xml:space="preserve"> value of 0.787, indicating that 78.7% of the variation in sustainability report disclosure is explained by profitability, leverage, corporate activity, the independent board of commissioners, the audit committee, company size, and industrial type. The remaining 21.3% is attributable to variables outside the model.</w:t>
      </w:r>
    </w:p>
    <w:p w14:paraId="3A9FF791" w14:textId="77777777" w:rsidR="00C137F8" w:rsidRPr="00A06A6E" w:rsidRDefault="00000000">
      <w:pPr>
        <w:pStyle w:val="Heading1"/>
        <w:numPr>
          <w:ilvl w:val="2"/>
          <w:numId w:val="2"/>
        </w:numPr>
        <w:tabs>
          <w:tab w:val="left" w:pos="1228"/>
        </w:tabs>
        <w:spacing w:before="274"/>
        <w:ind w:left="1228" w:hanging="600"/>
      </w:pPr>
      <w:r w:rsidRPr="00A06A6E">
        <w:t>Results</w:t>
      </w:r>
      <w:r w:rsidRPr="00A06A6E">
        <w:rPr>
          <w:spacing w:val="-2"/>
        </w:rPr>
        <w:t xml:space="preserve"> </w:t>
      </w:r>
      <w:r w:rsidRPr="00A06A6E">
        <w:t>of</w:t>
      </w:r>
      <w:r w:rsidRPr="00A06A6E">
        <w:rPr>
          <w:spacing w:val="-2"/>
        </w:rPr>
        <w:t xml:space="preserve"> </w:t>
      </w:r>
      <w:r w:rsidRPr="00A06A6E">
        <w:t>Hypothesis</w:t>
      </w:r>
      <w:r w:rsidRPr="00A06A6E">
        <w:rPr>
          <w:spacing w:val="-2"/>
        </w:rPr>
        <w:t xml:space="preserve"> Testing</w:t>
      </w:r>
    </w:p>
    <w:p w14:paraId="25E93CEF" w14:textId="77777777" w:rsidR="00C137F8" w:rsidRPr="00A06A6E" w:rsidRDefault="00000000">
      <w:pPr>
        <w:pStyle w:val="BodyText"/>
        <w:spacing w:before="6" w:line="300" w:lineRule="auto"/>
        <w:ind w:left="628" w:right="254" w:firstLine="414"/>
        <w:jc w:val="both"/>
        <w:rPr>
          <w:rFonts w:ascii="Times New Roman"/>
        </w:rPr>
      </w:pPr>
      <w:r w:rsidRPr="00A06A6E">
        <w:rPr>
          <w:rFonts w:ascii="Times New Roman"/>
        </w:rPr>
        <w:t>Based on the results presented in Table 7, the multiple linear regression equation is as follows:</w:t>
      </w:r>
    </w:p>
    <w:p w14:paraId="7FD36CB2" w14:textId="77777777" w:rsidR="00C137F8" w:rsidRPr="00A06A6E" w:rsidRDefault="00000000">
      <w:pPr>
        <w:spacing w:before="22" w:line="242" w:lineRule="auto"/>
        <w:ind w:left="628" w:right="250" w:firstLine="36"/>
        <w:jc w:val="both"/>
        <w:rPr>
          <w:rFonts w:ascii="Times New Roman" w:eastAsia="Times New Roman" w:hAnsi="Times New Roman"/>
          <w:sz w:val="24"/>
        </w:rPr>
      </w:pPr>
      <w:r w:rsidRPr="00A06A6E">
        <w:rPr>
          <w:rFonts w:ascii="Cambria Math" w:eastAsia="Cambria Math" w:hAnsi="Cambria Math"/>
          <w:sz w:val="24"/>
        </w:rPr>
        <w:t>𝑆𝑅𝐷 = −.046 + .067𝑃 + .008𝐿 + .002𝐶𝐴 + .042𝐼𝐵𝐶 − .005𝐴𝐶 + .023𝐶𝑆 + .021𝐼𝑇  The regression model assesses the influence of profitability, leverage, corporate activity, the independent board of commissioners, the audit committee, company size, and industrial type on sustainability report disclosure among manufacturing companies listed on the Indonesia Stock Exchange.</w:t>
      </w:r>
    </w:p>
    <w:p w14:paraId="6CFDDAA1" w14:textId="77777777" w:rsidR="00C137F8" w:rsidRPr="00A06A6E" w:rsidRDefault="00000000">
      <w:pPr>
        <w:pStyle w:val="Heading1"/>
        <w:spacing w:before="189" w:line="275" w:lineRule="exact"/>
      </w:pPr>
      <w:r w:rsidRPr="00A06A6E">
        <w:t>H1:</w:t>
      </w:r>
      <w:r w:rsidRPr="00A06A6E">
        <w:rPr>
          <w:spacing w:val="-4"/>
        </w:rPr>
        <w:t xml:space="preserve"> </w:t>
      </w:r>
      <w:r w:rsidRPr="00A06A6E">
        <w:t>The</w:t>
      </w:r>
      <w:r w:rsidRPr="00A06A6E">
        <w:rPr>
          <w:spacing w:val="-2"/>
        </w:rPr>
        <w:t xml:space="preserve"> </w:t>
      </w:r>
      <w:r w:rsidRPr="00A06A6E">
        <w:t>Influence</w:t>
      </w:r>
      <w:r w:rsidRPr="00A06A6E">
        <w:rPr>
          <w:spacing w:val="-2"/>
        </w:rPr>
        <w:t xml:space="preserve"> </w:t>
      </w:r>
      <w:r w:rsidRPr="00A06A6E">
        <w:t>of</w:t>
      </w:r>
      <w:r w:rsidRPr="00A06A6E">
        <w:rPr>
          <w:spacing w:val="-1"/>
        </w:rPr>
        <w:t xml:space="preserve"> </w:t>
      </w:r>
      <w:r w:rsidRPr="00A06A6E">
        <w:t>Profitability</w:t>
      </w:r>
      <w:r w:rsidRPr="00A06A6E">
        <w:rPr>
          <w:spacing w:val="-2"/>
        </w:rPr>
        <w:t xml:space="preserve"> </w:t>
      </w:r>
      <w:r w:rsidRPr="00A06A6E">
        <w:t>on</w:t>
      </w:r>
      <w:r w:rsidRPr="00A06A6E">
        <w:rPr>
          <w:spacing w:val="-1"/>
        </w:rPr>
        <w:t xml:space="preserve"> </w:t>
      </w:r>
      <w:r w:rsidRPr="00A06A6E">
        <w:t>Sustainability</w:t>
      </w:r>
      <w:r w:rsidRPr="00A06A6E">
        <w:rPr>
          <w:spacing w:val="-1"/>
        </w:rPr>
        <w:t xml:space="preserve"> </w:t>
      </w:r>
      <w:r w:rsidRPr="00A06A6E">
        <w:t>Report</w:t>
      </w:r>
      <w:r w:rsidRPr="00A06A6E">
        <w:rPr>
          <w:spacing w:val="-1"/>
        </w:rPr>
        <w:t xml:space="preserve"> </w:t>
      </w:r>
      <w:r w:rsidRPr="00A06A6E">
        <w:rPr>
          <w:spacing w:val="-2"/>
        </w:rPr>
        <w:t>Disclosure</w:t>
      </w:r>
    </w:p>
    <w:p w14:paraId="61B936F7" w14:textId="77777777" w:rsidR="00C137F8" w:rsidRPr="00A06A6E" w:rsidRDefault="00000000">
      <w:pPr>
        <w:ind w:left="628" w:right="250"/>
        <w:jc w:val="both"/>
        <w:rPr>
          <w:rFonts w:ascii="Times New Roman"/>
          <w:sz w:val="24"/>
        </w:rPr>
      </w:pPr>
      <w:r w:rsidRPr="00A06A6E">
        <w:rPr>
          <w:rFonts w:ascii="Times New Roman"/>
          <w:sz w:val="24"/>
        </w:rPr>
        <w:t xml:space="preserve">The regression results indicate that profitability has a positive and significant effect on sustainability report disclosure, with a coefficient of 0.067 and a significance value of 0.012 (&lt; 0.05). Companies with higher profitability therefore tend to disclose sustainability information more extensively. Profitable companies may have greater financial resources and operational flexibility to implement sustainability </w:t>
      </w:r>
      <w:proofErr w:type="spellStart"/>
      <w:r w:rsidRPr="00A06A6E">
        <w:rPr>
          <w:rFonts w:ascii="Times New Roman"/>
          <w:sz w:val="24"/>
        </w:rPr>
        <w:t>programmes</w:t>
      </w:r>
      <w:proofErr w:type="spellEnd"/>
      <w:r w:rsidRPr="00A06A6E">
        <w:rPr>
          <w:rFonts w:ascii="Times New Roman"/>
          <w:sz w:val="24"/>
        </w:rPr>
        <w:t xml:space="preserve"> and prepare comprehensive disclosures. They may also be better able to allocate resources to environmental management, social-responsibility </w:t>
      </w:r>
      <w:proofErr w:type="spellStart"/>
      <w:r w:rsidRPr="00A06A6E">
        <w:rPr>
          <w:rFonts w:ascii="Times New Roman"/>
          <w:sz w:val="24"/>
        </w:rPr>
        <w:t>programmes</w:t>
      </w:r>
      <w:proofErr w:type="spellEnd"/>
      <w:r w:rsidRPr="00A06A6E">
        <w:rPr>
          <w:rFonts w:ascii="Times New Roman"/>
          <w:sz w:val="24"/>
        </w:rPr>
        <w:t>, employee welfare, community development, reporting preparation, ESG implementation, external assurance, and stakeholder engagement.</w:t>
      </w:r>
    </w:p>
    <w:p w14:paraId="197E91E7" w14:textId="77777777" w:rsidR="00C137F8" w:rsidRPr="00A06A6E" w:rsidRDefault="00C137F8">
      <w:pPr>
        <w:jc w:val="both"/>
        <w:rPr>
          <w:rFonts w:ascii="Times New Roman"/>
          <w:sz w:val="24"/>
        </w:rPr>
        <w:sectPr w:rsidR="00C137F8" w:rsidRPr="00A06A6E">
          <w:pgSz w:w="12240" w:h="15840"/>
          <w:pgMar w:top="800" w:right="1440" w:bottom="280" w:left="1080" w:header="44" w:footer="0" w:gutter="0"/>
          <w:cols w:space="720"/>
        </w:sectPr>
      </w:pPr>
    </w:p>
    <w:p w14:paraId="27AFFB2C" w14:textId="77777777" w:rsidR="00C137F8" w:rsidRPr="00A06A6E" w:rsidRDefault="00C137F8">
      <w:pPr>
        <w:pStyle w:val="BodyText"/>
        <w:rPr>
          <w:rFonts w:ascii="Times New Roman"/>
          <w:sz w:val="24"/>
        </w:rPr>
      </w:pPr>
    </w:p>
    <w:p w14:paraId="25439FED" w14:textId="77777777" w:rsidR="00C137F8" w:rsidRPr="00A06A6E" w:rsidRDefault="00C137F8">
      <w:pPr>
        <w:pStyle w:val="BodyText"/>
        <w:spacing w:before="58"/>
        <w:rPr>
          <w:rFonts w:ascii="Times New Roman"/>
          <w:sz w:val="24"/>
        </w:rPr>
      </w:pPr>
    </w:p>
    <w:p w14:paraId="2E5B11E1" w14:textId="77777777" w:rsidR="00C137F8" w:rsidRPr="00A06A6E" w:rsidRDefault="00000000">
      <w:pPr>
        <w:spacing w:before="1"/>
        <w:ind w:left="621" w:right="258"/>
        <w:jc w:val="both"/>
        <w:rPr>
          <w:rFonts w:ascii="Times New Roman"/>
          <w:sz w:val="24"/>
        </w:rPr>
      </w:pPr>
      <w:r w:rsidRPr="00A06A6E">
        <w:rPr>
          <w:rFonts w:ascii="Times New Roman"/>
          <w:sz w:val="24"/>
        </w:rPr>
        <w:t>Accordingly, companies with higher profitability appear to be more financially prepared to disclose sustainability information.</w:t>
      </w:r>
    </w:p>
    <w:p w14:paraId="76C9A2DA" w14:textId="77777777" w:rsidR="00C137F8" w:rsidRPr="00A06A6E" w:rsidRDefault="00000000">
      <w:pPr>
        <w:spacing w:before="2"/>
        <w:ind w:left="621" w:right="258" w:firstLine="720"/>
        <w:jc w:val="both"/>
        <w:rPr>
          <w:rFonts w:ascii="Times New Roman"/>
          <w:sz w:val="24"/>
        </w:rPr>
      </w:pPr>
      <w:r w:rsidRPr="00A06A6E">
        <w:rPr>
          <w:rFonts w:ascii="Times New Roman"/>
          <w:sz w:val="24"/>
        </w:rPr>
        <w:t>According to Freeman (1984), companies are expected to fulfil stakeholder information needs, including information on environmental and social performance. Profitable companies generally receive greater attention from investors, creditors, regulators, and society, which may encourage broader sustainability disclosure to maintain stakeholder trust and corporate reputation. Legitimacy theory likewise suggests that companies may use sustainability reporting to demonstrate that corporate success encompasses social and environmental responsibility as well as financial performance.</w:t>
      </w:r>
    </w:p>
    <w:p w14:paraId="3079754A" w14:textId="77777777" w:rsidR="00C137F8" w:rsidRPr="00A06A6E" w:rsidRDefault="00000000">
      <w:pPr>
        <w:spacing w:line="235" w:lineRule="auto"/>
        <w:ind w:left="620" w:right="258" w:firstLine="720"/>
        <w:jc w:val="both"/>
        <w:rPr>
          <w:rFonts w:ascii="Times New Roman"/>
          <w:sz w:val="24"/>
        </w:rPr>
      </w:pPr>
      <w:r w:rsidRPr="00A06A6E">
        <w:rPr>
          <w:rFonts w:ascii="Times New Roman"/>
          <w:sz w:val="24"/>
        </w:rPr>
        <w:t xml:space="preserve">This finding is consistent with the evidence reported by Damayanty et al. (2022) and Haris and </w:t>
      </w:r>
      <w:proofErr w:type="spellStart"/>
      <w:r w:rsidRPr="00A06A6E">
        <w:rPr>
          <w:rFonts w:ascii="Times New Roman"/>
          <w:sz w:val="24"/>
        </w:rPr>
        <w:t>Negoro</w:t>
      </w:r>
      <w:proofErr w:type="spellEnd"/>
      <w:r w:rsidRPr="00A06A6E">
        <w:rPr>
          <w:rFonts w:ascii="Times New Roman"/>
          <w:sz w:val="24"/>
        </w:rPr>
        <w:t xml:space="preserve"> (2021) on the relevance of firm characteristics, but it differs from </w:t>
      </w:r>
      <w:proofErr w:type="spellStart"/>
      <w:r w:rsidRPr="00A06A6E">
        <w:rPr>
          <w:rFonts w:ascii="Times New Roman"/>
          <w:sz w:val="24"/>
        </w:rPr>
        <w:t>Nioko</w:t>
      </w:r>
      <w:proofErr w:type="spellEnd"/>
      <w:r w:rsidRPr="00A06A6E">
        <w:rPr>
          <w:rFonts w:ascii="Times New Roman"/>
          <w:sz w:val="24"/>
        </w:rPr>
        <w:t xml:space="preserve"> and </w:t>
      </w:r>
      <w:proofErr w:type="spellStart"/>
      <w:r w:rsidRPr="00A06A6E">
        <w:rPr>
          <w:rFonts w:ascii="Times New Roman"/>
          <w:sz w:val="24"/>
        </w:rPr>
        <w:t>Hendrani</w:t>
      </w:r>
      <w:proofErr w:type="spellEnd"/>
      <w:r w:rsidRPr="00A06A6E">
        <w:rPr>
          <w:rFonts w:ascii="Times New Roman"/>
          <w:sz w:val="24"/>
        </w:rPr>
        <w:t xml:space="preserve"> (2024), who found no significant profitability effect. The present result suggests that profitability provides greater capacity to invest in sustainability initiatives and respond to stakeholder expectations.</w:t>
      </w:r>
    </w:p>
    <w:p w14:paraId="3E956788" w14:textId="77777777" w:rsidR="00C137F8" w:rsidRPr="00A06A6E" w:rsidRDefault="00C137F8">
      <w:pPr>
        <w:pStyle w:val="BodyText"/>
        <w:spacing w:before="7"/>
        <w:rPr>
          <w:rFonts w:ascii="Times New Roman"/>
          <w:sz w:val="24"/>
        </w:rPr>
      </w:pPr>
    </w:p>
    <w:p w14:paraId="04B1A979" w14:textId="77777777" w:rsidR="00C137F8" w:rsidRPr="00A06A6E" w:rsidRDefault="00000000">
      <w:pPr>
        <w:pStyle w:val="Heading1"/>
        <w:ind w:left="621"/>
      </w:pPr>
      <w:r w:rsidRPr="00A06A6E">
        <w:t>H2:</w:t>
      </w:r>
      <w:r w:rsidRPr="00A06A6E">
        <w:rPr>
          <w:spacing w:val="-4"/>
        </w:rPr>
        <w:t xml:space="preserve"> </w:t>
      </w:r>
      <w:r w:rsidRPr="00A06A6E">
        <w:t>The</w:t>
      </w:r>
      <w:r w:rsidRPr="00A06A6E">
        <w:rPr>
          <w:spacing w:val="-1"/>
        </w:rPr>
        <w:t xml:space="preserve"> </w:t>
      </w:r>
      <w:r w:rsidRPr="00A06A6E">
        <w:t>Influence</w:t>
      </w:r>
      <w:r w:rsidRPr="00A06A6E">
        <w:rPr>
          <w:spacing w:val="-2"/>
        </w:rPr>
        <w:t xml:space="preserve"> </w:t>
      </w:r>
      <w:r w:rsidRPr="00A06A6E">
        <w:t>of</w:t>
      </w:r>
      <w:r w:rsidRPr="00A06A6E">
        <w:rPr>
          <w:spacing w:val="-2"/>
        </w:rPr>
        <w:t xml:space="preserve"> </w:t>
      </w:r>
      <w:r w:rsidRPr="00A06A6E">
        <w:t>Leverage</w:t>
      </w:r>
      <w:r w:rsidRPr="00A06A6E">
        <w:rPr>
          <w:spacing w:val="-2"/>
        </w:rPr>
        <w:t xml:space="preserve"> </w:t>
      </w:r>
      <w:r w:rsidRPr="00A06A6E">
        <w:t>on</w:t>
      </w:r>
      <w:r w:rsidRPr="00A06A6E">
        <w:rPr>
          <w:spacing w:val="-1"/>
        </w:rPr>
        <w:t xml:space="preserve"> </w:t>
      </w:r>
      <w:r w:rsidRPr="00A06A6E">
        <w:t>Sustainability</w:t>
      </w:r>
      <w:r w:rsidRPr="00A06A6E">
        <w:rPr>
          <w:spacing w:val="-2"/>
        </w:rPr>
        <w:t xml:space="preserve"> </w:t>
      </w:r>
      <w:r w:rsidRPr="00A06A6E">
        <w:t>Report</w:t>
      </w:r>
      <w:r w:rsidRPr="00A06A6E">
        <w:rPr>
          <w:spacing w:val="-2"/>
        </w:rPr>
        <w:t xml:space="preserve"> Disclosure</w:t>
      </w:r>
    </w:p>
    <w:p w14:paraId="2EBF2B00" w14:textId="77777777" w:rsidR="00C137F8" w:rsidRPr="00A06A6E" w:rsidRDefault="00000000">
      <w:pPr>
        <w:spacing w:before="2"/>
        <w:ind w:left="621" w:right="258"/>
        <w:jc w:val="both"/>
        <w:rPr>
          <w:rFonts w:ascii="Times New Roman"/>
          <w:sz w:val="24"/>
        </w:rPr>
      </w:pPr>
      <w:r w:rsidRPr="00A06A6E">
        <w:rPr>
          <w:rFonts w:ascii="Times New Roman"/>
          <w:sz w:val="24"/>
        </w:rPr>
        <w:t xml:space="preserve">The regression results show that leverage has a positive and significant effect on Sustainability Report Disclosure, with a coefficient value of 0.008 and a significance value of 0.003 (&lt; 0.05). This finding indicates that companies with higher debt levels tend to disclose sustainability information more extensively. Companies with high leverage face greater pressure from creditors and external parties because debt financing increases financial risk and monitoring intensity. Consequently, management attempts to reduce stakeholder concerns by improving corporate transparency through sustainability reporting. High leverage also increases agency conflicts between management and creditors. Sustainability reporting therefore functions as a </w:t>
      </w:r>
      <w:proofErr w:type="spellStart"/>
      <w:r w:rsidRPr="00A06A6E">
        <w:rPr>
          <w:rFonts w:ascii="Times New Roman"/>
          <w:sz w:val="24"/>
        </w:rPr>
        <w:t>signalling</w:t>
      </w:r>
      <w:proofErr w:type="spellEnd"/>
      <w:r w:rsidRPr="00A06A6E">
        <w:rPr>
          <w:rFonts w:ascii="Times New Roman"/>
          <w:sz w:val="24"/>
        </w:rPr>
        <w:t xml:space="preserve"> mechanism to assure creditors that the company manages environmental, social, and governance risks responsibly and maintains long-term business sustainability.</w:t>
      </w:r>
    </w:p>
    <w:p w14:paraId="76E160A2" w14:textId="77777777" w:rsidR="00C137F8" w:rsidRPr="00A06A6E" w:rsidRDefault="00000000">
      <w:pPr>
        <w:ind w:left="621" w:right="258" w:firstLine="720"/>
        <w:jc w:val="both"/>
        <w:rPr>
          <w:rFonts w:ascii="Times New Roman"/>
          <w:sz w:val="24"/>
        </w:rPr>
      </w:pPr>
      <w:r w:rsidRPr="00A06A6E">
        <w:rPr>
          <w:rFonts w:ascii="Times New Roman"/>
          <w:sz w:val="24"/>
        </w:rPr>
        <w:t xml:space="preserve">Based on stakeholder theory, creditors are primary stakeholders who require transparent information on company risk management and sustainability practices. Companies with higher leverage may therefore provide broader disclosure to reduce information asymmetry and maintain creditor confidence. Manufacturing firms with higher leverage may also face stronger legitimacy pressure because their operations are associated with environmental risks. Sustainability reporting can serve as a communication tool for demonstrating accountability and responsible business conduct. This finding is consistent with Sonia and Khafid (2020), Al </w:t>
      </w:r>
      <w:proofErr w:type="spellStart"/>
      <w:r w:rsidRPr="00A06A6E">
        <w:rPr>
          <w:rFonts w:ascii="Times New Roman"/>
          <w:sz w:val="24"/>
        </w:rPr>
        <w:t>Amosh</w:t>
      </w:r>
      <w:proofErr w:type="spellEnd"/>
      <w:r w:rsidRPr="00A06A6E">
        <w:rPr>
          <w:rFonts w:ascii="Times New Roman"/>
          <w:sz w:val="24"/>
        </w:rPr>
        <w:t xml:space="preserve"> and Khatib (2022), and Ramadhan et al. (2023).</w:t>
      </w:r>
    </w:p>
    <w:p w14:paraId="3F452B8D" w14:textId="77777777" w:rsidR="00C137F8" w:rsidRPr="00A06A6E" w:rsidRDefault="00C137F8">
      <w:pPr>
        <w:jc w:val="both"/>
        <w:rPr>
          <w:rFonts w:ascii="Times New Roman"/>
          <w:sz w:val="24"/>
        </w:rPr>
        <w:sectPr w:rsidR="00C137F8" w:rsidRPr="00A06A6E">
          <w:pgSz w:w="12240" w:h="15840"/>
          <w:pgMar w:top="800" w:right="1440" w:bottom="280" w:left="1080" w:header="44" w:footer="0" w:gutter="0"/>
          <w:cols w:space="720"/>
        </w:sectPr>
      </w:pPr>
    </w:p>
    <w:p w14:paraId="5BA48E12" w14:textId="77777777" w:rsidR="00C137F8" w:rsidRPr="00A06A6E" w:rsidRDefault="00C137F8">
      <w:pPr>
        <w:pStyle w:val="BodyText"/>
        <w:spacing w:before="203"/>
        <w:rPr>
          <w:rFonts w:ascii="Times New Roman"/>
          <w:sz w:val="24"/>
        </w:rPr>
      </w:pPr>
    </w:p>
    <w:p w14:paraId="52EB3E2D" w14:textId="77777777" w:rsidR="00C137F8" w:rsidRPr="00A06A6E" w:rsidRDefault="00000000">
      <w:pPr>
        <w:pStyle w:val="Heading1"/>
        <w:ind w:left="621"/>
      </w:pPr>
      <w:r w:rsidRPr="00A06A6E">
        <w:t>H3:</w:t>
      </w:r>
      <w:r w:rsidRPr="00A06A6E">
        <w:rPr>
          <w:spacing w:val="-4"/>
        </w:rPr>
        <w:t xml:space="preserve"> </w:t>
      </w:r>
      <w:r w:rsidRPr="00A06A6E">
        <w:t>The</w:t>
      </w:r>
      <w:r w:rsidRPr="00A06A6E">
        <w:rPr>
          <w:spacing w:val="-1"/>
        </w:rPr>
        <w:t xml:space="preserve"> </w:t>
      </w:r>
      <w:r w:rsidRPr="00A06A6E">
        <w:t>Influence</w:t>
      </w:r>
      <w:r w:rsidRPr="00A06A6E">
        <w:rPr>
          <w:spacing w:val="-2"/>
        </w:rPr>
        <w:t xml:space="preserve"> </w:t>
      </w:r>
      <w:r w:rsidRPr="00A06A6E">
        <w:t>of</w:t>
      </w:r>
      <w:r w:rsidRPr="00A06A6E">
        <w:rPr>
          <w:spacing w:val="-1"/>
        </w:rPr>
        <w:t xml:space="preserve"> </w:t>
      </w:r>
      <w:r w:rsidRPr="00A06A6E">
        <w:t>Corporate</w:t>
      </w:r>
      <w:r w:rsidRPr="00A06A6E">
        <w:rPr>
          <w:spacing w:val="-2"/>
        </w:rPr>
        <w:t xml:space="preserve"> </w:t>
      </w:r>
      <w:r w:rsidRPr="00A06A6E">
        <w:t>Activity</w:t>
      </w:r>
      <w:r w:rsidRPr="00A06A6E">
        <w:rPr>
          <w:spacing w:val="-2"/>
        </w:rPr>
        <w:t xml:space="preserve"> </w:t>
      </w:r>
      <w:r w:rsidRPr="00A06A6E">
        <w:t>on</w:t>
      </w:r>
      <w:r w:rsidRPr="00A06A6E">
        <w:rPr>
          <w:spacing w:val="-1"/>
        </w:rPr>
        <w:t xml:space="preserve"> </w:t>
      </w:r>
      <w:r w:rsidRPr="00A06A6E">
        <w:t>Sustainability</w:t>
      </w:r>
      <w:r w:rsidRPr="00A06A6E">
        <w:rPr>
          <w:spacing w:val="-2"/>
        </w:rPr>
        <w:t xml:space="preserve"> </w:t>
      </w:r>
      <w:r w:rsidRPr="00A06A6E">
        <w:t>Report</w:t>
      </w:r>
      <w:r w:rsidRPr="00A06A6E">
        <w:rPr>
          <w:spacing w:val="-2"/>
        </w:rPr>
        <w:t xml:space="preserve"> Disclosure</w:t>
      </w:r>
    </w:p>
    <w:p w14:paraId="25BD24EF" w14:textId="77777777" w:rsidR="00C137F8" w:rsidRPr="00A06A6E" w:rsidRDefault="00000000">
      <w:pPr>
        <w:spacing w:before="3"/>
        <w:ind w:left="621" w:right="258" w:firstLine="720"/>
        <w:jc w:val="both"/>
        <w:rPr>
          <w:rFonts w:ascii="Times New Roman"/>
          <w:sz w:val="24"/>
        </w:rPr>
      </w:pPr>
      <w:r w:rsidRPr="00A06A6E">
        <w:rPr>
          <w:rFonts w:ascii="Times New Roman"/>
          <w:sz w:val="24"/>
        </w:rPr>
        <w:t>The regression results indicate that corporate activity has no significant effect on Sustainability Report Disclosure, with a significance value of 0.474 (&gt; 0.05). Therefore, H3 is rejected. This finding indicates that operational efficiency reflected through inventory turnover does not necessarily encourage companies to disclose sustainability information more extensively. Although companies may efficiently manage inventory and operational activities, such efficiency does not automatically reflect greater commitment towards sustainability disclosure.</w:t>
      </w:r>
    </w:p>
    <w:p w14:paraId="643E9D78" w14:textId="77777777" w:rsidR="00C137F8" w:rsidRPr="00A06A6E" w:rsidRDefault="00000000">
      <w:pPr>
        <w:ind w:left="621" w:right="258" w:firstLine="720"/>
        <w:jc w:val="both"/>
        <w:rPr>
          <w:rFonts w:ascii="Times New Roman"/>
          <w:sz w:val="24"/>
        </w:rPr>
      </w:pPr>
      <w:r w:rsidRPr="00A06A6E">
        <w:rPr>
          <w:rFonts w:ascii="Times New Roman"/>
          <w:sz w:val="24"/>
        </w:rPr>
        <w:t xml:space="preserve">One possible explanation is that corporate activity ratios are more oriented towards short-term operational efficiency and profitability rather than long-term sustainability strategies. Sustainability disclosure is generally influenced more strongly by external pressures, stakeholder expectations, governance quality, and company visibility than by operational activity efficiency alone. In addition, some manufacturing companies may </w:t>
      </w:r>
      <w:proofErr w:type="spellStart"/>
      <w:r w:rsidRPr="00A06A6E">
        <w:rPr>
          <w:rFonts w:ascii="Times New Roman"/>
          <w:sz w:val="24"/>
        </w:rPr>
        <w:t>prioritise</w:t>
      </w:r>
      <w:proofErr w:type="spellEnd"/>
      <w:r w:rsidRPr="00A06A6E">
        <w:rPr>
          <w:rFonts w:ascii="Times New Roman"/>
          <w:sz w:val="24"/>
        </w:rPr>
        <w:t xml:space="preserve"> operational productivity and cost efficiency over sustainability transparency. As a result, high inventory turnover does not necessarily indicate stronger sustainability awareness or ESG commitment. This finding also indicates that sustainability reporting in Indonesia may still be largely driven by regulatory compliance, stakeholder pressure, and legitimacy concerns rather than internal operational efficiency factors.</w:t>
      </w:r>
    </w:p>
    <w:p w14:paraId="512BEAB8" w14:textId="77777777" w:rsidR="00C137F8" w:rsidRPr="00A06A6E" w:rsidRDefault="00000000">
      <w:pPr>
        <w:ind w:left="621" w:right="258" w:firstLine="720"/>
        <w:jc w:val="both"/>
        <w:rPr>
          <w:rFonts w:ascii="Times New Roman"/>
          <w:sz w:val="24"/>
        </w:rPr>
      </w:pPr>
      <w:r w:rsidRPr="00A06A6E">
        <w:rPr>
          <w:rFonts w:ascii="Times New Roman"/>
          <w:sz w:val="24"/>
        </w:rPr>
        <w:t xml:space="preserve">The result differs from Damayanty et al. (2022), who reported a positive relationship between corporate activity and sustainability disclosure, but it is consistent with </w:t>
      </w:r>
      <w:proofErr w:type="spellStart"/>
      <w:r w:rsidRPr="00A06A6E">
        <w:rPr>
          <w:rFonts w:ascii="Times New Roman"/>
          <w:sz w:val="24"/>
        </w:rPr>
        <w:t>Nioko</w:t>
      </w:r>
      <w:proofErr w:type="spellEnd"/>
      <w:r w:rsidRPr="00A06A6E">
        <w:rPr>
          <w:rFonts w:ascii="Times New Roman"/>
          <w:sz w:val="24"/>
        </w:rPr>
        <w:t xml:space="preserve"> and </w:t>
      </w:r>
      <w:proofErr w:type="spellStart"/>
      <w:r w:rsidRPr="00A06A6E">
        <w:rPr>
          <w:rFonts w:ascii="Times New Roman"/>
          <w:sz w:val="24"/>
        </w:rPr>
        <w:t>Hendrani</w:t>
      </w:r>
      <w:proofErr w:type="spellEnd"/>
      <w:r w:rsidRPr="00A06A6E">
        <w:rPr>
          <w:rFonts w:ascii="Times New Roman"/>
          <w:sz w:val="24"/>
        </w:rPr>
        <w:t xml:space="preserve"> (2024), who found no significant effect. The finding implies that operational efficiency alone may be insufficient to encourage sustainability disclosure; governance and stakeholder pressure may be more influential.</w:t>
      </w:r>
    </w:p>
    <w:p w14:paraId="1CD884CA" w14:textId="77777777" w:rsidR="00C137F8" w:rsidRPr="00A06A6E" w:rsidRDefault="00C137F8">
      <w:pPr>
        <w:pStyle w:val="BodyText"/>
        <w:rPr>
          <w:rFonts w:ascii="Times New Roman"/>
          <w:sz w:val="24"/>
        </w:rPr>
      </w:pPr>
    </w:p>
    <w:p w14:paraId="396AFB18" w14:textId="77777777" w:rsidR="00C137F8" w:rsidRPr="00A06A6E" w:rsidRDefault="00000000">
      <w:pPr>
        <w:pStyle w:val="Heading1"/>
        <w:spacing w:line="237" w:lineRule="auto"/>
        <w:ind w:left="1188" w:right="258" w:hanging="567"/>
      </w:pPr>
      <w:r w:rsidRPr="00A06A6E">
        <w:t>H4:</w:t>
      </w:r>
      <w:r w:rsidRPr="00A06A6E">
        <w:rPr>
          <w:spacing w:val="40"/>
        </w:rPr>
        <w:t xml:space="preserve"> </w:t>
      </w:r>
      <w:r w:rsidRPr="00A06A6E">
        <w:t>The Influence of the Independent Board of Commissioners on Sustainability Report Disclosure</w:t>
      </w:r>
    </w:p>
    <w:p w14:paraId="582FAD05" w14:textId="77777777" w:rsidR="00C137F8" w:rsidRPr="00A06A6E" w:rsidRDefault="00000000">
      <w:pPr>
        <w:spacing w:before="4"/>
        <w:ind w:left="621" w:right="258" w:firstLine="720"/>
        <w:jc w:val="both"/>
        <w:rPr>
          <w:rFonts w:ascii="Times New Roman"/>
          <w:sz w:val="24"/>
        </w:rPr>
      </w:pPr>
      <w:r w:rsidRPr="00A06A6E">
        <w:rPr>
          <w:rFonts w:ascii="Times New Roman"/>
          <w:sz w:val="24"/>
        </w:rPr>
        <w:t>The regression results indicate that the Independent Board of Commissioners has a positive and significant effect on Sustainability Report Disclosure, with a coefficient value of 0.042 and a significance value of 0.009 (&lt; 0.05). This finding demonstrates that the existence of independent commissioners strengthens corporate governance and encourages companies to disclose sustainability information more comprehensively. Independent commissioners function as monitoring mechanisms that supervise management decisions and ensure corporate accountability towards stakeholders. Independent commissioners are considered more objective and independent because they have no direct affiliation with management or controlling shareholders. Consequently, they are more likely to encourage transparency, accountability, and ethical business practices, including sustainability disclosure.</w:t>
      </w:r>
    </w:p>
    <w:p w14:paraId="380D88D6" w14:textId="77777777" w:rsidR="00C137F8" w:rsidRPr="00A06A6E" w:rsidRDefault="00000000">
      <w:pPr>
        <w:ind w:left="620" w:right="258" w:firstLine="720"/>
        <w:jc w:val="both"/>
        <w:rPr>
          <w:rFonts w:ascii="Times New Roman"/>
          <w:sz w:val="24"/>
        </w:rPr>
      </w:pPr>
      <w:r w:rsidRPr="00A06A6E">
        <w:rPr>
          <w:rFonts w:ascii="Times New Roman"/>
          <w:sz w:val="24"/>
        </w:rPr>
        <w:t>Based on agency theory, independent commissioners can reduce agency conflicts by strengthening monitoring. Stakeholder theory similarly suggests that they can encourage broader ESG disclosure and sustainability transparency. In manufacturing companies with significant environmental exposure, independent oversight is particularly relevant to legitimacy and public trust. This finding is consistent with the studies cited by the manuscript, including Bhatia and Marwaha (2022) and Pratiwi et al. (2023).</w:t>
      </w:r>
    </w:p>
    <w:p w14:paraId="7A47426B" w14:textId="77777777" w:rsidR="00C137F8" w:rsidRPr="00A06A6E" w:rsidRDefault="00C137F8">
      <w:pPr>
        <w:jc w:val="both"/>
        <w:rPr>
          <w:rFonts w:ascii="Times New Roman"/>
          <w:sz w:val="24"/>
        </w:rPr>
        <w:sectPr w:rsidR="00C137F8" w:rsidRPr="00A06A6E">
          <w:pgSz w:w="12240" w:h="15840"/>
          <w:pgMar w:top="800" w:right="1440" w:bottom="280" w:left="1080" w:header="44" w:footer="0" w:gutter="0"/>
          <w:cols w:space="720"/>
        </w:sectPr>
      </w:pPr>
    </w:p>
    <w:p w14:paraId="1ACC0A6B" w14:textId="77777777" w:rsidR="00C137F8" w:rsidRPr="00A06A6E" w:rsidRDefault="00C137F8">
      <w:pPr>
        <w:pStyle w:val="BodyText"/>
        <w:rPr>
          <w:rFonts w:ascii="Times New Roman"/>
          <w:sz w:val="24"/>
        </w:rPr>
      </w:pPr>
    </w:p>
    <w:p w14:paraId="20B874FA" w14:textId="77777777" w:rsidR="00C137F8" w:rsidRPr="00A06A6E" w:rsidRDefault="00C137F8">
      <w:pPr>
        <w:pStyle w:val="BodyText"/>
        <w:rPr>
          <w:rFonts w:ascii="Times New Roman"/>
          <w:sz w:val="24"/>
        </w:rPr>
      </w:pPr>
    </w:p>
    <w:p w14:paraId="5F6C66F2" w14:textId="77777777" w:rsidR="00C137F8" w:rsidRPr="00A06A6E" w:rsidRDefault="00C137F8">
      <w:pPr>
        <w:pStyle w:val="BodyText"/>
        <w:rPr>
          <w:rFonts w:ascii="Times New Roman"/>
          <w:sz w:val="24"/>
        </w:rPr>
      </w:pPr>
    </w:p>
    <w:p w14:paraId="5CB640BB" w14:textId="77777777" w:rsidR="00C137F8" w:rsidRPr="00A06A6E" w:rsidRDefault="00C137F8">
      <w:pPr>
        <w:pStyle w:val="BodyText"/>
        <w:spacing w:before="67"/>
        <w:rPr>
          <w:rFonts w:ascii="Times New Roman"/>
          <w:sz w:val="24"/>
        </w:rPr>
      </w:pPr>
    </w:p>
    <w:p w14:paraId="56DE3893" w14:textId="77777777" w:rsidR="00C137F8" w:rsidRPr="00A06A6E" w:rsidRDefault="00000000">
      <w:pPr>
        <w:pStyle w:val="Heading1"/>
        <w:spacing w:line="275" w:lineRule="exact"/>
      </w:pPr>
      <w:r w:rsidRPr="00A06A6E">
        <w:t>H5:</w:t>
      </w:r>
      <w:r w:rsidRPr="00A06A6E">
        <w:rPr>
          <w:spacing w:val="-3"/>
        </w:rPr>
        <w:t xml:space="preserve"> </w:t>
      </w:r>
      <w:r w:rsidRPr="00A06A6E">
        <w:t>The</w:t>
      </w:r>
      <w:r w:rsidRPr="00A06A6E">
        <w:rPr>
          <w:spacing w:val="-2"/>
        </w:rPr>
        <w:t xml:space="preserve"> </w:t>
      </w:r>
      <w:r w:rsidRPr="00A06A6E">
        <w:t>Influence</w:t>
      </w:r>
      <w:r w:rsidRPr="00A06A6E">
        <w:rPr>
          <w:spacing w:val="-2"/>
        </w:rPr>
        <w:t xml:space="preserve"> </w:t>
      </w:r>
      <w:r w:rsidRPr="00A06A6E">
        <w:t>of</w:t>
      </w:r>
      <w:r w:rsidRPr="00A06A6E">
        <w:rPr>
          <w:spacing w:val="-1"/>
        </w:rPr>
        <w:t xml:space="preserve"> </w:t>
      </w:r>
      <w:r w:rsidRPr="00A06A6E">
        <w:t>the</w:t>
      </w:r>
      <w:r w:rsidRPr="00A06A6E">
        <w:rPr>
          <w:spacing w:val="-2"/>
        </w:rPr>
        <w:t xml:space="preserve"> </w:t>
      </w:r>
      <w:r w:rsidRPr="00A06A6E">
        <w:t>Audit</w:t>
      </w:r>
      <w:r w:rsidRPr="00A06A6E">
        <w:rPr>
          <w:spacing w:val="-1"/>
        </w:rPr>
        <w:t xml:space="preserve"> </w:t>
      </w:r>
      <w:r w:rsidRPr="00A06A6E">
        <w:t>Committee</w:t>
      </w:r>
      <w:r w:rsidRPr="00A06A6E">
        <w:rPr>
          <w:spacing w:val="-2"/>
        </w:rPr>
        <w:t xml:space="preserve"> </w:t>
      </w:r>
      <w:r w:rsidRPr="00A06A6E">
        <w:t>on</w:t>
      </w:r>
      <w:r w:rsidRPr="00A06A6E">
        <w:rPr>
          <w:spacing w:val="-1"/>
        </w:rPr>
        <w:t xml:space="preserve"> </w:t>
      </w:r>
      <w:r w:rsidRPr="00A06A6E">
        <w:t>Sustainability</w:t>
      </w:r>
      <w:r w:rsidRPr="00A06A6E">
        <w:rPr>
          <w:spacing w:val="-1"/>
        </w:rPr>
        <w:t xml:space="preserve"> </w:t>
      </w:r>
      <w:r w:rsidRPr="00A06A6E">
        <w:t xml:space="preserve">Report </w:t>
      </w:r>
      <w:r w:rsidRPr="00A06A6E">
        <w:rPr>
          <w:spacing w:val="-2"/>
        </w:rPr>
        <w:t>Disclosure</w:t>
      </w:r>
    </w:p>
    <w:p w14:paraId="262D35CC" w14:textId="77777777" w:rsidR="00C137F8" w:rsidRPr="00A06A6E" w:rsidRDefault="00000000">
      <w:pPr>
        <w:ind w:left="628" w:right="250" w:firstLine="720"/>
        <w:jc w:val="both"/>
        <w:rPr>
          <w:rFonts w:ascii="Times New Roman"/>
          <w:sz w:val="24"/>
        </w:rPr>
      </w:pPr>
      <w:r w:rsidRPr="00A06A6E">
        <w:rPr>
          <w:rFonts w:ascii="Times New Roman"/>
          <w:sz w:val="24"/>
        </w:rPr>
        <w:t xml:space="preserve">The regression results show that the audit committee has no significant effect on sustainability report disclosure, with a significance value of 0.184 (&gt; 0.05). Although audit committees oversee financial reporting and internal controls, their responsibilities may remain focused on financial-reporting compliance rather than sustainability oversight. In many Indonesian companies, sustainability reporting may be managed primarily by senior management or </w:t>
      </w:r>
      <w:proofErr w:type="spellStart"/>
      <w:r w:rsidRPr="00A06A6E">
        <w:rPr>
          <w:rFonts w:ascii="Times New Roman"/>
          <w:sz w:val="24"/>
        </w:rPr>
        <w:t>specialised</w:t>
      </w:r>
      <w:proofErr w:type="spellEnd"/>
      <w:r w:rsidRPr="00A06A6E">
        <w:rPr>
          <w:rFonts w:ascii="Times New Roman"/>
          <w:sz w:val="24"/>
        </w:rPr>
        <w:t xml:space="preserve"> sustainability units. The existence of an audit committee alone may therefore be insufficient to ensure broader disclosure, particularly where committee members have limited ESG-reporting expertise.</w:t>
      </w:r>
    </w:p>
    <w:p w14:paraId="2F759725" w14:textId="77777777" w:rsidR="00C137F8" w:rsidRPr="00A06A6E" w:rsidRDefault="00000000">
      <w:pPr>
        <w:spacing w:before="2" w:line="237" w:lineRule="auto"/>
        <w:ind w:left="628" w:right="251" w:firstLine="720"/>
        <w:jc w:val="both"/>
        <w:rPr>
          <w:rFonts w:ascii="Times New Roman"/>
          <w:sz w:val="24"/>
        </w:rPr>
      </w:pPr>
      <w:r w:rsidRPr="00A06A6E">
        <w:rPr>
          <w:rFonts w:ascii="Times New Roman"/>
          <w:sz w:val="24"/>
        </w:rPr>
        <w:t xml:space="preserve">This finding differs from </w:t>
      </w:r>
      <w:proofErr w:type="spellStart"/>
      <w:r w:rsidRPr="00A06A6E">
        <w:rPr>
          <w:rFonts w:ascii="Times New Roman"/>
          <w:sz w:val="24"/>
        </w:rPr>
        <w:t>Aprianti</w:t>
      </w:r>
      <w:proofErr w:type="spellEnd"/>
      <w:r w:rsidRPr="00A06A6E">
        <w:rPr>
          <w:rFonts w:ascii="Times New Roman"/>
          <w:sz w:val="24"/>
        </w:rPr>
        <w:t xml:space="preserve"> et al. (2022) and Ramadhan et al. (2023), which associated audit-committee characteristics with sustainability disclosure. The insignificant result in the present study suggests that audit committees in Indonesian manufacturing companies may still focus primarily on financial reporting rather than sustainability oversight.</w:t>
      </w:r>
    </w:p>
    <w:p w14:paraId="4D343D95" w14:textId="77777777" w:rsidR="00C137F8" w:rsidRPr="00A06A6E" w:rsidRDefault="00C137F8">
      <w:pPr>
        <w:pStyle w:val="BodyText"/>
        <w:spacing w:before="1"/>
        <w:rPr>
          <w:rFonts w:ascii="Times New Roman"/>
          <w:sz w:val="24"/>
        </w:rPr>
      </w:pPr>
    </w:p>
    <w:p w14:paraId="682B607B" w14:textId="77777777" w:rsidR="00C137F8" w:rsidRPr="00A06A6E" w:rsidRDefault="00000000">
      <w:pPr>
        <w:pStyle w:val="Heading1"/>
      </w:pPr>
      <w:r w:rsidRPr="00A06A6E">
        <w:t>H6:</w:t>
      </w:r>
      <w:r w:rsidRPr="00A06A6E">
        <w:rPr>
          <w:spacing w:val="-4"/>
        </w:rPr>
        <w:t xml:space="preserve"> </w:t>
      </w:r>
      <w:r w:rsidRPr="00A06A6E">
        <w:t>The</w:t>
      </w:r>
      <w:r w:rsidRPr="00A06A6E">
        <w:rPr>
          <w:spacing w:val="-1"/>
        </w:rPr>
        <w:t xml:space="preserve"> </w:t>
      </w:r>
      <w:r w:rsidRPr="00A06A6E">
        <w:t>Influence</w:t>
      </w:r>
      <w:r w:rsidRPr="00A06A6E">
        <w:rPr>
          <w:spacing w:val="-2"/>
        </w:rPr>
        <w:t xml:space="preserve"> </w:t>
      </w:r>
      <w:r w:rsidRPr="00A06A6E">
        <w:t>of</w:t>
      </w:r>
      <w:r w:rsidRPr="00A06A6E">
        <w:rPr>
          <w:spacing w:val="-1"/>
        </w:rPr>
        <w:t xml:space="preserve"> </w:t>
      </w:r>
      <w:r w:rsidRPr="00A06A6E">
        <w:t>Company</w:t>
      </w:r>
      <w:r w:rsidRPr="00A06A6E">
        <w:rPr>
          <w:spacing w:val="-2"/>
        </w:rPr>
        <w:t xml:space="preserve"> </w:t>
      </w:r>
      <w:r w:rsidRPr="00A06A6E">
        <w:t>Size</w:t>
      </w:r>
      <w:r w:rsidRPr="00A06A6E">
        <w:rPr>
          <w:spacing w:val="-2"/>
        </w:rPr>
        <w:t xml:space="preserve"> </w:t>
      </w:r>
      <w:r w:rsidRPr="00A06A6E">
        <w:t>on</w:t>
      </w:r>
      <w:r w:rsidRPr="00A06A6E">
        <w:rPr>
          <w:spacing w:val="-1"/>
        </w:rPr>
        <w:t xml:space="preserve"> </w:t>
      </w:r>
      <w:r w:rsidRPr="00A06A6E">
        <w:t>Sustainability</w:t>
      </w:r>
      <w:r w:rsidRPr="00A06A6E">
        <w:rPr>
          <w:spacing w:val="-2"/>
        </w:rPr>
        <w:t xml:space="preserve"> </w:t>
      </w:r>
      <w:r w:rsidRPr="00A06A6E">
        <w:t>Report</w:t>
      </w:r>
      <w:r w:rsidRPr="00A06A6E">
        <w:rPr>
          <w:spacing w:val="-2"/>
        </w:rPr>
        <w:t xml:space="preserve"> Disclosure</w:t>
      </w:r>
    </w:p>
    <w:p w14:paraId="63214957" w14:textId="77777777" w:rsidR="00C137F8" w:rsidRPr="00A06A6E" w:rsidRDefault="00000000">
      <w:pPr>
        <w:spacing w:before="2"/>
        <w:ind w:left="628" w:right="251" w:firstLine="720"/>
        <w:jc w:val="both"/>
        <w:rPr>
          <w:rFonts w:ascii="Times New Roman"/>
          <w:sz w:val="24"/>
        </w:rPr>
      </w:pPr>
      <w:r w:rsidRPr="00A06A6E">
        <w:rPr>
          <w:rFonts w:ascii="Times New Roman"/>
          <w:sz w:val="24"/>
        </w:rPr>
        <w:t>The</w:t>
      </w:r>
      <w:r w:rsidRPr="00A06A6E">
        <w:rPr>
          <w:rFonts w:ascii="Times New Roman"/>
          <w:spacing w:val="-14"/>
          <w:sz w:val="24"/>
        </w:rPr>
        <w:t xml:space="preserve"> </w:t>
      </w:r>
      <w:r w:rsidRPr="00A06A6E">
        <w:rPr>
          <w:rFonts w:ascii="Times New Roman"/>
          <w:sz w:val="24"/>
        </w:rPr>
        <w:t>regression</w:t>
      </w:r>
      <w:r w:rsidRPr="00A06A6E">
        <w:rPr>
          <w:rFonts w:ascii="Times New Roman"/>
          <w:spacing w:val="-14"/>
          <w:sz w:val="24"/>
        </w:rPr>
        <w:t xml:space="preserve"> </w:t>
      </w:r>
      <w:r w:rsidRPr="00A06A6E">
        <w:rPr>
          <w:rFonts w:ascii="Times New Roman"/>
          <w:sz w:val="24"/>
        </w:rPr>
        <w:t>results</w:t>
      </w:r>
      <w:r w:rsidRPr="00A06A6E">
        <w:rPr>
          <w:rFonts w:ascii="Times New Roman"/>
          <w:spacing w:val="-14"/>
          <w:sz w:val="24"/>
        </w:rPr>
        <w:t xml:space="preserve"> </w:t>
      </w:r>
      <w:r w:rsidRPr="00A06A6E">
        <w:rPr>
          <w:rFonts w:ascii="Times New Roman"/>
          <w:sz w:val="24"/>
        </w:rPr>
        <w:t>indicate</w:t>
      </w:r>
      <w:r w:rsidRPr="00A06A6E">
        <w:rPr>
          <w:rFonts w:ascii="Times New Roman"/>
          <w:spacing w:val="-14"/>
          <w:sz w:val="24"/>
        </w:rPr>
        <w:t xml:space="preserve"> </w:t>
      </w:r>
      <w:r w:rsidRPr="00A06A6E">
        <w:rPr>
          <w:rFonts w:ascii="Times New Roman"/>
          <w:sz w:val="24"/>
        </w:rPr>
        <w:t>that</w:t>
      </w:r>
      <w:r w:rsidRPr="00A06A6E">
        <w:rPr>
          <w:rFonts w:ascii="Times New Roman"/>
          <w:spacing w:val="-14"/>
          <w:sz w:val="24"/>
        </w:rPr>
        <w:t xml:space="preserve"> </w:t>
      </w:r>
      <w:r w:rsidRPr="00A06A6E">
        <w:rPr>
          <w:rFonts w:ascii="Times New Roman"/>
          <w:sz w:val="24"/>
        </w:rPr>
        <w:t>company</w:t>
      </w:r>
      <w:r w:rsidRPr="00A06A6E">
        <w:rPr>
          <w:rFonts w:ascii="Times New Roman"/>
          <w:spacing w:val="-14"/>
          <w:sz w:val="24"/>
        </w:rPr>
        <w:t xml:space="preserve"> </w:t>
      </w:r>
      <w:r w:rsidRPr="00A06A6E">
        <w:rPr>
          <w:rFonts w:ascii="Times New Roman"/>
          <w:sz w:val="24"/>
        </w:rPr>
        <w:t>size</w:t>
      </w:r>
      <w:r w:rsidRPr="00A06A6E">
        <w:rPr>
          <w:rFonts w:ascii="Times New Roman"/>
          <w:spacing w:val="-13"/>
          <w:sz w:val="24"/>
        </w:rPr>
        <w:t xml:space="preserve"> </w:t>
      </w:r>
      <w:r w:rsidRPr="00A06A6E">
        <w:rPr>
          <w:rFonts w:ascii="Times New Roman"/>
          <w:sz w:val="24"/>
        </w:rPr>
        <w:t>has</w:t>
      </w:r>
      <w:r w:rsidRPr="00A06A6E">
        <w:rPr>
          <w:rFonts w:ascii="Times New Roman"/>
          <w:spacing w:val="-14"/>
          <w:sz w:val="24"/>
        </w:rPr>
        <w:t xml:space="preserve"> </w:t>
      </w:r>
      <w:r w:rsidRPr="00A06A6E">
        <w:rPr>
          <w:rFonts w:ascii="Times New Roman"/>
          <w:sz w:val="24"/>
        </w:rPr>
        <w:t>a</w:t>
      </w:r>
      <w:r w:rsidRPr="00A06A6E">
        <w:rPr>
          <w:rFonts w:ascii="Times New Roman"/>
          <w:spacing w:val="-13"/>
          <w:sz w:val="24"/>
        </w:rPr>
        <w:t xml:space="preserve"> </w:t>
      </w:r>
      <w:r w:rsidRPr="00A06A6E">
        <w:rPr>
          <w:rFonts w:ascii="Times New Roman"/>
          <w:sz w:val="24"/>
        </w:rPr>
        <w:t>positive</w:t>
      </w:r>
      <w:r w:rsidRPr="00A06A6E">
        <w:rPr>
          <w:rFonts w:ascii="Times New Roman"/>
          <w:spacing w:val="-13"/>
          <w:sz w:val="24"/>
        </w:rPr>
        <w:t xml:space="preserve"> </w:t>
      </w:r>
      <w:r w:rsidRPr="00A06A6E">
        <w:rPr>
          <w:rFonts w:ascii="Times New Roman"/>
          <w:sz w:val="24"/>
        </w:rPr>
        <w:t>and</w:t>
      </w:r>
      <w:r w:rsidRPr="00A06A6E">
        <w:rPr>
          <w:rFonts w:ascii="Times New Roman"/>
          <w:spacing w:val="-13"/>
          <w:sz w:val="24"/>
        </w:rPr>
        <w:t xml:space="preserve"> </w:t>
      </w:r>
      <w:r w:rsidRPr="00A06A6E">
        <w:rPr>
          <w:rFonts w:ascii="Times New Roman"/>
          <w:sz w:val="24"/>
        </w:rPr>
        <w:t>highly</w:t>
      </w:r>
      <w:r w:rsidRPr="00A06A6E">
        <w:rPr>
          <w:rFonts w:ascii="Times New Roman"/>
          <w:spacing w:val="-14"/>
          <w:sz w:val="24"/>
        </w:rPr>
        <w:t xml:space="preserve"> </w:t>
      </w:r>
      <w:r w:rsidRPr="00A06A6E">
        <w:rPr>
          <w:rFonts w:ascii="Times New Roman"/>
          <w:sz w:val="24"/>
        </w:rPr>
        <w:t>significant effect on Sustainability Report Disclosure, with a coefficient value of 0.023 and a significance value of 0.000. This finding suggests that larger companies tend to disclose sustainability</w:t>
      </w:r>
      <w:r w:rsidRPr="00A06A6E">
        <w:rPr>
          <w:rFonts w:ascii="Times New Roman"/>
          <w:spacing w:val="-3"/>
          <w:sz w:val="24"/>
        </w:rPr>
        <w:t xml:space="preserve"> </w:t>
      </w:r>
      <w:r w:rsidRPr="00A06A6E">
        <w:rPr>
          <w:rFonts w:ascii="Times New Roman"/>
          <w:sz w:val="24"/>
        </w:rPr>
        <w:t>information</w:t>
      </w:r>
      <w:r w:rsidRPr="00A06A6E">
        <w:rPr>
          <w:rFonts w:ascii="Times New Roman"/>
          <w:spacing w:val="-3"/>
          <w:sz w:val="24"/>
        </w:rPr>
        <w:t xml:space="preserve"> </w:t>
      </w:r>
      <w:r w:rsidRPr="00A06A6E">
        <w:rPr>
          <w:rFonts w:ascii="Times New Roman"/>
          <w:sz w:val="24"/>
        </w:rPr>
        <w:t>more</w:t>
      </w:r>
      <w:r w:rsidRPr="00A06A6E">
        <w:rPr>
          <w:rFonts w:ascii="Times New Roman"/>
          <w:spacing w:val="-3"/>
          <w:sz w:val="24"/>
        </w:rPr>
        <w:t xml:space="preserve"> </w:t>
      </w:r>
      <w:r w:rsidRPr="00A06A6E">
        <w:rPr>
          <w:rFonts w:ascii="Times New Roman"/>
          <w:sz w:val="24"/>
        </w:rPr>
        <w:t>comprehensively</w:t>
      </w:r>
      <w:r w:rsidRPr="00A06A6E">
        <w:rPr>
          <w:rFonts w:ascii="Times New Roman"/>
          <w:spacing w:val="-3"/>
          <w:sz w:val="24"/>
        </w:rPr>
        <w:t xml:space="preserve"> </w:t>
      </w:r>
      <w:r w:rsidRPr="00A06A6E">
        <w:rPr>
          <w:rFonts w:ascii="Times New Roman"/>
          <w:sz w:val="24"/>
        </w:rPr>
        <w:t>than</w:t>
      </w:r>
      <w:r w:rsidRPr="00A06A6E">
        <w:rPr>
          <w:rFonts w:ascii="Times New Roman"/>
          <w:spacing w:val="-3"/>
          <w:sz w:val="24"/>
        </w:rPr>
        <w:t xml:space="preserve"> </w:t>
      </w:r>
      <w:r w:rsidRPr="00A06A6E">
        <w:rPr>
          <w:rFonts w:ascii="Times New Roman"/>
          <w:sz w:val="24"/>
        </w:rPr>
        <w:t>smaller</w:t>
      </w:r>
      <w:r w:rsidRPr="00A06A6E">
        <w:rPr>
          <w:rFonts w:ascii="Times New Roman"/>
          <w:spacing w:val="-3"/>
          <w:sz w:val="24"/>
        </w:rPr>
        <w:t xml:space="preserve"> </w:t>
      </w:r>
      <w:r w:rsidRPr="00A06A6E">
        <w:rPr>
          <w:rFonts w:ascii="Times New Roman"/>
          <w:sz w:val="24"/>
        </w:rPr>
        <w:t>companies.</w:t>
      </w:r>
      <w:r w:rsidRPr="00A06A6E">
        <w:rPr>
          <w:rFonts w:ascii="Times New Roman"/>
          <w:spacing w:val="-3"/>
          <w:sz w:val="24"/>
        </w:rPr>
        <w:t xml:space="preserve"> </w:t>
      </w:r>
      <w:r w:rsidRPr="00A06A6E">
        <w:rPr>
          <w:rFonts w:ascii="Times New Roman"/>
          <w:sz w:val="24"/>
        </w:rPr>
        <w:t>Large</w:t>
      </w:r>
      <w:r w:rsidRPr="00A06A6E">
        <w:rPr>
          <w:rFonts w:ascii="Times New Roman"/>
          <w:spacing w:val="-3"/>
          <w:sz w:val="24"/>
        </w:rPr>
        <w:t xml:space="preserve"> </w:t>
      </w:r>
      <w:r w:rsidRPr="00A06A6E">
        <w:rPr>
          <w:rFonts w:ascii="Times New Roman"/>
          <w:sz w:val="24"/>
        </w:rPr>
        <w:t>companies generally receive greater public attention because their operational activities have broader economic, environmental, and social impacts.</w:t>
      </w:r>
    </w:p>
    <w:p w14:paraId="0F0775B6" w14:textId="77777777" w:rsidR="00C137F8" w:rsidRPr="00A06A6E" w:rsidRDefault="00000000">
      <w:pPr>
        <w:ind w:left="628" w:right="251" w:firstLine="720"/>
        <w:jc w:val="both"/>
        <w:rPr>
          <w:rFonts w:ascii="Times New Roman"/>
          <w:sz w:val="24"/>
        </w:rPr>
      </w:pPr>
      <w:r w:rsidRPr="00A06A6E">
        <w:rPr>
          <w:rFonts w:ascii="Times New Roman"/>
          <w:sz w:val="24"/>
        </w:rPr>
        <w:t xml:space="preserve">Larger firms also possess more financial resources, human resources, reporting systems, and technological capabilities to prepare sustainability reports in accordance with GRI standards. In addition, large companies face stronger pressure from investors, regulators, environmental </w:t>
      </w:r>
      <w:proofErr w:type="spellStart"/>
      <w:r w:rsidRPr="00A06A6E">
        <w:rPr>
          <w:rFonts w:ascii="Times New Roman"/>
          <w:sz w:val="24"/>
        </w:rPr>
        <w:t>organisations</w:t>
      </w:r>
      <w:proofErr w:type="spellEnd"/>
      <w:r w:rsidRPr="00A06A6E">
        <w:rPr>
          <w:rFonts w:ascii="Times New Roman"/>
          <w:sz w:val="24"/>
        </w:rPr>
        <w:t>, and society regarding ESG transparency.</w:t>
      </w:r>
    </w:p>
    <w:p w14:paraId="2C3B7832" w14:textId="77777777" w:rsidR="00C137F8" w:rsidRPr="00A06A6E" w:rsidRDefault="00000000">
      <w:pPr>
        <w:spacing w:before="3" w:line="237" w:lineRule="auto"/>
        <w:ind w:left="628" w:right="251" w:firstLine="720"/>
        <w:jc w:val="both"/>
        <w:rPr>
          <w:rFonts w:ascii="Times New Roman"/>
          <w:sz w:val="24"/>
        </w:rPr>
      </w:pPr>
      <w:r w:rsidRPr="00A06A6E">
        <w:rPr>
          <w:rFonts w:ascii="Times New Roman"/>
          <w:sz w:val="24"/>
        </w:rPr>
        <w:t>Based on legitimacy theory, large companies may seek to maintain legitimacy and reputation through broader sustainability disclosure. Sustainability reporting can demonstrate corporate accountability and maintain stakeholder trust. This finding is consistent with Damayanty et al. (2022), Satria et al. (2023), Velte (2020), and Tsang et al. (2023).</w:t>
      </w:r>
    </w:p>
    <w:p w14:paraId="007EEF09" w14:textId="77777777" w:rsidR="00C137F8" w:rsidRPr="00A06A6E" w:rsidRDefault="00000000">
      <w:pPr>
        <w:spacing w:before="10" w:line="228" w:lineRule="auto"/>
        <w:ind w:left="629" w:right="251" w:firstLine="719"/>
        <w:jc w:val="both"/>
        <w:rPr>
          <w:rFonts w:ascii="Times New Roman"/>
          <w:sz w:val="24"/>
        </w:rPr>
      </w:pPr>
      <w:r w:rsidRPr="00A06A6E">
        <w:rPr>
          <w:rFonts w:ascii="Times New Roman"/>
          <w:sz w:val="24"/>
        </w:rPr>
        <w:t>This finding indicates that larger firms have greater resources and face stronger public scrutiny, enabling them to provide more comprehensive sustainability disclosures.</w:t>
      </w:r>
    </w:p>
    <w:p w14:paraId="20A4C9B8" w14:textId="77777777" w:rsidR="00C137F8" w:rsidRPr="00A06A6E" w:rsidRDefault="00000000">
      <w:pPr>
        <w:pStyle w:val="Heading1"/>
        <w:spacing w:before="258"/>
      </w:pPr>
      <w:r w:rsidRPr="00A06A6E">
        <w:t>H7:</w:t>
      </w:r>
      <w:r w:rsidRPr="00A06A6E">
        <w:rPr>
          <w:spacing w:val="-4"/>
        </w:rPr>
        <w:t xml:space="preserve"> </w:t>
      </w:r>
      <w:r w:rsidRPr="00A06A6E">
        <w:t>The</w:t>
      </w:r>
      <w:r w:rsidRPr="00A06A6E">
        <w:rPr>
          <w:spacing w:val="-1"/>
        </w:rPr>
        <w:t xml:space="preserve"> </w:t>
      </w:r>
      <w:r w:rsidRPr="00A06A6E">
        <w:t>Influence</w:t>
      </w:r>
      <w:r w:rsidRPr="00A06A6E">
        <w:rPr>
          <w:spacing w:val="-2"/>
        </w:rPr>
        <w:t xml:space="preserve"> </w:t>
      </w:r>
      <w:r w:rsidRPr="00A06A6E">
        <w:t>of</w:t>
      </w:r>
      <w:r w:rsidRPr="00A06A6E">
        <w:rPr>
          <w:spacing w:val="-1"/>
        </w:rPr>
        <w:t xml:space="preserve"> </w:t>
      </w:r>
      <w:r w:rsidRPr="00A06A6E">
        <w:t>Industrial</w:t>
      </w:r>
      <w:r w:rsidRPr="00A06A6E">
        <w:rPr>
          <w:spacing w:val="-2"/>
        </w:rPr>
        <w:t xml:space="preserve"> </w:t>
      </w:r>
      <w:r w:rsidRPr="00A06A6E">
        <w:t>Type</w:t>
      </w:r>
      <w:r w:rsidRPr="00A06A6E">
        <w:rPr>
          <w:spacing w:val="-1"/>
        </w:rPr>
        <w:t xml:space="preserve"> </w:t>
      </w:r>
      <w:r w:rsidRPr="00A06A6E">
        <w:t>on</w:t>
      </w:r>
      <w:r w:rsidRPr="00A06A6E">
        <w:rPr>
          <w:spacing w:val="-1"/>
        </w:rPr>
        <w:t xml:space="preserve"> </w:t>
      </w:r>
      <w:r w:rsidRPr="00A06A6E">
        <w:t>Sustainability</w:t>
      </w:r>
      <w:r w:rsidRPr="00A06A6E">
        <w:rPr>
          <w:spacing w:val="-2"/>
        </w:rPr>
        <w:t xml:space="preserve"> </w:t>
      </w:r>
      <w:r w:rsidRPr="00A06A6E">
        <w:t>Report</w:t>
      </w:r>
      <w:r w:rsidRPr="00A06A6E">
        <w:rPr>
          <w:spacing w:val="-2"/>
        </w:rPr>
        <w:t xml:space="preserve"> Disclosure</w:t>
      </w:r>
    </w:p>
    <w:p w14:paraId="6CDB5A14" w14:textId="77777777" w:rsidR="00C137F8" w:rsidRPr="00A06A6E" w:rsidRDefault="00000000">
      <w:pPr>
        <w:spacing w:before="2"/>
        <w:ind w:left="628" w:right="251" w:firstLine="720"/>
        <w:jc w:val="both"/>
        <w:rPr>
          <w:rFonts w:ascii="Times New Roman"/>
          <w:sz w:val="24"/>
        </w:rPr>
      </w:pPr>
      <w:r w:rsidRPr="00A06A6E">
        <w:rPr>
          <w:rFonts w:ascii="Times New Roman"/>
          <w:sz w:val="24"/>
        </w:rPr>
        <w:t>The</w:t>
      </w:r>
      <w:r w:rsidRPr="00A06A6E">
        <w:rPr>
          <w:rFonts w:ascii="Times New Roman"/>
          <w:spacing w:val="-13"/>
          <w:sz w:val="24"/>
        </w:rPr>
        <w:t xml:space="preserve"> </w:t>
      </w:r>
      <w:r w:rsidRPr="00A06A6E">
        <w:rPr>
          <w:rFonts w:ascii="Times New Roman"/>
          <w:sz w:val="24"/>
        </w:rPr>
        <w:t>regression</w:t>
      </w:r>
      <w:r w:rsidRPr="00A06A6E">
        <w:rPr>
          <w:rFonts w:ascii="Times New Roman"/>
          <w:spacing w:val="-14"/>
          <w:sz w:val="24"/>
        </w:rPr>
        <w:t xml:space="preserve"> </w:t>
      </w:r>
      <w:r w:rsidRPr="00A06A6E">
        <w:rPr>
          <w:rFonts w:ascii="Times New Roman"/>
          <w:sz w:val="24"/>
        </w:rPr>
        <w:t>results</w:t>
      </w:r>
      <w:r w:rsidRPr="00A06A6E">
        <w:rPr>
          <w:rFonts w:ascii="Times New Roman"/>
          <w:spacing w:val="-13"/>
          <w:sz w:val="24"/>
        </w:rPr>
        <w:t xml:space="preserve"> </w:t>
      </w:r>
      <w:r w:rsidRPr="00A06A6E">
        <w:rPr>
          <w:rFonts w:ascii="Times New Roman"/>
          <w:sz w:val="24"/>
        </w:rPr>
        <w:t>indicate</w:t>
      </w:r>
      <w:r w:rsidRPr="00A06A6E">
        <w:rPr>
          <w:rFonts w:ascii="Times New Roman"/>
          <w:spacing w:val="-14"/>
          <w:sz w:val="24"/>
        </w:rPr>
        <w:t xml:space="preserve"> </w:t>
      </w:r>
      <w:r w:rsidRPr="00A06A6E">
        <w:rPr>
          <w:rFonts w:ascii="Times New Roman"/>
          <w:sz w:val="24"/>
        </w:rPr>
        <w:t>that</w:t>
      </w:r>
      <w:r w:rsidRPr="00A06A6E">
        <w:rPr>
          <w:rFonts w:ascii="Times New Roman"/>
          <w:spacing w:val="-13"/>
          <w:sz w:val="24"/>
        </w:rPr>
        <w:t xml:space="preserve"> </w:t>
      </w:r>
      <w:r w:rsidRPr="00A06A6E">
        <w:rPr>
          <w:rFonts w:ascii="Times New Roman"/>
          <w:sz w:val="24"/>
        </w:rPr>
        <w:t>industrial</w:t>
      </w:r>
      <w:r w:rsidRPr="00A06A6E">
        <w:rPr>
          <w:rFonts w:ascii="Times New Roman"/>
          <w:spacing w:val="-13"/>
          <w:sz w:val="24"/>
        </w:rPr>
        <w:t xml:space="preserve"> </w:t>
      </w:r>
      <w:r w:rsidRPr="00A06A6E">
        <w:rPr>
          <w:rFonts w:ascii="Times New Roman"/>
          <w:sz w:val="24"/>
        </w:rPr>
        <w:t>type</w:t>
      </w:r>
      <w:r w:rsidRPr="00A06A6E">
        <w:rPr>
          <w:rFonts w:ascii="Times New Roman"/>
          <w:spacing w:val="-14"/>
          <w:sz w:val="24"/>
        </w:rPr>
        <w:t xml:space="preserve"> </w:t>
      </w:r>
      <w:r w:rsidRPr="00A06A6E">
        <w:rPr>
          <w:rFonts w:ascii="Times New Roman"/>
          <w:sz w:val="24"/>
        </w:rPr>
        <w:t>has</w:t>
      </w:r>
      <w:r w:rsidRPr="00A06A6E">
        <w:rPr>
          <w:rFonts w:ascii="Times New Roman"/>
          <w:spacing w:val="-13"/>
          <w:sz w:val="24"/>
        </w:rPr>
        <w:t xml:space="preserve"> </w:t>
      </w:r>
      <w:r w:rsidRPr="00A06A6E">
        <w:rPr>
          <w:rFonts w:ascii="Times New Roman"/>
          <w:sz w:val="24"/>
        </w:rPr>
        <w:t>a</w:t>
      </w:r>
      <w:r w:rsidRPr="00A06A6E">
        <w:rPr>
          <w:rFonts w:ascii="Times New Roman"/>
          <w:spacing w:val="-13"/>
          <w:sz w:val="24"/>
        </w:rPr>
        <w:t xml:space="preserve"> </w:t>
      </w:r>
      <w:r w:rsidRPr="00A06A6E">
        <w:rPr>
          <w:rFonts w:ascii="Times New Roman"/>
          <w:sz w:val="24"/>
        </w:rPr>
        <w:t>positive</w:t>
      </w:r>
      <w:r w:rsidRPr="00A06A6E">
        <w:rPr>
          <w:rFonts w:ascii="Times New Roman"/>
          <w:spacing w:val="-13"/>
          <w:sz w:val="24"/>
        </w:rPr>
        <w:t xml:space="preserve"> </w:t>
      </w:r>
      <w:r w:rsidRPr="00A06A6E">
        <w:rPr>
          <w:rFonts w:ascii="Times New Roman"/>
          <w:sz w:val="24"/>
        </w:rPr>
        <w:t>and</w:t>
      </w:r>
      <w:r w:rsidRPr="00A06A6E">
        <w:rPr>
          <w:rFonts w:ascii="Times New Roman"/>
          <w:spacing w:val="-13"/>
          <w:sz w:val="24"/>
        </w:rPr>
        <w:t xml:space="preserve"> </w:t>
      </w:r>
      <w:r w:rsidRPr="00A06A6E">
        <w:rPr>
          <w:rFonts w:ascii="Times New Roman"/>
          <w:sz w:val="24"/>
        </w:rPr>
        <w:t>significant</w:t>
      </w:r>
      <w:r w:rsidRPr="00A06A6E">
        <w:rPr>
          <w:rFonts w:ascii="Times New Roman"/>
          <w:spacing w:val="-14"/>
          <w:sz w:val="24"/>
        </w:rPr>
        <w:t xml:space="preserve"> </w:t>
      </w:r>
      <w:r w:rsidRPr="00A06A6E">
        <w:rPr>
          <w:rFonts w:ascii="Times New Roman"/>
          <w:sz w:val="24"/>
        </w:rPr>
        <w:t xml:space="preserve">effect </w:t>
      </w:r>
      <w:r w:rsidRPr="00A06A6E">
        <w:rPr>
          <w:rFonts w:ascii="Times New Roman"/>
          <w:spacing w:val="-2"/>
          <w:sz w:val="24"/>
        </w:rPr>
        <w:t>on</w:t>
      </w:r>
      <w:r w:rsidRPr="00A06A6E">
        <w:rPr>
          <w:rFonts w:ascii="Times New Roman"/>
          <w:spacing w:val="-6"/>
          <w:sz w:val="24"/>
        </w:rPr>
        <w:t xml:space="preserve"> </w:t>
      </w:r>
      <w:r w:rsidRPr="00A06A6E">
        <w:rPr>
          <w:rFonts w:ascii="Times New Roman"/>
          <w:spacing w:val="-2"/>
          <w:sz w:val="24"/>
        </w:rPr>
        <w:t>Sustainability</w:t>
      </w:r>
      <w:r w:rsidRPr="00A06A6E">
        <w:rPr>
          <w:rFonts w:ascii="Times New Roman"/>
          <w:spacing w:val="-6"/>
          <w:sz w:val="24"/>
        </w:rPr>
        <w:t xml:space="preserve"> </w:t>
      </w:r>
      <w:r w:rsidRPr="00A06A6E">
        <w:rPr>
          <w:rFonts w:ascii="Times New Roman"/>
          <w:spacing w:val="-2"/>
          <w:sz w:val="24"/>
        </w:rPr>
        <w:t>Report</w:t>
      </w:r>
      <w:r w:rsidRPr="00A06A6E">
        <w:rPr>
          <w:rFonts w:ascii="Times New Roman"/>
          <w:spacing w:val="-6"/>
          <w:sz w:val="24"/>
        </w:rPr>
        <w:t xml:space="preserve"> </w:t>
      </w:r>
      <w:r w:rsidRPr="00A06A6E">
        <w:rPr>
          <w:rFonts w:ascii="Times New Roman"/>
          <w:spacing w:val="-2"/>
          <w:sz w:val="24"/>
        </w:rPr>
        <w:t>Disclosure,</w:t>
      </w:r>
      <w:r w:rsidRPr="00A06A6E">
        <w:rPr>
          <w:rFonts w:ascii="Times New Roman"/>
          <w:spacing w:val="-6"/>
          <w:sz w:val="24"/>
        </w:rPr>
        <w:t xml:space="preserve"> </w:t>
      </w:r>
      <w:r w:rsidRPr="00A06A6E">
        <w:rPr>
          <w:rFonts w:ascii="Times New Roman"/>
          <w:spacing w:val="-2"/>
          <w:sz w:val="24"/>
        </w:rPr>
        <w:t>with</w:t>
      </w:r>
      <w:r w:rsidRPr="00A06A6E">
        <w:rPr>
          <w:rFonts w:ascii="Times New Roman"/>
          <w:spacing w:val="-6"/>
          <w:sz w:val="24"/>
        </w:rPr>
        <w:t xml:space="preserve"> </w:t>
      </w:r>
      <w:r w:rsidRPr="00A06A6E">
        <w:rPr>
          <w:rFonts w:ascii="Times New Roman"/>
          <w:spacing w:val="-2"/>
          <w:sz w:val="24"/>
        </w:rPr>
        <w:t>a</w:t>
      </w:r>
      <w:r w:rsidRPr="00A06A6E">
        <w:rPr>
          <w:rFonts w:ascii="Times New Roman"/>
          <w:spacing w:val="-6"/>
          <w:sz w:val="24"/>
        </w:rPr>
        <w:t xml:space="preserve"> </w:t>
      </w:r>
      <w:r w:rsidRPr="00A06A6E">
        <w:rPr>
          <w:rFonts w:ascii="Times New Roman"/>
          <w:spacing w:val="-2"/>
          <w:sz w:val="24"/>
        </w:rPr>
        <w:t>coefficient</w:t>
      </w:r>
      <w:r w:rsidRPr="00A06A6E">
        <w:rPr>
          <w:rFonts w:ascii="Times New Roman"/>
          <w:spacing w:val="-6"/>
          <w:sz w:val="24"/>
        </w:rPr>
        <w:t xml:space="preserve"> </w:t>
      </w:r>
      <w:r w:rsidRPr="00A06A6E">
        <w:rPr>
          <w:rFonts w:ascii="Times New Roman"/>
          <w:spacing w:val="-2"/>
          <w:sz w:val="24"/>
        </w:rPr>
        <w:t>value</w:t>
      </w:r>
      <w:r w:rsidRPr="00A06A6E">
        <w:rPr>
          <w:rFonts w:ascii="Times New Roman"/>
          <w:spacing w:val="-6"/>
          <w:sz w:val="24"/>
        </w:rPr>
        <w:t xml:space="preserve"> </w:t>
      </w:r>
      <w:r w:rsidRPr="00A06A6E">
        <w:rPr>
          <w:rFonts w:ascii="Times New Roman"/>
          <w:spacing w:val="-2"/>
          <w:sz w:val="24"/>
        </w:rPr>
        <w:t>of</w:t>
      </w:r>
      <w:r w:rsidRPr="00A06A6E">
        <w:rPr>
          <w:rFonts w:ascii="Times New Roman"/>
          <w:spacing w:val="-6"/>
          <w:sz w:val="24"/>
        </w:rPr>
        <w:t xml:space="preserve"> </w:t>
      </w:r>
      <w:r w:rsidRPr="00A06A6E">
        <w:rPr>
          <w:rFonts w:ascii="Times New Roman"/>
          <w:spacing w:val="-2"/>
          <w:sz w:val="24"/>
        </w:rPr>
        <w:t>0.021</w:t>
      </w:r>
      <w:r w:rsidRPr="00A06A6E">
        <w:rPr>
          <w:rFonts w:ascii="Times New Roman"/>
          <w:spacing w:val="-6"/>
          <w:sz w:val="24"/>
        </w:rPr>
        <w:t xml:space="preserve"> </w:t>
      </w:r>
      <w:r w:rsidRPr="00A06A6E">
        <w:rPr>
          <w:rFonts w:ascii="Times New Roman"/>
          <w:spacing w:val="-2"/>
          <w:sz w:val="24"/>
        </w:rPr>
        <w:t>and</w:t>
      </w:r>
      <w:r w:rsidRPr="00A06A6E">
        <w:rPr>
          <w:rFonts w:ascii="Times New Roman"/>
          <w:spacing w:val="-6"/>
          <w:sz w:val="24"/>
        </w:rPr>
        <w:t xml:space="preserve"> </w:t>
      </w:r>
      <w:r w:rsidRPr="00A06A6E">
        <w:rPr>
          <w:rFonts w:ascii="Times New Roman"/>
          <w:spacing w:val="-2"/>
          <w:sz w:val="24"/>
        </w:rPr>
        <w:t>a</w:t>
      </w:r>
      <w:r w:rsidRPr="00A06A6E">
        <w:rPr>
          <w:rFonts w:ascii="Times New Roman"/>
          <w:spacing w:val="-6"/>
          <w:sz w:val="24"/>
        </w:rPr>
        <w:t xml:space="preserve"> </w:t>
      </w:r>
      <w:r w:rsidRPr="00A06A6E">
        <w:rPr>
          <w:rFonts w:ascii="Times New Roman"/>
          <w:spacing w:val="-2"/>
          <w:sz w:val="24"/>
        </w:rPr>
        <w:t>significance</w:t>
      </w:r>
      <w:r w:rsidRPr="00A06A6E">
        <w:rPr>
          <w:rFonts w:ascii="Times New Roman"/>
          <w:spacing w:val="-6"/>
          <w:sz w:val="24"/>
        </w:rPr>
        <w:t xml:space="preserve"> </w:t>
      </w:r>
      <w:r w:rsidRPr="00A06A6E">
        <w:rPr>
          <w:rFonts w:ascii="Times New Roman"/>
          <w:spacing w:val="-2"/>
          <w:sz w:val="24"/>
        </w:rPr>
        <w:t xml:space="preserve">value </w:t>
      </w:r>
      <w:r w:rsidRPr="00A06A6E">
        <w:rPr>
          <w:rFonts w:ascii="Times New Roman"/>
          <w:sz w:val="24"/>
        </w:rPr>
        <w:t>of 0.001 (&lt; 0.05).</w:t>
      </w:r>
    </w:p>
    <w:p w14:paraId="361BAC7C" w14:textId="77777777" w:rsidR="00C137F8" w:rsidRPr="00A06A6E" w:rsidRDefault="00000000">
      <w:pPr>
        <w:ind w:left="628" w:right="251"/>
        <w:jc w:val="both"/>
        <w:rPr>
          <w:rFonts w:ascii="Times New Roman"/>
          <w:sz w:val="24"/>
        </w:rPr>
      </w:pPr>
      <w:r w:rsidRPr="00A06A6E">
        <w:rPr>
          <w:rFonts w:ascii="Times New Roman"/>
          <w:sz w:val="24"/>
        </w:rPr>
        <w:t xml:space="preserve">This finding indicates that companies operating in high-profile industries tend to disclose sustainability information more extensively than companies operating in low-profile industries. Manufacturing companies are generally </w:t>
      </w:r>
      <w:proofErr w:type="spellStart"/>
      <w:r w:rsidRPr="00A06A6E">
        <w:rPr>
          <w:rFonts w:ascii="Times New Roman"/>
          <w:sz w:val="24"/>
        </w:rPr>
        <w:t>categorised</w:t>
      </w:r>
      <w:proofErr w:type="spellEnd"/>
      <w:r w:rsidRPr="00A06A6E">
        <w:rPr>
          <w:rFonts w:ascii="Times New Roman"/>
          <w:sz w:val="24"/>
        </w:rPr>
        <w:t xml:space="preserve"> as high-profile industries because their activities are closely associated with environmental pollution, industrial waste, carbon emissions, and natural resource </w:t>
      </w:r>
      <w:proofErr w:type="spellStart"/>
      <w:r w:rsidRPr="00A06A6E">
        <w:rPr>
          <w:rFonts w:ascii="Times New Roman"/>
          <w:sz w:val="24"/>
        </w:rPr>
        <w:t>utilisation</w:t>
      </w:r>
      <w:proofErr w:type="spellEnd"/>
      <w:r w:rsidRPr="00A06A6E">
        <w:rPr>
          <w:rFonts w:ascii="Times New Roman"/>
          <w:sz w:val="24"/>
        </w:rPr>
        <w:t>.</w:t>
      </w:r>
    </w:p>
    <w:p w14:paraId="5EB4F2FA" w14:textId="77777777" w:rsidR="00C137F8" w:rsidRPr="00A06A6E" w:rsidRDefault="00C137F8">
      <w:pPr>
        <w:jc w:val="both"/>
        <w:rPr>
          <w:rFonts w:ascii="Times New Roman"/>
          <w:sz w:val="24"/>
        </w:rPr>
        <w:sectPr w:rsidR="00C137F8" w:rsidRPr="00A06A6E">
          <w:pgSz w:w="12240" w:h="15840"/>
          <w:pgMar w:top="800" w:right="1440" w:bottom="280" w:left="1080" w:header="44" w:footer="0" w:gutter="0"/>
          <w:cols w:space="720"/>
        </w:sectPr>
      </w:pPr>
    </w:p>
    <w:p w14:paraId="5EDA4A2B" w14:textId="5CBC4362" w:rsidR="00C137F8" w:rsidRPr="00A06A6E" w:rsidRDefault="00000000">
      <w:pPr>
        <w:pStyle w:val="BodyText"/>
        <w:rPr>
          <w:rFonts w:ascii="Times New Roman"/>
          <w:sz w:val="24"/>
        </w:rPr>
      </w:pPr>
      <w:r w:rsidRPr="00A06A6E">
        <w:rPr>
          <w:rFonts w:ascii="Times New Roman"/>
          <w:noProof/>
          <w:sz w:val="24"/>
        </w:rPr>
        <w:lastRenderedPageBreak/>
        <mc:AlternateContent>
          <mc:Choice Requires="wps">
            <w:drawing>
              <wp:anchor distT="0" distB="0" distL="0" distR="0" simplePos="0" relativeHeight="251657216" behindDoc="0" locked="0" layoutInCell="1" allowOverlap="1" wp14:anchorId="751F8C16" wp14:editId="4588379D">
                <wp:simplePos x="0" y="0"/>
                <wp:positionH relativeFrom="page">
                  <wp:posOffset>571500</wp:posOffset>
                </wp:positionH>
                <wp:positionV relativeFrom="page">
                  <wp:posOffset>4566691</wp:posOffset>
                </wp:positionV>
                <wp:extent cx="6737350" cy="18351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835150"/>
                        </a:xfrm>
                        <a:prstGeom prst="rect">
                          <a:avLst/>
                        </a:prstGeom>
                      </wps:spPr>
                      <wps:txbx>
                        <w:txbxContent>
                          <w:p w14:paraId="5D0B2345" w14:textId="4FAD286B" w:rsidR="00C137F8" w:rsidRDefault="00A06A6E">
                            <w:pPr>
                              <w:spacing w:line="226" w:lineRule="exact"/>
                              <w:ind w:right="6"/>
                              <w:rPr>
                                <w:sz w:val="20"/>
                              </w:rPr>
                            </w:pPr>
                            <w:r>
                              <w:t xml:space="preserve">This study examined the determinants of sustainability report disclosure among manufacturing companies listed on the Indonesia Stock Exchange during 2021–2023. Profitability, leverage, the independent board of commissioners, company size, and industrial type significantly influenced disclosure. These results indicate that financial capacity, independent oversight, </w:t>
                            </w:r>
                            <w:proofErr w:type="spellStart"/>
                            <w:r>
                              <w:t>organisational</w:t>
                            </w:r>
                            <w:proofErr w:type="spellEnd"/>
                            <w:r>
                              <w:t xml:space="preserve"> scale, and industry visibility are associated with broader sustainability reporting. Company size showed the strongest effect, suggesting that larger firms have greater reporting resources and face stronger stakeholder scrutiny. Corporate activity and the audit committee did not have significant effects, indicating that operational efficiency and the frequency of audit-committee meetings do not necessarily translate into more extensive disclosure. Overall, the findings are consistent with the view that sustainability reporting is shaped by financial capacity, governance arrangements, firm visibility, and stakeholder pressure. They provide evidence relevant to manufacturing companies seeking to improve transparency and accountability and to regulators considering the continued development of sustainability-reporting practice in Indonesia.</w:t>
                            </w:r>
                          </w:p>
                        </w:txbxContent>
                      </wps:txbx>
                      <wps:bodyPr wrap="square" lIns="0" tIns="0" rIns="0" bIns="0" rtlCol="0">
                        <a:noAutofit/>
                      </wps:bodyPr>
                    </wps:wsp>
                  </a:graphicData>
                </a:graphic>
              </wp:anchor>
            </w:drawing>
          </mc:Choice>
          <mc:Fallback>
            <w:pict>
              <v:shape w14:anchorId="751F8C16" id="Textbox 48" o:spid="_x0000_s1059" type="#_x0000_t202" style="position:absolute;margin-left:45pt;margin-top:359.6pt;width:530.5pt;height:14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" filled="f" stroked="f">
                <v:textbox inset="0,0,0,0">
                  <w:txbxContent>
                    <w:p w14:paraId="5D0B2345" w14:textId="4FAD286B" w:rsidR="00C137F8" w:rsidRDefault="00A06A6E">
                      <w:pPr>
                        <w:spacing w:line="226" w:lineRule="exact"/>
                        <w:ind w:right="6"/>
                        <w:rPr>
                          <w:sz w:val="20"/>
                        </w:rPr>
                      </w:pPr>
                      <w:r>
                        <w:t xml:space="preserve">This study examined the determinants of sustainability report disclosure among manufacturing companies listed on the Indonesia Stock Exchange during 2021–2023. Profitability, leverage, the independent board of commissioners, company size, and industrial type significantly influenced disclosure. These results indicate that financial capacity, independent oversight, </w:t>
                      </w:r>
                      <w:proofErr w:type="spellStart"/>
                      <w:r>
                        <w:t>organisational</w:t>
                      </w:r>
                      <w:proofErr w:type="spellEnd"/>
                      <w:r>
                        <w:t xml:space="preserve"> scale, and industry visibility are associated with broader sustainability reporting. Company size showed the strongest effect, suggesting that larger firms have greater reporting resources and face stronger stakeholder scrutiny. Corporate activity and the audit committee did not have significant effects, indicating that operational efficiency and the frequency of audit-committee meetings do not necessarily translate into more extensive disclosure. Overall, the findings are consistent with the view that sustainability reporting is shaped by financial capacity, governance arrangements, firm visibility, and stakeholder pressure. They provide evidence relevant to manufacturing companies seeking to improve transparency and accountability and to regulators considering the continued development of sustainability-reporting practice in Indonesia.</w:t>
                      </w:r>
                    </w:p>
                  </w:txbxContent>
                </v:textbox>
                <w10:wrap anchorx="page" anchory="page"/>
              </v:shape>
            </w:pict>
          </mc:Fallback>
        </mc:AlternateContent>
      </w:r>
    </w:p>
    <w:p w14:paraId="775C3C4B" w14:textId="77777777" w:rsidR="00C137F8" w:rsidRPr="00A06A6E" w:rsidRDefault="00C137F8">
      <w:pPr>
        <w:pStyle w:val="BodyText"/>
        <w:rPr>
          <w:rFonts w:ascii="Times New Roman"/>
          <w:sz w:val="24"/>
        </w:rPr>
      </w:pPr>
    </w:p>
    <w:p w14:paraId="2881FFEF" w14:textId="77777777" w:rsidR="00C137F8" w:rsidRPr="00A06A6E" w:rsidRDefault="00C137F8">
      <w:pPr>
        <w:pStyle w:val="BodyText"/>
        <w:spacing w:before="65"/>
        <w:rPr>
          <w:rFonts w:ascii="Times New Roman"/>
          <w:sz w:val="24"/>
        </w:rPr>
      </w:pPr>
    </w:p>
    <w:p w14:paraId="1E4442E0" w14:textId="77777777" w:rsidR="00C137F8" w:rsidRPr="00A06A6E" w:rsidRDefault="00000000">
      <w:pPr>
        <w:ind w:left="628" w:right="250" w:firstLine="720"/>
        <w:jc w:val="both"/>
        <w:rPr>
          <w:rFonts w:ascii="Times New Roman"/>
          <w:sz w:val="24"/>
        </w:rPr>
      </w:pPr>
      <w:r w:rsidRPr="00A06A6E">
        <w:rPr>
          <w:rFonts w:ascii="Times New Roman"/>
          <w:sz w:val="24"/>
        </w:rPr>
        <w:t>Companies operating in environmentally sensitive industries tend to experience stronger stakeholder pressure and greater public scrutiny regarding their environmental and social</w:t>
      </w:r>
      <w:r w:rsidRPr="00A06A6E">
        <w:rPr>
          <w:rFonts w:ascii="Times New Roman"/>
          <w:spacing w:val="-13"/>
          <w:sz w:val="24"/>
        </w:rPr>
        <w:t xml:space="preserve"> </w:t>
      </w:r>
      <w:r w:rsidRPr="00A06A6E">
        <w:rPr>
          <w:rFonts w:ascii="Times New Roman"/>
          <w:sz w:val="24"/>
        </w:rPr>
        <w:t>impacts.</w:t>
      </w:r>
      <w:r w:rsidRPr="00A06A6E">
        <w:rPr>
          <w:rFonts w:ascii="Times New Roman"/>
          <w:spacing w:val="-13"/>
          <w:sz w:val="24"/>
        </w:rPr>
        <w:t xml:space="preserve"> </w:t>
      </w:r>
      <w:r w:rsidRPr="00A06A6E">
        <w:rPr>
          <w:rFonts w:ascii="Times New Roman"/>
          <w:sz w:val="24"/>
        </w:rPr>
        <w:t>Therefore,</w:t>
      </w:r>
      <w:r w:rsidRPr="00A06A6E">
        <w:rPr>
          <w:rFonts w:ascii="Times New Roman"/>
          <w:spacing w:val="-13"/>
          <w:sz w:val="24"/>
        </w:rPr>
        <w:t xml:space="preserve"> </w:t>
      </w:r>
      <w:r w:rsidRPr="00A06A6E">
        <w:rPr>
          <w:rFonts w:ascii="Times New Roman"/>
          <w:sz w:val="24"/>
        </w:rPr>
        <w:t>sustainability</w:t>
      </w:r>
      <w:r w:rsidRPr="00A06A6E">
        <w:rPr>
          <w:rFonts w:ascii="Times New Roman"/>
          <w:spacing w:val="-13"/>
          <w:sz w:val="24"/>
        </w:rPr>
        <w:t xml:space="preserve"> </w:t>
      </w:r>
      <w:r w:rsidRPr="00A06A6E">
        <w:rPr>
          <w:rFonts w:ascii="Times New Roman"/>
          <w:sz w:val="24"/>
        </w:rPr>
        <w:t>reporting</w:t>
      </w:r>
      <w:r w:rsidRPr="00A06A6E">
        <w:rPr>
          <w:rFonts w:ascii="Times New Roman"/>
          <w:spacing w:val="-13"/>
          <w:sz w:val="24"/>
        </w:rPr>
        <w:t xml:space="preserve"> </w:t>
      </w:r>
      <w:r w:rsidRPr="00A06A6E">
        <w:rPr>
          <w:rFonts w:ascii="Times New Roman"/>
          <w:sz w:val="24"/>
        </w:rPr>
        <w:t>is</w:t>
      </w:r>
      <w:r w:rsidRPr="00A06A6E">
        <w:rPr>
          <w:rFonts w:ascii="Times New Roman"/>
          <w:spacing w:val="-13"/>
          <w:sz w:val="24"/>
        </w:rPr>
        <w:t xml:space="preserve"> </w:t>
      </w:r>
      <w:r w:rsidRPr="00A06A6E">
        <w:rPr>
          <w:rFonts w:ascii="Times New Roman"/>
          <w:sz w:val="24"/>
        </w:rPr>
        <w:t>used</w:t>
      </w:r>
      <w:r w:rsidRPr="00A06A6E">
        <w:rPr>
          <w:rFonts w:ascii="Times New Roman"/>
          <w:spacing w:val="-13"/>
          <w:sz w:val="24"/>
        </w:rPr>
        <w:t xml:space="preserve"> </w:t>
      </w:r>
      <w:r w:rsidRPr="00A06A6E">
        <w:rPr>
          <w:rFonts w:ascii="Times New Roman"/>
          <w:sz w:val="24"/>
        </w:rPr>
        <w:t>as</w:t>
      </w:r>
      <w:r w:rsidRPr="00A06A6E">
        <w:rPr>
          <w:rFonts w:ascii="Times New Roman"/>
          <w:spacing w:val="-13"/>
          <w:sz w:val="24"/>
        </w:rPr>
        <w:t xml:space="preserve"> </w:t>
      </w:r>
      <w:r w:rsidRPr="00A06A6E">
        <w:rPr>
          <w:rFonts w:ascii="Times New Roman"/>
          <w:sz w:val="24"/>
        </w:rPr>
        <w:t>a</w:t>
      </w:r>
      <w:r w:rsidRPr="00A06A6E">
        <w:rPr>
          <w:rFonts w:ascii="Times New Roman"/>
          <w:spacing w:val="-13"/>
          <w:sz w:val="24"/>
        </w:rPr>
        <w:t xml:space="preserve"> </w:t>
      </w:r>
      <w:r w:rsidRPr="00A06A6E">
        <w:rPr>
          <w:rFonts w:ascii="Times New Roman"/>
          <w:sz w:val="24"/>
        </w:rPr>
        <w:t>legitimacy</w:t>
      </w:r>
      <w:r w:rsidRPr="00A06A6E">
        <w:rPr>
          <w:rFonts w:ascii="Times New Roman"/>
          <w:spacing w:val="-13"/>
          <w:sz w:val="24"/>
        </w:rPr>
        <w:t xml:space="preserve"> </w:t>
      </w:r>
      <w:r w:rsidRPr="00A06A6E">
        <w:rPr>
          <w:rFonts w:ascii="Times New Roman"/>
          <w:sz w:val="24"/>
        </w:rPr>
        <w:t>strategy</w:t>
      </w:r>
      <w:r w:rsidRPr="00A06A6E">
        <w:rPr>
          <w:rFonts w:ascii="Times New Roman"/>
          <w:spacing w:val="-13"/>
          <w:sz w:val="24"/>
        </w:rPr>
        <w:t xml:space="preserve"> </w:t>
      </w:r>
      <w:r w:rsidRPr="00A06A6E">
        <w:rPr>
          <w:rFonts w:ascii="Times New Roman"/>
          <w:sz w:val="24"/>
        </w:rPr>
        <w:t>to</w:t>
      </w:r>
      <w:r w:rsidRPr="00A06A6E">
        <w:rPr>
          <w:rFonts w:ascii="Times New Roman"/>
          <w:spacing w:val="-13"/>
          <w:sz w:val="24"/>
        </w:rPr>
        <w:t xml:space="preserve"> </w:t>
      </w:r>
      <w:r w:rsidRPr="00A06A6E">
        <w:rPr>
          <w:rFonts w:ascii="Times New Roman"/>
          <w:sz w:val="24"/>
        </w:rPr>
        <w:t>maintain public trust and corporate reputation.</w:t>
      </w:r>
    </w:p>
    <w:p w14:paraId="3BC6570E" w14:textId="77777777" w:rsidR="00C137F8" w:rsidRPr="00A06A6E" w:rsidRDefault="00000000">
      <w:pPr>
        <w:ind w:left="628" w:right="250" w:firstLine="720"/>
        <w:jc w:val="both"/>
        <w:rPr>
          <w:rFonts w:ascii="Times New Roman"/>
          <w:sz w:val="24"/>
        </w:rPr>
      </w:pPr>
      <w:r w:rsidRPr="00A06A6E">
        <w:rPr>
          <w:rFonts w:ascii="Times New Roman"/>
          <w:sz w:val="24"/>
        </w:rPr>
        <w:t xml:space="preserve">Based on legitimacy theory, companies disclose sustainability information to demonstrate alignment with societal expectations and environmental-responsibility standards. Stakeholder theory likewise suggests that companies facing stronger stakeholder pressure are more likely to increase sustainability transparency. This finding is consistent with Putri and </w:t>
      </w:r>
      <w:proofErr w:type="spellStart"/>
      <w:r w:rsidRPr="00A06A6E">
        <w:rPr>
          <w:rFonts w:ascii="Times New Roman"/>
          <w:sz w:val="24"/>
        </w:rPr>
        <w:t>Marsono</w:t>
      </w:r>
      <w:proofErr w:type="spellEnd"/>
      <w:r w:rsidRPr="00A06A6E">
        <w:rPr>
          <w:rFonts w:ascii="Times New Roman"/>
          <w:sz w:val="24"/>
        </w:rPr>
        <w:t xml:space="preserve"> (2025), Velte (2020), and Tsang et al. (2023).</w:t>
      </w:r>
    </w:p>
    <w:p w14:paraId="43067918" w14:textId="77777777" w:rsidR="00C137F8" w:rsidRPr="00A06A6E" w:rsidRDefault="00000000">
      <w:pPr>
        <w:spacing w:before="194"/>
        <w:ind w:left="628" w:right="251" w:firstLine="720"/>
        <w:jc w:val="both"/>
        <w:rPr>
          <w:rFonts w:ascii="Times New Roman"/>
          <w:sz w:val="24"/>
        </w:rPr>
      </w:pPr>
      <w:r w:rsidRPr="00A06A6E">
        <w:rPr>
          <w:rFonts w:ascii="Times New Roman"/>
          <w:sz w:val="24"/>
        </w:rPr>
        <w:t>The result indicates that companies operating in environmentally sensitive industries experience greater stakeholder pressure, which encourages broader sustainability disclosure.</w:t>
      </w:r>
    </w:p>
    <w:p w14:paraId="6A6072B8" w14:textId="77777777" w:rsidR="00C137F8" w:rsidRPr="00A06A6E" w:rsidRDefault="00C137F8">
      <w:pPr>
        <w:pStyle w:val="BodyText"/>
        <w:rPr>
          <w:rFonts w:ascii="Times New Roman"/>
          <w:sz w:val="24"/>
        </w:rPr>
      </w:pPr>
    </w:p>
    <w:p w14:paraId="111DF75B" w14:textId="77777777" w:rsidR="00C137F8" w:rsidRPr="00A06A6E" w:rsidRDefault="00C137F8">
      <w:pPr>
        <w:pStyle w:val="BodyText"/>
        <w:spacing w:before="63"/>
        <w:rPr>
          <w:rFonts w:ascii="Times New Roman"/>
          <w:sz w:val="24"/>
        </w:rPr>
      </w:pPr>
    </w:p>
    <w:p w14:paraId="45A710DC" w14:textId="77777777" w:rsidR="00C137F8" w:rsidRPr="00A06A6E" w:rsidRDefault="00000000">
      <w:pPr>
        <w:pStyle w:val="ListParagraph"/>
        <w:numPr>
          <w:ilvl w:val="0"/>
          <w:numId w:val="4"/>
        </w:numPr>
        <w:tabs>
          <w:tab w:val="left" w:pos="868"/>
        </w:tabs>
        <w:ind w:left="868" w:hanging="240"/>
        <w:rPr>
          <w:b/>
          <w:sz w:val="24"/>
        </w:rPr>
      </w:pPr>
      <w:r w:rsidRPr="00A06A6E">
        <w:rPr>
          <w:b/>
          <w:sz w:val="24"/>
        </w:rPr>
        <w:t>Conclusion, Implications, Limitations, and Suggestions for Future Research</w:t>
      </w:r>
    </w:p>
    <w:p w14:paraId="353EA79B" w14:textId="77777777" w:rsidR="00C137F8" w:rsidRPr="00A06A6E" w:rsidRDefault="00C137F8">
      <w:pPr>
        <w:pStyle w:val="BodyText"/>
        <w:spacing w:before="5"/>
        <w:rPr>
          <w:rFonts w:ascii="Times New Roman"/>
          <w:b/>
          <w:sz w:val="24"/>
        </w:rPr>
      </w:pPr>
    </w:p>
    <w:p w14:paraId="3FB0BD6D" w14:textId="3D71DE1E" w:rsidR="00C137F8" w:rsidRPr="00A06A6E" w:rsidRDefault="00A06A6E">
      <w:pPr>
        <w:pStyle w:val="ListParagraph"/>
        <w:numPr>
          <w:ilvl w:val="1"/>
          <w:numId w:val="4"/>
        </w:numPr>
        <w:tabs>
          <w:tab w:val="left" w:pos="988"/>
        </w:tabs>
        <w:rPr>
          <w:b/>
          <w:sz w:val="24"/>
        </w:rPr>
      </w:pPr>
      <w:r w:rsidRPr="00A06A6E">
        <w:rPr>
          <w:noProof/>
          <w:sz w:val="24"/>
        </w:rPr>
        <mc:AlternateContent>
          <mc:Choice Requires="wps">
            <w:drawing>
              <wp:anchor distT="0" distB="0" distL="0" distR="0" simplePos="0" relativeHeight="251654144" behindDoc="0" locked="0" layoutInCell="1" allowOverlap="1" wp14:anchorId="3AEAFA3D" wp14:editId="543B4DB4">
                <wp:simplePos x="0" y="0"/>
                <wp:positionH relativeFrom="page">
                  <wp:posOffset>569344</wp:posOffset>
                </wp:positionH>
                <wp:positionV relativeFrom="page">
                  <wp:posOffset>6728604</wp:posOffset>
                </wp:positionV>
                <wp:extent cx="6599208" cy="164764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9208" cy="1647645"/>
                        </a:xfrm>
                        <a:prstGeom prst="rect">
                          <a:avLst/>
                        </a:prstGeom>
                      </wps:spPr>
                      <wps:txbx>
                        <w:txbxContent>
                          <w:p w14:paraId="7C38ABF4" w14:textId="77777777" w:rsidR="00C137F8" w:rsidRPr="00A06A6E" w:rsidRDefault="00000000">
                            <w:pPr>
                              <w:spacing w:before="1"/>
                              <w:rPr>
                                <w:b/>
                                <w:bCs/>
                              </w:rPr>
                            </w:pPr>
                            <w:r w:rsidRPr="00A06A6E">
                              <w:rPr>
                                <w:b/>
                                <w:bCs/>
                                <w:highlight w:val="yellow"/>
                              </w:rPr>
                              <w:t>5.2 Limitations</w:t>
                            </w:r>
                          </w:p>
                          <w:p w14:paraId="7535D282" w14:textId="77777777" w:rsidR="00A06A6E" w:rsidRDefault="00A06A6E">
                            <w:pPr>
                              <w:spacing w:before="1"/>
                              <w:rPr>
                                <w:sz w:val="20"/>
                              </w:rPr>
                            </w:pPr>
                          </w:p>
                          <w:p w14:paraId="4A4FADEB" w14:textId="575EAAC5" w:rsidR="00C137F8" w:rsidRDefault="00A06A6E">
                            <w:pPr>
                              <w:spacing w:before="3"/>
                              <w:jc w:val="both"/>
                              <w:rPr>
                                <w:sz w:val="20"/>
                              </w:rPr>
                            </w:pPr>
                            <w:r>
                              <w:t xml:space="preserve">This study has several limitations. First, the sample is limited to manufacturing companies listed on the Indonesia Stock Exchange, which restricts </w:t>
                            </w:r>
                            <w:proofErr w:type="spellStart"/>
                            <w:r>
                              <w:t>generalisability</w:t>
                            </w:r>
                            <w:proofErr w:type="spellEnd"/>
                            <w:r>
                              <w:t xml:space="preserve"> to other sectors. Second, the 2021–2023 observation period may not reflect longer-term changes in sustainability reporting. Third, disclosure was measured by the number of disclosed items rather than by disclosure quality. Fourth, the model examined selected financial, governance, and industry-profile variables and did not include ownership structure, ESG performance, environmental performance, media exposure, or board diversity.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EAFA3D" id="Textbox 47" o:spid="_x0000_s1060" type="#_x0000_t202" style="position:absolute;left:0;text-align:left;margin-left:44.85pt;margin-top:529.8pt;width:519.6pt;height:129.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" filled="f" stroked="f">
                <v:textbox inset="0,0,0,0">
                  <w:txbxContent>
                    <w:p w14:paraId="7C38ABF4" w14:textId="77777777" w:rsidR="00C137F8" w:rsidRPr="00A06A6E" w:rsidRDefault="00000000">
                      <w:pPr>
                        <w:spacing w:before="1"/>
                        <w:rPr>
                          <w:b/>
                          <w:bCs/>
                        </w:rPr>
                      </w:pPr>
                      <w:r w:rsidRPr="00A06A6E">
                        <w:rPr>
                          <w:b/>
                          <w:bCs/>
                          <w:highlight w:val="yellow"/>
                        </w:rPr>
                        <w:t>5.2 Limitations</w:t>
                      </w:r>
                    </w:p>
                    <w:p w14:paraId="7535D282" w14:textId="77777777" w:rsidR="00A06A6E" w:rsidRDefault="00A06A6E">
                      <w:pPr>
                        <w:spacing w:before="1"/>
                        <w:rPr>
                          <w:sz w:val="20"/>
                        </w:rPr>
                      </w:pPr>
                    </w:p>
                    <w:p w14:paraId="4A4FADEB" w14:textId="575EAAC5" w:rsidR="00C137F8" w:rsidRDefault="00A06A6E">
                      <w:pPr>
                        <w:spacing w:before="3"/>
                        <w:jc w:val="both"/>
                        <w:rPr>
                          <w:sz w:val="20"/>
                        </w:rPr>
                      </w:pPr>
                      <w:r>
                        <w:t xml:space="preserve">This study has several limitations. First, the sample is limited to manufacturing companies listed on the Indonesia Stock Exchange, which restricts </w:t>
                      </w:r>
                      <w:proofErr w:type="spellStart"/>
                      <w:r>
                        <w:t>generalisability</w:t>
                      </w:r>
                      <w:proofErr w:type="spellEnd"/>
                      <w:r>
                        <w:t xml:space="preserve"> to other sectors. Second, the 2021–2023 observation period may not reflect longer-term changes in sustainability reporting. Third, disclosure was measured by the number of disclosed items rather than by disclosure quality. Fourth, the model examined selected financial, governance, and industry-profile variables and did not include ownership structure, ESG performance, environmental performance, media exposure, or board diversity.</w:t>
                      </w:r>
                    </w:p>
                  </w:txbxContent>
                </v:textbox>
                <w10:wrap anchorx="page" anchory="page"/>
              </v:shape>
            </w:pict>
          </mc:Fallback>
        </mc:AlternateContent>
      </w:r>
      <w:r w:rsidRPr="00A06A6E">
        <w:rPr>
          <w:b/>
          <w:spacing w:val="-2"/>
          <w:sz w:val="24"/>
        </w:rPr>
        <w:t>Conclusion</w:t>
      </w:r>
    </w:p>
    <w:p w14:paraId="7A5FC973" w14:textId="77777777" w:rsidR="00C137F8" w:rsidRPr="00A06A6E" w:rsidRDefault="00C137F8">
      <w:pPr>
        <w:pStyle w:val="ListParagraph"/>
        <w:rPr>
          <w:b/>
          <w:sz w:val="24"/>
        </w:rPr>
        <w:sectPr w:rsidR="00C137F8" w:rsidRPr="00A06A6E">
          <w:pgSz w:w="12240" w:h="15840"/>
          <w:pgMar w:top="800" w:right="1440" w:bottom="280" w:left="1080" w:header="44" w:footer="0" w:gutter="0"/>
          <w:cols w:space="720"/>
        </w:sectPr>
      </w:pPr>
    </w:p>
    <w:p w14:paraId="47C02C39" w14:textId="77777777" w:rsidR="00C137F8" w:rsidRPr="00A06A6E" w:rsidRDefault="00000000">
      <w:pPr>
        <w:spacing w:before="80"/>
        <w:ind w:left="148"/>
        <w:jc w:val="both"/>
        <w:rPr>
          <w:rFonts w:ascii="Times New Roman"/>
          <w:b/>
          <w:sz w:val="24"/>
        </w:rPr>
      </w:pPr>
      <w:r w:rsidRPr="00A06A6E">
        <w:rPr>
          <w:rFonts w:ascii="Times New Roman"/>
          <w:b/>
          <w:noProof/>
          <w:sz w:val="24"/>
        </w:rPr>
        <w:lastRenderedPageBreak/>
        <mc:AlternateContent>
          <mc:Choice Requires="wps">
            <w:drawing>
              <wp:anchor distT="0" distB="0" distL="0" distR="0" simplePos="0" relativeHeight="251658240" behindDoc="0" locked="0" layoutInCell="1" allowOverlap="1" wp14:anchorId="10B0892C" wp14:editId="5F8B0D89">
                <wp:simplePos x="0" y="0"/>
                <wp:positionH relativeFrom="page">
                  <wp:posOffset>504825</wp:posOffset>
                </wp:positionH>
                <wp:positionV relativeFrom="page">
                  <wp:posOffset>4410075</wp:posOffset>
                </wp:positionV>
                <wp:extent cx="6642100" cy="15367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0" cy="1536700"/>
                        </a:xfrm>
                        <a:prstGeom prst="rect">
                          <a:avLst/>
                        </a:prstGeom>
                      </wps:spPr>
                      <wps:txbx>
                        <w:txbxContent>
                          <w:p w14:paraId="49346B3A" w14:textId="77777777" w:rsidR="00C137F8" w:rsidRDefault="00000000">
                            <w:pPr>
                              <w:spacing w:line="227" w:lineRule="exact"/>
                              <w:rPr>
                                <w:sz w:val="20"/>
                              </w:rPr>
                            </w:pPr>
                            <w:r>
                              <w:rPr>
                                <w:sz w:val="20"/>
                              </w:rPr>
                              <w:t>Declaration</w:t>
                            </w:r>
                            <w:r>
                              <w:rPr>
                                <w:spacing w:val="-1"/>
                                <w:sz w:val="20"/>
                              </w:rPr>
                              <w:t xml:space="preserve"> </w:t>
                            </w:r>
                            <w:r>
                              <w:rPr>
                                <w:sz w:val="20"/>
                              </w:rPr>
                              <w:t>of</w:t>
                            </w:r>
                            <w:r>
                              <w:rPr>
                                <w:spacing w:val="-12"/>
                                <w:sz w:val="20"/>
                              </w:rPr>
                              <w:t xml:space="preserve"> </w:t>
                            </w:r>
                            <w:r>
                              <w:rPr>
                                <w:sz w:val="20"/>
                              </w:rPr>
                              <w:t>AI</w:t>
                            </w:r>
                            <w:r>
                              <w:rPr>
                                <w:spacing w:val="-2"/>
                                <w:sz w:val="20"/>
                              </w:rPr>
                              <w:t xml:space="preserve"> </w:t>
                            </w:r>
                            <w:r>
                              <w:rPr>
                                <w:spacing w:val="-5"/>
                                <w:sz w:val="20"/>
                              </w:rPr>
                              <w:t>Use</w:t>
                            </w:r>
                          </w:p>
                          <w:p w14:paraId="7B0267A9" w14:textId="77777777" w:rsidR="00C137F8" w:rsidRDefault="00000000">
                            <w:pPr>
                              <w:spacing w:before="218" w:line="237" w:lineRule="auto"/>
                              <w:ind w:right="85"/>
                              <w:rPr>
                                <w:sz w:val="20"/>
                              </w:rPr>
                            </w:pPr>
                            <w:r>
                              <w:rPr>
                                <w:sz w:val="20"/>
                              </w:rPr>
                              <w:t>This</w:t>
                            </w:r>
                            <w:r>
                              <w:rPr>
                                <w:spacing w:val="-3"/>
                                <w:sz w:val="20"/>
                              </w:rPr>
                              <w:t xml:space="preserve"> </w:t>
                            </w:r>
                            <w:r>
                              <w:rPr>
                                <w:sz w:val="20"/>
                              </w:rPr>
                              <w:t>manuscript</w:t>
                            </w:r>
                            <w:r>
                              <w:rPr>
                                <w:spacing w:val="-4"/>
                                <w:sz w:val="20"/>
                              </w:rPr>
                              <w:t xml:space="preserve"> </w:t>
                            </w:r>
                            <w:r>
                              <w:rPr>
                                <w:sz w:val="20"/>
                              </w:rPr>
                              <w:t>was</w:t>
                            </w:r>
                            <w:r>
                              <w:rPr>
                                <w:spacing w:val="-3"/>
                                <w:sz w:val="20"/>
                              </w:rPr>
                              <w:t xml:space="preserve"> </w:t>
                            </w:r>
                            <w:r>
                              <w:rPr>
                                <w:sz w:val="20"/>
                              </w:rPr>
                              <w:t>prepared</w:t>
                            </w:r>
                            <w:r>
                              <w:rPr>
                                <w:spacing w:val="-3"/>
                                <w:sz w:val="20"/>
                              </w:rPr>
                              <w:t xml:space="preserve"> </w:t>
                            </w:r>
                            <w:r>
                              <w:rPr>
                                <w:sz w:val="20"/>
                              </w:rPr>
                              <w:t>through</w:t>
                            </w:r>
                            <w:r>
                              <w:rPr>
                                <w:spacing w:val="-3"/>
                                <w:sz w:val="20"/>
                              </w:rPr>
                              <w:t xml:space="preserve"> </w:t>
                            </w:r>
                            <w:r>
                              <w:rPr>
                                <w:sz w:val="20"/>
                              </w:rPr>
                              <w:t>the</w:t>
                            </w:r>
                            <w:r>
                              <w:rPr>
                                <w:spacing w:val="-3"/>
                                <w:sz w:val="20"/>
                              </w:rPr>
                              <w:t xml:space="preserve"> </w:t>
                            </w:r>
                            <w:r>
                              <w:rPr>
                                <w:sz w:val="20"/>
                              </w:rPr>
                              <w:t>combined</w:t>
                            </w:r>
                            <w:r>
                              <w:rPr>
                                <w:spacing w:val="-4"/>
                                <w:sz w:val="20"/>
                              </w:rPr>
                              <w:t xml:space="preserve"> </w:t>
                            </w:r>
                            <w:r>
                              <w:rPr>
                                <w:sz w:val="20"/>
                              </w:rPr>
                              <w:t>contributions</w:t>
                            </w:r>
                            <w:r>
                              <w:rPr>
                                <w:spacing w:val="-3"/>
                                <w:sz w:val="20"/>
                              </w:rPr>
                              <w:t xml:space="preserve"> </w:t>
                            </w:r>
                            <w:r>
                              <w:rPr>
                                <w:sz w:val="20"/>
                              </w:rPr>
                              <w:t>of</w:t>
                            </w:r>
                            <w:r>
                              <w:rPr>
                                <w:spacing w:val="-3"/>
                                <w:sz w:val="20"/>
                              </w:rPr>
                              <w:t xml:space="preserve"> </w:t>
                            </w:r>
                            <w:r>
                              <w:rPr>
                                <w:sz w:val="20"/>
                              </w:rPr>
                              <w:t>all</w:t>
                            </w:r>
                            <w:r>
                              <w:rPr>
                                <w:spacing w:val="-3"/>
                                <w:sz w:val="20"/>
                              </w:rPr>
                              <w:t xml:space="preserve"> </w:t>
                            </w:r>
                            <w:r>
                              <w:rPr>
                                <w:sz w:val="20"/>
                              </w:rPr>
                              <w:t>author(s),</w:t>
                            </w:r>
                            <w:r>
                              <w:rPr>
                                <w:spacing w:val="-4"/>
                                <w:sz w:val="20"/>
                              </w:rPr>
                              <w:t xml:space="preserve"> </w:t>
                            </w:r>
                            <w:r>
                              <w:rPr>
                                <w:sz w:val="20"/>
                              </w:rPr>
                              <w:t>including</w:t>
                            </w:r>
                            <w:r>
                              <w:rPr>
                                <w:spacing w:val="-3"/>
                                <w:sz w:val="20"/>
                              </w:rPr>
                              <w:t xml:space="preserve"> </w:t>
                            </w:r>
                            <w:r>
                              <w:rPr>
                                <w:sz w:val="20"/>
                              </w:rPr>
                              <w:t>contributions</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study design,</w:t>
                            </w:r>
                            <w:r>
                              <w:rPr>
                                <w:spacing w:val="-1"/>
                                <w:sz w:val="20"/>
                              </w:rPr>
                              <w:t xml:space="preserve"> </w:t>
                            </w:r>
                            <w:r>
                              <w:rPr>
                                <w:sz w:val="20"/>
                              </w:rPr>
                              <w:t>data,</w:t>
                            </w:r>
                            <w:r>
                              <w:rPr>
                                <w:spacing w:val="-1"/>
                                <w:sz w:val="20"/>
                              </w:rPr>
                              <w:t xml:space="preserve"> </w:t>
                            </w:r>
                            <w:r>
                              <w:rPr>
                                <w:sz w:val="20"/>
                              </w:rPr>
                              <w:t>content development,</w:t>
                            </w:r>
                            <w:r>
                              <w:rPr>
                                <w:spacing w:val="-1"/>
                                <w:sz w:val="20"/>
                              </w:rPr>
                              <w:t xml:space="preserve"> </w:t>
                            </w:r>
                            <w:r>
                              <w:rPr>
                                <w:sz w:val="20"/>
                              </w:rPr>
                              <w:t>results,</w:t>
                            </w:r>
                            <w:r>
                              <w:rPr>
                                <w:spacing w:val="-1"/>
                                <w:sz w:val="20"/>
                              </w:rPr>
                              <w:t xml:space="preserve"> </w:t>
                            </w:r>
                            <w:r>
                              <w:rPr>
                                <w:sz w:val="20"/>
                              </w:rPr>
                              <w:t>interpretation,</w:t>
                            </w:r>
                            <w:r>
                              <w:rPr>
                                <w:spacing w:val="-1"/>
                                <w:sz w:val="20"/>
                              </w:rPr>
                              <w:t xml:space="preserve"> </w:t>
                            </w:r>
                            <w:r>
                              <w:rPr>
                                <w:sz w:val="20"/>
                              </w:rPr>
                              <w:t>and related scholarly work.</w:t>
                            </w:r>
                            <w:r>
                              <w:rPr>
                                <w:spacing w:val="-4"/>
                                <w:sz w:val="20"/>
                              </w:rPr>
                              <w:t xml:space="preserve"> </w:t>
                            </w:r>
                            <w:r>
                              <w:rPr>
                                <w:sz w:val="20"/>
                              </w:rPr>
                              <w:t>The author(s) acknowledge the use of Grammarly and ChatGPT to assist with grammar checking, language refinement, reference formatting. These AI-assisted tools were not used as authors and did not replace the intellectual contributions or scholarly judgment of the author(s).</w:t>
                            </w:r>
                            <w:r>
                              <w:rPr>
                                <w:spacing w:val="-3"/>
                                <w:sz w:val="20"/>
                              </w:rPr>
                              <w:t xml:space="preserve"> </w:t>
                            </w:r>
                            <w:r>
                              <w:rPr>
                                <w:sz w:val="20"/>
                              </w:rPr>
                              <w:t>All</w:t>
                            </w:r>
                            <w:r>
                              <w:rPr>
                                <w:spacing w:val="-3"/>
                                <w:sz w:val="20"/>
                              </w:rPr>
                              <w:t xml:space="preserve"> </w:t>
                            </w:r>
                            <w:r>
                              <w:rPr>
                                <w:sz w:val="20"/>
                              </w:rPr>
                              <w:t>AI-assisted outputs, including content, references, and interpretations, were carefully reviewed, revised,</w:t>
                            </w:r>
                            <w:r>
                              <w:rPr>
                                <w:spacing w:val="-5"/>
                                <w:sz w:val="20"/>
                              </w:rPr>
                              <w:t xml:space="preserve"> </w:t>
                            </w:r>
                            <w:r>
                              <w:rPr>
                                <w:sz w:val="20"/>
                              </w:rPr>
                              <w:t>verified,</w:t>
                            </w:r>
                            <w:r>
                              <w:rPr>
                                <w:spacing w:val="-5"/>
                                <w:sz w:val="20"/>
                              </w:rPr>
                              <w:t xml:space="preserve"> </w:t>
                            </w:r>
                            <w:r>
                              <w:rPr>
                                <w:sz w:val="20"/>
                              </w:rPr>
                              <w:t>and</w:t>
                            </w:r>
                            <w:r>
                              <w:rPr>
                                <w:spacing w:val="-4"/>
                                <w:sz w:val="20"/>
                              </w:rPr>
                              <w:t xml:space="preserve"> </w:t>
                            </w:r>
                            <w:r>
                              <w:rPr>
                                <w:sz w:val="20"/>
                              </w:rPr>
                              <w:t>approved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z w:val="20"/>
                              </w:rPr>
                              <w:t>author(s).</w:t>
                            </w:r>
                            <w:r>
                              <w:rPr>
                                <w:spacing w:val="-8"/>
                                <w:sz w:val="20"/>
                              </w:rPr>
                              <w:t xml:space="preserve"> </w:t>
                            </w:r>
                            <w:r>
                              <w:rPr>
                                <w:sz w:val="20"/>
                              </w:rPr>
                              <w:t>The</w:t>
                            </w:r>
                            <w:r>
                              <w:rPr>
                                <w:spacing w:val="-4"/>
                                <w:sz w:val="20"/>
                              </w:rPr>
                              <w:t xml:space="preserve"> </w:t>
                            </w:r>
                            <w:r>
                              <w:rPr>
                                <w:sz w:val="20"/>
                              </w:rPr>
                              <w:t>author(s)</w:t>
                            </w:r>
                            <w:r>
                              <w:rPr>
                                <w:spacing w:val="-4"/>
                                <w:sz w:val="20"/>
                              </w:rPr>
                              <w:t xml:space="preserve"> </w:t>
                            </w:r>
                            <w:r>
                              <w:rPr>
                                <w:sz w:val="20"/>
                              </w:rPr>
                              <w:t>accept</w:t>
                            </w:r>
                            <w:r>
                              <w:rPr>
                                <w:spacing w:val="-5"/>
                                <w:sz w:val="20"/>
                              </w:rPr>
                              <w:t xml:space="preserve"> </w:t>
                            </w:r>
                            <w:r>
                              <w:rPr>
                                <w:sz w:val="20"/>
                              </w:rPr>
                              <w:t>full</w:t>
                            </w:r>
                            <w:r>
                              <w:rPr>
                                <w:spacing w:val="-4"/>
                                <w:sz w:val="20"/>
                              </w:rPr>
                              <w:t xml:space="preserve"> </w:t>
                            </w:r>
                            <w:r>
                              <w:rPr>
                                <w:sz w:val="20"/>
                              </w:rPr>
                              <w:t>responsibility</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accuracy,</w:t>
                            </w:r>
                            <w:r>
                              <w:rPr>
                                <w:spacing w:val="-5"/>
                                <w:sz w:val="20"/>
                              </w:rPr>
                              <w:t xml:space="preserve"> </w:t>
                            </w:r>
                            <w:r>
                              <w:rPr>
                                <w:sz w:val="20"/>
                              </w:rPr>
                              <w:t>integrity,</w:t>
                            </w:r>
                            <w:r>
                              <w:rPr>
                                <w:spacing w:val="-5"/>
                                <w:sz w:val="20"/>
                              </w:rPr>
                              <w:t xml:space="preserve"> </w:t>
                            </w:r>
                            <w:r>
                              <w:rPr>
                                <w:sz w:val="20"/>
                              </w:rPr>
                              <w:t>and final content of the manuscript.</w:t>
                            </w:r>
                          </w:p>
                          <w:p w14:paraId="264FA533" w14:textId="77777777" w:rsidR="00C137F8" w:rsidRDefault="00000000">
                            <w:pPr>
                              <w:spacing w:line="220" w:lineRule="exact"/>
                              <w:rPr>
                                <w:sz w:val="20"/>
                              </w:rPr>
                            </w:pPr>
                            <w:r>
                              <w:rPr>
                                <w:sz w:val="20"/>
                              </w:rPr>
                              <w:t>Declaration</w:t>
                            </w:r>
                            <w:r>
                              <w:rPr>
                                <w:spacing w:val="-1"/>
                                <w:sz w:val="20"/>
                              </w:rPr>
                              <w:t xml:space="preserve"> </w:t>
                            </w:r>
                            <w:r>
                              <w:rPr>
                                <w:sz w:val="20"/>
                              </w:rPr>
                              <w:t>of</w:t>
                            </w:r>
                            <w:r>
                              <w:rPr>
                                <w:spacing w:val="-12"/>
                                <w:sz w:val="20"/>
                              </w:rPr>
                              <w:t xml:space="preserve"> </w:t>
                            </w:r>
                            <w:r>
                              <w:rPr>
                                <w:sz w:val="20"/>
                              </w:rPr>
                              <w:t>AI</w:t>
                            </w:r>
                            <w:r>
                              <w:rPr>
                                <w:spacing w:val="-2"/>
                                <w:sz w:val="20"/>
                              </w:rPr>
                              <w:t xml:space="preserve"> </w:t>
                            </w:r>
                            <w:r>
                              <w:rPr>
                                <w:spacing w:val="-5"/>
                                <w:sz w:val="20"/>
                              </w:rPr>
                              <w:t>Use</w:t>
                            </w:r>
                          </w:p>
                        </w:txbxContent>
                      </wps:txbx>
                      <wps:bodyPr wrap="square" lIns="0" tIns="0" rIns="0" bIns="0" rtlCol="0">
                        <a:noAutofit/>
                      </wps:bodyPr>
                    </wps:wsp>
                  </a:graphicData>
                </a:graphic>
              </wp:anchor>
            </w:drawing>
          </mc:Choice>
          <mc:Fallback>
            <w:pict>
              <v:shape w14:anchorId="10B0892C" id="Textbox 49" o:spid="_x0000_s1061" type="#_x0000_t202" style="position:absolute;left:0;text-align:left;margin-left:39.75pt;margin-top:347.25pt;width:523pt;height:12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" filled="f" stroked="f">
                <v:textbox inset="0,0,0,0">
                  <w:txbxContent>
                    <w:p w14:paraId="49346B3A" w14:textId="77777777" w:rsidR="00C137F8" w:rsidRDefault="00000000">
                      <w:pPr>
                        <w:spacing w:line="227" w:lineRule="exact"/>
                        <w:rPr>
                          <w:sz w:val="20"/>
                        </w:rPr>
                      </w:pPr>
                      <w:r>
                        <w:rPr>
                          <w:sz w:val="20"/>
                        </w:rPr>
                        <w:t>Declaration</w:t>
                      </w:r>
                      <w:r>
                        <w:rPr>
                          <w:spacing w:val="-1"/>
                          <w:sz w:val="20"/>
                        </w:rPr>
                        <w:t xml:space="preserve"> </w:t>
                      </w:r>
                      <w:r>
                        <w:rPr>
                          <w:sz w:val="20"/>
                        </w:rPr>
                        <w:t>of</w:t>
                      </w:r>
                      <w:r>
                        <w:rPr>
                          <w:spacing w:val="-12"/>
                          <w:sz w:val="20"/>
                        </w:rPr>
                        <w:t xml:space="preserve"> </w:t>
                      </w:r>
                      <w:r>
                        <w:rPr>
                          <w:sz w:val="20"/>
                        </w:rPr>
                        <w:t>AI</w:t>
                      </w:r>
                      <w:r>
                        <w:rPr>
                          <w:spacing w:val="-2"/>
                          <w:sz w:val="20"/>
                        </w:rPr>
                        <w:t xml:space="preserve"> </w:t>
                      </w:r>
                      <w:r>
                        <w:rPr>
                          <w:spacing w:val="-5"/>
                          <w:sz w:val="20"/>
                        </w:rPr>
                        <w:t>Use</w:t>
                      </w:r>
                    </w:p>
                    <w:p w14:paraId="7B0267A9" w14:textId="77777777" w:rsidR="00C137F8" w:rsidRDefault="00000000">
                      <w:pPr>
                        <w:spacing w:before="218" w:line="237" w:lineRule="auto"/>
                        <w:ind w:right="85"/>
                        <w:rPr>
                          <w:sz w:val="20"/>
                        </w:rPr>
                      </w:pPr>
                      <w:r>
                        <w:rPr>
                          <w:sz w:val="20"/>
                        </w:rPr>
                        <w:t>This</w:t>
                      </w:r>
                      <w:r>
                        <w:rPr>
                          <w:spacing w:val="-3"/>
                          <w:sz w:val="20"/>
                        </w:rPr>
                        <w:t xml:space="preserve"> </w:t>
                      </w:r>
                      <w:r>
                        <w:rPr>
                          <w:sz w:val="20"/>
                        </w:rPr>
                        <w:t>manuscript</w:t>
                      </w:r>
                      <w:r>
                        <w:rPr>
                          <w:spacing w:val="-4"/>
                          <w:sz w:val="20"/>
                        </w:rPr>
                        <w:t xml:space="preserve"> </w:t>
                      </w:r>
                      <w:r>
                        <w:rPr>
                          <w:sz w:val="20"/>
                        </w:rPr>
                        <w:t>was</w:t>
                      </w:r>
                      <w:r>
                        <w:rPr>
                          <w:spacing w:val="-3"/>
                          <w:sz w:val="20"/>
                        </w:rPr>
                        <w:t xml:space="preserve"> </w:t>
                      </w:r>
                      <w:r>
                        <w:rPr>
                          <w:sz w:val="20"/>
                        </w:rPr>
                        <w:t>prepared</w:t>
                      </w:r>
                      <w:r>
                        <w:rPr>
                          <w:spacing w:val="-3"/>
                          <w:sz w:val="20"/>
                        </w:rPr>
                        <w:t xml:space="preserve"> </w:t>
                      </w:r>
                      <w:r>
                        <w:rPr>
                          <w:sz w:val="20"/>
                        </w:rPr>
                        <w:t>through</w:t>
                      </w:r>
                      <w:r>
                        <w:rPr>
                          <w:spacing w:val="-3"/>
                          <w:sz w:val="20"/>
                        </w:rPr>
                        <w:t xml:space="preserve"> </w:t>
                      </w:r>
                      <w:r>
                        <w:rPr>
                          <w:sz w:val="20"/>
                        </w:rPr>
                        <w:t>the</w:t>
                      </w:r>
                      <w:r>
                        <w:rPr>
                          <w:spacing w:val="-3"/>
                          <w:sz w:val="20"/>
                        </w:rPr>
                        <w:t xml:space="preserve"> </w:t>
                      </w:r>
                      <w:r>
                        <w:rPr>
                          <w:sz w:val="20"/>
                        </w:rPr>
                        <w:t>combined</w:t>
                      </w:r>
                      <w:r>
                        <w:rPr>
                          <w:spacing w:val="-4"/>
                          <w:sz w:val="20"/>
                        </w:rPr>
                        <w:t xml:space="preserve"> </w:t>
                      </w:r>
                      <w:r>
                        <w:rPr>
                          <w:sz w:val="20"/>
                        </w:rPr>
                        <w:t>contributions</w:t>
                      </w:r>
                      <w:r>
                        <w:rPr>
                          <w:spacing w:val="-3"/>
                          <w:sz w:val="20"/>
                        </w:rPr>
                        <w:t xml:space="preserve"> </w:t>
                      </w:r>
                      <w:r>
                        <w:rPr>
                          <w:sz w:val="20"/>
                        </w:rPr>
                        <w:t>of</w:t>
                      </w:r>
                      <w:r>
                        <w:rPr>
                          <w:spacing w:val="-3"/>
                          <w:sz w:val="20"/>
                        </w:rPr>
                        <w:t xml:space="preserve"> </w:t>
                      </w:r>
                      <w:r>
                        <w:rPr>
                          <w:sz w:val="20"/>
                        </w:rPr>
                        <w:t>all</w:t>
                      </w:r>
                      <w:r>
                        <w:rPr>
                          <w:spacing w:val="-3"/>
                          <w:sz w:val="20"/>
                        </w:rPr>
                        <w:t xml:space="preserve"> </w:t>
                      </w:r>
                      <w:r>
                        <w:rPr>
                          <w:sz w:val="20"/>
                        </w:rPr>
                        <w:t>author(s),</w:t>
                      </w:r>
                      <w:r>
                        <w:rPr>
                          <w:spacing w:val="-4"/>
                          <w:sz w:val="20"/>
                        </w:rPr>
                        <w:t xml:space="preserve"> </w:t>
                      </w:r>
                      <w:r>
                        <w:rPr>
                          <w:sz w:val="20"/>
                        </w:rPr>
                        <w:t>including</w:t>
                      </w:r>
                      <w:r>
                        <w:rPr>
                          <w:spacing w:val="-3"/>
                          <w:sz w:val="20"/>
                        </w:rPr>
                        <w:t xml:space="preserve"> </w:t>
                      </w:r>
                      <w:r>
                        <w:rPr>
                          <w:sz w:val="20"/>
                        </w:rPr>
                        <w:t>contributions</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study design,</w:t>
                      </w:r>
                      <w:r>
                        <w:rPr>
                          <w:spacing w:val="-1"/>
                          <w:sz w:val="20"/>
                        </w:rPr>
                        <w:t xml:space="preserve"> </w:t>
                      </w:r>
                      <w:r>
                        <w:rPr>
                          <w:sz w:val="20"/>
                        </w:rPr>
                        <w:t>data,</w:t>
                      </w:r>
                      <w:r>
                        <w:rPr>
                          <w:spacing w:val="-1"/>
                          <w:sz w:val="20"/>
                        </w:rPr>
                        <w:t xml:space="preserve"> </w:t>
                      </w:r>
                      <w:r>
                        <w:rPr>
                          <w:sz w:val="20"/>
                        </w:rPr>
                        <w:t>content development,</w:t>
                      </w:r>
                      <w:r>
                        <w:rPr>
                          <w:spacing w:val="-1"/>
                          <w:sz w:val="20"/>
                        </w:rPr>
                        <w:t xml:space="preserve"> </w:t>
                      </w:r>
                      <w:r>
                        <w:rPr>
                          <w:sz w:val="20"/>
                        </w:rPr>
                        <w:t>results,</w:t>
                      </w:r>
                      <w:r>
                        <w:rPr>
                          <w:spacing w:val="-1"/>
                          <w:sz w:val="20"/>
                        </w:rPr>
                        <w:t xml:space="preserve"> </w:t>
                      </w:r>
                      <w:r>
                        <w:rPr>
                          <w:sz w:val="20"/>
                        </w:rPr>
                        <w:t>interpretation,</w:t>
                      </w:r>
                      <w:r>
                        <w:rPr>
                          <w:spacing w:val="-1"/>
                          <w:sz w:val="20"/>
                        </w:rPr>
                        <w:t xml:space="preserve"> </w:t>
                      </w:r>
                      <w:r>
                        <w:rPr>
                          <w:sz w:val="20"/>
                        </w:rPr>
                        <w:t>and related scholarly work.</w:t>
                      </w:r>
                      <w:r>
                        <w:rPr>
                          <w:spacing w:val="-4"/>
                          <w:sz w:val="20"/>
                        </w:rPr>
                        <w:t xml:space="preserve"> </w:t>
                      </w:r>
                      <w:r>
                        <w:rPr>
                          <w:sz w:val="20"/>
                        </w:rPr>
                        <w:t>The author(s) acknowledge the use of Grammarly and ChatGPT to assist with grammar checking, language refinement, reference formatting. These AI-assisted tools were not used as authors and did not replace the intellectual contributions or scholarly judgment of the author(s).</w:t>
                      </w:r>
                      <w:r>
                        <w:rPr>
                          <w:spacing w:val="-3"/>
                          <w:sz w:val="20"/>
                        </w:rPr>
                        <w:t xml:space="preserve"> </w:t>
                      </w:r>
                      <w:r>
                        <w:rPr>
                          <w:sz w:val="20"/>
                        </w:rPr>
                        <w:t>All</w:t>
                      </w:r>
                      <w:r>
                        <w:rPr>
                          <w:spacing w:val="-3"/>
                          <w:sz w:val="20"/>
                        </w:rPr>
                        <w:t xml:space="preserve"> </w:t>
                      </w:r>
                      <w:r>
                        <w:rPr>
                          <w:sz w:val="20"/>
                        </w:rPr>
                        <w:t>AI-assisted outputs, including content, references, and interpretations, were carefully reviewed, revised,</w:t>
                      </w:r>
                      <w:r>
                        <w:rPr>
                          <w:spacing w:val="-5"/>
                          <w:sz w:val="20"/>
                        </w:rPr>
                        <w:t xml:space="preserve"> </w:t>
                      </w:r>
                      <w:r>
                        <w:rPr>
                          <w:sz w:val="20"/>
                        </w:rPr>
                        <w:t>verified,</w:t>
                      </w:r>
                      <w:r>
                        <w:rPr>
                          <w:spacing w:val="-5"/>
                          <w:sz w:val="20"/>
                        </w:rPr>
                        <w:t xml:space="preserve"> </w:t>
                      </w:r>
                      <w:r>
                        <w:rPr>
                          <w:sz w:val="20"/>
                        </w:rPr>
                        <w:t>and</w:t>
                      </w:r>
                      <w:r>
                        <w:rPr>
                          <w:spacing w:val="-4"/>
                          <w:sz w:val="20"/>
                        </w:rPr>
                        <w:t xml:space="preserve"> </w:t>
                      </w:r>
                      <w:r>
                        <w:rPr>
                          <w:sz w:val="20"/>
                        </w:rPr>
                        <w:t>approved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z w:val="20"/>
                        </w:rPr>
                        <w:t>author(s).</w:t>
                      </w:r>
                      <w:r>
                        <w:rPr>
                          <w:spacing w:val="-8"/>
                          <w:sz w:val="20"/>
                        </w:rPr>
                        <w:t xml:space="preserve"> </w:t>
                      </w:r>
                      <w:r>
                        <w:rPr>
                          <w:sz w:val="20"/>
                        </w:rPr>
                        <w:t>The</w:t>
                      </w:r>
                      <w:r>
                        <w:rPr>
                          <w:spacing w:val="-4"/>
                          <w:sz w:val="20"/>
                        </w:rPr>
                        <w:t xml:space="preserve"> </w:t>
                      </w:r>
                      <w:r>
                        <w:rPr>
                          <w:sz w:val="20"/>
                        </w:rPr>
                        <w:t>author(s)</w:t>
                      </w:r>
                      <w:r>
                        <w:rPr>
                          <w:spacing w:val="-4"/>
                          <w:sz w:val="20"/>
                        </w:rPr>
                        <w:t xml:space="preserve"> </w:t>
                      </w:r>
                      <w:r>
                        <w:rPr>
                          <w:sz w:val="20"/>
                        </w:rPr>
                        <w:t>accept</w:t>
                      </w:r>
                      <w:r>
                        <w:rPr>
                          <w:spacing w:val="-5"/>
                          <w:sz w:val="20"/>
                        </w:rPr>
                        <w:t xml:space="preserve"> </w:t>
                      </w:r>
                      <w:r>
                        <w:rPr>
                          <w:sz w:val="20"/>
                        </w:rPr>
                        <w:t>full</w:t>
                      </w:r>
                      <w:r>
                        <w:rPr>
                          <w:spacing w:val="-4"/>
                          <w:sz w:val="20"/>
                        </w:rPr>
                        <w:t xml:space="preserve"> </w:t>
                      </w:r>
                      <w:r>
                        <w:rPr>
                          <w:sz w:val="20"/>
                        </w:rPr>
                        <w:t>responsibility</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accuracy,</w:t>
                      </w:r>
                      <w:r>
                        <w:rPr>
                          <w:spacing w:val="-5"/>
                          <w:sz w:val="20"/>
                        </w:rPr>
                        <w:t xml:space="preserve"> </w:t>
                      </w:r>
                      <w:r>
                        <w:rPr>
                          <w:sz w:val="20"/>
                        </w:rPr>
                        <w:t>integrity,</w:t>
                      </w:r>
                      <w:r>
                        <w:rPr>
                          <w:spacing w:val="-5"/>
                          <w:sz w:val="20"/>
                        </w:rPr>
                        <w:t xml:space="preserve"> </w:t>
                      </w:r>
                      <w:r>
                        <w:rPr>
                          <w:sz w:val="20"/>
                        </w:rPr>
                        <w:t>and final content of the manuscript.</w:t>
                      </w:r>
                    </w:p>
                    <w:p w14:paraId="264FA533" w14:textId="77777777" w:rsidR="00C137F8" w:rsidRDefault="00000000">
                      <w:pPr>
                        <w:spacing w:line="220" w:lineRule="exact"/>
                        <w:rPr>
                          <w:sz w:val="20"/>
                        </w:rPr>
                      </w:pPr>
                      <w:r>
                        <w:rPr>
                          <w:sz w:val="20"/>
                        </w:rPr>
                        <w:t>Declaration</w:t>
                      </w:r>
                      <w:r>
                        <w:rPr>
                          <w:spacing w:val="-1"/>
                          <w:sz w:val="20"/>
                        </w:rPr>
                        <w:t xml:space="preserve"> </w:t>
                      </w:r>
                      <w:r>
                        <w:rPr>
                          <w:sz w:val="20"/>
                        </w:rPr>
                        <w:t>of</w:t>
                      </w:r>
                      <w:r>
                        <w:rPr>
                          <w:spacing w:val="-12"/>
                          <w:sz w:val="20"/>
                        </w:rPr>
                        <w:t xml:space="preserve"> </w:t>
                      </w:r>
                      <w:r>
                        <w:rPr>
                          <w:sz w:val="20"/>
                        </w:rPr>
                        <w:t>AI</w:t>
                      </w:r>
                      <w:r>
                        <w:rPr>
                          <w:spacing w:val="-2"/>
                          <w:sz w:val="20"/>
                        </w:rPr>
                        <w:t xml:space="preserve"> </w:t>
                      </w:r>
                      <w:r>
                        <w:rPr>
                          <w:spacing w:val="-5"/>
                          <w:sz w:val="20"/>
                        </w:rPr>
                        <w:t>Use</w:t>
                      </w:r>
                    </w:p>
                  </w:txbxContent>
                </v:textbox>
                <w10:wrap anchorx="page" anchory="page"/>
              </v:shape>
            </w:pict>
          </mc:Fallback>
        </mc:AlternateContent>
      </w:r>
      <w:r w:rsidRPr="00A06A6E">
        <w:rPr>
          <w:rFonts w:ascii="Times New Roman"/>
          <w:b/>
          <w:sz w:val="24"/>
        </w:rPr>
        <w:t>5.4</w:t>
      </w:r>
      <w:r w:rsidRPr="00A06A6E">
        <w:rPr>
          <w:rFonts w:ascii="Times New Roman"/>
          <w:b/>
          <w:spacing w:val="-1"/>
          <w:sz w:val="24"/>
        </w:rPr>
        <w:t xml:space="preserve"> </w:t>
      </w:r>
      <w:r w:rsidRPr="00A06A6E">
        <w:rPr>
          <w:rFonts w:ascii="Times New Roman"/>
          <w:b/>
          <w:sz w:val="24"/>
        </w:rPr>
        <w:t>Suggestions</w:t>
      </w:r>
      <w:r w:rsidRPr="00A06A6E">
        <w:rPr>
          <w:rFonts w:ascii="Times New Roman"/>
          <w:b/>
          <w:spacing w:val="-2"/>
          <w:sz w:val="24"/>
        </w:rPr>
        <w:t xml:space="preserve"> </w:t>
      </w:r>
      <w:r w:rsidRPr="00A06A6E">
        <w:rPr>
          <w:rFonts w:ascii="Times New Roman"/>
          <w:b/>
          <w:sz w:val="24"/>
        </w:rPr>
        <w:t>for</w:t>
      </w:r>
      <w:r w:rsidRPr="00A06A6E">
        <w:rPr>
          <w:rFonts w:ascii="Times New Roman"/>
          <w:b/>
          <w:spacing w:val="-1"/>
          <w:sz w:val="24"/>
        </w:rPr>
        <w:t xml:space="preserve"> </w:t>
      </w:r>
      <w:r w:rsidRPr="00A06A6E">
        <w:rPr>
          <w:rFonts w:ascii="Times New Roman"/>
          <w:b/>
          <w:sz w:val="24"/>
        </w:rPr>
        <w:t>Future</w:t>
      </w:r>
      <w:r w:rsidRPr="00A06A6E">
        <w:rPr>
          <w:rFonts w:ascii="Times New Roman"/>
          <w:b/>
          <w:spacing w:val="-2"/>
          <w:sz w:val="24"/>
        </w:rPr>
        <w:t xml:space="preserve"> Research</w:t>
      </w:r>
    </w:p>
    <w:p w14:paraId="326D72D4" w14:textId="77777777" w:rsidR="00C137F8" w:rsidRPr="00A06A6E" w:rsidRDefault="00000000">
      <w:pPr>
        <w:pStyle w:val="ListParagraph"/>
        <w:numPr>
          <w:ilvl w:val="0"/>
          <w:numId w:val="1"/>
        </w:numPr>
        <w:tabs>
          <w:tab w:val="left" w:pos="868"/>
        </w:tabs>
        <w:spacing w:before="40" w:line="276" w:lineRule="auto"/>
        <w:ind w:right="730"/>
        <w:jc w:val="both"/>
        <w:rPr>
          <w:sz w:val="24"/>
        </w:rPr>
      </w:pPr>
      <w:r w:rsidRPr="00A06A6E">
        <w:rPr>
          <w:sz w:val="24"/>
        </w:rPr>
        <w:t xml:space="preserve">Future studies are recommended to expand the research sample by including companies from different industrial sectors and extending the observation period to obtain broader and more comprehensive findings regarding sustainability reporting </w:t>
      </w:r>
      <w:r w:rsidRPr="00A06A6E">
        <w:rPr>
          <w:spacing w:val="-2"/>
          <w:sz w:val="24"/>
        </w:rPr>
        <w:t>practices.</w:t>
      </w:r>
    </w:p>
    <w:p w14:paraId="2BDB0CFA" w14:textId="77777777" w:rsidR="00C137F8" w:rsidRPr="00A06A6E" w:rsidRDefault="00000000">
      <w:pPr>
        <w:pStyle w:val="ListParagraph"/>
        <w:numPr>
          <w:ilvl w:val="0"/>
          <w:numId w:val="1"/>
        </w:numPr>
        <w:tabs>
          <w:tab w:val="left" w:pos="868"/>
        </w:tabs>
        <w:spacing w:line="276" w:lineRule="auto"/>
        <w:ind w:right="730"/>
        <w:jc w:val="both"/>
        <w:rPr>
          <w:sz w:val="24"/>
        </w:rPr>
      </w:pPr>
      <w:r w:rsidRPr="00A06A6E">
        <w:rPr>
          <w:sz w:val="24"/>
        </w:rPr>
        <w:t>Future research may also include additional variables such as ESG performance, environmental performance, institutional ownership, media exposure, board gender diversity, sustainability committees, corporate governance quality, and green innovation to improve the explanatory power of the model.</w:t>
      </w:r>
    </w:p>
    <w:p w14:paraId="0D8DA41F" w14:textId="77777777" w:rsidR="00C137F8" w:rsidRPr="00A06A6E" w:rsidRDefault="00000000">
      <w:pPr>
        <w:pStyle w:val="ListParagraph"/>
        <w:numPr>
          <w:ilvl w:val="0"/>
          <w:numId w:val="1"/>
        </w:numPr>
        <w:tabs>
          <w:tab w:val="left" w:pos="868"/>
        </w:tabs>
        <w:spacing w:before="1" w:line="276" w:lineRule="auto"/>
        <w:ind w:right="730"/>
        <w:jc w:val="both"/>
        <w:rPr>
          <w:sz w:val="24"/>
        </w:rPr>
      </w:pPr>
      <w:r w:rsidRPr="00A06A6E">
        <w:rPr>
          <w:sz w:val="24"/>
        </w:rPr>
        <w:t>Future</w:t>
      </w:r>
      <w:r w:rsidRPr="00A06A6E">
        <w:rPr>
          <w:spacing w:val="-9"/>
          <w:sz w:val="24"/>
        </w:rPr>
        <w:t xml:space="preserve"> </w:t>
      </w:r>
      <w:r w:rsidRPr="00A06A6E">
        <w:rPr>
          <w:sz w:val="24"/>
        </w:rPr>
        <w:t>studies</w:t>
      </w:r>
      <w:r w:rsidRPr="00A06A6E">
        <w:rPr>
          <w:spacing w:val="-9"/>
          <w:sz w:val="24"/>
        </w:rPr>
        <w:t xml:space="preserve"> </w:t>
      </w:r>
      <w:r w:rsidRPr="00A06A6E">
        <w:rPr>
          <w:sz w:val="24"/>
        </w:rPr>
        <w:t>are</w:t>
      </w:r>
      <w:r w:rsidRPr="00A06A6E">
        <w:rPr>
          <w:spacing w:val="-9"/>
          <w:sz w:val="24"/>
        </w:rPr>
        <w:t xml:space="preserve"> </w:t>
      </w:r>
      <w:r w:rsidRPr="00A06A6E">
        <w:rPr>
          <w:sz w:val="24"/>
        </w:rPr>
        <w:t>encouraged</w:t>
      </w:r>
      <w:r w:rsidRPr="00A06A6E">
        <w:rPr>
          <w:spacing w:val="-9"/>
          <w:sz w:val="24"/>
        </w:rPr>
        <w:t xml:space="preserve"> </w:t>
      </w:r>
      <w:r w:rsidRPr="00A06A6E">
        <w:rPr>
          <w:sz w:val="24"/>
        </w:rPr>
        <w:t>to</w:t>
      </w:r>
      <w:r w:rsidRPr="00A06A6E">
        <w:rPr>
          <w:spacing w:val="-9"/>
          <w:sz w:val="24"/>
        </w:rPr>
        <w:t xml:space="preserve"> </w:t>
      </w:r>
      <w:r w:rsidRPr="00A06A6E">
        <w:rPr>
          <w:sz w:val="24"/>
        </w:rPr>
        <w:t>measure</w:t>
      </w:r>
      <w:r w:rsidRPr="00A06A6E">
        <w:rPr>
          <w:spacing w:val="-9"/>
          <w:sz w:val="24"/>
        </w:rPr>
        <w:t xml:space="preserve"> </w:t>
      </w:r>
      <w:r w:rsidRPr="00A06A6E">
        <w:rPr>
          <w:sz w:val="24"/>
        </w:rPr>
        <w:t>sustainability</w:t>
      </w:r>
      <w:r w:rsidRPr="00A06A6E">
        <w:rPr>
          <w:spacing w:val="-9"/>
          <w:sz w:val="24"/>
        </w:rPr>
        <w:t xml:space="preserve"> </w:t>
      </w:r>
      <w:r w:rsidRPr="00A06A6E">
        <w:rPr>
          <w:sz w:val="24"/>
        </w:rPr>
        <w:t>disclosure</w:t>
      </w:r>
      <w:r w:rsidRPr="00A06A6E">
        <w:rPr>
          <w:spacing w:val="-9"/>
          <w:sz w:val="24"/>
        </w:rPr>
        <w:t xml:space="preserve"> </w:t>
      </w:r>
      <w:r w:rsidRPr="00A06A6E">
        <w:rPr>
          <w:sz w:val="24"/>
        </w:rPr>
        <w:t>quality</w:t>
      </w:r>
      <w:r w:rsidRPr="00A06A6E">
        <w:rPr>
          <w:spacing w:val="-9"/>
          <w:sz w:val="24"/>
        </w:rPr>
        <w:t xml:space="preserve"> </w:t>
      </w:r>
      <w:r w:rsidRPr="00A06A6E">
        <w:rPr>
          <w:sz w:val="24"/>
        </w:rPr>
        <w:t>rather</w:t>
      </w:r>
      <w:r w:rsidRPr="00A06A6E">
        <w:rPr>
          <w:spacing w:val="-9"/>
          <w:sz w:val="24"/>
        </w:rPr>
        <w:t xml:space="preserve"> </w:t>
      </w:r>
      <w:r w:rsidRPr="00A06A6E">
        <w:rPr>
          <w:sz w:val="24"/>
        </w:rPr>
        <w:t>than merely disclosure quantity, for example by using ESG ratings, assurance quality, or content analysis approaches.</w:t>
      </w:r>
    </w:p>
    <w:p w14:paraId="0DDDEFD0" w14:textId="77777777" w:rsidR="00C137F8" w:rsidRPr="00A06A6E" w:rsidRDefault="00000000">
      <w:pPr>
        <w:pStyle w:val="ListParagraph"/>
        <w:numPr>
          <w:ilvl w:val="0"/>
          <w:numId w:val="1"/>
        </w:numPr>
        <w:tabs>
          <w:tab w:val="left" w:pos="868"/>
        </w:tabs>
        <w:spacing w:line="276" w:lineRule="auto"/>
        <w:ind w:right="730"/>
        <w:jc w:val="both"/>
        <w:rPr>
          <w:sz w:val="24"/>
        </w:rPr>
      </w:pPr>
      <w:r w:rsidRPr="00A06A6E">
        <w:rPr>
          <w:sz w:val="24"/>
        </w:rPr>
        <w:t>Future research may compare sustainability reporting practices before and after the implementation of stricter sustainability reporting regulations in Indonesia to examine regulatory impacts on corporate sustainability transparency.</w:t>
      </w:r>
    </w:p>
    <w:p w14:paraId="1645BB08" w14:textId="77777777" w:rsidR="00C137F8" w:rsidRPr="00A06A6E" w:rsidRDefault="00C137F8">
      <w:pPr>
        <w:pStyle w:val="BodyText"/>
        <w:rPr>
          <w:rFonts w:ascii="Times New Roman"/>
          <w:sz w:val="24"/>
        </w:rPr>
      </w:pPr>
    </w:p>
    <w:p w14:paraId="0C24EBCA" w14:textId="77777777" w:rsidR="00C137F8" w:rsidRPr="00A06A6E" w:rsidRDefault="00C137F8">
      <w:pPr>
        <w:pStyle w:val="BodyText"/>
        <w:rPr>
          <w:rFonts w:ascii="Times New Roman"/>
          <w:sz w:val="24"/>
        </w:rPr>
      </w:pPr>
    </w:p>
    <w:p w14:paraId="7F765B9A" w14:textId="77777777" w:rsidR="00C137F8" w:rsidRPr="00A06A6E" w:rsidRDefault="00C137F8">
      <w:pPr>
        <w:pStyle w:val="BodyText"/>
        <w:rPr>
          <w:rFonts w:ascii="Times New Roman"/>
          <w:sz w:val="24"/>
        </w:rPr>
      </w:pPr>
    </w:p>
    <w:p w14:paraId="7AA51E20" w14:textId="77777777" w:rsidR="00C137F8" w:rsidRPr="00A06A6E" w:rsidRDefault="00C137F8">
      <w:pPr>
        <w:pStyle w:val="BodyText"/>
        <w:rPr>
          <w:rFonts w:ascii="Times New Roman"/>
          <w:sz w:val="24"/>
        </w:rPr>
      </w:pPr>
    </w:p>
    <w:p w14:paraId="2B81A325" w14:textId="77777777" w:rsidR="00C137F8" w:rsidRPr="00A06A6E" w:rsidRDefault="00C137F8">
      <w:pPr>
        <w:pStyle w:val="BodyText"/>
        <w:rPr>
          <w:rFonts w:ascii="Times New Roman"/>
          <w:sz w:val="24"/>
        </w:rPr>
      </w:pPr>
    </w:p>
    <w:p w14:paraId="275C7D1D" w14:textId="77777777" w:rsidR="00C137F8" w:rsidRPr="00A06A6E" w:rsidRDefault="00C137F8">
      <w:pPr>
        <w:pStyle w:val="BodyText"/>
        <w:rPr>
          <w:rFonts w:ascii="Times New Roman"/>
          <w:sz w:val="24"/>
        </w:rPr>
      </w:pPr>
    </w:p>
    <w:p w14:paraId="22387DA1" w14:textId="77777777" w:rsidR="00C137F8" w:rsidRPr="00A06A6E" w:rsidRDefault="00C137F8">
      <w:pPr>
        <w:pStyle w:val="BodyText"/>
        <w:rPr>
          <w:rFonts w:ascii="Times New Roman"/>
          <w:sz w:val="24"/>
        </w:rPr>
      </w:pPr>
    </w:p>
    <w:p w14:paraId="6C3856E3" w14:textId="77777777" w:rsidR="00C137F8" w:rsidRPr="00A06A6E" w:rsidRDefault="00C137F8">
      <w:pPr>
        <w:pStyle w:val="BodyText"/>
        <w:rPr>
          <w:rFonts w:ascii="Times New Roman"/>
          <w:sz w:val="24"/>
        </w:rPr>
      </w:pPr>
    </w:p>
    <w:p w14:paraId="486A34A8" w14:textId="77777777" w:rsidR="00C137F8" w:rsidRPr="00A06A6E" w:rsidRDefault="00C137F8">
      <w:pPr>
        <w:pStyle w:val="BodyText"/>
        <w:rPr>
          <w:rFonts w:ascii="Times New Roman"/>
          <w:sz w:val="24"/>
        </w:rPr>
      </w:pPr>
    </w:p>
    <w:p w14:paraId="2D72E3FA" w14:textId="77777777" w:rsidR="00C137F8" w:rsidRPr="00A06A6E" w:rsidRDefault="00C137F8">
      <w:pPr>
        <w:pStyle w:val="BodyText"/>
        <w:rPr>
          <w:rFonts w:ascii="Times New Roman"/>
          <w:sz w:val="24"/>
        </w:rPr>
      </w:pPr>
    </w:p>
    <w:p w14:paraId="2BA0CA95" w14:textId="77777777" w:rsidR="00C137F8" w:rsidRPr="00A06A6E" w:rsidRDefault="00C137F8">
      <w:pPr>
        <w:pStyle w:val="BodyText"/>
        <w:rPr>
          <w:rFonts w:ascii="Times New Roman"/>
          <w:sz w:val="24"/>
        </w:rPr>
      </w:pPr>
    </w:p>
    <w:p w14:paraId="52888B06" w14:textId="77777777" w:rsidR="00C137F8" w:rsidRPr="00A06A6E" w:rsidRDefault="00C137F8">
      <w:pPr>
        <w:pStyle w:val="BodyText"/>
        <w:rPr>
          <w:rFonts w:ascii="Times New Roman"/>
          <w:sz w:val="24"/>
        </w:rPr>
      </w:pPr>
    </w:p>
    <w:p w14:paraId="5B4A374D" w14:textId="77777777" w:rsidR="00C137F8" w:rsidRPr="00A06A6E" w:rsidRDefault="00C137F8">
      <w:pPr>
        <w:pStyle w:val="BodyText"/>
        <w:rPr>
          <w:rFonts w:ascii="Times New Roman"/>
          <w:sz w:val="24"/>
        </w:rPr>
      </w:pPr>
    </w:p>
    <w:p w14:paraId="493861CF" w14:textId="77777777" w:rsidR="00C137F8" w:rsidRPr="00A06A6E" w:rsidRDefault="00C137F8">
      <w:pPr>
        <w:pStyle w:val="BodyText"/>
        <w:rPr>
          <w:rFonts w:ascii="Times New Roman"/>
          <w:sz w:val="24"/>
        </w:rPr>
      </w:pPr>
    </w:p>
    <w:p w14:paraId="130D1E10" w14:textId="77777777" w:rsidR="00C137F8" w:rsidRPr="00A06A6E" w:rsidRDefault="00C137F8">
      <w:pPr>
        <w:pStyle w:val="BodyText"/>
        <w:rPr>
          <w:rFonts w:ascii="Times New Roman"/>
          <w:sz w:val="24"/>
        </w:rPr>
      </w:pPr>
    </w:p>
    <w:p w14:paraId="794719CF" w14:textId="77777777" w:rsidR="00C137F8" w:rsidRPr="00A06A6E" w:rsidRDefault="00C137F8">
      <w:pPr>
        <w:pStyle w:val="BodyText"/>
        <w:rPr>
          <w:rFonts w:ascii="Times New Roman"/>
          <w:sz w:val="24"/>
        </w:rPr>
      </w:pPr>
    </w:p>
    <w:p w14:paraId="37B61DC6" w14:textId="77777777" w:rsidR="00C137F8" w:rsidRPr="00A06A6E" w:rsidRDefault="00C137F8">
      <w:pPr>
        <w:pStyle w:val="BodyText"/>
        <w:spacing w:before="220"/>
        <w:rPr>
          <w:rFonts w:ascii="Times New Roman"/>
          <w:sz w:val="24"/>
        </w:rPr>
      </w:pPr>
    </w:p>
    <w:p w14:paraId="60A10D45" w14:textId="77777777" w:rsidR="00C137F8" w:rsidRPr="00A06A6E" w:rsidRDefault="00000000">
      <w:pPr>
        <w:pStyle w:val="Heading1"/>
        <w:jc w:val="left"/>
      </w:pPr>
      <w:r w:rsidRPr="00A06A6E">
        <w:rPr>
          <w:spacing w:val="-2"/>
        </w:rPr>
        <w:t>References</w:t>
      </w:r>
    </w:p>
    <w:p w14:paraId="5F038B07" w14:textId="77777777" w:rsidR="00C137F8" w:rsidRDefault="00C137F8">
      <w:pPr>
        <w:spacing w:before="5" w:line="237" w:lineRule="auto"/>
        <w:ind w:left="1108" w:right="251"/>
        <w:jc w:val="both"/>
        <w:rPr>
          <w:rFonts w:ascii="Times New Roman" w:hAnsi="Times New Roman"/>
          <w:sz w:val="24"/>
        </w:rPr>
      </w:pPr>
    </w:p>
    <w:p w14:paraId="178DDEA8" w14:textId="77777777" w:rsidR="00AE6853" w:rsidRDefault="00AE6853" w:rsidP="00AE6853">
      <w:pPr>
        <w:pStyle w:val="pdq2pgselectionanchorcontainer"/>
      </w:pPr>
      <w:r>
        <w:t xml:space="preserve">Al Amosh, H., &amp; Khatib, S. F. A. (2022). Ownership structure and environmental, social and governance performance disclosure: The moderating role of board independence. </w:t>
      </w:r>
      <w:r>
        <w:rPr>
          <w:rStyle w:val="Emphasis"/>
        </w:rPr>
        <w:t>Journal of Business and Socio-economic Development, 2</w:t>
      </w:r>
      <w:r>
        <w:t xml:space="preserve">(1), 49–66. </w:t>
      </w:r>
      <w:hyperlink r:id="rId8" w:tgtFrame="_new" w:history="1">
        <w:r>
          <w:rPr>
            <w:rStyle w:val="Hyperlink"/>
          </w:rPr>
          <w:t>https://doi.org/10.1108/JBSED-07-2021-0094</w:t>
        </w:r>
      </w:hyperlink>
    </w:p>
    <w:p w14:paraId="38A391D2" w14:textId="62733441" w:rsidR="00AE6853" w:rsidRDefault="00AE6853" w:rsidP="00AE6853">
      <w:pPr>
        <w:pStyle w:val="NormalWeb"/>
      </w:pPr>
      <w:proofErr w:type="spellStart"/>
      <w:r>
        <w:t>Alta’any</w:t>
      </w:r>
      <w:proofErr w:type="spellEnd"/>
      <w:r>
        <w:t xml:space="preserve">, M., </w:t>
      </w:r>
      <w:proofErr w:type="spellStart"/>
      <w:r>
        <w:t>Tauringana</w:t>
      </w:r>
      <w:proofErr w:type="spellEnd"/>
      <w:r>
        <w:t xml:space="preserve">, V., Zalata, A., &amp; </w:t>
      </w:r>
      <w:proofErr w:type="spellStart"/>
      <w:r>
        <w:t>Achiro</w:t>
      </w:r>
      <w:proofErr w:type="spellEnd"/>
      <w:r>
        <w:t xml:space="preserve">, L. O. (2026). Unpacking sustainability reporting dimensions: The impact of board characteristics. </w:t>
      </w:r>
      <w:r>
        <w:rPr>
          <w:rStyle w:val="Emphasis"/>
        </w:rPr>
        <w:t>Journal of Financial Reporting and Accounting, 24</w:t>
      </w:r>
      <w:r>
        <w:t xml:space="preserve">(2), 1174–1195. </w:t>
      </w:r>
      <w:hyperlink r:id="rId9" w:tgtFrame="_new" w:history="1">
        <w:r>
          <w:rPr>
            <w:rStyle w:val="Hyperlink"/>
          </w:rPr>
          <w:t>https://doi.org/10.1108/JFRA-09-2023-0568</w:t>
        </w:r>
      </w:hyperlink>
      <w:r>
        <w:br/>
      </w:r>
    </w:p>
    <w:p w14:paraId="761E075E" w14:textId="77777777" w:rsidR="00AE6853" w:rsidRDefault="00AE6853" w:rsidP="00AE6853">
      <w:pPr>
        <w:pStyle w:val="NormalWeb"/>
      </w:pPr>
      <w:r>
        <w:t xml:space="preserve">ANTARA News. (2025, January 10). </w:t>
      </w:r>
      <w:r>
        <w:rPr>
          <w:rStyle w:val="Emphasis"/>
        </w:rPr>
        <w:t xml:space="preserve">BEI </w:t>
      </w:r>
      <w:proofErr w:type="spellStart"/>
      <w:r>
        <w:rPr>
          <w:rStyle w:val="Emphasis"/>
        </w:rPr>
        <w:t>ungkap</w:t>
      </w:r>
      <w:proofErr w:type="spellEnd"/>
      <w:r>
        <w:rPr>
          <w:rStyle w:val="Emphasis"/>
        </w:rPr>
        <w:t xml:space="preserve"> 873 </w:t>
      </w:r>
      <w:proofErr w:type="spellStart"/>
      <w:r>
        <w:rPr>
          <w:rStyle w:val="Emphasis"/>
        </w:rPr>
        <w:t>perusahaan</w:t>
      </w:r>
      <w:proofErr w:type="spellEnd"/>
      <w:r>
        <w:rPr>
          <w:rStyle w:val="Emphasis"/>
        </w:rPr>
        <w:t xml:space="preserve"> </w:t>
      </w:r>
      <w:proofErr w:type="spellStart"/>
      <w:r>
        <w:rPr>
          <w:rStyle w:val="Emphasis"/>
        </w:rPr>
        <w:t>telah</w:t>
      </w:r>
      <w:proofErr w:type="spellEnd"/>
      <w:r>
        <w:rPr>
          <w:rStyle w:val="Emphasis"/>
        </w:rPr>
        <w:t xml:space="preserve"> </w:t>
      </w:r>
      <w:proofErr w:type="spellStart"/>
      <w:r>
        <w:rPr>
          <w:rStyle w:val="Emphasis"/>
        </w:rPr>
        <w:t>laporkan</w:t>
      </w:r>
      <w:proofErr w:type="spellEnd"/>
      <w:r>
        <w:rPr>
          <w:rStyle w:val="Emphasis"/>
        </w:rPr>
        <w:t xml:space="preserve"> sustainability report</w:t>
      </w:r>
      <w:r>
        <w:t xml:space="preserve">. </w:t>
      </w:r>
      <w:hyperlink r:id="rId10" w:tgtFrame="_new" w:history="1">
        <w:r>
          <w:rPr>
            <w:rStyle w:val="Hyperlink"/>
          </w:rPr>
          <w:t>https://www.antaranews.com/berita/4573126/bei-ungkap-873-perusahaan-telah-laporkan-sustainability-report</w:t>
        </w:r>
      </w:hyperlink>
    </w:p>
    <w:p w14:paraId="790D986E" w14:textId="77777777" w:rsidR="00AE6853" w:rsidRDefault="00AE6853" w:rsidP="00AE6853">
      <w:pPr>
        <w:pStyle w:val="NormalWeb"/>
      </w:pPr>
      <w:proofErr w:type="spellStart"/>
      <w:r>
        <w:lastRenderedPageBreak/>
        <w:t>Aprianti</w:t>
      </w:r>
      <w:proofErr w:type="spellEnd"/>
      <w:r>
        <w:t xml:space="preserve">, S., </w:t>
      </w:r>
      <w:proofErr w:type="spellStart"/>
      <w:r>
        <w:t>Susetyo</w:t>
      </w:r>
      <w:proofErr w:type="spellEnd"/>
      <w:r>
        <w:t xml:space="preserve">, D., </w:t>
      </w:r>
      <w:proofErr w:type="spellStart"/>
      <w:r>
        <w:t>Meutia</w:t>
      </w:r>
      <w:proofErr w:type="spellEnd"/>
      <w:r>
        <w:t xml:space="preserve">, I., &amp; Fuadah, L. L. (2022). Audit committee characteristics and sustainability reporting in Indonesia. In </w:t>
      </w:r>
      <w:r>
        <w:rPr>
          <w:rStyle w:val="Emphasis"/>
        </w:rPr>
        <w:t>Proceedings of the 7th Sriwijaya Economics, Accounting, and Business Conference (SEABC 2021)</w:t>
      </w:r>
      <w:r>
        <w:t xml:space="preserve"> (pp. 317–322). Atlantis Press. </w:t>
      </w:r>
      <w:hyperlink r:id="rId11" w:tgtFrame="_new" w:history="1">
        <w:r>
          <w:rPr>
            <w:rStyle w:val="Hyperlink"/>
          </w:rPr>
          <w:t>https://doi.org/10.2991/aebmr.k.220304.006</w:t>
        </w:r>
      </w:hyperlink>
    </w:p>
    <w:p w14:paraId="199DBAC2" w14:textId="77777777" w:rsidR="00AE6853" w:rsidRDefault="00AE6853" w:rsidP="00AE6853">
      <w:pPr>
        <w:pStyle w:val="NormalWeb"/>
      </w:pPr>
      <w:r>
        <w:t xml:space="preserve">Bhatia, S., &amp; Marwaha, D. (2022). The influence of board factors and gender diversity on the ESG disclosure score: A study on Indian companies. </w:t>
      </w:r>
      <w:r>
        <w:rPr>
          <w:rStyle w:val="Emphasis"/>
        </w:rPr>
        <w:t>Global Business Review, 23</w:t>
      </w:r>
      <w:r>
        <w:t xml:space="preserve">(6), 1544–1557. </w:t>
      </w:r>
      <w:hyperlink r:id="rId12" w:tgtFrame="_new" w:history="1">
        <w:r>
          <w:rPr>
            <w:rStyle w:val="Hyperlink"/>
          </w:rPr>
          <w:t>https://doi.org/10.1177/09721509221132067</w:t>
        </w:r>
      </w:hyperlink>
    </w:p>
    <w:p w14:paraId="531275A0" w14:textId="77777777" w:rsidR="00AE6853" w:rsidRDefault="00AE6853" w:rsidP="00AE6853">
      <w:pPr>
        <w:pStyle w:val="NormalWeb"/>
      </w:pPr>
      <w:proofErr w:type="spellStart"/>
      <w:r>
        <w:t>Buallay</w:t>
      </w:r>
      <w:proofErr w:type="spellEnd"/>
      <w:r>
        <w:t xml:space="preserve">, A. (2022). Sustainability reporting and retail sector performance: Worldwide evidence. </w:t>
      </w:r>
      <w:r>
        <w:rPr>
          <w:rStyle w:val="Emphasis"/>
        </w:rPr>
        <w:t>The International Review of Retail, Distribution and Consumer Research, 32</w:t>
      </w:r>
      <w:r>
        <w:t xml:space="preserve">(3), 311–330. </w:t>
      </w:r>
      <w:hyperlink r:id="rId13" w:tgtFrame="_new" w:history="1">
        <w:r>
          <w:rPr>
            <w:rStyle w:val="Hyperlink"/>
          </w:rPr>
          <w:t>https://doi.org/10.1080/09593969.2022.2048410</w:t>
        </w:r>
      </w:hyperlink>
    </w:p>
    <w:p w14:paraId="06374A1A" w14:textId="77777777" w:rsidR="00AE6853" w:rsidRDefault="00AE6853" w:rsidP="00AE6853">
      <w:pPr>
        <w:pStyle w:val="NormalWeb"/>
      </w:pPr>
      <w:r>
        <w:t xml:space="preserve">Collevecchio, F., </w:t>
      </w:r>
      <w:proofErr w:type="spellStart"/>
      <w:r>
        <w:t>Temperini</w:t>
      </w:r>
      <w:proofErr w:type="spellEnd"/>
      <w:r>
        <w:t xml:space="preserve">, V., Barba-Sánchez, V., &amp; Meseguer-Martínez, A. (2025). Sustainable governance: Board sustainability experience and the interplay with board age for firm sustainability. </w:t>
      </w:r>
      <w:r>
        <w:rPr>
          <w:rStyle w:val="Emphasis"/>
        </w:rPr>
        <w:t>Journal of Business Ethics, 197</w:t>
      </w:r>
      <w:r>
        <w:t xml:space="preserve">, 371–389. </w:t>
      </w:r>
      <w:hyperlink r:id="rId14" w:tgtFrame="_new" w:history="1">
        <w:r>
          <w:rPr>
            <w:rStyle w:val="Hyperlink"/>
          </w:rPr>
          <w:t>https://doi.org/10.1007/s10551-024-05739-3</w:t>
        </w:r>
      </w:hyperlink>
    </w:p>
    <w:p w14:paraId="12228C28" w14:textId="77777777" w:rsidR="00AE6853" w:rsidRDefault="00AE6853" w:rsidP="00AE6853">
      <w:pPr>
        <w:pStyle w:val="NormalWeb"/>
      </w:pPr>
      <w:r>
        <w:t xml:space="preserve">Damayanty, P., Wahab, D., &amp; </w:t>
      </w:r>
      <w:proofErr w:type="spellStart"/>
      <w:r>
        <w:t>Safitri</w:t>
      </w:r>
      <w:proofErr w:type="spellEnd"/>
      <w:r>
        <w:t xml:space="preserve">, N. (2022). </w:t>
      </w:r>
      <w:proofErr w:type="spellStart"/>
      <w:r>
        <w:t>Pengaruh</w:t>
      </w:r>
      <w:proofErr w:type="spellEnd"/>
      <w:r>
        <w:t xml:space="preserve"> </w:t>
      </w:r>
      <w:proofErr w:type="spellStart"/>
      <w:r>
        <w:t>profitabilitas</w:t>
      </w:r>
      <w:proofErr w:type="spellEnd"/>
      <w:r>
        <w:t xml:space="preserve">, firm size dan </w:t>
      </w:r>
      <w:proofErr w:type="spellStart"/>
      <w:r>
        <w:t>aktivitas</w:t>
      </w:r>
      <w:proofErr w:type="spellEnd"/>
      <w:r>
        <w:t xml:space="preserve"> </w:t>
      </w:r>
      <w:proofErr w:type="spellStart"/>
      <w:r>
        <w:t>perusahaan</w:t>
      </w:r>
      <w:proofErr w:type="spellEnd"/>
      <w:r>
        <w:t xml:space="preserve"> </w:t>
      </w:r>
      <w:proofErr w:type="spellStart"/>
      <w:r>
        <w:t>terhadap</w:t>
      </w:r>
      <w:proofErr w:type="spellEnd"/>
      <w:r>
        <w:t xml:space="preserve"> </w:t>
      </w:r>
      <w:proofErr w:type="spellStart"/>
      <w:r>
        <w:t>pengungkapan</w:t>
      </w:r>
      <w:proofErr w:type="spellEnd"/>
      <w:r>
        <w:t xml:space="preserve"> sustainability report. </w:t>
      </w:r>
      <w:proofErr w:type="spellStart"/>
      <w:r>
        <w:rPr>
          <w:rStyle w:val="Emphasis"/>
        </w:rPr>
        <w:t>Jurnal</w:t>
      </w:r>
      <w:proofErr w:type="spellEnd"/>
      <w:r>
        <w:rPr>
          <w:rStyle w:val="Emphasis"/>
        </w:rPr>
        <w:t xml:space="preserve"> </w:t>
      </w:r>
      <w:proofErr w:type="spellStart"/>
      <w:r>
        <w:rPr>
          <w:rStyle w:val="Emphasis"/>
        </w:rPr>
        <w:t>Ilmiah</w:t>
      </w:r>
      <w:proofErr w:type="spellEnd"/>
      <w:r>
        <w:rPr>
          <w:rStyle w:val="Emphasis"/>
        </w:rPr>
        <w:t xml:space="preserve"> Edunomika, 6</w:t>
      </w:r>
      <w:r>
        <w:t xml:space="preserve">(2), 1–11. </w:t>
      </w:r>
      <w:hyperlink r:id="rId15" w:tgtFrame="_new" w:history="1">
        <w:r>
          <w:rPr>
            <w:rStyle w:val="Hyperlink"/>
          </w:rPr>
          <w:t>https://doi.org/10.29040/jie.v6i2.4998</w:t>
        </w:r>
      </w:hyperlink>
    </w:p>
    <w:p w14:paraId="5267A3A9" w14:textId="77777777" w:rsidR="00AE6853" w:rsidRDefault="00AE6853" w:rsidP="00AE6853">
      <w:pPr>
        <w:pStyle w:val="NormalWeb"/>
      </w:pPr>
      <w:proofErr w:type="spellStart"/>
      <w:r>
        <w:t>Eriandani</w:t>
      </w:r>
      <w:proofErr w:type="spellEnd"/>
      <w:r>
        <w:t xml:space="preserve">, R., &amp; Evangelia, A. (2024). Firm characteristics and disclosures of materiality assessment in sustainability reports. </w:t>
      </w:r>
      <w:r>
        <w:rPr>
          <w:rStyle w:val="Emphasis"/>
        </w:rPr>
        <w:t xml:space="preserve">Media Riset </w:t>
      </w:r>
      <w:proofErr w:type="spellStart"/>
      <w:r>
        <w:rPr>
          <w:rStyle w:val="Emphasis"/>
        </w:rPr>
        <w:t>Akuntansi</w:t>
      </w:r>
      <w:proofErr w:type="spellEnd"/>
      <w:r>
        <w:rPr>
          <w:rStyle w:val="Emphasis"/>
        </w:rPr>
        <w:t xml:space="preserve">, Auditing &amp; </w:t>
      </w:r>
      <w:proofErr w:type="spellStart"/>
      <w:r>
        <w:rPr>
          <w:rStyle w:val="Emphasis"/>
        </w:rPr>
        <w:t>Informasi</w:t>
      </w:r>
      <w:proofErr w:type="spellEnd"/>
      <w:r>
        <w:rPr>
          <w:rStyle w:val="Emphasis"/>
        </w:rPr>
        <w:t>, 24</w:t>
      </w:r>
      <w:r>
        <w:t xml:space="preserve">(2), 122–141. </w:t>
      </w:r>
      <w:hyperlink r:id="rId16" w:tgtFrame="_new" w:history="1">
        <w:r>
          <w:rPr>
            <w:rStyle w:val="Hyperlink"/>
          </w:rPr>
          <w:t>https://doi.org/10.25105/mraai.v24i2.19577</w:t>
        </w:r>
      </w:hyperlink>
    </w:p>
    <w:p w14:paraId="6CFE6F05" w14:textId="77777777" w:rsidR="00AE6853" w:rsidRDefault="00AE6853" w:rsidP="00AE6853">
      <w:pPr>
        <w:pStyle w:val="NormalWeb"/>
      </w:pPr>
      <w:r>
        <w:t xml:space="preserve">Fayad, A. A. S., Mohd Ariff, A. H. B., &amp; Ooi, S. C. (2022). Dose board characteristics influence integrated reporting quality? Empirical evidence from an emerging market. </w:t>
      </w:r>
      <w:r>
        <w:rPr>
          <w:rStyle w:val="Emphasis"/>
        </w:rPr>
        <w:t>Cogent Economics &amp; Finance, 10</w:t>
      </w:r>
      <w:r>
        <w:t xml:space="preserve">(1), Article 2140907. </w:t>
      </w:r>
      <w:hyperlink r:id="rId17" w:tgtFrame="_new" w:history="1">
        <w:r>
          <w:rPr>
            <w:rStyle w:val="Hyperlink"/>
          </w:rPr>
          <w:t>https://doi.org/10.1080/23322039.2022.2140907</w:t>
        </w:r>
      </w:hyperlink>
    </w:p>
    <w:p w14:paraId="77F610D8" w14:textId="77777777" w:rsidR="00AE6853" w:rsidRDefault="00AE6853" w:rsidP="00AE6853">
      <w:pPr>
        <w:pStyle w:val="NormalWeb"/>
      </w:pPr>
      <w:r>
        <w:t xml:space="preserve">Financial Services Authority of the Republic of Indonesia. (2017). </w:t>
      </w:r>
      <w:r>
        <w:rPr>
          <w:rStyle w:val="Emphasis"/>
        </w:rPr>
        <w:t>Regulation of the Financial Services Authority of the Republic of Indonesia No. 51/POJK.03/2017 on the implementation of sustainable finance for financial services institutions, issuers, and public companies</w:t>
      </w:r>
      <w:r>
        <w:t xml:space="preserve">. </w:t>
      </w:r>
      <w:hyperlink r:id="rId18" w:tgtFrame="_new" w:history="1">
        <w:r>
          <w:rPr>
            <w:rStyle w:val="Hyperlink"/>
          </w:rPr>
          <w:t>https://peraturan.bpk.go.id/Home/Details/129651/peraturan-ojk-no-51pojk032017-tahun-2017</w:t>
        </w:r>
      </w:hyperlink>
    </w:p>
    <w:p w14:paraId="35F11C64" w14:textId="77777777" w:rsidR="00AE6853" w:rsidRDefault="00AE6853" w:rsidP="00AE6853">
      <w:pPr>
        <w:pStyle w:val="NormalWeb"/>
      </w:pPr>
      <w:r>
        <w:t xml:space="preserve">Freeman, R. E. (1984). </w:t>
      </w:r>
      <w:r>
        <w:rPr>
          <w:rStyle w:val="Emphasis"/>
        </w:rPr>
        <w:t>Strategic management: A stakeholder approach</w:t>
      </w:r>
      <w:r>
        <w:t xml:space="preserve">. Pitman. </w:t>
      </w:r>
      <w:hyperlink r:id="rId19" w:tgtFrame="_new" w:history="1">
        <w:r>
          <w:rPr>
            <w:rStyle w:val="Hyperlink"/>
          </w:rPr>
          <w:t>https://lib.unj.ac.id/slims2/index.php?id=9508&amp;p=show_detail</w:t>
        </w:r>
      </w:hyperlink>
    </w:p>
    <w:p w14:paraId="7DDAEDC9" w14:textId="77777777" w:rsidR="00AE6853" w:rsidRDefault="00AE6853" w:rsidP="00AE6853">
      <w:pPr>
        <w:pStyle w:val="NormalWeb"/>
      </w:pPr>
      <w:r>
        <w:t xml:space="preserve">Freeman, R. E., &amp; McVea, J. (2001). </w:t>
      </w:r>
      <w:r>
        <w:rPr>
          <w:rStyle w:val="Emphasis"/>
        </w:rPr>
        <w:t>A stakeholder approach to strategic management</w:t>
      </w:r>
      <w:r>
        <w:t xml:space="preserve"> (Darden Business School Working Paper No. 01-02). SSRN. </w:t>
      </w:r>
      <w:hyperlink r:id="rId20" w:tgtFrame="_new" w:history="1">
        <w:r>
          <w:rPr>
            <w:rStyle w:val="Hyperlink"/>
          </w:rPr>
          <w:t>https://doi.org/10.2139/ssrn.263511</w:t>
        </w:r>
      </w:hyperlink>
    </w:p>
    <w:p w14:paraId="52E12078" w14:textId="77777777" w:rsidR="00AE6853" w:rsidRDefault="00AE6853" w:rsidP="00AE6853">
      <w:pPr>
        <w:pStyle w:val="NormalWeb"/>
      </w:pPr>
      <w:proofErr w:type="spellStart"/>
      <w:r>
        <w:t>Ghozali</w:t>
      </w:r>
      <w:proofErr w:type="spellEnd"/>
      <w:r>
        <w:t xml:space="preserve">, I. (2021). </w:t>
      </w:r>
      <w:r>
        <w:rPr>
          <w:rStyle w:val="Emphasis"/>
        </w:rPr>
        <w:t xml:space="preserve">Aplikasi </w:t>
      </w:r>
      <w:proofErr w:type="spellStart"/>
      <w:r>
        <w:rPr>
          <w:rStyle w:val="Emphasis"/>
        </w:rPr>
        <w:t>analisis</w:t>
      </w:r>
      <w:proofErr w:type="spellEnd"/>
      <w:r>
        <w:rPr>
          <w:rStyle w:val="Emphasis"/>
        </w:rPr>
        <w:t xml:space="preserve"> multivariate </w:t>
      </w:r>
      <w:proofErr w:type="spellStart"/>
      <w:r>
        <w:rPr>
          <w:rStyle w:val="Emphasis"/>
        </w:rPr>
        <w:t>dengan</w:t>
      </w:r>
      <w:proofErr w:type="spellEnd"/>
      <w:r>
        <w:rPr>
          <w:rStyle w:val="Emphasis"/>
        </w:rPr>
        <w:t xml:space="preserve"> program IBM SPSS 26</w:t>
      </w:r>
      <w:r>
        <w:t xml:space="preserve"> (10th ed.). Badan </w:t>
      </w:r>
      <w:proofErr w:type="spellStart"/>
      <w:r>
        <w:t>Penerbit</w:t>
      </w:r>
      <w:proofErr w:type="spellEnd"/>
      <w:r>
        <w:t xml:space="preserve"> Universitas </w:t>
      </w:r>
      <w:proofErr w:type="spellStart"/>
      <w:r>
        <w:t>Diponegoro</w:t>
      </w:r>
      <w:proofErr w:type="spellEnd"/>
      <w:r>
        <w:t>. https://opac-lib.ums.ac.id/bib/75590</w:t>
      </w:r>
    </w:p>
    <w:p w14:paraId="21A77D87" w14:textId="77777777" w:rsidR="00AE6853" w:rsidRDefault="00AE6853" w:rsidP="00AE6853">
      <w:pPr>
        <w:pStyle w:val="NormalWeb"/>
      </w:pPr>
      <w:r>
        <w:t xml:space="preserve">Global Reporting Initiative. (2021). </w:t>
      </w:r>
      <w:r>
        <w:rPr>
          <w:rStyle w:val="Emphasis"/>
        </w:rPr>
        <w:t>GRI universal standards 2021</w:t>
      </w:r>
      <w:r>
        <w:t xml:space="preserve">. </w:t>
      </w:r>
      <w:hyperlink r:id="rId21" w:tgtFrame="_new" w:history="1">
        <w:r>
          <w:rPr>
            <w:rStyle w:val="Hyperlink"/>
          </w:rPr>
          <w:t>https://www.globalreporting.org/standards/</w:t>
        </w:r>
      </w:hyperlink>
    </w:p>
    <w:p w14:paraId="31876708" w14:textId="77777777" w:rsidR="00AE6853" w:rsidRDefault="00AE6853" w:rsidP="00AE6853">
      <w:pPr>
        <w:pStyle w:val="NormalWeb"/>
      </w:pPr>
      <w:r>
        <w:t xml:space="preserve">Grewal, J., &amp; Serafeim, G. (2020). Research on corporate sustainability: Review and directions for future research. </w:t>
      </w:r>
      <w:r>
        <w:rPr>
          <w:rStyle w:val="Emphasis"/>
        </w:rPr>
        <w:t>Foundations and Trends in Accounting, 14</w:t>
      </w:r>
      <w:r>
        <w:t xml:space="preserve">(2), 73–127. </w:t>
      </w:r>
      <w:hyperlink r:id="rId22" w:tgtFrame="_new" w:history="1">
        <w:r>
          <w:rPr>
            <w:rStyle w:val="Hyperlink"/>
          </w:rPr>
          <w:t>https://doi.org/10.1561/1400000061</w:t>
        </w:r>
      </w:hyperlink>
    </w:p>
    <w:p w14:paraId="32886038" w14:textId="77777777" w:rsidR="00AE6853" w:rsidRDefault="00AE6853" w:rsidP="00AE6853">
      <w:pPr>
        <w:pStyle w:val="NormalWeb"/>
      </w:pPr>
      <w:proofErr w:type="spellStart"/>
      <w:r>
        <w:t>Hackston</w:t>
      </w:r>
      <w:proofErr w:type="spellEnd"/>
      <w:r>
        <w:t xml:space="preserve">, D., &amp; Milne, M. J. (1996). Some determinants of social and environmental disclosures in New Zealand companies. </w:t>
      </w:r>
      <w:r>
        <w:rPr>
          <w:rStyle w:val="Emphasis"/>
        </w:rPr>
        <w:t>Accounting, Auditing &amp; Accountability Journal, 9</w:t>
      </w:r>
      <w:r>
        <w:t xml:space="preserve">(1), 77–108. </w:t>
      </w:r>
      <w:hyperlink r:id="rId23" w:tgtFrame="_new" w:history="1">
        <w:r>
          <w:rPr>
            <w:rStyle w:val="Hyperlink"/>
          </w:rPr>
          <w:t>https://doi.org/10.1108/09513579610109987</w:t>
        </w:r>
      </w:hyperlink>
    </w:p>
    <w:p w14:paraId="34E014AB" w14:textId="77777777" w:rsidR="00AE6853" w:rsidRDefault="00AE6853" w:rsidP="00AE6853">
      <w:pPr>
        <w:pStyle w:val="NormalWeb"/>
      </w:pPr>
      <w:r>
        <w:lastRenderedPageBreak/>
        <w:t xml:space="preserve">Haris, &amp; </w:t>
      </w:r>
      <w:proofErr w:type="spellStart"/>
      <w:r>
        <w:t>Negoro</w:t>
      </w:r>
      <w:proofErr w:type="spellEnd"/>
      <w:r>
        <w:t xml:space="preserve">, D. A. (2021). The influence of profitability, liquidity, leverage, activity and company size on sustainability report disclosure. </w:t>
      </w:r>
      <w:r>
        <w:rPr>
          <w:rStyle w:val="Emphasis"/>
        </w:rPr>
        <w:t>Economic and Accounting Journal, 4</w:t>
      </w:r>
      <w:r>
        <w:t xml:space="preserve">(3), 195–213. </w:t>
      </w:r>
      <w:hyperlink r:id="rId24" w:tgtFrame="_new" w:history="1">
        <w:r>
          <w:rPr>
            <w:rStyle w:val="Hyperlink"/>
          </w:rPr>
          <w:t>https://doi.org/10.32493/eaj.v4i3.y2021.p195-213</w:t>
        </w:r>
      </w:hyperlink>
    </w:p>
    <w:p w14:paraId="1385B32C" w14:textId="77777777" w:rsidR="00AE6853" w:rsidRDefault="00AE6853" w:rsidP="00AE6853">
      <w:pPr>
        <w:pStyle w:val="NormalWeb"/>
      </w:pPr>
      <w:r>
        <w:t xml:space="preserve">Kasmir. (2019). </w:t>
      </w:r>
      <w:proofErr w:type="spellStart"/>
      <w:r>
        <w:rPr>
          <w:rStyle w:val="Emphasis"/>
        </w:rPr>
        <w:t>Analisis</w:t>
      </w:r>
      <w:proofErr w:type="spellEnd"/>
      <w:r>
        <w:rPr>
          <w:rStyle w:val="Emphasis"/>
        </w:rPr>
        <w:t xml:space="preserve"> </w:t>
      </w:r>
      <w:proofErr w:type="spellStart"/>
      <w:r>
        <w:rPr>
          <w:rStyle w:val="Emphasis"/>
        </w:rPr>
        <w:t>laporan</w:t>
      </w:r>
      <w:proofErr w:type="spellEnd"/>
      <w:r>
        <w:rPr>
          <w:rStyle w:val="Emphasis"/>
        </w:rPr>
        <w:t xml:space="preserve"> </w:t>
      </w:r>
      <w:proofErr w:type="spellStart"/>
      <w:r>
        <w:rPr>
          <w:rStyle w:val="Emphasis"/>
        </w:rPr>
        <w:t>keuangan</w:t>
      </w:r>
      <w:proofErr w:type="spellEnd"/>
      <w:r>
        <w:t xml:space="preserve"> (Rev. ed.). </w:t>
      </w:r>
      <w:proofErr w:type="spellStart"/>
      <w:r>
        <w:t>Rajawali</w:t>
      </w:r>
      <w:proofErr w:type="spellEnd"/>
      <w:r>
        <w:t xml:space="preserve"> Pers. https://digilib.ulm.ac.id/pusat/index.php?id=219124&amp;p=show_detail</w:t>
      </w:r>
    </w:p>
    <w:p w14:paraId="0B376AAA" w14:textId="77777777" w:rsidR="00AE6853" w:rsidRDefault="00AE6853" w:rsidP="00AE6853">
      <w:pPr>
        <w:pStyle w:val="NormalWeb"/>
      </w:pPr>
      <w:r>
        <w:t xml:space="preserve">Lestari, P. A., </w:t>
      </w:r>
      <w:proofErr w:type="spellStart"/>
      <w:r>
        <w:t>Prasetyo</w:t>
      </w:r>
      <w:proofErr w:type="spellEnd"/>
      <w:r>
        <w:t xml:space="preserve">, T. J., &amp; Alvia, L. (2026). The effect of environmental, social, and governance (ESG) disclosure on the earnings response coefficient (ERC) with firm size as a moderating variable. </w:t>
      </w:r>
      <w:r>
        <w:rPr>
          <w:rStyle w:val="Emphasis"/>
        </w:rPr>
        <w:t>Journal of Economics and Trade, 11</w:t>
      </w:r>
      <w:r>
        <w:t xml:space="preserve">(1), 507–518. </w:t>
      </w:r>
      <w:hyperlink r:id="rId25" w:tgtFrame="_new" w:history="1">
        <w:r>
          <w:rPr>
            <w:rStyle w:val="Hyperlink"/>
          </w:rPr>
          <w:t>https://doi.org/10.56557/jet/2026/v11i110616</w:t>
        </w:r>
      </w:hyperlink>
    </w:p>
    <w:p w14:paraId="6803C0C4" w14:textId="77777777" w:rsidR="00AE6853" w:rsidRDefault="00AE6853" w:rsidP="00AE6853">
      <w:pPr>
        <w:pStyle w:val="NormalWeb"/>
      </w:pPr>
      <w:proofErr w:type="spellStart"/>
      <w:r>
        <w:t>Nioko</w:t>
      </w:r>
      <w:proofErr w:type="spellEnd"/>
      <w:r>
        <w:t xml:space="preserve">, R., &amp; </w:t>
      </w:r>
      <w:proofErr w:type="spellStart"/>
      <w:r>
        <w:t>Hendrani</w:t>
      </w:r>
      <w:proofErr w:type="spellEnd"/>
      <w:r>
        <w:t xml:space="preserve">, A. (2024). </w:t>
      </w:r>
      <w:proofErr w:type="spellStart"/>
      <w:r>
        <w:t>Pengaruh</w:t>
      </w:r>
      <w:proofErr w:type="spellEnd"/>
      <w:r>
        <w:t xml:space="preserve"> </w:t>
      </w:r>
      <w:proofErr w:type="spellStart"/>
      <w:r>
        <w:t>profitabilitas</w:t>
      </w:r>
      <w:proofErr w:type="spellEnd"/>
      <w:r>
        <w:t xml:space="preserve">, </w:t>
      </w:r>
      <w:proofErr w:type="spellStart"/>
      <w:r>
        <w:t>aktivitas</w:t>
      </w:r>
      <w:proofErr w:type="spellEnd"/>
      <w:r>
        <w:t xml:space="preserve">, leverage, </w:t>
      </w:r>
      <w:proofErr w:type="spellStart"/>
      <w:r>
        <w:t>ukuran</w:t>
      </w:r>
      <w:proofErr w:type="spellEnd"/>
      <w:r>
        <w:t xml:space="preserve"> </w:t>
      </w:r>
      <w:proofErr w:type="spellStart"/>
      <w:r>
        <w:t>perusahaan</w:t>
      </w:r>
      <w:proofErr w:type="spellEnd"/>
      <w:r>
        <w:t xml:space="preserve">, dewan </w:t>
      </w:r>
      <w:proofErr w:type="spellStart"/>
      <w:r>
        <w:t>direksi</w:t>
      </w:r>
      <w:proofErr w:type="spellEnd"/>
      <w:r>
        <w:t xml:space="preserve"> dan </w:t>
      </w:r>
      <w:proofErr w:type="spellStart"/>
      <w:r>
        <w:t>komite</w:t>
      </w:r>
      <w:proofErr w:type="spellEnd"/>
      <w:r>
        <w:t xml:space="preserve"> audit </w:t>
      </w:r>
      <w:proofErr w:type="spellStart"/>
      <w:r>
        <w:t>terhadap</w:t>
      </w:r>
      <w:proofErr w:type="spellEnd"/>
      <w:r>
        <w:t xml:space="preserve"> </w:t>
      </w:r>
      <w:proofErr w:type="spellStart"/>
      <w:r>
        <w:t>pengungkapan</w:t>
      </w:r>
      <w:proofErr w:type="spellEnd"/>
      <w:r>
        <w:t xml:space="preserve"> sustainability report. </w:t>
      </w:r>
      <w:r>
        <w:rPr>
          <w:rStyle w:val="Emphasis"/>
        </w:rPr>
        <w:t xml:space="preserve">Journal of Economic, </w:t>
      </w:r>
      <w:proofErr w:type="spellStart"/>
      <w:r>
        <w:rPr>
          <w:rStyle w:val="Emphasis"/>
        </w:rPr>
        <w:t>Bussines</w:t>
      </w:r>
      <w:proofErr w:type="spellEnd"/>
      <w:r>
        <w:rPr>
          <w:rStyle w:val="Emphasis"/>
        </w:rPr>
        <w:t xml:space="preserve"> and Accounting (COSTING), 7</w:t>
      </w:r>
      <w:r>
        <w:t xml:space="preserve">(3), 5780–5801. </w:t>
      </w:r>
      <w:hyperlink r:id="rId26" w:tgtFrame="_new" w:history="1">
        <w:r>
          <w:rPr>
            <w:rStyle w:val="Hyperlink"/>
          </w:rPr>
          <w:t>https://doi.org/10.31539/costing.v7i3.9262</w:t>
        </w:r>
      </w:hyperlink>
    </w:p>
    <w:p w14:paraId="73070434" w14:textId="77777777" w:rsidR="00AE6853" w:rsidRDefault="00AE6853" w:rsidP="00AE6853">
      <w:pPr>
        <w:pStyle w:val="NormalWeb"/>
      </w:pPr>
      <w:r>
        <w:t xml:space="preserve">Okoye, E. I., &amp; Ndum, N. B. (2020). Effect of sustainability reporting on economic value added of manufacturing firms listed on Nigeria Stock Exchange. </w:t>
      </w:r>
      <w:r>
        <w:rPr>
          <w:rStyle w:val="Emphasis"/>
        </w:rPr>
        <w:t>Journal of Economics, Management and Trade, 26</w:t>
      </w:r>
      <w:r>
        <w:t xml:space="preserve">(10), 15–33. </w:t>
      </w:r>
      <w:hyperlink r:id="rId27" w:tgtFrame="_new" w:history="1">
        <w:r>
          <w:rPr>
            <w:rStyle w:val="Hyperlink"/>
          </w:rPr>
          <w:t>https://doi.org/10.9734/jemt/2020/v26i1030295</w:t>
        </w:r>
      </w:hyperlink>
    </w:p>
    <w:p w14:paraId="6F393965" w14:textId="77777777" w:rsidR="00AE6853" w:rsidRDefault="00AE6853" w:rsidP="00AE6853">
      <w:pPr>
        <w:pStyle w:val="NormalWeb"/>
      </w:pPr>
      <w:r>
        <w:t xml:space="preserve">Oyerogba, E. O., Oladele, F., Kolawole, P. E., &amp; Adeyemo, M. A. (2024). Corporate governance practices and sustainability reporting quality: Evidence from Nigerian listed financial institutions. </w:t>
      </w:r>
      <w:r>
        <w:rPr>
          <w:rStyle w:val="Emphasis"/>
        </w:rPr>
        <w:t>Cogent Business &amp; Management, 11</w:t>
      </w:r>
      <w:r>
        <w:t xml:space="preserve">(1), Article 2325111. </w:t>
      </w:r>
      <w:hyperlink r:id="rId28" w:tgtFrame="_new" w:history="1">
        <w:r>
          <w:rPr>
            <w:rStyle w:val="Hyperlink"/>
          </w:rPr>
          <w:t>https://doi.org/10.1080/23311975.2024.2325111</w:t>
        </w:r>
      </w:hyperlink>
    </w:p>
    <w:p w14:paraId="015BD74C" w14:textId="77777777" w:rsidR="00AE6853" w:rsidRDefault="00AE6853" w:rsidP="00AE6853">
      <w:pPr>
        <w:pStyle w:val="NormalWeb"/>
      </w:pPr>
      <w:proofErr w:type="spellStart"/>
      <w:r>
        <w:t>Palwaguna</w:t>
      </w:r>
      <w:proofErr w:type="spellEnd"/>
      <w:r>
        <w:t xml:space="preserve">, I. M. P., &amp; </w:t>
      </w:r>
      <w:proofErr w:type="spellStart"/>
      <w:r>
        <w:t>Setijaningsih</w:t>
      </w:r>
      <w:proofErr w:type="spellEnd"/>
      <w:r>
        <w:t xml:space="preserve">, H. T. (2025). The analysis of factors affecting sustainability report disclosure among IDX-listed health companies for the period of 2021–2023. </w:t>
      </w:r>
      <w:r>
        <w:rPr>
          <w:rStyle w:val="Emphasis"/>
        </w:rPr>
        <w:t>International Journal of Application on Economics and Business, 3</w:t>
      </w:r>
      <w:r>
        <w:t xml:space="preserve">(3), 1531–1544. </w:t>
      </w:r>
      <w:hyperlink r:id="rId29" w:tgtFrame="_new" w:history="1">
        <w:r>
          <w:rPr>
            <w:rStyle w:val="Hyperlink"/>
          </w:rPr>
          <w:t>https://doi.org/10.24912/ijaeb.v3i3.1531-1544</w:t>
        </w:r>
      </w:hyperlink>
    </w:p>
    <w:p w14:paraId="3B5F3EF9" w14:textId="77777777" w:rsidR="00AE6853" w:rsidRDefault="00AE6853" w:rsidP="00AE6853">
      <w:pPr>
        <w:pStyle w:val="NormalWeb"/>
      </w:pPr>
      <w:r>
        <w:t xml:space="preserve">Pratiwi, A. A. M., Mertha, M., &amp; </w:t>
      </w:r>
      <w:proofErr w:type="spellStart"/>
      <w:r>
        <w:t>Suryanawa</w:t>
      </w:r>
      <w:proofErr w:type="spellEnd"/>
      <w:r>
        <w:t xml:space="preserve">, I. K. (2023). </w:t>
      </w:r>
      <w:proofErr w:type="spellStart"/>
      <w:r>
        <w:t>Pengaruh</w:t>
      </w:r>
      <w:proofErr w:type="spellEnd"/>
      <w:r>
        <w:t xml:space="preserve"> </w:t>
      </w:r>
      <w:proofErr w:type="spellStart"/>
      <w:r>
        <w:t>pengendalian</w:t>
      </w:r>
      <w:proofErr w:type="spellEnd"/>
      <w:r>
        <w:t xml:space="preserve"> internal, </w:t>
      </w:r>
      <w:proofErr w:type="spellStart"/>
      <w:r>
        <w:t>kompetensi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dan </w:t>
      </w:r>
      <w:proofErr w:type="spellStart"/>
      <w:r>
        <w:t>budaya</w:t>
      </w:r>
      <w:proofErr w:type="spellEnd"/>
      <w:r>
        <w:t xml:space="preserve"> </w:t>
      </w:r>
      <w:proofErr w:type="spellStart"/>
      <w:r>
        <w:t>etis</w:t>
      </w:r>
      <w:proofErr w:type="spellEnd"/>
      <w:r>
        <w:t xml:space="preserve"> </w:t>
      </w:r>
      <w:proofErr w:type="spellStart"/>
      <w:r>
        <w:t>organisasi</w:t>
      </w:r>
      <w:proofErr w:type="spellEnd"/>
      <w:r>
        <w:t xml:space="preserve"> </w:t>
      </w:r>
      <w:proofErr w:type="spellStart"/>
      <w:r>
        <w:t>terhadap</w:t>
      </w:r>
      <w:proofErr w:type="spellEnd"/>
      <w:r>
        <w:t xml:space="preserve"> </w:t>
      </w:r>
      <w:proofErr w:type="spellStart"/>
      <w:r>
        <w:t>kecenderungan</w:t>
      </w:r>
      <w:proofErr w:type="spellEnd"/>
      <w:r>
        <w:t xml:space="preserve"> </w:t>
      </w:r>
      <w:proofErr w:type="spellStart"/>
      <w:r>
        <w:t>kecurangan</w:t>
      </w:r>
      <w:proofErr w:type="spellEnd"/>
      <w:r>
        <w:t xml:space="preserve"> </w:t>
      </w:r>
      <w:proofErr w:type="spellStart"/>
      <w:r>
        <w:t>akuntansi</w:t>
      </w:r>
      <w:proofErr w:type="spellEnd"/>
      <w:r>
        <w:t xml:space="preserve"> di LPD </w:t>
      </w:r>
      <w:proofErr w:type="spellStart"/>
      <w:r>
        <w:t>Kabupaten</w:t>
      </w:r>
      <w:proofErr w:type="spellEnd"/>
      <w:r>
        <w:t xml:space="preserve"> Badung. </w:t>
      </w:r>
      <w:r>
        <w:rPr>
          <w:rStyle w:val="Emphasis"/>
        </w:rPr>
        <w:t>Management Studies and Entrepreneurship Journal, 4</w:t>
      </w:r>
      <w:r>
        <w:t xml:space="preserve">(5), 5086–5099. </w:t>
      </w:r>
      <w:hyperlink r:id="rId30" w:tgtFrame="_new" w:history="1">
        <w:r>
          <w:rPr>
            <w:rStyle w:val="Hyperlink"/>
          </w:rPr>
          <w:t>https://doi.org/10.37385/msej.v4i5.2634</w:t>
        </w:r>
      </w:hyperlink>
    </w:p>
    <w:p w14:paraId="4FFFB16C" w14:textId="77777777" w:rsidR="00AE6853" w:rsidRDefault="00AE6853" w:rsidP="00AE6853">
      <w:pPr>
        <w:pStyle w:val="NormalWeb"/>
      </w:pPr>
      <w:r>
        <w:t xml:space="preserve">Putri, A. W., &amp; </w:t>
      </w:r>
      <w:proofErr w:type="spellStart"/>
      <w:r>
        <w:t>Marsono</w:t>
      </w:r>
      <w:proofErr w:type="spellEnd"/>
      <w:r>
        <w:t xml:space="preserve">. (2025). </w:t>
      </w:r>
      <w:proofErr w:type="spellStart"/>
      <w:r>
        <w:t>Pengaruh</w:t>
      </w:r>
      <w:proofErr w:type="spellEnd"/>
      <w:r>
        <w:t xml:space="preserve"> </w:t>
      </w:r>
      <w:proofErr w:type="spellStart"/>
      <w:r>
        <w:t>atribut</w:t>
      </w:r>
      <w:proofErr w:type="spellEnd"/>
      <w:r>
        <w:t xml:space="preserve"> </w:t>
      </w:r>
      <w:proofErr w:type="spellStart"/>
      <w:r>
        <w:t>perusahaan</w:t>
      </w:r>
      <w:proofErr w:type="spellEnd"/>
      <w:r>
        <w:t xml:space="preserve"> </w:t>
      </w:r>
      <w:proofErr w:type="spellStart"/>
      <w:r>
        <w:t>terhadap</w:t>
      </w:r>
      <w:proofErr w:type="spellEnd"/>
      <w:r>
        <w:t xml:space="preserve"> </w:t>
      </w:r>
      <w:proofErr w:type="spellStart"/>
      <w:r>
        <w:t>pengungkapan</w:t>
      </w:r>
      <w:proofErr w:type="spellEnd"/>
      <w:r>
        <w:t xml:space="preserve"> sustainability report. </w:t>
      </w:r>
      <w:proofErr w:type="spellStart"/>
      <w:r>
        <w:rPr>
          <w:rStyle w:val="Emphasis"/>
        </w:rPr>
        <w:t>Jurnal</w:t>
      </w:r>
      <w:proofErr w:type="spellEnd"/>
      <w:r>
        <w:rPr>
          <w:rStyle w:val="Emphasis"/>
        </w:rPr>
        <w:t xml:space="preserve"> </w:t>
      </w:r>
      <w:proofErr w:type="spellStart"/>
      <w:r>
        <w:rPr>
          <w:rStyle w:val="Emphasis"/>
        </w:rPr>
        <w:t>Ilmiah</w:t>
      </w:r>
      <w:proofErr w:type="spellEnd"/>
      <w:r>
        <w:rPr>
          <w:rStyle w:val="Emphasis"/>
        </w:rPr>
        <w:t xml:space="preserve"> Aset, 27</w:t>
      </w:r>
      <w:r>
        <w:t xml:space="preserve">(1), 1–7. </w:t>
      </w:r>
      <w:hyperlink r:id="rId31" w:tgtFrame="_new" w:history="1">
        <w:r>
          <w:rPr>
            <w:rStyle w:val="Hyperlink"/>
          </w:rPr>
          <w:t>https://doi.org/10.37470/1.27.1.246</w:t>
        </w:r>
      </w:hyperlink>
    </w:p>
    <w:p w14:paraId="1F464ECF" w14:textId="77777777" w:rsidR="00AE6853" w:rsidRDefault="00AE6853" w:rsidP="00AE6853">
      <w:pPr>
        <w:pStyle w:val="NormalWeb"/>
      </w:pPr>
      <w:r>
        <w:t xml:space="preserve">Raimo, N., </w:t>
      </w:r>
      <w:proofErr w:type="spellStart"/>
      <w:r>
        <w:t>Caragnano</w:t>
      </w:r>
      <w:proofErr w:type="spellEnd"/>
      <w:r>
        <w:t xml:space="preserve">, A., Zito, M., </w:t>
      </w:r>
      <w:proofErr w:type="spellStart"/>
      <w:r>
        <w:t>Vitolla</w:t>
      </w:r>
      <w:proofErr w:type="spellEnd"/>
      <w:r>
        <w:t xml:space="preserve">, F., &amp; Mariani, M. (2021). Extending the benefits of ESG disclosure: The effect on the cost of debt financing. </w:t>
      </w:r>
      <w:r>
        <w:rPr>
          <w:rStyle w:val="Emphasis"/>
        </w:rPr>
        <w:t>Corporate Social Responsibility and Environmental Management, 28</w:t>
      </w:r>
      <w:r>
        <w:t xml:space="preserve">(4), 1412–1421. </w:t>
      </w:r>
      <w:hyperlink r:id="rId32" w:tgtFrame="_new" w:history="1">
        <w:r>
          <w:rPr>
            <w:rStyle w:val="Hyperlink"/>
          </w:rPr>
          <w:t>https://doi.org/10.1002/csr.2134</w:t>
        </w:r>
      </w:hyperlink>
    </w:p>
    <w:p w14:paraId="674A151E" w14:textId="77777777" w:rsidR="00AE6853" w:rsidRDefault="00AE6853" w:rsidP="00AE6853">
      <w:pPr>
        <w:pStyle w:val="NormalWeb"/>
      </w:pPr>
      <w:r>
        <w:t xml:space="preserve">Ramadhan, M. I., Nasir, A., &amp; </w:t>
      </w:r>
      <w:proofErr w:type="spellStart"/>
      <w:r>
        <w:t>Indrawati</w:t>
      </w:r>
      <w:proofErr w:type="spellEnd"/>
      <w:r>
        <w:t xml:space="preserve">, N. (2023). </w:t>
      </w:r>
      <w:proofErr w:type="spellStart"/>
      <w:r>
        <w:t>Pengaruh</w:t>
      </w:r>
      <w:proofErr w:type="spellEnd"/>
      <w:r>
        <w:t xml:space="preserve"> </w:t>
      </w:r>
      <w:proofErr w:type="spellStart"/>
      <w:r>
        <w:t>profitabilitas</w:t>
      </w:r>
      <w:proofErr w:type="spellEnd"/>
      <w:r>
        <w:t xml:space="preserve">, </w:t>
      </w:r>
      <w:proofErr w:type="spellStart"/>
      <w:r>
        <w:t>likuiditas</w:t>
      </w:r>
      <w:proofErr w:type="spellEnd"/>
      <w:r>
        <w:t xml:space="preserve"> dan corporate governance </w:t>
      </w:r>
      <w:proofErr w:type="spellStart"/>
      <w:r>
        <w:t>terhadap</w:t>
      </w:r>
      <w:proofErr w:type="spellEnd"/>
      <w:r>
        <w:t xml:space="preserve"> </w:t>
      </w:r>
      <w:proofErr w:type="spellStart"/>
      <w:r>
        <w:t>pengungkapan</w:t>
      </w:r>
      <w:proofErr w:type="spellEnd"/>
      <w:r>
        <w:t xml:space="preserve"> sustainability report </w:t>
      </w:r>
      <w:proofErr w:type="spellStart"/>
      <w:r>
        <w:t>dengan</w:t>
      </w:r>
      <w:proofErr w:type="spellEnd"/>
      <w:r>
        <w:t xml:space="preserve"> </w:t>
      </w:r>
      <w:proofErr w:type="spellStart"/>
      <w:r>
        <w:t>ukuran</w:t>
      </w:r>
      <w:proofErr w:type="spellEnd"/>
      <w:r>
        <w:t xml:space="preserve"> </w:t>
      </w:r>
      <w:proofErr w:type="spellStart"/>
      <w:r>
        <w:t>perusahaan</w:t>
      </w:r>
      <w:proofErr w:type="spellEnd"/>
      <w:r>
        <w:t xml:space="preserve"> </w:t>
      </w:r>
      <w:proofErr w:type="spellStart"/>
      <w:r>
        <w:t>sebagai</w:t>
      </w:r>
      <w:proofErr w:type="spellEnd"/>
      <w:r>
        <w:t xml:space="preserve"> </w:t>
      </w:r>
      <w:proofErr w:type="spellStart"/>
      <w:r>
        <w:t>variabel</w:t>
      </w:r>
      <w:proofErr w:type="spellEnd"/>
      <w:r>
        <w:t xml:space="preserve"> moderating. </w:t>
      </w:r>
      <w:proofErr w:type="spellStart"/>
      <w:r>
        <w:rPr>
          <w:rStyle w:val="Emphasis"/>
        </w:rPr>
        <w:t>Bahtera</w:t>
      </w:r>
      <w:proofErr w:type="spellEnd"/>
      <w:r>
        <w:rPr>
          <w:rStyle w:val="Emphasis"/>
        </w:rPr>
        <w:t xml:space="preserve"> </w:t>
      </w:r>
      <w:proofErr w:type="spellStart"/>
      <w:r>
        <w:rPr>
          <w:rStyle w:val="Emphasis"/>
        </w:rPr>
        <w:t>Inovasi</w:t>
      </w:r>
      <w:proofErr w:type="spellEnd"/>
      <w:r>
        <w:rPr>
          <w:rStyle w:val="Emphasis"/>
        </w:rPr>
        <w:t>, 7</w:t>
      </w:r>
      <w:r>
        <w:t xml:space="preserve">(1), 41–51. </w:t>
      </w:r>
      <w:hyperlink r:id="rId33" w:tgtFrame="_new" w:history="1">
        <w:r>
          <w:rPr>
            <w:rStyle w:val="Hyperlink"/>
          </w:rPr>
          <w:t>https://doi.org/10.31629/bi.v7i1.5177</w:t>
        </w:r>
      </w:hyperlink>
    </w:p>
    <w:p w14:paraId="20190966" w14:textId="77777777" w:rsidR="00AE6853" w:rsidRDefault="00AE6853" w:rsidP="00AE6853">
      <w:pPr>
        <w:pStyle w:val="NormalWeb"/>
      </w:pPr>
      <w:r>
        <w:t xml:space="preserve">Satria, A., </w:t>
      </w:r>
      <w:proofErr w:type="spellStart"/>
      <w:r>
        <w:t>Yuliusman</w:t>
      </w:r>
      <w:proofErr w:type="spellEnd"/>
      <w:r>
        <w:t xml:space="preserve">, &amp; </w:t>
      </w:r>
      <w:proofErr w:type="spellStart"/>
      <w:r>
        <w:t>Yetti</w:t>
      </w:r>
      <w:proofErr w:type="spellEnd"/>
      <w:r>
        <w:t xml:space="preserve">, S. (2023). The role of profitability in moderating the influence of company size, company activities, board of directors, and audit committee on disclosure of sustainability reports in non-financial companies registered on BEI and publishing sustainability reports for 2018–2020. </w:t>
      </w:r>
      <w:r>
        <w:rPr>
          <w:rStyle w:val="Emphasis"/>
        </w:rPr>
        <w:t>Indonesian Journal of Economic &amp; Management Sciences, 1</w:t>
      </w:r>
      <w:r>
        <w:t xml:space="preserve">(4), 635–662. </w:t>
      </w:r>
      <w:hyperlink r:id="rId34" w:tgtFrame="_new" w:history="1">
        <w:r>
          <w:rPr>
            <w:rStyle w:val="Hyperlink"/>
          </w:rPr>
          <w:t>https://doi.org/10.55927/ijems.v1i4.5819</w:t>
        </w:r>
      </w:hyperlink>
    </w:p>
    <w:p w14:paraId="7B8A5E4D" w14:textId="77777777" w:rsidR="00AE6853" w:rsidRDefault="00AE6853" w:rsidP="00AE6853">
      <w:pPr>
        <w:pStyle w:val="NormalWeb"/>
      </w:pPr>
      <w:r>
        <w:lastRenderedPageBreak/>
        <w:t xml:space="preserve">Sonia, D., &amp; Khafid, M. (2020). The effect of liquidity, leverage, and audit committee on sustainability report disclosure with profitability as a mediating variable. </w:t>
      </w:r>
      <w:r>
        <w:rPr>
          <w:rStyle w:val="Emphasis"/>
        </w:rPr>
        <w:t>Accounting Analysis Journal, 9</w:t>
      </w:r>
      <w:r>
        <w:t xml:space="preserve">(2), 95–102. </w:t>
      </w:r>
      <w:hyperlink r:id="rId35" w:tgtFrame="_new" w:history="1">
        <w:r>
          <w:rPr>
            <w:rStyle w:val="Hyperlink"/>
          </w:rPr>
          <w:t>https://doi.org/10.15294/aaj.v9i2.31060</w:t>
        </w:r>
      </w:hyperlink>
    </w:p>
    <w:p w14:paraId="06509E6C" w14:textId="77777777" w:rsidR="00AE6853" w:rsidRDefault="00AE6853" w:rsidP="00AE6853">
      <w:pPr>
        <w:pStyle w:val="NormalWeb"/>
      </w:pPr>
      <w:r>
        <w:t xml:space="preserve">Thomas, G. N., </w:t>
      </w:r>
      <w:proofErr w:type="spellStart"/>
      <w:r>
        <w:t>Aryusmar</w:t>
      </w:r>
      <w:proofErr w:type="spellEnd"/>
      <w:r>
        <w:t xml:space="preserve">, &amp; </w:t>
      </w:r>
      <w:proofErr w:type="spellStart"/>
      <w:r>
        <w:t>Indriaty</w:t>
      </w:r>
      <w:proofErr w:type="spellEnd"/>
      <w:r>
        <w:t xml:space="preserve">, L. (2020). The effect of company size, profitability, and leverage on sustainability report disclosure. </w:t>
      </w:r>
      <w:r>
        <w:rPr>
          <w:rStyle w:val="Emphasis"/>
        </w:rPr>
        <w:t>Talent Development &amp; Excellence, 12</w:t>
      </w:r>
      <w:r>
        <w:t>(1), 4700–4706. https://www.researchgate.net/profile/Gen-Thomas/publication/346525404_The_Effect_Of_Company_Size_Profitability_and_Leverage_On_Sustainability_Report_Disclosure/links/5fc6203692851c301299d59a/The-Effect-Of-Company-Size-Profitability-and-Leverage-On-Sustainability-Report-Disclosure.pdf</w:t>
      </w:r>
    </w:p>
    <w:p w14:paraId="5DDA3ED1" w14:textId="77777777" w:rsidR="00AE6853" w:rsidRDefault="00AE6853" w:rsidP="00AE6853">
      <w:pPr>
        <w:pStyle w:val="NormalWeb"/>
      </w:pPr>
      <w:r>
        <w:t xml:space="preserve">Tsang, A., Frost, T., &amp; Cao, H. (2023). Environmental, social, and governance (ESG) disclosure: A literature review. </w:t>
      </w:r>
      <w:r>
        <w:rPr>
          <w:rStyle w:val="Emphasis"/>
        </w:rPr>
        <w:t>The British Accounting Review, 55</w:t>
      </w:r>
      <w:r>
        <w:t xml:space="preserve">(1), Article 101149. </w:t>
      </w:r>
      <w:hyperlink r:id="rId36" w:tgtFrame="_new" w:history="1">
        <w:r>
          <w:rPr>
            <w:rStyle w:val="Hyperlink"/>
          </w:rPr>
          <w:t>https://doi.org/10.1016/j.bar.2022.101149</w:t>
        </w:r>
      </w:hyperlink>
    </w:p>
    <w:p w14:paraId="18A8D0DD" w14:textId="77777777" w:rsidR="00AE6853" w:rsidRDefault="00AE6853" w:rsidP="00AE6853">
      <w:pPr>
        <w:pStyle w:val="NormalWeb"/>
      </w:pPr>
      <w:proofErr w:type="spellStart"/>
      <w:r>
        <w:t>Ulfa</w:t>
      </w:r>
      <w:proofErr w:type="spellEnd"/>
      <w:r>
        <w:t xml:space="preserve">, R., </w:t>
      </w:r>
      <w:proofErr w:type="spellStart"/>
      <w:r>
        <w:t>Harjanti</w:t>
      </w:r>
      <w:proofErr w:type="spellEnd"/>
      <w:r>
        <w:t xml:space="preserve">, A. E., &amp; </w:t>
      </w:r>
      <w:proofErr w:type="spellStart"/>
      <w:r>
        <w:t>Wijayanti</w:t>
      </w:r>
      <w:proofErr w:type="spellEnd"/>
      <w:r>
        <w:t xml:space="preserve">, S. (2025). </w:t>
      </w:r>
      <w:proofErr w:type="spellStart"/>
      <w:r>
        <w:t>Pengaruh</w:t>
      </w:r>
      <w:proofErr w:type="spellEnd"/>
      <w:r>
        <w:t xml:space="preserve"> good corporate governance, </w:t>
      </w:r>
      <w:proofErr w:type="spellStart"/>
      <w:r>
        <w:t>profitabilitas</w:t>
      </w:r>
      <w:proofErr w:type="spellEnd"/>
      <w:r>
        <w:t xml:space="preserve">, dan </w:t>
      </w:r>
      <w:proofErr w:type="spellStart"/>
      <w:r>
        <w:t>ukuran</w:t>
      </w:r>
      <w:proofErr w:type="spellEnd"/>
      <w:r>
        <w:t xml:space="preserve"> </w:t>
      </w:r>
      <w:proofErr w:type="spellStart"/>
      <w:r>
        <w:t>perusahaan</w:t>
      </w:r>
      <w:proofErr w:type="spellEnd"/>
      <w:r>
        <w:t xml:space="preserve"> </w:t>
      </w:r>
      <w:proofErr w:type="spellStart"/>
      <w:r>
        <w:t>terhadap</w:t>
      </w:r>
      <w:proofErr w:type="spellEnd"/>
      <w:r>
        <w:t xml:space="preserve"> </w:t>
      </w:r>
      <w:proofErr w:type="spellStart"/>
      <w:r>
        <w:t>tingkat</w:t>
      </w:r>
      <w:proofErr w:type="spellEnd"/>
      <w:r>
        <w:t xml:space="preserve"> </w:t>
      </w:r>
      <w:proofErr w:type="spellStart"/>
      <w:r>
        <w:t>pengungkapan</w:t>
      </w:r>
      <w:proofErr w:type="spellEnd"/>
      <w:r>
        <w:t xml:space="preserve"> sustainability report. </w:t>
      </w:r>
      <w:proofErr w:type="spellStart"/>
      <w:r>
        <w:rPr>
          <w:rStyle w:val="Emphasis"/>
        </w:rPr>
        <w:t>Jurnal</w:t>
      </w:r>
      <w:proofErr w:type="spellEnd"/>
      <w:r>
        <w:rPr>
          <w:rStyle w:val="Emphasis"/>
        </w:rPr>
        <w:t xml:space="preserve"> </w:t>
      </w:r>
      <w:proofErr w:type="spellStart"/>
      <w:r>
        <w:rPr>
          <w:rStyle w:val="Emphasis"/>
        </w:rPr>
        <w:t>Akuntansi</w:t>
      </w:r>
      <w:proofErr w:type="spellEnd"/>
      <w:r>
        <w:rPr>
          <w:rStyle w:val="Emphasis"/>
        </w:rPr>
        <w:t xml:space="preserve"> dan </w:t>
      </w:r>
      <w:proofErr w:type="spellStart"/>
      <w:r>
        <w:rPr>
          <w:rStyle w:val="Emphasis"/>
        </w:rPr>
        <w:t>Manajemen</w:t>
      </w:r>
      <w:proofErr w:type="spellEnd"/>
      <w:r>
        <w:rPr>
          <w:rStyle w:val="Emphasis"/>
        </w:rPr>
        <w:t>, 22</w:t>
      </w:r>
      <w:r>
        <w:t xml:space="preserve">(1), 53–64. </w:t>
      </w:r>
      <w:hyperlink r:id="rId37" w:tgtFrame="_new" w:history="1">
        <w:r>
          <w:rPr>
            <w:rStyle w:val="Hyperlink"/>
          </w:rPr>
          <w:t>https://doi.org/10.36406/jam.v22i1.136</w:t>
        </w:r>
      </w:hyperlink>
    </w:p>
    <w:p w14:paraId="1F616835" w14:textId="77777777" w:rsidR="00AE6853" w:rsidRDefault="00AE6853" w:rsidP="00AE6853">
      <w:pPr>
        <w:pStyle w:val="NormalWeb"/>
      </w:pPr>
      <w:r>
        <w:t xml:space="preserve">Velte, P. (2020). Corporate social responsibility and earnings management: A literature review. </w:t>
      </w:r>
      <w:r>
        <w:rPr>
          <w:rStyle w:val="Emphasis"/>
        </w:rPr>
        <w:t>Corporate Ownership &amp; Control, 17</w:t>
      </w:r>
      <w:r>
        <w:t xml:space="preserve">(2), 8–19. </w:t>
      </w:r>
      <w:hyperlink r:id="rId38" w:tgtFrame="_new" w:history="1">
        <w:r>
          <w:rPr>
            <w:rStyle w:val="Hyperlink"/>
          </w:rPr>
          <w:t>https://doi.org/10.22495/cocv17i2art1</w:t>
        </w:r>
      </w:hyperlink>
    </w:p>
    <w:p w14:paraId="76E77C63" w14:textId="78A89F6A" w:rsidR="00AE6853" w:rsidRDefault="00AE6853" w:rsidP="00AE6853">
      <w:pPr>
        <w:pStyle w:val="NormalWeb"/>
      </w:pPr>
      <w:r>
        <w:t xml:space="preserve">WALHI. (2022, January 18). </w:t>
      </w:r>
      <w:proofErr w:type="spellStart"/>
      <w:r>
        <w:rPr>
          <w:rStyle w:val="Emphasis"/>
        </w:rPr>
        <w:t>Pencemaran</w:t>
      </w:r>
      <w:proofErr w:type="spellEnd"/>
      <w:r>
        <w:rPr>
          <w:rStyle w:val="Emphasis"/>
        </w:rPr>
        <w:t xml:space="preserve"> </w:t>
      </w:r>
      <w:proofErr w:type="spellStart"/>
      <w:r>
        <w:rPr>
          <w:rStyle w:val="Emphasis"/>
        </w:rPr>
        <w:t>lingkungan</w:t>
      </w:r>
      <w:proofErr w:type="spellEnd"/>
      <w:r>
        <w:rPr>
          <w:rStyle w:val="Emphasis"/>
        </w:rPr>
        <w:t xml:space="preserve"> PT RUM dan PT </w:t>
      </w:r>
      <w:proofErr w:type="spellStart"/>
      <w:r>
        <w:rPr>
          <w:rStyle w:val="Emphasis"/>
        </w:rPr>
        <w:t>Pajitex</w:t>
      </w:r>
      <w:proofErr w:type="spellEnd"/>
      <w:r>
        <w:rPr>
          <w:rStyle w:val="Emphasis"/>
        </w:rPr>
        <w:t xml:space="preserve">: Negara </w:t>
      </w:r>
      <w:proofErr w:type="spellStart"/>
      <w:r>
        <w:rPr>
          <w:rStyle w:val="Emphasis"/>
        </w:rPr>
        <w:t>harus</w:t>
      </w:r>
      <w:proofErr w:type="spellEnd"/>
      <w:r>
        <w:rPr>
          <w:rStyle w:val="Emphasis"/>
        </w:rPr>
        <w:t xml:space="preserve"> </w:t>
      </w:r>
      <w:proofErr w:type="spellStart"/>
      <w:r>
        <w:rPr>
          <w:rStyle w:val="Emphasis"/>
        </w:rPr>
        <w:t>hadir</w:t>
      </w:r>
      <w:proofErr w:type="spellEnd"/>
      <w:r>
        <w:rPr>
          <w:rStyle w:val="Emphasis"/>
        </w:rPr>
        <w:t xml:space="preserve"> </w:t>
      </w:r>
      <w:proofErr w:type="spellStart"/>
      <w:r>
        <w:rPr>
          <w:rStyle w:val="Emphasis"/>
        </w:rPr>
        <w:t>melindungi</w:t>
      </w:r>
      <w:proofErr w:type="spellEnd"/>
      <w:r>
        <w:rPr>
          <w:rStyle w:val="Emphasis"/>
        </w:rPr>
        <w:t xml:space="preserve"> </w:t>
      </w:r>
      <w:proofErr w:type="spellStart"/>
      <w:r>
        <w:rPr>
          <w:rStyle w:val="Emphasis"/>
        </w:rPr>
        <w:t>warga</w:t>
      </w:r>
      <w:proofErr w:type="spellEnd"/>
      <w:r>
        <w:t xml:space="preserve">. </w:t>
      </w:r>
    </w:p>
    <w:p w14:paraId="4EBB036F" w14:textId="77777777" w:rsidR="00AE6853" w:rsidRDefault="00AE6853">
      <w:pPr>
        <w:spacing w:before="5" w:line="237" w:lineRule="auto"/>
        <w:ind w:left="1108" w:right="251"/>
        <w:jc w:val="both"/>
        <w:rPr>
          <w:rFonts w:ascii="Times New Roman" w:hAnsi="Times New Roman"/>
          <w:sz w:val="24"/>
        </w:rPr>
      </w:pPr>
    </w:p>
    <w:p w14:paraId="25F96862" w14:textId="77777777" w:rsidR="00C137F8" w:rsidRDefault="00C137F8">
      <w:pPr>
        <w:spacing w:before="3"/>
        <w:ind w:left="1108" w:right="251" w:hanging="480"/>
        <w:jc w:val="both"/>
        <w:rPr>
          <w:rFonts w:ascii="Times New Roman"/>
          <w:sz w:val="24"/>
        </w:rPr>
      </w:pPr>
    </w:p>
    <w:p w14:paraId="6C262D19" w14:textId="77777777" w:rsidR="00C137F8" w:rsidRDefault="00C137F8">
      <w:pPr>
        <w:ind w:left="1108" w:right="277" w:hanging="480"/>
        <w:rPr>
          <w:rFonts w:ascii="Times New Roman"/>
          <w:sz w:val="24"/>
        </w:rPr>
      </w:pPr>
    </w:p>
    <w:p w14:paraId="0F9D0C73" w14:textId="77777777" w:rsidR="00C137F8" w:rsidRDefault="00C137F8">
      <w:pPr>
        <w:ind w:left="1108" w:hanging="480"/>
        <w:rPr>
          <w:rFonts w:ascii="Times New Roman" w:hAnsi="Times New Roman"/>
          <w:sz w:val="24"/>
        </w:rPr>
      </w:pPr>
    </w:p>
    <w:sectPr w:rsidR="00C137F8">
      <w:pgSz w:w="12240" w:h="15840"/>
      <w:pgMar w:top="800" w:right="1440" w:bottom="280" w:left="1080" w:header="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4C37" w14:textId="77777777" w:rsidR="004415B2" w:rsidRDefault="004415B2">
      <w:r>
        <w:separator/>
      </w:r>
    </w:p>
  </w:endnote>
  <w:endnote w:type="continuationSeparator" w:id="0">
    <w:p w14:paraId="6F8CE40B" w14:textId="77777777" w:rsidR="004415B2" w:rsidRDefault="0044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6FD07" w14:textId="77777777" w:rsidR="004415B2" w:rsidRDefault="004415B2">
      <w:r>
        <w:separator/>
      </w:r>
    </w:p>
  </w:footnote>
  <w:footnote w:type="continuationSeparator" w:id="0">
    <w:p w14:paraId="31E80546" w14:textId="77777777" w:rsidR="004415B2" w:rsidRDefault="00441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8539" w14:textId="77777777" w:rsidR="00C137F8" w:rsidRDefault="00000000">
    <w:pPr>
      <w:pStyle w:val="BodyText"/>
      <w:spacing w:line="14" w:lineRule="auto"/>
      <w:rPr>
        <w:sz w:val="20"/>
      </w:rPr>
    </w:pPr>
    <w:r>
      <w:rPr>
        <w:noProof/>
        <w:sz w:val="20"/>
      </w:rPr>
      <mc:AlternateContent>
        <mc:Choice Requires="wps">
          <w:drawing>
            <wp:anchor distT="0" distB="0" distL="0" distR="0" simplePos="0" relativeHeight="486953472" behindDoc="1" locked="0" layoutInCell="1" allowOverlap="1" wp14:anchorId="0A1657C1" wp14:editId="163147EE">
              <wp:simplePos x="0" y="0"/>
              <wp:positionH relativeFrom="page">
                <wp:posOffset>-12700</wp:posOffset>
              </wp:positionH>
              <wp:positionV relativeFrom="page">
                <wp:posOffset>14957</wp:posOffset>
              </wp:positionV>
              <wp:extent cx="1580515" cy="198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198120"/>
                      </a:xfrm>
                      <a:prstGeom prst="rect">
                        <a:avLst/>
                      </a:prstGeom>
                    </wps:spPr>
                    <wps:txbx>
                      <w:txbxContent>
                        <w:p w14:paraId="48B047DA" w14:textId="77777777" w:rsidR="00C137F8" w:rsidRDefault="00000000">
                          <w:pPr>
                            <w:spacing w:before="20"/>
                            <w:ind w:left="20"/>
                            <w:rPr>
                              <w:rFonts w:ascii="Courier New"/>
                              <w:sz w:val="24"/>
                            </w:rPr>
                          </w:pPr>
                          <w:r>
                            <w:rPr>
                              <w:rFonts w:ascii="Courier New"/>
                              <w:sz w:val="24"/>
                            </w:rPr>
                            <w:t xml:space="preserve">UNDER PEER </w:t>
                          </w:r>
                          <w:r>
                            <w:rPr>
                              <w:rFonts w:ascii="Courier New"/>
                              <w:spacing w:val="-2"/>
                              <w:sz w:val="24"/>
                            </w:rPr>
                            <w:t>REVIEW</w:t>
                          </w:r>
                        </w:p>
                      </w:txbxContent>
                    </wps:txbx>
                    <wps:bodyPr wrap="square" lIns="0" tIns="0" rIns="0" bIns="0" rtlCol="0">
                      <a:noAutofit/>
                    </wps:bodyPr>
                  </wps:wsp>
                </a:graphicData>
              </a:graphic>
            </wp:anchor>
          </w:drawing>
        </mc:Choice>
        <mc:Fallback>
          <w:pict>
            <v:shapetype w14:anchorId="0A1657C1" id="_x0000_t202" coordsize="21600,21600" o:spt="202" path="m,l,21600r21600,l21600,xe">
              <v:stroke joinstyle="miter"/>
              <v:path gradientshapeok="t" o:connecttype="rect"/>
            </v:shapetype>
            <v:shape id="Textbox 1" o:spid="_x0000_s1062" type="#_x0000_t202" style="position:absolute;margin-left:-1pt;margin-top:1.2pt;width:124.45pt;height:15.6pt;z-index:-163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" filled="f" stroked="f">
              <v:textbox inset="0,0,0,0">
                <w:txbxContent>
                  <w:p w14:paraId="48B047DA" w14:textId="77777777" w:rsidR="00C137F8" w:rsidRDefault="00000000">
                    <w:pPr>
                      <w:spacing w:before="20"/>
                      <w:ind w:left="20"/>
                      <w:rPr>
                        <w:rFonts w:ascii="Courier New"/>
                        <w:sz w:val="24"/>
                      </w:rPr>
                    </w:pPr>
                    <w:r>
                      <w:rPr>
                        <w:rFonts w:ascii="Courier New"/>
                        <w:sz w:val="24"/>
                      </w:rPr>
                      <w:t xml:space="preserve">UNDER PEER </w:t>
                    </w:r>
                    <w:r>
                      <w:rPr>
                        <w:rFonts w:ascii="Courier New"/>
                        <w:spacing w:val="-2"/>
                        <w:sz w:val="24"/>
                      </w:rPr>
                      <w:t>REVIEW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B5E29"/>
    <w:multiLevelType w:val="multilevel"/>
    <w:tmpl w:val="29483020"/>
    <w:lvl w:ilvl="0">
      <w:start w:val="4"/>
      <w:numFmt w:val="decimal"/>
      <w:lvlText w:val="%1"/>
      <w:lvlJc w:val="left"/>
      <w:pPr>
        <w:ind w:left="962" w:hanging="334"/>
      </w:pPr>
      <w:rPr>
        <w:rFonts w:hint="default"/>
        <w:lang w:val="en-US" w:eastAsia="en-US" w:bidi="ar-SA"/>
      </w:rPr>
    </w:lvl>
    <w:lvl w:ilvl="1">
      <w:start w:val="3"/>
      <w:numFmt w:val="decimal"/>
      <w:lvlText w:val="%1.%2"/>
      <w:lvlJc w:val="left"/>
      <w:pPr>
        <w:ind w:left="962" w:hanging="334"/>
      </w:pPr>
      <w:rPr>
        <w:rFonts w:ascii="Arial" w:eastAsia="Arial" w:hAnsi="Arial" w:cs="Arial" w:hint="default"/>
        <w:b/>
        <w:bCs/>
        <w:i w:val="0"/>
        <w:iCs w:val="0"/>
        <w:spacing w:val="-1"/>
        <w:w w:val="100"/>
        <w:sz w:val="20"/>
        <w:szCs w:val="20"/>
        <w:lang w:val="en-US" w:eastAsia="en-US" w:bidi="ar-SA"/>
      </w:rPr>
    </w:lvl>
    <w:lvl w:ilvl="2">
      <w:start w:val="1"/>
      <w:numFmt w:val="decimal"/>
      <w:lvlText w:val="%1.%2.%3"/>
      <w:lvlJc w:val="left"/>
      <w:pPr>
        <w:ind w:left="116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062" w:hanging="540"/>
      </w:pPr>
      <w:rPr>
        <w:rFonts w:hint="default"/>
        <w:lang w:val="en-US" w:eastAsia="en-US" w:bidi="ar-SA"/>
      </w:rPr>
    </w:lvl>
    <w:lvl w:ilvl="4">
      <w:numFmt w:val="bullet"/>
      <w:lvlText w:val="•"/>
      <w:lvlJc w:val="left"/>
      <w:pPr>
        <w:ind w:left="4013" w:hanging="540"/>
      </w:pPr>
      <w:rPr>
        <w:rFonts w:hint="default"/>
        <w:lang w:val="en-US" w:eastAsia="en-US" w:bidi="ar-SA"/>
      </w:rPr>
    </w:lvl>
    <w:lvl w:ilvl="5">
      <w:numFmt w:val="bullet"/>
      <w:lvlText w:val="•"/>
      <w:lvlJc w:val="left"/>
      <w:pPr>
        <w:ind w:left="4964" w:hanging="540"/>
      </w:pPr>
      <w:rPr>
        <w:rFonts w:hint="default"/>
        <w:lang w:val="en-US" w:eastAsia="en-US" w:bidi="ar-SA"/>
      </w:rPr>
    </w:lvl>
    <w:lvl w:ilvl="6">
      <w:numFmt w:val="bullet"/>
      <w:lvlText w:val="•"/>
      <w:lvlJc w:val="left"/>
      <w:pPr>
        <w:ind w:left="5915" w:hanging="540"/>
      </w:pPr>
      <w:rPr>
        <w:rFonts w:hint="default"/>
        <w:lang w:val="en-US" w:eastAsia="en-US" w:bidi="ar-SA"/>
      </w:rPr>
    </w:lvl>
    <w:lvl w:ilvl="7">
      <w:numFmt w:val="bullet"/>
      <w:lvlText w:val="•"/>
      <w:lvlJc w:val="left"/>
      <w:pPr>
        <w:ind w:left="6866" w:hanging="540"/>
      </w:pPr>
      <w:rPr>
        <w:rFonts w:hint="default"/>
        <w:lang w:val="en-US" w:eastAsia="en-US" w:bidi="ar-SA"/>
      </w:rPr>
    </w:lvl>
    <w:lvl w:ilvl="8">
      <w:numFmt w:val="bullet"/>
      <w:lvlText w:val="•"/>
      <w:lvlJc w:val="left"/>
      <w:pPr>
        <w:ind w:left="7817" w:hanging="540"/>
      </w:pPr>
      <w:rPr>
        <w:rFonts w:hint="default"/>
        <w:lang w:val="en-US" w:eastAsia="en-US" w:bidi="ar-SA"/>
      </w:rPr>
    </w:lvl>
  </w:abstractNum>
  <w:abstractNum w:abstractNumId="1" w15:restartNumberingAfterBreak="0">
    <w:nsid w:val="537A3A46"/>
    <w:multiLevelType w:val="multilevel"/>
    <w:tmpl w:val="BA3E9556"/>
    <w:lvl w:ilvl="0">
      <w:start w:val="3"/>
      <w:numFmt w:val="decimal"/>
      <w:lvlText w:val="%1."/>
      <w:lvlJc w:val="left"/>
      <w:pPr>
        <w:ind w:left="873" w:hanging="245"/>
      </w:pPr>
      <w:rPr>
        <w:rFonts w:hint="default"/>
        <w:spacing w:val="-1"/>
        <w:w w:val="100"/>
        <w:lang w:val="en-US" w:eastAsia="en-US" w:bidi="ar-SA"/>
      </w:rPr>
    </w:lvl>
    <w:lvl w:ilvl="1">
      <w:start w:val="1"/>
      <w:numFmt w:val="decimal"/>
      <w:lvlText w:val="%1.%2"/>
      <w:lvlJc w:val="left"/>
      <w:pPr>
        <w:ind w:left="988" w:hanging="360"/>
      </w:pPr>
      <w:rPr>
        <w:rFonts w:hint="default"/>
        <w:spacing w:val="0"/>
        <w:w w:val="100"/>
        <w:lang w:val="en-US" w:eastAsia="en-US" w:bidi="ar-SA"/>
      </w:rPr>
    </w:lvl>
    <w:lvl w:ilvl="2">
      <w:numFmt w:val="bullet"/>
      <w:lvlText w:val="•"/>
      <w:lvlJc w:val="left"/>
      <w:pPr>
        <w:ind w:left="980" w:hanging="360"/>
      </w:pPr>
      <w:rPr>
        <w:rFonts w:hint="default"/>
        <w:lang w:val="en-US" w:eastAsia="en-US" w:bidi="ar-SA"/>
      </w:rPr>
    </w:lvl>
    <w:lvl w:ilvl="3">
      <w:numFmt w:val="bullet"/>
      <w:lvlText w:val="•"/>
      <w:lvlJc w:val="left"/>
      <w:pPr>
        <w:ind w:left="1000" w:hanging="360"/>
      </w:pPr>
      <w:rPr>
        <w:rFonts w:hint="default"/>
        <w:lang w:val="en-US" w:eastAsia="en-US" w:bidi="ar-SA"/>
      </w:rPr>
    </w:lvl>
    <w:lvl w:ilvl="4">
      <w:numFmt w:val="bullet"/>
      <w:lvlText w:val="•"/>
      <w:lvlJc w:val="left"/>
      <w:pPr>
        <w:ind w:left="2245" w:hanging="360"/>
      </w:pPr>
      <w:rPr>
        <w:rFonts w:hint="default"/>
        <w:lang w:val="en-US" w:eastAsia="en-US" w:bidi="ar-SA"/>
      </w:rPr>
    </w:lvl>
    <w:lvl w:ilvl="5">
      <w:numFmt w:val="bullet"/>
      <w:lvlText w:val="•"/>
      <w:lvlJc w:val="left"/>
      <w:pPr>
        <w:ind w:left="3491" w:hanging="360"/>
      </w:pPr>
      <w:rPr>
        <w:rFonts w:hint="default"/>
        <w:lang w:val="en-US" w:eastAsia="en-US" w:bidi="ar-SA"/>
      </w:rPr>
    </w:lvl>
    <w:lvl w:ilvl="6">
      <w:numFmt w:val="bullet"/>
      <w:lvlText w:val="•"/>
      <w:lvlJc w:val="left"/>
      <w:pPr>
        <w:ind w:left="4737" w:hanging="360"/>
      </w:pPr>
      <w:rPr>
        <w:rFonts w:hint="default"/>
        <w:lang w:val="en-US" w:eastAsia="en-US" w:bidi="ar-SA"/>
      </w:rPr>
    </w:lvl>
    <w:lvl w:ilvl="7">
      <w:numFmt w:val="bullet"/>
      <w:lvlText w:val="•"/>
      <w:lvlJc w:val="left"/>
      <w:pPr>
        <w:ind w:left="5982" w:hanging="360"/>
      </w:pPr>
      <w:rPr>
        <w:rFonts w:hint="default"/>
        <w:lang w:val="en-US" w:eastAsia="en-US" w:bidi="ar-SA"/>
      </w:rPr>
    </w:lvl>
    <w:lvl w:ilvl="8">
      <w:numFmt w:val="bullet"/>
      <w:lvlText w:val="•"/>
      <w:lvlJc w:val="left"/>
      <w:pPr>
        <w:ind w:left="7228" w:hanging="360"/>
      </w:pPr>
      <w:rPr>
        <w:rFonts w:hint="default"/>
        <w:lang w:val="en-US" w:eastAsia="en-US" w:bidi="ar-SA"/>
      </w:rPr>
    </w:lvl>
  </w:abstractNum>
  <w:abstractNum w:abstractNumId="2" w15:restartNumberingAfterBreak="0">
    <w:nsid w:val="5681558A"/>
    <w:multiLevelType w:val="multilevel"/>
    <w:tmpl w:val="A782CF18"/>
    <w:lvl w:ilvl="0">
      <w:start w:val="4"/>
      <w:numFmt w:val="decimal"/>
      <w:lvlText w:val="%1"/>
      <w:lvlJc w:val="left"/>
      <w:pPr>
        <w:ind w:left="1057" w:hanging="429"/>
      </w:pPr>
      <w:rPr>
        <w:rFonts w:hint="default"/>
        <w:lang w:val="en-US" w:eastAsia="en-US" w:bidi="ar-SA"/>
      </w:rPr>
    </w:lvl>
    <w:lvl w:ilvl="1">
      <w:start w:val="2"/>
      <w:numFmt w:val="decimal"/>
      <w:lvlText w:val="%1.%2."/>
      <w:lvlJc w:val="left"/>
      <w:pPr>
        <w:ind w:left="1057" w:hanging="429"/>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1226" w:hanging="598"/>
      </w:pPr>
      <w:rPr>
        <w:rFonts w:hint="default"/>
        <w:spacing w:val="-1"/>
        <w:w w:val="100"/>
        <w:lang w:val="en-US" w:eastAsia="en-US" w:bidi="ar-SA"/>
      </w:rPr>
    </w:lvl>
    <w:lvl w:ilvl="3">
      <w:numFmt w:val="bullet"/>
      <w:lvlText w:val="•"/>
      <w:lvlJc w:val="left"/>
      <w:pPr>
        <w:ind w:left="3108" w:hanging="598"/>
      </w:pPr>
      <w:rPr>
        <w:rFonts w:hint="default"/>
        <w:lang w:val="en-US" w:eastAsia="en-US" w:bidi="ar-SA"/>
      </w:rPr>
    </w:lvl>
    <w:lvl w:ilvl="4">
      <w:numFmt w:val="bullet"/>
      <w:lvlText w:val="•"/>
      <w:lvlJc w:val="left"/>
      <w:pPr>
        <w:ind w:left="4053" w:hanging="598"/>
      </w:pPr>
      <w:rPr>
        <w:rFonts w:hint="default"/>
        <w:lang w:val="en-US" w:eastAsia="en-US" w:bidi="ar-SA"/>
      </w:rPr>
    </w:lvl>
    <w:lvl w:ilvl="5">
      <w:numFmt w:val="bullet"/>
      <w:lvlText w:val="•"/>
      <w:lvlJc w:val="left"/>
      <w:pPr>
        <w:ind w:left="4997" w:hanging="598"/>
      </w:pPr>
      <w:rPr>
        <w:rFonts w:hint="default"/>
        <w:lang w:val="en-US" w:eastAsia="en-US" w:bidi="ar-SA"/>
      </w:rPr>
    </w:lvl>
    <w:lvl w:ilvl="6">
      <w:numFmt w:val="bullet"/>
      <w:lvlText w:val="•"/>
      <w:lvlJc w:val="left"/>
      <w:pPr>
        <w:ind w:left="5942" w:hanging="598"/>
      </w:pPr>
      <w:rPr>
        <w:rFonts w:hint="default"/>
        <w:lang w:val="en-US" w:eastAsia="en-US" w:bidi="ar-SA"/>
      </w:rPr>
    </w:lvl>
    <w:lvl w:ilvl="7">
      <w:numFmt w:val="bullet"/>
      <w:lvlText w:val="•"/>
      <w:lvlJc w:val="left"/>
      <w:pPr>
        <w:ind w:left="6886" w:hanging="598"/>
      </w:pPr>
      <w:rPr>
        <w:rFonts w:hint="default"/>
        <w:lang w:val="en-US" w:eastAsia="en-US" w:bidi="ar-SA"/>
      </w:rPr>
    </w:lvl>
    <w:lvl w:ilvl="8">
      <w:numFmt w:val="bullet"/>
      <w:lvlText w:val="•"/>
      <w:lvlJc w:val="left"/>
      <w:pPr>
        <w:ind w:left="7831" w:hanging="598"/>
      </w:pPr>
      <w:rPr>
        <w:rFonts w:hint="default"/>
        <w:lang w:val="en-US" w:eastAsia="en-US" w:bidi="ar-SA"/>
      </w:rPr>
    </w:lvl>
  </w:abstractNum>
  <w:abstractNum w:abstractNumId="3" w15:restartNumberingAfterBreak="0">
    <w:nsid w:val="58207F24"/>
    <w:multiLevelType w:val="hybridMultilevel"/>
    <w:tmpl w:val="939EA0D6"/>
    <w:lvl w:ilvl="0" w:tplc="DA3011B4">
      <w:start w:val="1"/>
      <w:numFmt w:val="decimal"/>
      <w:lvlText w:val="%1."/>
      <w:lvlJc w:val="left"/>
      <w:pPr>
        <w:ind w:left="8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8AA7D34">
      <w:numFmt w:val="bullet"/>
      <w:lvlText w:val="•"/>
      <w:lvlJc w:val="left"/>
      <w:pPr>
        <w:ind w:left="1746" w:hanging="360"/>
      </w:pPr>
      <w:rPr>
        <w:rFonts w:hint="default"/>
        <w:lang w:val="en-US" w:eastAsia="en-US" w:bidi="ar-SA"/>
      </w:rPr>
    </w:lvl>
    <w:lvl w:ilvl="2" w:tplc="C7DC0198">
      <w:numFmt w:val="bullet"/>
      <w:lvlText w:val="•"/>
      <w:lvlJc w:val="left"/>
      <w:pPr>
        <w:ind w:left="2632" w:hanging="360"/>
      </w:pPr>
      <w:rPr>
        <w:rFonts w:hint="default"/>
        <w:lang w:val="en-US" w:eastAsia="en-US" w:bidi="ar-SA"/>
      </w:rPr>
    </w:lvl>
    <w:lvl w:ilvl="3" w:tplc="6A3049F2">
      <w:numFmt w:val="bullet"/>
      <w:lvlText w:val="•"/>
      <w:lvlJc w:val="left"/>
      <w:pPr>
        <w:ind w:left="3518" w:hanging="360"/>
      </w:pPr>
      <w:rPr>
        <w:rFonts w:hint="default"/>
        <w:lang w:val="en-US" w:eastAsia="en-US" w:bidi="ar-SA"/>
      </w:rPr>
    </w:lvl>
    <w:lvl w:ilvl="4" w:tplc="5AE44762">
      <w:numFmt w:val="bullet"/>
      <w:lvlText w:val="•"/>
      <w:lvlJc w:val="left"/>
      <w:pPr>
        <w:ind w:left="4404" w:hanging="360"/>
      </w:pPr>
      <w:rPr>
        <w:rFonts w:hint="default"/>
        <w:lang w:val="en-US" w:eastAsia="en-US" w:bidi="ar-SA"/>
      </w:rPr>
    </w:lvl>
    <w:lvl w:ilvl="5" w:tplc="008657FE">
      <w:numFmt w:val="bullet"/>
      <w:lvlText w:val="•"/>
      <w:lvlJc w:val="left"/>
      <w:pPr>
        <w:ind w:left="5290" w:hanging="360"/>
      </w:pPr>
      <w:rPr>
        <w:rFonts w:hint="default"/>
        <w:lang w:val="en-US" w:eastAsia="en-US" w:bidi="ar-SA"/>
      </w:rPr>
    </w:lvl>
    <w:lvl w:ilvl="6" w:tplc="FED49F72">
      <w:numFmt w:val="bullet"/>
      <w:lvlText w:val="•"/>
      <w:lvlJc w:val="left"/>
      <w:pPr>
        <w:ind w:left="6176" w:hanging="360"/>
      </w:pPr>
      <w:rPr>
        <w:rFonts w:hint="default"/>
        <w:lang w:val="en-US" w:eastAsia="en-US" w:bidi="ar-SA"/>
      </w:rPr>
    </w:lvl>
    <w:lvl w:ilvl="7" w:tplc="76A2979E">
      <w:numFmt w:val="bullet"/>
      <w:lvlText w:val="•"/>
      <w:lvlJc w:val="left"/>
      <w:pPr>
        <w:ind w:left="7062" w:hanging="360"/>
      </w:pPr>
      <w:rPr>
        <w:rFonts w:hint="default"/>
        <w:lang w:val="en-US" w:eastAsia="en-US" w:bidi="ar-SA"/>
      </w:rPr>
    </w:lvl>
    <w:lvl w:ilvl="8" w:tplc="2A8E08D4">
      <w:numFmt w:val="bullet"/>
      <w:lvlText w:val="•"/>
      <w:lvlJc w:val="left"/>
      <w:pPr>
        <w:ind w:left="7948" w:hanging="360"/>
      </w:pPr>
      <w:rPr>
        <w:rFonts w:hint="default"/>
        <w:lang w:val="en-US" w:eastAsia="en-US" w:bidi="ar-SA"/>
      </w:rPr>
    </w:lvl>
  </w:abstractNum>
  <w:abstractNum w:abstractNumId="4" w15:restartNumberingAfterBreak="0">
    <w:nsid w:val="6A0462D7"/>
    <w:multiLevelType w:val="hybridMultilevel"/>
    <w:tmpl w:val="42124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7279381">
    <w:abstractNumId w:val="3"/>
  </w:num>
  <w:num w:numId="2" w16cid:durableId="1180967662">
    <w:abstractNumId w:val="0"/>
  </w:num>
  <w:num w:numId="3" w16cid:durableId="1762872376">
    <w:abstractNumId w:val="2"/>
  </w:num>
  <w:num w:numId="4" w16cid:durableId="228732591">
    <w:abstractNumId w:val="1"/>
  </w:num>
  <w:num w:numId="5" w16cid:durableId="1688827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sjC1MDc3sDA2NjE0MLFQ0lEKTi0uzszPAykwrAUA+YDTkywAAAA="/>
  </w:docVars>
  <w:rsids>
    <w:rsidRoot w:val="00C137F8"/>
    <w:rsid w:val="000274CE"/>
    <w:rsid w:val="001B009E"/>
    <w:rsid w:val="003D5D7E"/>
    <w:rsid w:val="004415B2"/>
    <w:rsid w:val="004F29EC"/>
    <w:rsid w:val="009A3EE1"/>
    <w:rsid w:val="00A06A6E"/>
    <w:rsid w:val="00AE6853"/>
    <w:rsid w:val="00C137F8"/>
    <w:rsid w:val="00C66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65A3B"/>
  <w15:docId w15:val="{785BECBE-F47B-4744-8C9C-7C1753D3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628"/>
      <w:jc w:val="both"/>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ind w:left="628"/>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3808" w:right="252" w:hanging="2344"/>
      <w:jc w:val="right"/>
    </w:pPr>
    <w:rPr>
      <w:rFonts w:ascii="Arial" w:eastAsia="Arial" w:hAnsi="Arial" w:cs="Arial"/>
      <w:b/>
      <w:bCs/>
      <w:sz w:val="28"/>
      <w:szCs w:val="28"/>
    </w:rPr>
  </w:style>
  <w:style w:type="paragraph" w:styleId="ListParagraph">
    <w:name w:val="List Paragraph"/>
    <w:basedOn w:val="Normal"/>
    <w:uiPriority w:val="1"/>
    <w:qFormat/>
    <w:pPr>
      <w:ind w:left="868"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customStyle="1" w:styleId="pdq2pgselectionanchorcontainer">
    <w:name w:val="pdq2pg_selectionanchorcontainer"/>
    <w:basedOn w:val="Normal"/>
    <w:rsid w:val="00AE685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E6853"/>
    <w:rPr>
      <w:i/>
      <w:iCs/>
    </w:rPr>
  </w:style>
  <w:style w:type="character" w:styleId="Hyperlink">
    <w:name w:val="Hyperlink"/>
    <w:basedOn w:val="DefaultParagraphFont"/>
    <w:uiPriority w:val="99"/>
    <w:semiHidden/>
    <w:unhideWhenUsed/>
    <w:rsid w:val="00AE6853"/>
    <w:rPr>
      <w:color w:val="0000FF"/>
      <w:u w:val="single"/>
    </w:rPr>
  </w:style>
  <w:style w:type="paragraph" w:styleId="NormalWeb">
    <w:name w:val="Normal (Web)"/>
    <w:basedOn w:val="Normal"/>
    <w:uiPriority w:val="99"/>
    <w:semiHidden/>
    <w:unhideWhenUsed/>
    <w:rsid w:val="00AE685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E6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0/09593969.2022.2048410" TargetMode="External"/><Relationship Id="rId18" Type="http://schemas.openxmlformats.org/officeDocument/2006/relationships/hyperlink" Target="https://peraturan.bpk.go.id/Home/Details/129651/peraturan-ojk-no-51pojk032017-tahun-2017" TargetMode="External"/><Relationship Id="rId26" Type="http://schemas.openxmlformats.org/officeDocument/2006/relationships/hyperlink" Target="https://doi.org/10.31539/costing.v7i3.9262" TargetMode="External"/><Relationship Id="rId39" Type="http://schemas.openxmlformats.org/officeDocument/2006/relationships/fontTable" Target="fontTable.xml"/><Relationship Id="rId21" Type="http://schemas.openxmlformats.org/officeDocument/2006/relationships/hyperlink" Target="https://www.globalreporting.org/standards/" TargetMode="External"/><Relationship Id="rId34" Type="http://schemas.openxmlformats.org/officeDocument/2006/relationships/hyperlink" Target="https://doi.org/10.55927/ijems.v1i4.5819" TargetMode="External"/><Relationship Id="rId7" Type="http://schemas.openxmlformats.org/officeDocument/2006/relationships/header" Target="header1.xml"/><Relationship Id="rId12" Type="http://schemas.openxmlformats.org/officeDocument/2006/relationships/hyperlink" Target="https://doi.org/10.1177/09721509221132067" TargetMode="External"/><Relationship Id="rId17" Type="http://schemas.openxmlformats.org/officeDocument/2006/relationships/hyperlink" Target="https://doi.org/10.1080/23322039.2022.2140907" TargetMode="External"/><Relationship Id="rId25" Type="http://schemas.openxmlformats.org/officeDocument/2006/relationships/hyperlink" Target="https://doi.org/10.56557/jet/2026/v11i110616" TargetMode="External"/><Relationship Id="rId33" Type="http://schemas.openxmlformats.org/officeDocument/2006/relationships/hyperlink" Target="https://doi.org/10.31629/bi.v7i1.5177" TargetMode="External"/><Relationship Id="rId38" Type="http://schemas.openxmlformats.org/officeDocument/2006/relationships/hyperlink" Target="https://doi.org/10.22495/cocv17i2art1" TargetMode="External"/><Relationship Id="rId2" Type="http://schemas.openxmlformats.org/officeDocument/2006/relationships/styles" Target="styles.xml"/><Relationship Id="rId16" Type="http://schemas.openxmlformats.org/officeDocument/2006/relationships/hyperlink" Target="https://doi.org/10.25105/mraai.v24i2.19577" TargetMode="External"/><Relationship Id="rId20" Type="http://schemas.openxmlformats.org/officeDocument/2006/relationships/hyperlink" Target="https://doi.org/10.2139/ssrn.263511" TargetMode="External"/><Relationship Id="rId29" Type="http://schemas.openxmlformats.org/officeDocument/2006/relationships/hyperlink" Target="https://doi.org/10.24912/ijaeb.v3i3.1531-15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991/aebmr.k.220304.006" TargetMode="External"/><Relationship Id="rId24" Type="http://schemas.openxmlformats.org/officeDocument/2006/relationships/hyperlink" Target="https://doi.org/10.32493/eaj.v4i3.y2021.p195-213" TargetMode="External"/><Relationship Id="rId32" Type="http://schemas.openxmlformats.org/officeDocument/2006/relationships/hyperlink" Target="https://doi.org/10.1002/csr.2134" TargetMode="External"/><Relationship Id="rId37" Type="http://schemas.openxmlformats.org/officeDocument/2006/relationships/hyperlink" Target="https://doi.org/10.36406/jam.v22i1.136"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29040/jie.v6i2.4998" TargetMode="External"/><Relationship Id="rId23" Type="http://schemas.openxmlformats.org/officeDocument/2006/relationships/hyperlink" Target="https://doi.org/10.1108/09513579610109987" TargetMode="External"/><Relationship Id="rId28" Type="http://schemas.openxmlformats.org/officeDocument/2006/relationships/hyperlink" Target="https://doi.org/10.1080/23311975.2024.2325111" TargetMode="External"/><Relationship Id="rId36" Type="http://schemas.openxmlformats.org/officeDocument/2006/relationships/hyperlink" Target="https://doi.org/10.1016/j.bar.2022.101149" TargetMode="External"/><Relationship Id="rId10" Type="http://schemas.openxmlformats.org/officeDocument/2006/relationships/hyperlink" Target="https://www.antaranews.com/berita/4573126/bei-ungkap-873-perusahaan-telah-laporkan-sustainability-report" TargetMode="External"/><Relationship Id="rId19" Type="http://schemas.openxmlformats.org/officeDocument/2006/relationships/hyperlink" Target="https://lib.unj.ac.id/slims2/index.php?id=9508&amp;p=show_detail&amp;utm_source=chatgpt.com" TargetMode="External"/><Relationship Id="rId31" Type="http://schemas.openxmlformats.org/officeDocument/2006/relationships/hyperlink" Target="https://doi.org/10.37470/1.27.1.246" TargetMode="External"/><Relationship Id="rId4" Type="http://schemas.openxmlformats.org/officeDocument/2006/relationships/webSettings" Target="webSettings.xml"/><Relationship Id="rId9" Type="http://schemas.openxmlformats.org/officeDocument/2006/relationships/hyperlink" Target="https://doi.org/10.1108/JFRA-09-2023-0568" TargetMode="External"/><Relationship Id="rId14" Type="http://schemas.openxmlformats.org/officeDocument/2006/relationships/hyperlink" Target="https://doi.org/10.1007/s10551-024-05739-3" TargetMode="External"/><Relationship Id="rId22" Type="http://schemas.openxmlformats.org/officeDocument/2006/relationships/hyperlink" Target="https://doi.org/10.1561/1400000061" TargetMode="External"/><Relationship Id="rId27" Type="http://schemas.openxmlformats.org/officeDocument/2006/relationships/hyperlink" Target="https://doi.org/10.9734/jemt/2020/v26i1030295" TargetMode="External"/><Relationship Id="rId30" Type="http://schemas.openxmlformats.org/officeDocument/2006/relationships/hyperlink" Target="https://doi.org/10.37385/msej.v4i5.2634" TargetMode="External"/><Relationship Id="rId35" Type="http://schemas.openxmlformats.org/officeDocument/2006/relationships/hyperlink" Target="https://doi.org/10.15294/aaj.v9i2.31060" TargetMode="External"/><Relationship Id="rId8" Type="http://schemas.openxmlformats.org/officeDocument/2006/relationships/hyperlink" Target="https://doi.org/10.1108/JBSED-07-2021-009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12330</Words>
  <Characters>70286</Characters>
  <Application>Microsoft Office Word</Application>
  <DocSecurity>0</DocSecurity>
  <Lines>585</Lines>
  <Paragraphs>164</Paragraphs>
  <ScaleCrop>false</ScaleCrop>
  <Company/>
  <LinksUpToDate>false</LinksUpToDate>
  <CharactersWithSpaces>82452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Article Sustainability Report Disclosure.docx</dc:title>
  <cp:lastModifiedBy>SDI 1087</cp:lastModifiedBy>
  <cp:revision>4</cp:revision>
  <dcterms:created xsi:type="dcterms:W3CDTF">2026-07-15T06:09:00Z</dcterms:created>
  <dcterms:modified xsi:type="dcterms:W3CDTF">2026-07-16T10:14:00Z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Word</vt:lpwstr>
  </property>
  <property fmtid="{D5CDD505-2E9C-101B-9397-08002B2CF9AE}" pid="5" name="LastSaved">
    <vt:filetime>2026-07-15T00:00:00Z</vt:filetime>
  </property>
  <property fmtid="{D5CDD505-2E9C-101B-9397-08002B2CF9AE}" pid="6" name="Producer">
    <vt:lpwstr>macOS Version 15.4 (Build 24E248) Quartz PDFContext</vt:lpwstr>
  </property>
</Properties>
</file>