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40E2A" w14:textId="77777777" w:rsidR="00122D62" w:rsidRPr="00FE340C" w:rsidRDefault="00000000">
      <w:pPr>
        <w:spacing w:after="80"/>
        <w:jc w:val="center"/>
      </w:pPr>
      <w:r w:rsidRPr="00FE340C">
        <w:rPr>
          <w:b/>
          <w:sz w:val="27"/>
        </w:rPr>
        <w:t>Determinants of Stock and Mutual Fund Preferences among Indonesian Capital Market Investors: Evidence from Binary and Ordered Logit Models</w:t>
      </w:r>
    </w:p>
    <w:p w14:paraId="614061E8" w14:textId="77777777" w:rsidR="00122D62" w:rsidRPr="00FE340C" w:rsidRDefault="00000000">
      <w:pPr>
        <w:spacing w:after="40"/>
        <w:jc w:val="center"/>
      </w:pPr>
      <w:r w:rsidRPr="00FE340C">
        <w:rPr>
          <w:b/>
          <w:sz w:val="21"/>
        </w:rPr>
        <w:t>ABSTRACT</w:t>
      </w:r>
    </w:p>
    <w:p w14:paraId="7DF8FCD6" w14:textId="77777777" w:rsidR="00925E68" w:rsidRPr="00FE340C" w:rsidRDefault="00925E68">
      <w:pPr>
        <w:spacing w:after="80"/>
        <w:jc w:val="both"/>
        <w:rPr>
          <w:b/>
          <w:sz w:val="17"/>
        </w:rPr>
      </w:pPr>
    </w:p>
    <w:p w14:paraId="54088BBC" w14:textId="77777777" w:rsidR="00925E68" w:rsidRPr="00FE340C" w:rsidRDefault="00925E68">
      <w:pPr>
        <w:spacing w:after="80"/>
        <w:jc w:val="both"/>
      </w:pPr>
      <w:r w:rsidRPr="00FE340C">
        <w:rPr>
          <w:rStyle w:val="Strong"/>
        </w:rPr>
        <w:t>Background:</w:t>
      </w:r>
      <w:r w:rsidRPr="00FE340C">
        <w:t xml:space="preserve"> Stocks and mutual funds provide distinct routes into capital markets, differing in risk exposure, diversification, and portfolio-management arrangements. This study examines how age, risk tolerance, financial literacy, financial access, digital financial services, and perceived regulatory support are associated with investment-instrument preferences among Indonesian capital-market investors. </w:t>
      </w:r>
    </w:p>
    <w:p w14:paraId="66E59E03" w14:textId="77777777" w:rsidR="00925E68" w:rsidRPr="00FE340C" w:rsidRDefault="00925E68">
      <w:pPr>
        <w:spacing w:after="80"/>
        <w:jc w:val="both"/>
      </w:pPr>
      <w:r w:rsidRPr="00FE340C">
        <w:rPr>
          <w:rStyle w:val="Strong"/>
        </w:rPr>
        <w:t>Methods:</w:t>
      </w:r>
      <w:r w:rsidRPr="00FE340C">
        <w:t xml:space="preserve"> A quantitative cross-sectional survey was conducted in Indonesia from June to August 2024. The analytical sample comprised 200 purposively selected respondents who reported holding financial assets. A binary logistic regression modelled stock rather than mutual-fund preference, while two ordered logistic regressions examined stated stock and mutual-fund tendencies separately. Model fit, multicollinearity, proportional-odds diagnostics, confidence intervals, and heteroskedasticity-consistent standard errors were assessed. </w:t>
      </w:r>
    </w:p>
    <w:p w14:paraId="11EBB674" w14:textId="77777777" w:rsidR="00925E68" w:rsidRPr="00FE340C" w:rsidRDefault="00925E68">
      <w:pPr>
        <w:spacing w:after="80"/>
        <w:jc w:val="both"/>
      </w:pPr>
      <w:r w:rsidRPr="00FE340C">
        <w:rPr>
          <w:rStyle w:val="Strong"/>
        </w:rPr>
        <w:t>Results:</w:t>
      </w:r>
      <w:r w:rsidRPr="00FE340C">
        <w:t xml:space="preserve"> In the binary model, age category, risk tolerance, and financial literacy were positively associated with stock preference, whereas financial access was negatively associated. The model achieved a McFadden R² of 0.554 and an area under the receiver operating characteristic curve of 0.940. In the ordered stock model, risk tolerance and digital financial services were positively associated with stock tendency, while financial access was negatively associated. In the ordered mutual-fund model, risk tolerance was negatively associated with mutual-fund tendency; the remaining predictors were not significant at the 5% level under conventional standard errors. </w:t>
      </w:r>
    </w:p>
    <w:p w14:paraId="1AC3400F" w14:textId="77777777" w:rsidR="00925E68" w:rsidRPr="00FE340C" w:rsidRDefault="00925E68">
      <w:pPr>
        <w:spacing w:after="80"/>
        <w:jc w:val="both"/>
        <w:rPr>
          <w:b/>
          <w:sz w:val="17"/>
        </w:rPr>
      </w:pPr>
      <w:r w:rsidRPr="00FE340C">
        <w:rPr>
          <w:rStyle w:val="Strong"/>
        </w:rPr>
        <w:t>Conclusion:</w:t>
      </w:r>
      <w:r w:rsidRPr="00FE340C">
        <w:t xml:space="preserve"> Risk tolerance was the most consistent determinant of product preference. Other associations varied by instrument and model. The results are associative and relate to a purposively selected investor sample rather than national capital-market participation.</w:t>
      </w:r>
    </w:p>
    <w:p w14:paraId="4F7D309A" w14:textId="77777777" w:rsidR="00925E68" w:rsidRPr="00FE340C" w:rsidRDefault="00925E68">
      <w:pPr>
        <w:spacing w:after="80"/>
        <w:jc w:val="both"/>
        <w:rPr>
          <w:b/>
          <w:sz w:val="17"/>
        </w:rPr>
      </w:pPr>
    </w:p>
    <w:p w14:paraId="0CF49BDF" w14:textId="3D0F7EEE" w:rsidR="00A61EE7" w:rsidRDefault="00000000" w:rsidP="00A61EE7">
      <w:pPr>
        <w:spacing w:after="80"/>
        <w:jc w:val="both"/>
        <w:rPr>
          <w:sz w:val="17"/>
        </w:rPr>
      </w:pPr>
      <w:r w:rsidRPr="00FE340C">
        <w:rPr>
          <w:b/>
          <w:sz w:val="17"/>
        </w:rPr>
        <w:t xml:space="preserve">Keywords: </w:t>
      </w:r>
      <w:r w:rsidR="00A61EE7" w:rsidRPr="00A61EE7">
        <w:rPr>
          <w:sz w:val="17"/>
        </w:rPr>
        <w:t>Investment instrument preference; stocks; mutual funds; financial literacy; risk tolerance; binary logit; ordered logit.</w:t>
      </w:r>
    </w:p>
    <w:p w14:paraId="3A5E2B41" w14:textId="77777777" w:rsidR="00A61EE7" w:rsidRDefault="00A61EE7" w:rsidP="00A61EE7">
      <w:pPr>
        <w:spacing w:after="80"/>
        <w:jc w:val="both"/>
        <w:rPr>
          <w:sz w:val="17"/>
        </w:rPr>
      </w:pPr>
    </w:p>
    <w:p w14:paraId="7306AF58" w14:textId="1F0C6A7E" w:rsidR="00122D62" w:rsidRPr="00FE340C" w:rsidRDefault="00000000" w:rsidP="00A61EE7">
      <w:pPr>
        <w:spacing w:after="80"/>
        <w:jc w:val="both"/>
      </w:pPr>
      <w:r w:rsidRPr="00FE340C">
        <w:rPr>
          <w:b/>
          <w:sz w:val="21"/>
        </w:rPr>
        <w:t>1. INTRODUCTION</w:t>
      </w:r>
    </w:p>
    <w:p w14:paraId="6281ABF1" w14:textId="77777777" w:rsidR="00122D62" w:rsidRPr="00FE340C" w:rsidRDefault="00000000">
      <w:pPr>
        <w:ind w:firstLine="331"/>
        <w:jc w:val="both"/>
      </w:pPr>
      <w:r w:rsidRPr="00FE340C">
        <w:t>Stocks and mutual funds are important channels through which households can participate in capital markets. Direct stock ownership offers potential capital gains and dividends but exposes investors to firm-specific and market risk. Mutual funds pool resources across investors and can lower entry barriers through diversification and professional portfolio management (Reilly &amp; Brown, 2012; Khorana et al., 2005). These differences make the choice between stocks and mutual funds a useful setting for examining how knowledge, risk attitudes, access, and institutional confidence shape investment behaviour. Recent evidence on mutual-fund preferences also identifies expected returns, convenience, transparency, professional management, diversification, awareness, and financial literacy as relevant considerations (Talawar, 2025).</w:t>
      </w:r>
      <w:r w:rsidRPr="00FE340C">
        <w:rPr>
          <w:b/>
        </w:rPr>
        <w:t xml:space="preserve"> </w:t>
      </w:r>
      <w:r w:rsidRPr="00C00BAF">
        <w:rPr>
          <w:bCs/>
        </w:rPr>
        <w:t>Within Indonesia, recent evidence associates stock-investment intention with both financial literacy and risk tolerance, supporting their joint consideration when comparing investment instruments (Rahmayanti et al., 2025). Mutual funds also differ in their underlying asset and sector allocations, and these portfolio structures may be associated with fund performance (Dash &amp; Rita, 2023).</w:t>
      </w:r>
    </w:p>
    <w:p w14:paraId="23AE28D3" w14:textId="77777777" w:rsidR="00122D62" w:rsidRPr="00C00BAF" w:rsidRDefault="00000000">
      <w:pPr>
        <w:ind w:firstLine="331"/>
        <w:jc w:val="both"/>
        <w:rPr>
          <w:bCs/>
        </w:rPr>
      </w:pPr>
      <w:r w:rsidRPr="00FE340C">
        <w:t>Financial literacy improves the ability to understand diversification, inflation, compound returns, and financial risk. Households with stronger financial knowledge are more likely to recognise investment opportunities and participate in equity markets, although knowledge alone does not eliminate access constraints or behavioural barriers (Guiso &amp; Jappelli, 2005; van Rooij et al., 2011; Lusardi &amp; Mitchell, 2014). Financial advice, product design, and investor protection can therefore complement education by helping individuals translate knowledge into suitable portfolio choices (Calcagno &amp; Monticone, 2015; La Porta et al., 2006). Recent studies further indicate that financial literacy is related to participation in risky assets through risk attitudes and to behavioural intentions towards mutual-fund investment (Oehler et al., 2024; Thanki et al., 2025).</w:t>
      </w:r>
      <w:r w:rsidRPr="00FE340C">
        <w:rPr>
          <w:b/>
        </w:rPr>
        <w:t xml:space="preserve"> </w:t>
      </w:r>
      <w:r w:rsidRPr="00C00BAF">
        <w:rPr>
          <w:bCs/>
        </w:rPr>
        <w:t>Recent household-level evidence similarly identifies a positive association between advanced financial literacy and stock-market participation, while indicating that the strength of this relationship may vary with economic and resource conditions (Zhao et al., 2024).</w:t>
      </w:r>
    </w:p>
    <w:p w14:paraId="6B60EC2F" w14:textId="77777777" w:rsidR="00122D62" w:rsidRPr="00FE340C" w:rsidRDefault="00000000">
      <w:pPr>
        <w:ind w:firstLine="331"/>
        <w:jc w:val="both"/>
      </w:pPr>
      <w:r w:rsidRPr="00FE340C">
        <w:t>Risk tolerance is particularly relevant when comparing direct stocks and mutual funds. Direct stockholding generally entails greater exposure to short-term volatility and concentration risk than mutual-fund investment. Household-finance research shows that limited financial sophistication and low willingness to bear risk can reduce direct equity participation (Campbell, 2006; Bannier &amp; Neubert, 2016). Digital platforms may reduce transaction and search costs, but digital access does not automatically produce effective investment participation when users lack confidence, product knowledge, or trust (Gomber et al., 2017; Choung et al., 2023). Research on online stock-trading applications similarly identifies financial literacy, perceived safety, risk-related considerations, and technical factors as correlates of adoption behaviour (Johri et al., 2023). A recent scoping review also emphasised that the effectiveness of digital financial inclusion depends on complementary infrastructure, financial literacy, and regulatory support (Olatunbosun et al., 2026).</w:t>
      </w:r>
      <w:r w:rsidRPr="00FE340C">
        <w:rPr>
          <w:b/>
        </w:rPr>
        <w:t xml:space="preserve"> </w:t>
      </w:r>
      <w:r w:rsidRPr="00C00BAF">
        <w:rPr>
          <w:bCs/>
        </w:rPr>
        <w:t>Digital wealth-management use has also been associated with greater financial awareness and stock-market participation, suggesting that access and knowledge may operate together rather than independently (Lu et al., 2024).</w:t>
      </w:r>
    </w:p>
    <w:p w14:paraId="0051B67F" w14:textId="77777777" w:rsidR="00122D62" w:rsidRPr="00FE340C" w:rsidRDefault="00000000">
      <w:pPr>
        <w:ind w:firstLine="331"/>
        <w:jc w:val="both"/>
      </w:pPr>
      <w:r w:rsidRPr="00FE340C">
        <w:t xml:space="preserve">The original manuscript treated instrument preference as a direct indicator of capital market inclusion. The revised study adopts a narrower interpretation. Its dependent variables capture the choice and stated tendency to choose stocks or mutual funds among people who reported holding financial assets. They do not measure the proportion of the Indonesian population </w:t>
      </w:r>
      <w:r w:rsidRPr="00FE340C">
        <w:lastRenderedPageBreak/>
        <w:t>participating in capital markets. Nevertheless, product-specific preference can provide indirect evidence about demand-side and institutional conditions relevant to broader participation.</w:t>
      </w:r>
    </w:p>
    <w:p w14:paraId="59D2DD82" w14:textId="77777777" w:rsidR="00707B78" w:rsidRPr="00FE340C" w:rsidRDefault="00000000">
      <w:r w:rsidRPr="00FE340C">
        <w:t>The study therefore addresses the need for a product-specific analysis that distinguishes the factors associated with direct stock preference from those associated with mutual-fund preference within the same Indonesian capital-market sample.</w:t>
      </w:r>
      <w:r w:rsidRPr="00FE340C">
        <w:rPr>
          <w:b/>
        </w:rPr>
        <w:t xml:space="preserve"> </w:t>
      </w:r>
      <w:r w:rsidRPr="00AD66A9">
        <w:rPr>
          <w:bCs/>
        </w:rPr>
        <w:t>However, the available evidence remains limited on whether age, risk tolerance, financial literacy, financial access, digital financial services, and perceived regulatory support show distinct associations with direct stock preference and mutual-fund preference when assessed within the same investor sample.</w:t>
      </w:r>
    </w:p>
    <w:p w14:paraId="0988A6FD" w14:textId="77777777" w:rsidR="00122D62" w:rsidRPr="00FE340C" w:rsidRDefault="00000000">
      <w:pPr>
        <w:ind w:firstLine="331"/>
        <w:jc w:val="both"/>
      </w:pPr>
      <w:r w:rsidRPr="00FE340C">
        <w:t>The study has two objectives. First, it identifies factors associated with choosing stocks rather than mutual funds. Second, it examines whether those factors are associated with higher stated tendencies to choose stocks and mutual funds separately. The contribution lies in distinguishing direct equity preference from mutual-fund preference rather than treating all capital-market instruments as homogeneous. This distinction is relevant for investor education, suitability assessment, product distribution, and investor-protection policies.</w:t>
      </w:r>
    </w:p>
    <w:p w14:paraId="5A7AE2D8" w14:textId="77777777" w:rsidR="00122D62" w:rsidRPr="00FE340C" w:rsidRDefault="00000000">
      <w:pPr>
        <w:keepNext/>
        <w:spacing w:before="100" w:after="40"/>
      </w:pPr>
      <w:r w:rsidRPr="00FE340C">
        <w:rPr>
          <w:b/>
          <w:sz w:val="21"/>
        </w:rPr>
        <w:t>2. LITERATURE REVIEW AND HYPOTHESIS DEVELOPMENT</w:t>
      </w:r>
    </w:p>
    <w:p w14:paraId="375D5561" w14:textId="77777777" w:rsidR="00122D62" w:rsidRPr="00FE340C" w:rsidRDefault="00000000">
      <w:pPr>
        <w:keepNext/>
        <w:spacing w:before="60" w:after="40"/>
      </w:pPr>
      <w:r w:rsidRPr="00FE340C">
        <w:rPr>
          <w:b/>
        </w:rPr>
        <w:t>2.1 Financial Literacy and Investment Choice</w:t>
      </w:r>
    </w:p>
    <w:p w14:paraId="12A14D12" w14:textId="77777777" w:rsidR="00122D62" w:rsidRPr="00FE340C" w:rsidRDefault="00000000">
      <w:pPr>
        <w:ind w:firstLine="331"/>
        <w:jc w:val="both"/>
      </w:pPr>
      <w:r w:rsidRPr="00FE340C">
        <w:t>Financial literacy is a form of human capital that improves the ability to process information and make intertemporal financial decisions (Jappelli &amp; Padula, 2013; Lusardi &amp; Mitchell, 2014). Awareness of financial assets matters because households may not participate when they cannot recognise available products or evaluate risk-return characteristics (Guiso &amp; Jappelli, 2005). Empirical evidence also links financial literacy to stock-market participation and active portfolio management (van Rooij et al., 2011; Bianchi, 2018). The effect may differ by product because direct equity selection requires different knowledge and monitoring than delegated mutual-fund management.</w:t>
      </w:r>
    </w:p>
    <w:p w14:paraId="5116756B" w14:textId="77777777" w:rsidR="00122D62" w:rsidRPr="00FE340C" w:rsidRDefault="00000000">
      <w:pPr>
        <w:keepNext/>
        <w:spacing w:before="60" w:after="40"/>
      </w:pPr>
      <w:r w:rsidRPr="00FE340C">
        <w:rPr>
          <w:b/>
        </w:rPr>
        <w:t>2.2 Risk Tolerance, Age, and Product Suitability</w:t>
      </w:r>
    </w:p>
    <w:p w14:paraId="65A36774" w14:textId="77777777" w:rsidR="00122D62" w:rsidRPr="00FE340C" w:rsidRDefault="00000000">
      <w:pPr>
        <w:ind w:firstLine="331"/>
        <w:jc w:val="both"/>
      </w:pPr>
      <w:r w:rsidRPr="00FE340C">
        <w:t xml:space="preserve">Risk tolerance reflects the willingness and capacity to accept uncertain investment outcomes. Stocks generally display greater short-term price volatility than diversified mutual funds, making risk tolerance an important determinant of direct stock preference (Al-Tamimi &amp; Bin Kalli, 2009; </w:t>
      </w:r>
      <w:proofErr w:type="spellStart"/>
      <w:r w:rsidRPr="00FE340C">
        <w:t>Bannier</w:t>
      </w:r>
      <w:proofErr w:type="spellEnd"/>
      <w:r w:rsidRPr="00FE340C">
        <w:t xml:space="preserve"> &amp; Neubert, 2016). Age can also capture differences in investment horizon, experience, income stability, and familiarity with investment channels. Because age is coded as a generation category, its coefficient represents a one-category change rather than a one-year marginal effect.</w:t>
      </w:r>
    </w:p>
    <w:p w14:paraId="48C4C853" w14:textId="77777777" w:rsidR="00122D62" w:rsidRPr="00FE340C" w:rsidRDefault="00000000">
      <w:pPr>
        <w:keepNext/>
        <w:spacing w:before="60" w:after="40"/>
      </w:pPr>
      <w:r w:rsidRPr="00FE340C">
        <w:rPr>
          <w:b/>
        </w:rPr>
        <w:t>2.3 Financial Access, Digital Services, and Regulation</w:t>
      </w:r>
    </w:p>
    <w:p w14:paraId="4045E34E" w14:textId="77777777" w:rsidR="00122D62" w:rsidRPr="00FE340C" w:rsidRDefault="00000000">
      <w:pPr>
        <w:ind w:firstLine="331"/>
        <w:jc w:val="both"/>
      </w:pPr>
      <w:r w:rsidRPr="00FE340C">
        <w:t>Financial access refers to the practical ability to obtain and use investment services. Account-opening procedures, minimum investment requirements, distribution channels, and access to advice can influence whether investors choose direct stocks or pooled products. Mutual funds may be especially sensitive to distribution and institutional access because they are offered through banks, securities firms, and digital platforms (Khorana et al., 2005).</w:t>
      </w:r>
    </w:p>
    <w:p w14:paraId="542E084B" w14:textId="77777777" w:rsidR="00122D62" w:rsidRPr="00FE340C" w:rsidRDefault="00000000">
      <w:pPr>
        <w:ind w:firstLine="331"/>
        <w:jc w:val="both"/>
      </w:pPr>
      <w:r w:rsidRPr="00FE340C">
        <w:t>Digital finance can reduce search, transaction, and monitoring costs and expand services available to retail users (Gomber et al., 2017; Gomber et al., 2018). However, digital availability should not be equated with effective participation. Digital financial literacy, confidence, and the ability to evaluate online information remain important for financial well-being and product use (Choung et al., 2023). Regulation is also relevant because disclosure, investor protection, and enforcement can strengthen trust and reduce perceived risk (La Porta et al., 2006).</w:t>
      </w:r>
    </w:p>
    <w:p w14:paraId="050100BD" w14:textId="77777777" w:rsidR="00122D62" w:rsidRPr="00FE340C" w:rsidRDefault="00000000">
      <w:pPr>
        <w:keepNext/>
        <w:spacing w:before="60" w:after="40"/>
      </w:pPr>
      <w:r w:rsidRPr="00FE340C">
        <w:rPr>
          <w:b/>
        </w:rPr>
        <w:t>2.4 Research Hypotheses</w:t>
      </w:r>
    </w:p>
    <w:p w14:paraId="1285FDD2" w14:textId="77777777" w:rsidR="00122D62" w:rsidRPr="00FE340C" w:rsidRDefault="00000000">
      <w:pPr>
        <w:spacing w:after="24"/>
        <w:jc w:val="both"/>
      </w:pPr>
      <w:r w:rsidRPr="00FE340C">
        <w:t>H1: Age is significantly associated with the preference for stocks rather than mutual funds.</w:t>
      </w:r>
    </w:p>
    <w:p w14:paraId="39672CBE" w14:textId="77777777" w:rsidR="00122D62" w:rsidRPr="00FE340C" w:rsidRDefault="00000000">
      <w:pPr>
        <w:spacing w:after="24"/>
        <w:jc w:val="both"/>
      </w:pPr>
      <w:r w:rsidRPr="00FE340C">
        <w:t>H2: Risk tolerance is positively associated with stock preference and the tendency to choose stocks.</w:t>
      </w:r>
    </w:p>
    <w:p w14:paraId="462C4B7E" w14:textId="77777777" w:rsidR="00122D62" w:rsidRPr="00FE340C" w:rsidRDefault="00000000">
      <w:pPr>
        <w:spacing w:after="24"/>
        <w:jc w:val="both"/>
      </w:pPr>
      <w:r w:rsidRPr="00FE340C">
        <w:t>H3: Financial literacy is significantly associated with investment-instrument preference and product-specific tendencies.</w:t>
      </w:r>
    </w:p>
    <w:p w14:paraId="2C58EBC7" w14:textId="77777777" w:rsidR="00122D62" w:rsidRPr="00FE340C" w:rsidRDefault="00000000">
      <w:pPr>
        <w:spacing w:after="24"/>
        <w:jc w:val="both"/>
      </w:pPr>
      <w:r w:rsidRPr="00FE340C">
        <w:t>H4: Financial access is significantly associated with investment-instrument preference and product-specific tendencies.</w:t>
      </w:r>
    </w:p>
    <w:p w14:paraId="6A5A0450" w14:textId="77777777" w:rsidR="00122D62" w:rsidRPr="00FE340C" w:rsidRDefault="00000000">
      <w:pPr>
        <w:spacing w:after="24"/>
        <w:jc w:val="both"/>
      </w:pPr>
      <w:r w:rsidRPr="00FE340C">
        <w:t>H5: Digital financial services are significantly associated with investment-instrument preference and product-specific tendencies.</w:t>
      </w:r>
    </w:p>
    <w:p w14:paraId="1A6454CB" w14:textId="77777777" w:rsidR="00122D62" w:rsidRPr="00FE340C" w:rsidRDefault="00000000">
      <w:pPr>
        <w:spacing w:after="24"/>
        <w:jc w:val="both"/>
      </w:pPr>
      <w:r w:rsidRPr="00FE340C">
        <w:t>H6: Perceived regulatory support is significantly associated with investment-instrument preference and product-specific tendencies.</w:t>
      </w:r>
    </w:p>
    <w:p w14:paraId="1615C086" w14:textId="77777777" w:rsidR="00122D62" w:rsidRPr="00FE340C" w:rsidRDefault="00000000">
      <w:pPr>
        <w:keepNext/>
        <w:spacing w:before="100" w:after="40"/>
      </w:pPr>
      <w:r w:rsidRPr="00FE340C">
        <w:rPr>
          <w:b/>
          <w:sz w:val="21"/>
        </w:rPr>
        <w:t>3. METHODOLOGY</w:t>
      </w:r>
    </w:p>
    <w:p w14:paraId="5B8780D0" w14:textId="77777777" w:rsidR="00122D62" w:rsidRPr="00FE340C" w:rsidRDefault="00000000">
      <w:pPr>
        <w:keepNext/>
        <w:spacing w:before="60" w:after="40"/>
      </w:pPr>
      <w:r w:rsidRPr="00FE340C">
        <w:rPr>
          <w:b/>
        </w:rPr>
        <w:t>3.1 Research Design, Sample, and Survey Period</w:t>
      </w:r>
    </w:p>
    <w:p w14:paraId="786584E0" w14:textId="77777777" w:rsidR="00122D62" w:rsidRPr="00FE340C" w:rsidRDefault="00000000">
      <w:pPr>
        <w:ind w:firstLine="331"/>
        <w:jc w:val="both"/>
      </w:pPr>
      <w:r w:rsidRPr="00FE340C">
        <w:t>This study used a quantitative cross-sectional survey. The survey was conducted in Indonesia from June to August 2024. Respondents were recruited purposively because the analysis required individuals who reported holding a financial-asset portfolio and could evaluate stocks and mutual funds. The term “purposive random sampling” used in the earlier manuscript has therefore been corrected to “purposive sampling.” The analytical sample contained 200 respondents, with 100 indicating stock preference and 100 indicating mutual-fund preference.</w:t>
      </w:r>
    </w:p>
    <w:p w14:paraId="69A772FE" w14:textId="77777777" w:rsidR="00122D62" w:rsidRPr="00FE340C" w:rsidRDefault="00000000">
      <w:pPr>
        <w:ind w:firstLine="331"/>
        <w:jc w:val="both"/>
      </w:pPr>
      <w:r w:rsidRPr="00FE340C">
        <w:t>Age was the only demographic characteristic retained in the supplied analytical file. The sample comprised 82 Generation Z respondents (41.0%), 51 Millennials (25.5%), 63 Generation X respondents (31.5%), and four Baby Boomers (2.0%). The research file did not retain a province-by-province sampling frame, distribution-channel log, or additional demographic variables; therefore, the sample is not claimed to be geographically or demographically representative of Indonesia.</w:t>
      </w:r>
    </w:p>
    <w:p w14:paraId="57F37096" w14:textId="77777777" w:rsidR="00122D62" w:rsidRPr="00FE340C" w:rsidRDefault="00000000">
      <w:pPr>
        <w:ind w:firstLine="331"/>
        <w:jc w:val="both"/>
      </w:pPr>
      <w:r w:rsidRPr="00FE340C">
        <w:t>For the binary model, the smaller outcome group contained 100 observations and the model included six predictors, equating to approximately 16.7 observations per predictor in the smaller outcome group. This exceeds the traditional ten-events-per-variable rule of thumb; however, event-per-variable thresholds should not be regarded as an absolute guarantee of model validity (Vittinghoff &amp; McCulloch, 2007).</w:t>
      </w:r>
    </w:p>
    <w:p w14:paraId="3132FD10" w14:textId="77777777" w:rsidR="00122D62" w:rsidRPr="00FE340C" w:rsidRDefault="00000000">
      <w:pPr>
        <w:keepNext/>
        <w:spacing w:before="60" w:after="40"/>
      </w:pPr>
      <w:r w:rsidRPr="00FE340C">
        <w:rPr>
          <w:b/>
        </w:rPr>
        <w:lastRenderedPageBreak/>
        <w:t>3.2 Measurement</w:t>
      </w:r>
    </w:p>
    <w:p w14:paraId="0C232F19" w14:textId="77777777" w:rsidR="00122D62" w:rsidRPr="00FE340C" w:rsidRDefault="00000000">
      <w:pPr>
        <w:ind w:firstLine="331"/>
        <w:jc w:val="both"/>
      </w:pPr>
      <w:r w:rsidRPr="00FE340C">
        <w:t>The binary dependent variable, Invest, was coded 1 for stock preference and 0 for mutual-fund preference. The Stock and Mutual Funds variables measured the stated tendency to choose each instrument on a five-point scale. Age was coded into four generation categories. Risk tolerance, financial literacy, financial access, digital financial services, and regulation were recorded on five-point rating scales, with higher values indicating higher levels of the relevant attribute.</w:t>
      </w:r>
    </w:p>
    <w:p w14:paraId="3CD29538" w14:textId="77777777" w:rsidR="00122D62" w:rsidRPr="00FE340C" w:rsidRDefault="00000000">
      <w:pPr>
        <w:ind w:firstLine="331"/>
        <w:jc w:val="both"/>
      </w:pPr>
      <w:r w:rsidRPr="00FE340C">
        <w:t>Each construct was represented by one observed rating in the supplied dataset. Consequently, internal-consistency measures such as Cronbach’s alpha and factor-based construct-validity tests are not estimable. The revised manuscript states this measurement design explicitly and treats the absence of multi-item validation as a limitation rather than reporting unobserved reliability statistics.</w:t>
      </w:r>
    </w:p>
    <w:p w14:paraId="75B35597" w14:textId="77777777" w:rsidR="00122D62" w:rsidRPr="00FE340C" w:rsidRDefault="00000000">
      <w:pPr>
        <w:keepNext/>
        <w:spacing w:before="60" w:after="20"/>
      </w:pPr>
      <w:r w:rsidRPr="00FE340C">
        <w:rPr>
          <w:b/>
          <w:sz w:val="18"/>
        </w:rPr>
        <w:t>Table 1. Operational definitions and measurement of variables</w:t>
      </w:r>
    </w:p>
    <w:tbl>
      <w:tblPr>
        <w:tblW w:w="0" w:type="auto"/>
        <w:jc w:val="center"/>
        <w:tblBorders>
          <w:top w:val="single" w:sz="6" w:space="0" w:color="000000"/>
          <w:left w:val="nil"/>
          <w:bottom w:val="single" w:sz="6" w:space="0" w:color="000000"/>
          <w:right w:val="nil"/>
          <w:insideH w:val="single" w:sz="6" w:space="0" w:color="000000"/>
          <w:insideV w:val="nil"/>
        </w:tblBorders>
        <w:tblLayout w:type="fixed"/>
        <w:tblLook w:val="04A0" w:firstRow="1" w:lastRow="0" w:firstColumn="1" w:lastColumn="0" w:noHBand="0" w:noVBand="1"/>
      </w:tblPr>
      <w:tblGrid>
        <w:gridCol w:w="1656"/>
        <w:gridCol w:w="5112"/>
        <w:gridCol w:w="3384"/>
      </w:tblGrid>
      <w:tr w:rsidR="00122D62" w:rsidRPr="00FE340C" w14:paraId="5494F190" w14:textId="77777777">
        <w:trPr>
          <w:tblHeader/>
          <w:jc w:val="center"/>
        </w:trPr>
        <w:tc>
          <w:tcPr>
            <w:tcW w:w="1656" w:type="dxa"/>
            <w:tcMar>
              <w:top w:w="45" w:type="dxa"/>
              <w:left w:w="55" w:type="dxa"/>
              <w:bottom w:w="45" w:type="dxa"/>
              <w:right w:w="55" w:type="dxa"/>
            </w:tcMar>
            <w:vAlign w:val="center"/>
          </w:tcPr>
          <w:p w14:paraId="7BE7704C" w14:textId="77777777" w:rsidR="00122D62" w:rsidRPr="00FE340C" w:rsidRDefault="00000000">
            <w:pPr>
              <w:spacing w:after="0"/>
              <w:jc w:val="center"/>
            </w:pPr>
            <w:r w:rsidRPr="00FE340C">
              <w:rPr>
                <w:b/>
                <w:sz w:val="15"/>
              </w:rPr>
              <w:t>Variable</w:t>
            </w:r>
          </w:p>
        </w:tc>
        <w:tc>
          <w:tcPr>
            <w:tcW w:w="5112" w:type="dxa"/>
            <w:tcMar>
              <w:top w:w="45" w:type="dxa"/>
              <w:left w:w="55" w:type="dxa"/>
              <w:bottom w:w="45" w:type="dxa"/>
              <w:right w:w="55" w:type="dxa"/>
            </w:tcMar>
            <w:vAlign w:val="center"/>
          </w:tcPr>
          <w:p w14:paraId="78CC09EB" w14:textId="77777777" w:rsidR="00122D62" w:rsidRPr="00FE340C" w:rsidRDefault="00000000">
            <w:pPr>
              <w:spacing w:after="0"/>
              <w:jc w:val="center"/>
            </w:pPr>
            <w:r w:rsidRPr="00FE340C">
              <w:rPr>
                <w:b/>
                <w:sz w:val="15"/>
              </w:rPr>
              <w:t>Operational definition</w:t>
            </w:r>
          </w:p>
        </w:tc>
        <w:tc>
          <w:tcPr>
            <w:tcW w:w="3384" w:type="dxa"/>
            <w:tcMar>
              <w:top w:w="45" w:type="dxa"/>
              <w:left w:w="55" w:type="dxa"/>
              <w:bottom w:w="45" w:type="dxa"/>
              <w:right w:w="55" w:type="dxa"/>
            </w:tcMar>
            <w:vAlign w:val="center"/>
          </w:tcPr>
          <w:p w14:paraId="46A57561" w14:textId="77777777" w:rsidR="00122D62" w:rsidRPr="00FE340C" w:rsidRDefault="00000000">
            <w:pPr>
              <w:spacing w:after="0"/>
              <w:jc w:val="center"/>
            </w:pPr>
            <w:r w:rsidRPr="00FE340C">
              <w:rPr>
                <w:b/>
                <w:sz w:val="15"/>
              </w:rPr>
              <w:t>Coding/scale</w:t>
            </w:r>
          </w:p>
        </w:tc>
      </w:tr>
      <w:tr w:rsidR="00122D62" w:rsidRPr="00FE340C" w14:paraId="2B40DD51" w14:textId="77777777">
        <w:trPr>
          <w:cantSplit/>
          <w:jc w:val="center"/>
        </w:trPr>
        <w:tc>
          <w:tcPr>
            <w:tcW w:w="1656" w:type="dxa"/>
            <w:tcMar>
              <w:top w:w="45" w:type="dxa"/>
              <w:left w:w="55" w:type="dxa"/>
              <w:bottom w:w="45" w:type="dxa"/>
              <w:right w:w="55" w:type="dxa"/>
            </w:tcMar>
            <w:vAlign w:val="center"/>
          </w:tcPr>
          <w:p w14:paraId="71040DA8" w14:textId="77777777" w:rsidR="00122D62" w:rsidRPr="00FE340C" w:rsidRDefault="00000000">
            <w:pPr>
              <w:spacing w:after="0"/>
            </w:pPr>
            <w:r w:rsidRPr="00FE340C">
              <w:rPr>
                <w:sz w:val="15"/>
              </w:rPr>
              <w:t>Invest</w:t>
            </w:r>
          </w:p>
        </w:tc>
        <w:tc>
          <w:tcPr>
            <w:tcW w:w="5112" w:type="dxa"/>
            <w:tcMar>
              <w:top w:w="45" w:type="dxa"/>
              <w:left w:w="55" w:type="dxa"/>
              <w:bottom w:w="45" w:type="dxa"/>
              <w:right w:w="55" w:type="dxa"/>
            </w:tcMar>
            <w:vAlign w:val="center"/>
          </w:tcPr>
          <w:p w14:paraId="438CD8E5" w14:textId="77777777" w:rsidR="00122D62" w:rsidRPr="00FE340C" w:rsidRDefault="00000000">
            <w:pPr>
              <w:spacing w:after="0"/>
              <w:jc w:val="center"/>
            </w:pPr>
            <w:r w:rsidRPr="00FE340C">
              <w:rPr>
                <w:sz w:val="15"/>
              </w:rPr>
              <w:t>Preference between stocks and mutual funds</w:t>
            </w:r>
          </w:p>
        </w:tc>
        <w:tc>
          <w:tcPr>
            <w:tcW w:w="3384" w:type="dxa"/>
            <w:tcMar>
              <w:top w:w="45" w:type="dxa"/>
              <w:left w:w="55" w:type="dxa"/>
              <w:bottom w:w="45" w:type="dxa"/>
              <w:right w:w="55" w:type="dxa"/>
            </w:tcMar>
            <w:vAlign w:val="center"/>
          </w:tcPr>
          <w:p w14:paraId="0D69B491" w14:textId="77777777" w:rsidR="00122D62" w:rsidRPr="00FE340C" w:rsidRDefault="00000000">
            <w:pPr>
              <w:spacing w:after="0"/>
              <w:jc w:val="center"/>
            </w:pPr>
            <w:r w:rsidRPr="00FE340C">
              <w:rPr>
                <w:sz w:val="15"/>
              </w:rPr>
              <w:t>1 = stock; 0 = mutual fund</w:t>
            </w:r>
          </w:p>
        </w:tc>
      </w:tr>
      <w:tr w:rsidR="00122D62" w:rsidRPr="00FE340C" w14:paraId="60D0AB42" w14:textId="77777777">
        <w:trPr>
          <w:cantSplit/>
          <w:jc w:val="center"/>
        </w:trPr>
        <w:tc>
          <w:tcPr>
            <w:tcW w:w="1656" w:type="dxa"/>
            <w:tcMar>
              <w:top w:w="45" w:type="dxa"/>
              <w:left w:w="55" w:type="dxa"/>
              <w:bottom w:w="45" w:type="dxa"/>
              <w:right w:w="55" w:type="dxa"/>
            </w:tcMar>
            <w:vAlign w:val="center"/>
          </w:tcPr>
          <w:p w14:paraId="72774091" w14:textId="77777777" w:rsidR="00122D62" w:rsidRPr="00FE340C" w:rsidRDefault="00000000">
            <w:pPr>
              <w:spacing w:after="0"/>
            </w:pPr>
            <w:r w:rsidRPr="00FE340C">
              <w:rPr>
                <w:sz w:val="15"/>
              </w:rPr>
              <w:t>Stock</w:t>
            </w:r>
          </w:p>
        </w:tc>
        <w:tc>
          <w:tcPr>
            <w:tcW w:w="5112" w:type="dxa"/>
            <w:tcMar>
              <w:top w:w="45" w:type="dxa"/>
              <w:left w:w="55" w:type="dxa"/>
              <w:bottom w:w="45" w:type="dxa"/>
              <w:right w:w="55" w:type="dxa"/>
            </w:tcMar>
            <w:vAlign w:val="center"/>
          </w:tcPr>
          <w:p w14:paraId="63F4FA34" w14:textId="77777777" w:rsidR="00122D62" w:rsidRPr="00FE340C" w:rsidRDefault="00000000">
            <w:pPr>
              <w:spacing w:after="0"/>
              <w:jc w:val="center"/>
            </w:pPr>
            <w:r w:rsidRPr="00FE340C">
              <w:rPr>
                <w:sz w:val="15"/>
              </w:rPr>
              <w:t>Stated tendency to choose stocks</w:t>
            </w:r>
          </w:p>
        </w:tc>
        <w:tc>
          <w:tcPr>
            <w:tcW w:w="3384" w:type="dxa"/>
            <w:tcMar>
              <w:top w:w="45" w:type="dxa"/>
              <w:left w:w="55" w:type="dxa"/>
              <w:bottom w:w="45" w:type="dxa"/>
              <w:right w:w="55" w:type="dxa"/>
            </w:tcMar>
            <w:vAlign w:val="center"/>
          </w:tcPr>
          <w:p w14:paraId="482F7CB9" w14:textId="77777777" w:rsidR="00122D62" w:rsidRPr="00FE340C" w:rsidRDefault="00000000">
            <w:pPr>
              <w:spacing w:after="0"/>
              <w:jc w:val="center"/>
            </w:pPr>
            <w:r w:rsidRPr="00FE340C">
              <w:rPr>
                <w:sz w:val="15"/>
              </w:rPr>
              <w:t>2–5 observed; higher = stronger tendency</w:t>
            </w:r>
          </w:p>
        </w:tc>
      </w:tr>
      <w:tr w:rsidR="00122D62" w:rsidRPr="00FE340C" w14:paraId="5A8D1CB7" w14:textId="77777777">
        <w:trPr>
          <w:cantSplit/>
          <w:jc w:val="center"/>
        </w:trPr>
        <w:tc>
          <w:tcPr>
            <w:tcW w:w="1656" w:type="dxa"/>
            <w:tcMar>
              <w:top w:w="45" w:type="dxa"/>
              <w:left w:w="55" w:type="dxa"/>
              <w:bottom w:w="45" w:type="dxa"/>
              <w:right w:w="55" w:type="dxa"/>
            </w:tcMar>
            <w:vAlign w:val="center"/>
          </w:tcPr>
          <w:p w14:paraId="4046EBF4" w14:textId="77777777" w:rsidR="00122D62" w:rsidRPr="00FE340C" w:rsidRDefault="00000000">
            <w:pPr>
              <w:spacing w:after="0"/>
            </w:pPr>
            <w:r w:rsidRPr="00FE340C">
              <w:rPr>
                <w:sz w:val="15"/>
              </w:rPr>
              <w:t>Mutual funds</w:t>
            </w:r>
          </w:p>
        </w:tc>
        <w:tc>
          <w:tcPr>
            <w:tcW w:w="5112" w:type="dxa"/>
            <w:tcMar>
              <w:top w:w="45" w:type="dxa"/>
              <w:left w:w="55" w:type="dxa"/>
              <w:bottom w:w="45" w:type="dxa"/>
              <w:right w:w="55" w:type="dxa"/>
            </w:tcMar>
            <w:vAlign w:val="center"/>
          </w:tcPr>
          <w:p w14:paraId="7BD6B578" w14:textId="77777777" w:rsidR="00122D62" w:rsidRPr="00FE340C" w:rsidRDefault="00000000">
            <w:pPr>
              <w:spacing w:after="0"/>
              <w:jc w:val="center"/>
            </w:pPr>
            <w:r w:rsidRPr="00FE340C">
              <w:rPr>
                <w:sz w:val="15"/>
              </w:rPr>
              <w:t>Stated tendency to choose mutual funds</w:t>
            </w:r>
          </w:p>
        </w:tc>
        <w:tc>
          <w:tcPr>
            <w:tcW w:w="3384" w:type="dxa"/>
            <w:tcMar>
              <w:top w:w="45" w:type="dxa"/>
              <w:left w:w="55" w:type="dxa"/>
              <w:bottom w:w="45" w:type="dxa"/>
              <w:right w:w="55" w:type="dxa"/>
            </w:tcMar>
            <w:vAlign w:val="center"/>
          </w:tcPr>
          <w:p w14:paraId="76FCC7E2" w14:textId="77777777" w:rsidR="00122D62" w:rsidRPr="00FE340C" w:rsidRDefault="00000000">
            <w:pPr>
              <w:spacing w:after="0"/>
              <w:jc w:val="center"/>
            </w:pPr>
            <w:r w:rsidRPr="00FE340C">
              <w:rPr>
                <w:sz w:val="15"/>
              </w:rPr>
              <w:t>2–5 observed; higher = stronger tendency</w:t>
            </w:r>
          </w:p>
        </w:tc>
      </w:tr>
      <w:tr w:rsidR="00122D62" w:rsidRPr="00FE340C" w14:paraId="23B62355" w14:textId="77777777">
        <w:trPr>
          <w:cantSplit/>
          <w:jc w:val="center"/>
        </w:trPr>
        <w:tc>
          <w:tcPr>
            <w:tcW w:w="1656" w:type="dxa"/>
            <w:tcMar>
              <w:top w:w="45" w:type="dxa"/>
              <w:left w:w="55" w:type="dxa"/>
              <w:bottom w:w="45" w:type="dxa"/>
              <w:right w:w="55" w:type="dxa"/>
            </w:tcMar>
            <w:vAlign w:val="center"/>
          </w:tcPr>
          <w:p w14:paraId="72937CCF" w14:textId="77777777" w:rsidR="00122D62" w:rsidRPr="00FE340C" w:rsidRDefault="00000000">
            <w:pPr>
              <w:spacing w:after="0"/>
            </w:pPr>
            <w:r w:rsidRPr="00FE340C">
              <w:rPr>
                <w:sz w:val="15"/>
              </w:rPr>
              <w:t>Age</w:t>
            </w:r>
          </w:p>
        </w:tc>
        <w:tc>
          <w:tcPr>
            <w:tcW w:w="5112" w:type="dxa"/>
            <w:tcMar>
              <w:top w:w="45" w:type="dxa"/>
              <w:left w:w="55" w:type="dxa"/>
              <w:bottom w:w="45" w:type="dxa"/>
              <w:right w:w="55" w:type="dxa"/>
            </w:tcMar>
            <w:vAlign w:val="center"/>
          </w:tcPr>
          <w:p w14:paraId="1F27F35C" w14:textId="77777777" w:rsidR="00122D62" w:rsidRPr="00FE340C" w:rsidRDefault="00000000">
            <w:pPr>
              <w:spacing w:after="0"/>
              <w:jc w:val="center"/>
            </w:pPr>
            <w:r w:rsidRPr="00FE340C">
              <w:rPr>
                <w:sz w:val="15"/>
              </w:rPr>
              <w:t>Generation category</w:t>
            </w:r>
          </w:p>
        </w:tc>
        <w:tc>
          <w:tcPr>
            <w:tcW w:w="3384" w:type="dxa"/>
            <w:tcMar>
              <w:top w:w="45" w:type="dxa"/>
              <w:left w:w="55" w:type="dxa"/>
              <w:bottom w:w="45" w:type="dxa"/>
              <w:right w:w="55" w:type="dxa"/>
            </w:tcMar>
            <w:vAlign w:val="center"/>
          </w:tcPr>
          <w:p w14:paraId="5AAFC219" w14:textId="77777777" w:rsidR="00122D62" w:rsidRPr="00FE340C" w:rsidRDefault="00000000">
            <w:pPr>
              <w:spacing w:after="0"/>
              <w:jc w:val="center"/>
            </w:pPr>
            <w:r w:rsidRPr="00FE340C">
              <w:rPr>
                <w:sz w:val="15"/>
              </w:rPr>
              <w:t>1 = Gen Z; 2 = Millennials; 3 = Gen X; 4 = Baby Boomers</w:t>
            </w:r>
          </w:p>
        </w:tc>
      </w:tr>
      <w:tr w:rsidR="00122D62" w:rsidRPr="00FE340C" w14:paraId="28AEF32E" w14:textId="77777777">
        <w:trPr>
          <w:cantSplit/>
          <w:jc w:val="center"/>
        </w:trPr>
        <w:tc>
          <w:tcPr>
            <w:tcW w:w="1656" w:type="dxa"/>
            <w:tcMar>
              <w:top w:w="45" w:type="dxa"/>
              <w:left w:w="55" w:type="dxa"/>
              <w:bottom w:w="45" w:type="dxa"/>
              <w:right w:w="55" w:type="dxa"/>
            </w:tcMar>
            <w:vAlign w:val="center"/>
          </w:tcPr>
          <w:p w14:paraId="1D763D16" w14:textId="77777777" w:rsidR="00122D62" w:rsidRPr="00FE340C" w:rsidRDefault="00000000">
            <w:pPr>
              <w:spacing w:after="0"/>
            </w:pPr>
            <w:r w:rsidRPr="00FE340C">
              <w:rPr>
                <w:sz w:val="15"/>
              </w:rPr>
              <w:t>Risk tolerance</w:t>
            </w:r>
          </w:p>
        </w:tc>
        <w:tc>
          <w:tcPr>
            <w:tcW w:w="5112" w:type="dxa"/>
            <w:tcMar>
              <w:top w:w="45" w:type="dxa"/>
              <w:left w:w="55" w:type="dxa"/>
              <w:bottom w:w="45" w:type="dxa"/>
              <w:right w:w="55" w:type="dxa"/>
            </w:tcMar>
            <w:vAlign w:val="center"/>
          </w:tcPr>
          <w:p w14:paraId="5C123A39" w14:textId="77777777" w:rsidR="00122D62" w:rsidRPr="00FE340C" w:rsidRDefault="00000000">
            <w:pPr>
              <w:spacing w:after="0"/>
              <w:jc w:val="center"/>
            </w:pPr>
            <w:r w:rsidRPr="00FE340C">
              <w:rPr>
                <w:sz w:val="15"/>
              </w:rPr>
              <w:t>Ability and willingness to bear investment risk</w:t>
            </w:r>
          </w:p>
        </w:tc>
        <w:tc>
          <w:tcPr>
            <w:tcW w:w="3384" w:type="dxa"/>
            <w:tcMar>
              <w:top w:w="45" w:type="dxa"/>
              <w:left w:w="55" w:type="dxa"/>
              <w:bottom w:w="45" w:type="dxa"/>
              <w:right w:w="55" w:type="dxa"/>
            </w:tcMar>
            <w:vAlign w:val="center"/>
          </w:tcPr>
          <w:p w14:paraId="4250969E" w14:textId="77777777" w:rsidR="00122D62" w:rsidRPr="00FE340C" w:rsidRDefault="00000000">
            <w:pPr>
              <w:spacing w:after="0"/>
              <w:jc w:val="center"/>
            </w:pPr>
            <w:r w:rsidRPr="00FE340C">
              <w:rPr>
                <w:sz w:val="15"/>
              </w:rPr>
              <w:t>Five-point rating</w:t>
            </w:r>
          </w:p>
        </w:tc>
      </w:tr>
      <w:tr w:rsidR="00122D62" w:rsidRPr="00FE340C" w14:paraId="03086093" w14:textId="77777777">
        <w:trPr>
          <w:cantSplit/>
          <w:jc w:val="center"/>
        </w:trPr>
        <w:tc>
          <w:tcPr>
            <w:tcW w:w="1656" w:type="dxa"/>
            <w:tcMar>
              <w:top w:w="45" w:type="dxa"/>
              <w:left w:w="55" w:type="dxa"/>
              <w:bottom w:w="45" w:type="dxa"/>
              <w:right w:w="55" w:type="dxa"/>
            </w:tcMar>
            <w:vAlign w:val="center"/>
          </w:tcPr>
          <w:p w14:paraId="5AB40600" w14:textId="77777777" w:rsidR="00122D62" w:rsidRPr="00FE340C" w:rsidRDefault="00000000">
            <w:pPr>
              <w:spacing w:after="0"/>
            </w:pPr>
            <w:r w:rsidRPr="00FE340C">
              <w:rPr>
                <w:sz w:val="15"/>
              </w:rPr>
              <w:t>Financial literacy</w:t>
            </w:r>
          </w:p>
        </w:tc>
        <w:tc>
          <w:tcPr>
            <w:tcW w:w="5112" w:type="dxa"/>
            <w:tcMar>
              <w:top w:w="45" w:type="dxa"/>
              <w:left w:w="55" w:type="dxa"/>
              <w:bottom w:w="45" w:type="dxa"/>
              <w:right w:w="55" w:type="dxa"/>
            </w:tcMar>
            <w:vAlign w:val="center"/>
          </w:tcPr>
          <w:p w14:paraId="4757031E" w14:textId="77777777" w:rsidR="00122D62" w:rsidRPr="00FE340C" w:rsidRDefault="00000000">
            <w:pPr>
              <w:spacing w:after="0"/>
              <w:jc w:val="center"/>
            </w:pPr>
            <w:r w:rsidRPr="00FE340C">
              <w:rPr>
                <w:sz w:val="15"/>
              </w:rPr>
              <w:t>Knowledge and capability relevant to financial decisions</w:t>
            </w:r>
          </w:p>
        </w:tc>
        <w:tc>
          <w:tcPr>
            <w:tcW w:w="3384" w:type="dxa"/>
            <w:tcMar>
              <w:top w:w="45" w:type="dxa"/>
              <w:left w:w="55" w:type="dxa"/>
              <w:bottom w:w="45" w:type="dxa"/>
              <w:right w:w="55" w:type="dxa"/>
            </w:tcMar>
            <w:vAlign w:val="center"/>
          </w:tcPr>
          <w:p w14:paraId="701F7CEC" w14:textId="77777777" w:rsidR="00122D62" w:rsidRPr="00FE340C" w:rsidRDefault="00000000">
            <w:pPr>
              <w:spacing w:after="0"/>
              <w:jc w:val="center"/>
            </w:pPr>
            <w:r w:rsidRPr="00FE340C">
              <w:rPr>
                <w:sz w:val="15"/>
              </w:rPr>
              <w:t>Five-point rating</w:t>
            </w:r>
          </w:p>
        </w:tc>
      </w:tr>
      <w:tr w:rsidR="00122D62" w:rsidRPr="00FE340C" w14:paraId="00572B17" w14:textId="77777777">
        <w:trPr>
          <w:cantSplit/>
          <w:jc w:val="center"/>
        </w:trPr>
        <w:tc>
          <w:tcPr>
            <w:tcW w:w="1656" w:type="dxa"/>
            <w:tcMar>
              <w:top w:w="45" w:type="dxa"/>
              <w:left w:w="55" w:type="dxa"/>
              <w:bottom w:w="45" w:type="dxa"/>
              <w:right w:w="55" w:type="dxa"/>
            </w:tcMar>
            <w:vAlign w:val="center"/>
          </w:tcPr>
          <w:p w14:paraId="736D9E2C" w14:textId="77777777" w:rsidR="00122D62" w:rsidRPr="00FE340C" w:rsidRDefault="00000000">
            <w:pPr>
              <w:spacing w:after="0"/>
            </w:pPr>
            <w:r w:rsidRPr="00FE340C">
              <w:rPr>
                <w:sz w:val="15"/>
              </w:rPr>
              <w:t>Financial access</w:t>
            </w:r>
          </w:p>
        </w:tc>
        <w:tc>
          <w:tcPr>
            <w:tcW w:w="5112" w:type="dxa"/>
            <w:tcMar>
              <w:top w:w="45" w:type="dxa"/>
              <w:left w:w="55" w:type="dxa"/>
              <w:bottom w:w="45" w:type="dxa"/>
              <w:right w:w="55" w:type="dxa"/>
            </w:tcMar>
            <w:vAlign w:val="center"/>
          </w:tcPr>
          <w:p w14:paraId="4F59F5B9" w14:textId="77777777" w:rsidR="00122D62" w:rsidRPr="00FE340C" w:rsidRDefault="00000000">
            <w:pPr>
              <w:spacing w:after="0"/>
              <w:jc w:val="center"/>
            </w:pPr>
            <w:r w:rsidRPr="00FE340C">
              <w:rPr>
                <w:sz w:val="15"/>
              </w:rPr>
              <w:t>Ability to obtain and use financial services</w:t>
            </w:r>
          </w:p>
        </w:tc>
        <w:tc>
          <w:tcPr>
            <w:tcW w:w="3384" w:type="dxa"/>
            <w:tcMar>
              <w:top w:w="45" w:type="dxa"/>
              <w:left w:w="55" w:type="dxa"/>
              <w:bottom w:w="45" w:type="dxa"/>
              <w:right w:w="55" w:type="dxa"/>
            </w:tcMar>
            <w:vAlign w:val="center"/>
          </w:tcPr>
          <w:p w14:paraId="49348ECD" w14:textId="77777777" w:rsidR="00122D62" w:rsidRPr="00FE340C" w:rsidRDefault="00000000">
            <w:pPr>
              <w:spacing w:after="0"/>
              <w:jc w:val="center"/>
            </w:pPr>
            <w:r w:rsidRPr="00FE340C">
              <w:rPr>
                <w:sz w:val="15"/>
              </w:rPr>
              <w:t>Five-point rating</w:t>
            </w:r>
          </w:p>
        </w:tc>
      </w:tr>
      <w:tr w:rsidR="00122D62" w:rsidRPr="00FE340C" w14:paraId="221B6FD6" w14:textId="77777777">
        <w:trPr>
          <w:cantSplit/>
          <w:jc w:val="center"/>
        </w:trPr>
        <w:tc>
          <w:tcPr>
            <w:tcW w:w="1656" w:type="dxa"/>
            <w:tcMar>
              <w:top w:w="45" w:type="dxa"/>
              <w:left w:w="55" w:type="dxa"/>
              <w:bottom w:w="45" w:type="dxa"/>
              <w:right w:w="55" w:type="dxa"/>
            </w:tcMar>
            <w:vAlign w:val="center"/>
          </w:tcPr>
          <w:p w14:paraId="2B1CB1F3" w14:textId="77777777" w:rsidR="00122D62" w:rsidRPr="00FE340C" w:rsidRDefault="00000000">
            <w:pPr>
              <w:spacing w:after="0"/>
            </w:pPr>
            <w:r w:rsidRPr="00FE340C">
              <w:rPr>
                <w:sz w:val="15"/>
              </w:rPr>
              <w:t>Digital financial services</w:t>
            </w:r>
          </w:p>
        </w:tc>
        <w:tc>
          <w:tcPr>
            <w:tcW w:w="5112" w:type="dxa"/>
            <w:tcMar>
              <w:top w:w="45" w:type="dxa"/>
              <w:left w:w="55" w:type="dxa"/>
              <w:bottom w:w="45" w:type="dxa"/>
              <w:right w:w="55" w:type="dxa"/>
            </w:tcMar>
            <w:vAlign w:val="center"/>
          </w:tcPr>
          <w:p w14:paraId="06E391A5" w14:textId="77777777" w:rsidR="00122D62" w:rsidRPr="00FE340C" w:rsidRDefault="00000000">
            <w:pPr>
              <w:spacing w:after="0"/>
              <w:jc w:val="center"/>
            </w:pPr>
            <w:r w:rsidRPr="00FE340C">
              <w:rPr>
                <w:sz w:val="15"/>
              </w:rPr>
              <w:t>Frequency/intensity of using digital financial systems</w:t>
            </w:r>
          </w:p>
        </w:tc>
        <w:tc>
          <w:tcPr>
            <w:tcW w:w="3384" w:type="dxa"/>
            <w:tcMar>
              <w:top w:w="45" w:type="dxa"/>
              <w:left w:w="55" w:type="dxa"/>
              <w:bottom w:w="45" w:type="dxa"/>
              <w:right w:w="55" w:type="dxa"/>
            </w:tcMar>
            <w:vAlign w:val="center"/>
          </w:tcPr>
          <w:p w14:paraId="63572B0D" w14:textId="77777777" w:rsidR="00122D62" w:rsidRPr="00FE340C" w:rsidRDefault="00000000">
            <w:pPr>
              <w:spacing w:after="0"/>
              <w:jc w:val="center"/>
            </w:pPr>
            <w:r w:rsidRPr="00FE340C">
              <w:rPr>
                <w:sz w:val="15"/>
              </w:rPr>
              <w:t>Five-point rating</w:t>
            </w:r>
          </w:p>
        </w:tc>
      </w:tr>
      <w:tr w:rsidR="00122D62" w:rsidRPr="00FE340C" w14:paraId="34CE035E" w14:textId="77777777">
        <w:trPr>
          <w:cantSplit/>
          <w:jc w:val="center"/>
        </w:trPr>
        <w:tc>
          <w:tcPr>
            <w:tcW w:w="1656" w:type="dxa"/>
            <w:tcMar>
              <w:top w:w="45" w:type="dxa"/>
              <w:left w:w="55" w:type="dxa"/>
              <w:bottom w:w="45" w:type="dxa"/>
              <w:right w:w="55" w:type="dxa"/>
            </w:tcMar>
            <w:vAlign w:val="center"/>
          </w:tcPr>
          <w:p w14:paraId="119E1D9E" w14:textId="77777777" w:rsidR="00122D62" w:rsidRPr="00FE340C" w:rsidRDefault="00000000">
            <w:pPr>
              <w:spacing w:after="0"/>
            </w:pPr>
            <w:r w:rsidRPr="00FE340C">
              <w:rPr>
                <w:sz w:val="15"/>
              </w:rPr>
              <w:t>Regulation</w:t>
            </w:r>
          </w:p>
        </w:tc>
        <w:tc>
          <w:tcPr>
            <w:tcW w:w="5112" w:type="dxa"/>
            <w:tcMar>
              <w:top w:w="45" w:type="dxa"/>
              <w:left w:w="55" w:type="dxa"/>
              <w:bottom w:w="45" w:type="dxa"/>
              <w:right w:w="55" w:type="dxa"/>
            </w:tcMar>
            <w:vAlign w:val="center"/>
          </w:tcPr>
          <w:p w14:paraId="79E2E4B3" w14:textId="77777777" w:rsidR="00122D62" w:rsidRPr="00FE340C" w:rsidRDefault="00000000">
            <w:pPr>
              <w:spacing w:after="0"/>
              <w:jc w:val="center"/>
            </w:pPr>
            <w:r w:rsidRPr="00FE340C">
              <w:rPr>
                <w:sz w:val="15"/>
              </w:rPr>
              <w:t>Perceived importance/support of financial regulation</w:t>
            </w:r>
          </w:p>
        </w:tc>
        <w:tc>
          <w:tcPr>
            <w:tcW w:w="3384" w:type="dxa"/>
            <w:tcMar>
              <w:top w:w="45" w:type="dxa"/>
              <w:left w:w="55" w:type="dxa"/>
              <w:bottom w:w="45" w:type="dxa"/>
              <w:right w:w="55" w:type="dxa"/>
            </w:tcMar>
            <w:vAlign w:val="center"/>
          </w:tcPr>
          <w:p w14:paraId="106CB0F9" w14:textId="77777777" w:rsidR="00122D62" w:rsidRPr="00FE340C" w:rsidRDefault="00000000">
            <w:pPr>
              <w:spacing w:after="0"/>
              <w:jc w:val="center"/>
            </w:pPr>
            <w:r w:rsidRPr="00FE340C">
              <w:rPr>
                <w:sz w:val="15"/>
              </w:rPr>
              <w:t>Five-point rating</w:t>
            </w:r>
          </w:p>
        </w:tc>
      </w:tr>
    </w:tbl>
    <w:p w14:paraId="5E640EDA" w14:textId="77777777" w:rsidR="00122D62" w:rsidRPr="00FE340C" w:rsidRDefault="00000000">
      <w:pPr>
        <w:keepNext/>
        <w:spacing w:before="60" w:after="20"/>
      </w:pPr>
      <w:r w:rsidRPr="00FE340C">
        <w:rPr>
          <w:b/>
          <w:sz w:val="18"/>
        </w:rPr>
        <w:t>Table 2. Sample profile and descriptive statistics (N = 200)</w:t>
      </w:r>
    </w:p>
    <w:tbl>
      <w:tblPr>
        <w:tblW w:w="0" w:type="auto"/>
        <w:jc w:val="center"/>
        <w:tblBorders>
          <w:top w:val="single" w:sz="6" w:space="0" w:color="000000"/>
          <w:left w:val="nil"/>
          <w:bottom w:val="single" w:sz="6" w:space="0" w:color="000000"/>
          <w:right w:val="nil"/>
          <w:insideH w:val="single" w:sz="6" w:space="0" w:color="000000"/>
          <w:insideV w:val="nil"/>
        </w:tblBorders>
        <w:tblLayout w:type="fixed"/>
        <w:tblLook w:val="04A0" w:firstRow="1" w:lastRow="0" w:firstColumn="1" w:lastColumn="0" w:noHBand="0" w:noVBand="1"/>
      </w:tblPr>
      <w:tblGrid>
        <w:gridCol w:w="6624"/>
        <w:gridCol w:w="1440"/>
        <w:gridCol w:w="1440"/>
      </w:tblGrid>
      <w:tr w:rsidR="00122D62" w:rsidRPr="00FE340C" w14:paraId="3CE623FE" w14:textId="77777777">
        <w:trPr>
          <w:tblHeader/>
          <w:jc w:val="center"/>
        </w:trPr>
        <w:tc>
          <w:tcPr>
            <w:tcW w:w="6624" w:type="dxa"/>
            <w:tcMar>
              <w:top w:w="45" w:type="dxa"/>
              <w:left w:w="55" w:type="dxa"/>
              <w:bottom w:w="45" w:type="dxa"/>
              <w:right w:w="55" w:type="dxa"/>
            </w:tcMar>
            <w:vAlign w:val="center"/>
          </w:tcPr>
          <w:p w14:paraId="3F9ABC01" w14:textId="77777777" w:rsidR="00122D62" w:rsidRPr="00FE340C" w:rsidRDefault="00000000">
            <w:pPr>
              <w:spacing w:after="0"/>
              <w:jc w:val="center"/>
            </w:pPr>
            <w:r w:rsidRPr="00FE340C">
              <w:rPr>
                <w:b/>
                <w:sz w:val="16"/>
              </w:rPr>
              <w:t>Characteristic</w:t>
            </w:r>
          </w:p>
        </w:tc>
        <w:tc>
          <w:tcPr>
            <w:tcW w:w="1440" w:type="dxa"/>
            <w:tcMar>
              <w:top w:w="45" w:type="dxa"/>
              <w:left w:w="55" w:type="dxa"/>
              <w:bottom w:w="45" w:type="dxa"/>
              <w:right w:w="55" w:type="dxa"/>
            </w:tcMar>
            <w:vAlign w:val="center"/>
          </w:tcPr>
          <w:p w14:paraId="2E2B410A" w14:textId="77777777" w:rsidR="00122D62" w:rsidRPr="00FE340C" w:rsidRDefault="00000000">
            <w:pPr>
              <w:spacing w:after="0"/>
              <w:jc w:val="center"/>
            </w:pPr>
            <w:r w:rsidRPr="00FE340C">
              <w:rPr>
                <w:b/>
                <w:sz w:val="16"/>
              </w:rPr>
              <w:t>n</w:t>
            </w:r>
          </w:p>
        </w:tc>
        <w:tc>
          <w:tcPr>
            <w:tcW w:w="1440" w:type="dxa"/>
            <w:tcMar>
              <w:top w:w="45" w:type="dxa"/>
              <w:left w:w="55" w:type="dxa"/>
              <w:bottom w:w="45" w:type="dxa"/>
              <w:right w:w="55" w:type="dxa"/>
            </w:tcMar>
            <w:vAlign w:val="center"/>
          </w:tcPr>
          <w:p w14:paraId="4C6AEBD5" w14:textId="77777777" w:rsidR="00122D62" w:rsidRPr="00FE340C" w:rsidRDefault="00000000">
            <w:pPr>
              <w:spacing w:after="0"/>
              <w:jc w:val="center"/>
            </w:pPr>
            <w:r w:rsidRPr="00FE340C">
              <w:rPr>
                <w:b/>
                <w:sz w:val="16"/>
              </w:rPr>
              <w:t>%</w:t>
            </w:r>
          </w:p>
        </w:tc>
      </w:tr>
      <w:tr w:rsidR="00122D62" w:rsidRPr="00FE340C" w14:paraId="3FE7E24F" w14:textId="77777777">
        <w:trPr>
          <w:cantSplit/>
          <w:jc w:val="center"/>
        </w:trPr>
        <w:tc>
          <w:tcPr>
            <w:tcW w:w="6624" w:type="dxa"/>
            <w:tcMar>
              <w:top w:w="45" w:type="dxa"/>
              <w:left w:w="55" w:type="dxa"/>
              <w:bottom w:w="45" w:type="dxa"/>
              <w:right w:w="55" w:type="dxa"/>
            </w:tcMar>
            <w:vAlign w:val="center"/>
          </w:tcPr>
          <w:p w14:paraId="63FFAA67" w14:textId="77777777" w:rsidR="00122D62" w:rsidRPr="00FE340C" w:rsidRDefault="00000000">
            <w:pPr>
              <w:spacing w:after="0"/>
            </w:pPr>
            <w:r w:rsidRPr="00FE340C">
              <w:rPr>
                <w:sz w:val="16"/>
              </w:rPr>
              <w:t>Stock preference</w:t>
            </w:r>
          </w:p>
        </w:tc>
        <w:tc>
          <w:tcPr>
            <w:tcW w:w="1440" w:type="dxa"/>
            <w:tcMar>
              <w:top w:w="45" w:type="dxa"/>
              <w:left w:w="55" w:type="dxa"/>
              <w:bottom w:w="45" w:type="dxa"/>
              <w:right w:w="55" w:type="dxa"/>
            </w:tcMar>
            <w:vAlign w:val="center"/>
          </w:tcPr>
          <w:p w14:paraId="6239172B" w14:textId="77777777" w:rsidR="00122D62" w:rsidRPr="00FE340C" w:rsidRDefault="00000000">
            <w:pPr>
              <w:spacing w:after="0"/>
              <w:jc w:val="center"/>
            </w:pPr>
            <w:r w:rsidRPr="00FE340C">
              <w:rPr>
                <w:sz w:val="16"/>
              </w:rPr>
              <w:t>100</w:t>
            </w:r>
          </w:p>
        </w:tc>
        <w:tc>
          <w:tcPr>
            <w:tcW w:w="1440" w:type="dxa"/>
            <w:tcMar>
              <w:top w:w="45" w:type="dxa"/>
              <w:left w:w="55" w:type="dxa"/>
              <w:bottom w:w="45" w:type="dxa"/>
              <w:right w:w="55" w:type="dxa"/>
            </w:tcMar>
            <w:vAlign w:val="center"/>
          </w:tcPr>
          <w:p w14:paraId="433AC016" w14:textId="77777777" w:rsidR="00122D62" w:rsidRPr="00FE340C" w:rsidRDefault="00000000">
            <w:pPr>
              <w:spacing w:after="0"/>
              <w:jc w:val="center"/>
            </w:pPr>
            <w:r w:rsidRPr="00FE340C">
              <w:rPr>
                <w:sz w:val="16"/>
              </w:rPr>
              <w:t>50.0</w:t>
            </w:r>
          </w:p>
        </w:tc>
      </w:tr>
      <w:tr w:rsidR="00122D62" w:rsidRPr="00FE340C" w14:paraId="7FB81A3F" w14:textId="77777777">
        <w:trPr>
          <w:cantSplit/>
          <w:jc w:val="center"/>
        </w:trPr>
        <w:tc>
          <w:tcPr>
            <w:tcW w:w="6624" w:type="dxa"/>
            <w:tcMar>
              <w:top w:w="45" w:type="dxa"/>
              <w:left w:w="55" w:type="dxa"/>
              <w:bottom w:w="45" w:type="dxa"/>
              <w:right w:w="55" w:type="dxa"/>
            </w:tcMar>
            <w:vAlign w:val="center"/>
          </w:tcPr>
          <w:p w14:paraId="3DE1D421" w14:textId="77777777" w:rsidR="00122D62" w:rsidRPr="00FE340C" w:rsidRDefault="00000000">
            <w:pPr>
              <w:spacing w:after="0"/>
            </w:pPr>
            <w:r w:rsidRPr="00FE340C">
              <w:rPr>
                <w:sz w:val="16"/>
              </w:rPr>
              <w:t>Mutual-fund preference</w:t>
            </w:r>
          </w:p>
        </w:tc>
        <w:tc>
          <w:tcPr>
            <w:tcW w:w="1440" w:type="dxa"/>
            <w:tcMar>
              <w:top w:w="45" w:type="dxa"/>
              <w:left w:w="55" w:type="dxa"/>
              <w:bottom w:w="45" w:type="dxa"/>
              <w:right w:w="55" w:type="dxa"/>
            </w:tcMar>
            <w:vAlign w:val="center"/>
          </w:tcPr>
          <w:p w14:paraId="1B93D141" w14:textId="77777777" w:rsidR="00122D62" w:rsidRPr="00FE340C" w:rsidRDefault="00000000">
            <w:pPr>
              <w:spacing w:after="0"/>
              <w:jc w:val="center"/>
            </w:pPr>
            <w:r w:rsidRPr="00FE340C">
              <w:rPr>
                <w:sz w:val="16"/>
              </w:rPr>
              <w:t>100</w:t>
            </w:r>
          </w:p>
        </w:tc>
        <w:tc>
          <w:tcPr>
            <w:tcW w:w="1440" w:type="dxa"/>
            <w:tcMar>
              <w:top w:w="45" w:type="dxa"/>
              <w:left w:w="55" w:type="dxa"/>
              <w:bottom w:w="45" w:type="dxa"/>
              <w:right w:w="55" w:type="dxa"/>
            </w:tcMar>
            <w:vAlign w:val="center"/>
          </w:tcPr>
          <w:p w14:paraId="10CF673C" w14:textId="77777777" w:rsidR="00122D62" w:rsidRPr="00FE340C" w:rsidRDefault="00000000">
            <w:pPr>
              <w:spacing w:after="0"/>
              <w:jc w:val="center"/>
            </w:pPr>
            <w:r w:rsidRPr="00FE340C">
              <w:rPr>
                <w:sz w:val="16"/>
              </w:rPr>
              <w:t>50.0</w:t>
            </w:r>
          </w:p>
        </w:tc>
      </w:tr>
      <w:tr w:rsidR="00122D62" w:rsidRPr="00FE340C" w14:paraId="701340C5" w14:textId="77777777">
        <w:trPr>
          <w:cantSplit/>
          <w:jc w:val="center"/>
        </w:trPr>
        <w:tc>
          <w:tcPr>
            <w:tcW w:w="6624" w:type="dxa"/>
            <w:tcMar>
              <w:top w:w="45" w:type="dxa"/>
              <w:left w:w="55" w:type="dxa"/>
              <w:bottom w:w="45" w:type="dxa"/>
              <w:right w:w="55" w:type="dxa"/>
            </w:tcMar>
            <w:vAlign w:val="center"/>
          </w:tcPr>
          <w:p w14:paraId="54D3DE98" w14:textId="77777777" w:rsidR="00122D62" w:rsidRPr="00FE340C" w:rsidRDefault="00000000">
            <w:pPr>
              <w:spacing w:after="0"/>
            </w:pPr>
            <w:r w:rsidRPr="00FE340C">
              <w:rPr>
                <w:sz w:val="16"/>
              </w:rPr>
              <w:t>Generation Z (&lt;25)</w:t>
            </w:r>
          </w:p>
        </w:tc>
        <w:tc>
          <w:tcPr>
            <w:tcW w:w="1440" w:type="dxa"/>
            <w:tcMar>
              <w:top w:w="45" w:type="dxa"/>
              <w:left w:w="55" w:type="dxa"/>
              <w:bottom w:w="45" w:type="dxa"/>
              <w:right w:w="55" w:type="dxa"/>
            </w:tcMar>
            <w:vAlign w:val="center"/>
          </w:tcPr>
          <w:p w14:paraId="5F0F42DC" w14:textId="77777777" w:rsidR="00122D62" w:rsidRPr="00FE340C" w:rsidRDefault="00000000">
            <w:pPr>
              <w:spacing w:after="0"/>
              <w:jc w:val="center"/>
            </w:pPr>
            <w:r w:rsidRPr="00FE340C">
              <w:rPr>
                <w:sz w:val="16"/>
              </w:rPr>
              <w:t>82</w:t>
            </w:r>
          </w:p>
        </w:tc>
        <w:tc>
          <w:tcPr>
            <w:tcW w:w="1440" w:type="dxa"/>
            <w:tcMar>
              <w:top w:w="45" w:type="dxa"/>
              <w:left w:w="55" w:type="dxa"/>
              <w:bottom w:w="45" w:type="dxa"/>
              <w:right w:w="55" w:type="dxa"/>
            </w:tcMar>
            <w:vAlign w:val="center"/>
          </w:tcPr>
          <w:p w14:paraId="6784E35C" w14:textId="77777777" w:rsidR="00122D62" w:rsidRPr="00FE340C" w:rsidRDefault="00000000">
            <w:pPr>
              <w:spacing w:after="0"/>
              <w:jc w:val="center"/>
            </w:pPr>
            <w:r w:rsidRPr="00FE340C">
              <w:rPr>
                <w:sz w:val="16"/>
              </w:rPr>
              <w:t>41.0</w:t>
            </w:r>
          </w:p>
        </w:tc>
      </w:tr>
      <w:tr w:rsidR="00122D62" w:rsidRPr="00FE340C" w14:paraId="504E200F" w14:textId="77777777">
        <w:trPr>
          <w:cantSplit/>
          <w:jc w:val="center"/>
        </w:trPr>
        <w:tc>
          <w:tcPr>
            <w:tcW w:w="6624" w:type="dxa"/>
            <w:tcMar>
              <w:top w:w="45" w:type="dxa"/>
              <w:left w:w="55" w:type="dxa"/>
              <w:bottom w:w="45" w:type="dxa"/>
              <w:right w:w="55" w:type="dxa"/>
            </w:tcMar>
            <w:vAlign w:val="center"/>
          </w:tcPr>
          <w:p w14:paraId="2DA8CB8A" w14:textId="77777777" w:rsidR="00122D62" w:rsidRPr="00FE340C" w:rsidRDefault="00000000">
            <w:pPr>
              <w:spacing w:after="0"/>
            </w:pPr>
            <w:r w:rsidRPr="00FE340C">
              <w:rPr>
                <w:sz w:val="16"/>
              </w:rPr>
              <w:t>Millennials (25–40)</w:t>
            </w:r>
          </w:p>
        </w:tc>
        <w:tc>
          <w:tcPr>
            <w:tcW w:w="1440" w:type="dxa"/>
            <w:tcMar>
              <w:top w:w="45" w:type="dxa"/>
              <w:left w:w="55" w:type="dxa"/>
              <w:bottom w:w="45" w:type="dxa"/>
              <w:right w:w="55" w:type="dxa"/>
            </w:tcMar>
            <w:vAlign w:val="center"/>
          </w:tcPr>
          <w:p w14:paraId="3F953E48" w14:textId="77777777" w:rsidR="00122D62" w:rsidRPr="00FE340C" w:rsidRDefault="00000000">
            <w:pPr>
              <w:spacing w:after="0"/>
              <w:jc w:val="center"/>
            </w:pPr>
            <w:r w:rsidRPr="00FE340C">
              <w:rPr>
                <w:sz w:val="16"/>
              </w:rPr>
              <w:t>51</w:t>
            </w:r>
          </w:p>
        </w:tc>
        <w:tc>
          <w:tcPr>
            <w:tcW w:w="1440" w:type="dxa"/>
            <w:tcMar>
              <w:top w:w="45" w:type="dxa"/>
              <w:left w:w="55" w:type="dxa"/>
              <w:bottom w:w="45" w:type="dxa"/>
              <w:right w:w="55" w:type="dxa"/>
            </w:tcMar>
            <w:vAlign w:val="center"/>
          </w:tcPr>
          <w:p w14:paraId="5B831F21" w14:textId="77777777" w:rsidR="00122D62" w:rsidRPr="00FE340C" w:rsidRDefault="00000000">
            <w:pPr>
              <w:spacing w:after="0"/>
              <w:jc w:val="center"/>
            </w:pPr>
            <w:r w:rsidRPr="00FE340C">
              <w:rPr>
                <w:sz w:val="16"/>
              </w:rPr>
              <w:t>25.5</w:t>
            </w:r>
          </w:p>
        </w:tc>
      </w:tr>
      <w:tr w:rsidR="00122D62" w:rsidRPr="00FE340C" w14:paraId="310734A5" w14:textId="77777777">
        <w:trPr>
          <w:cantSplit/>
          <w:jc w:val="center"/>
        </w:trPr>
        <w:tc>
          <w:tcPr>
            <w:tcW w:w="6624" w:type="dxa"/>
            <w:tcMar>
              <w:top w:w="45" w:type="dxa"/>
              <w:left w:w="55" w:type="dxa"/>
              <w:bottom w:w="45" w:type="dxa"/>
              <w:right w:w="55" w:type="dxa"/>
            </w:tcMar>
            <w:vAlign w:val="center"/>
          </w:tcPr>
          <w:p w14:paraId="6030CEF1" w14:textId="77777777" w:rsidR="00122D62" w:rsidRPr="00FE340C" w:rsidRDefault="00000000">
            <w:pPr>
              <w:spacing w:after="0"/>
            </w:pPr>
            <w:r w:rsidRPr="00FE340C">
              <w:rPr>
                <w:sz w:val="16"/>
              </w:rPr>
              <w:t>Generation X (41–56)</w:t>
            </w:r>
          </w:p>
        </w:tc>
        <w:tc>
          <w:tcPr>
            <w:tcW w:w="1440" w:type="dxa"/>
            <w:tcMar>
              <w:top w:w="45" w:type="dxa"/>
              <w:left w:w="55" w:type="dxa"/>
              <w:bottom w:w="45" w:type="dxa"/>
              <w:right w:w="55" w:type="dxa"/>
            </w:tcMar>
            <w:vAlign w:val="center"/>
          </w:tcPr>
          <w:p w14:paraId="4B7FD82E" w14:textId="77777777" w:rsidR="00122D62" w:rsidRPr="00FE340C" w:rsidRDefault="00000000">
            <w:pPr>
              <w:spacing w:after="0"/>
              <w:jc w:val="center"/>
            </w:pPr>
            <w:r w:rsidRPr="00FE340C">
              <w:rPr>
                <w:sz w:val="16"/>
              </w:rPr>
              <w:t>63</w:t>
            </w:r>
          </w:p>
        </w:tc>
        <w:tc>
          <w:tcPr>
            <w:tcW w:w="1440" w:type="dxa"/>
            <w:tcMar>
              <w:top w:w="45" w:type="dxa"/>
              <w:left w:w="55" w:type="dxa"/>
              <w:bottom w:w="45" w:type="dxa"/>
              <w:right w:w="55" w:type="dxa"/>
            </w:tcMar>
            <w:vAlign w:val="center"/>
          </w:tcPr>
          <w:p w14:paraId="02953462" w14:textId="77777777" w:rsidR="00122D62" w:rsidRPr="00FE340C" w:rsidRDefault="00000000">
            <w:pPr>
              <w:spacing w:after="0"/>
              <w:jc w:val="center"/>
            </w:pPr>
            <w:r w:rsidRPr="00FE340C">
              <w:rPr>
                <w:sz w:val="16"/>
              </w:rPr>
              <w:t>31.5</w:t>
            </w:r>
          </w:p>
        </w:tc>
      </w:tr>
      <w:tr w:rsidR="00122D62" w:rsidRPr="00FE340C" w14:paraId="4146296E" w14:textId="77777777">
        <w:trPr>
          <w:cantSplit/>
          <w:jc w:val="center"/>
        </w:trPr>
        <w:tc>
          <w:tcPr>
            <w:tcW w:w="6624" w:type="dxa"/>
            <w:tcMar>
              <w:top w:w="45" w:type="dxa"/>
              <w:left w:w="55" w:type="dxa"/>
              <w:bottom w:w="45" w:type="dxa"/>
              <w:right w:w="55" w:type="dxa"/>
            </w:tcMar>
            <w:vAlign w:val="center"/>
          </w:tcPr>
          <w:p w14:paraId="7C7B7BC0" w14:textId="77777777" w:rsidR="00122D62" w:rsidRPr="00FE340C" w:rsidRDefault="00000000">
            <w:pPr>
              <w:spacing w:after="0"/>
            </w:pPr>
            <w:r w:rsidRPr="00FE340C">
              <w:rPr>
                <w:sz w:val="16"/>
              </w:rPr>
              <w:t>Baby Boomers (&gt;56)</w:t>
            </w:r>
          </w:p>
        </w:tc>
        <w:tc>
          <w:tcPr>
            <w:tcW w:w="1440" w:type="dxa"/>
            <w:tcMar>
              <w:top w:w="45" w:type="dxa"/>
              <w:left w:w="55" w:type="dxa"/>
              <w:bottom w:w="45" w:type="dxa"/>
              <w:right w:w="55" w:type="dxa"/>
            </w:tcMar>
            <w:vAlign w:val="center"/>
          </w:tcPr>
          <w:p w14:paraId="2847757B" w14:textId="77777777" w:rsidR="00122D62" w:rsidRPr="00FE340C" w:rsidRDefault="00000000">
            <w:pPr>
              <w:spacing w:after="0"/>
              <w:jc w:val="center"/>
            </w:pPr>
            <w:r w:rsidRPr="00FE340C">
              <w:rPr>
                <w:sz w:val="16"/>
              </w:rPr>
              <w:t>4</w:t>
            </w:r>
          </w:p>
        </w:tc>
        <w:tc>
          <w:tcPr>
            <w:tcW w:w="1440" w:type="dxa"/>
            <w:tcMar>
              <w:top w:w="45" w:type="dxa"/>
              <w:left w:w="55" w:type="dxa"/>
              <w:bottom w:w="45" w:type="dxa"/>
              <w:right w:w="55" w:type="dxa"/>
            </w:tcMar>
            <w:vAlign w:val="center"/>
          </w:tcPr>
          <w:p w14:paraId="5872A58E" w14:textId="77777777" w:rsidR="00122D62" w:rsidRPr="00FE340C" w:rsidRDefault="00000000">
            <w:pPr>
              <w:spacing w:after="0"/>
              <w:jc w:val="center"/>
            </w:pPr>
            <w:r w:rsidRPr="00FE340C">
              <w:rPr>
                <w:sz w:val="16"/>
              </w:rPr>
              <w:t>2.0</w:t>
            </w:r>
          </w:p>
        </w:tc>
      </w:tr>
    </w:tbl>
    <w:p w14:paraId="3BB02991" w14:textId="77777777" w:rsidR="00122D62" w:rsidRPr="00FE340C" w:rsidRDefault="00000000">
      <w:pPr>
        <w:keepNext/>
        <w:spacing w:before="60" w:after="40"/>
      </w:pPr>
      <w:r w:rsidRPr="00FE340C">
        <w:rPr>
          <w:b/>
        </w:rPr>
        <w:t>3.3 Model Specification and Estimation</w:t>
      </w:r>
    </w:p>
    <w:p w14:paraId="703779E3" w14:textId="77777777" w:rsidR="00122D62" w:rsidRPr="00FE340C" w:rsidRDefault="00000000">
      <w:pPr>
        <w:ind w:firstLine="331"/>
        <w:jc w:val="both"/>
      </w:pPr>
      <w:r w:rsidRPr="00FE340C">
        <w:t xml:space="preserve">The binary logit model estimates the probability that respondent </w:t>
      </w:r>
      <w:proofErr w:type="spellStart"/>
      <w:r w:rsidRPr="00FE340C">
        <w:t>i</w:t>
      </w:r>
      <w:proofErr w:type="spellEnd"/>
      <w:r w:rsidRPr="00FE340C">
        <w:t xml:space="preserve"> prefers stocks rather than mutual funds:</w:t>
      </w:r>
    </w:p>
    <w:p w14:paraId="1B4BEDFB" w14:textId="77777777" w:rsidR="00122D62" w:rsidRPr="00FE340C" w:rsidRDefault="00000000">
      <w:pPr>
        <w:spacing w:after="60"/>
        <w:jc w:val="center"/>
      </w:pPr>
      <w:proofErr w:type="gramStart"/>
      <w:r w:rsidRPr="00FE340C">
        <w:t>log[P(</w:t>
      </w:r>
      <w:proofErr w:type="gramEnd"/>
      <w:r w:rsidRPr="00FE340C">
        <w:t>Investᵢ = 1)</w:t>
      </w:r>
      <w:proofErr w:type="gramStart"/>
      <w:r w:rsidRPr="00FE340C">
        <w:t>/(</w:t>
      </w:r>
      <w:proofErr w:type="gramEnd"/>
      <w:r w:rsidRPr="00FE340C">
        <w:t xml:space="preserve">1 − </w:t>
      </w:r>
      <w:proofErr w:type="gramStart"/>
      <w:r w:rsidRPr="00FE340C">
        <w:t>P(</w:t>
      </w:r>
      <w:proofErr w:type="gramEnd"/>
      <w:r w:rsidRPr="00FE340C">
        <w:t>Investᵢ = 1))] = α₀ + α₁Ageᵢ + α₂</w:t>
      </w:r>
      <w:proofErr w:type="spellStart"/>
      <w:r w:rsidRPr="00FE340C">
        <w:t>RiskTolerance</w:t>
      </w:r>
      <w:proofErr w:type="spellEnd"/>
      <w:r w:rsidRPr="00FE340C">
        <w:t>ᵢ + α₃</w:t>
      </w:r>
      <w:proofErr w:type="spellStart"/>
      <w:r w:rsidRPr="00FE340C">
        <w:t>FinancialLiteracy</w:t>
      </w:r>
      <w:proofErr w:type="spellEnd"/>
      <w:r w:rsidRPr="00FE340C">
        <w:t>ᵢ + α₄</w:t>
      </w:r>
      <w:proofErr w:type="spellStart"/>
      <w:r w:rsidRPr="00FE340C">
        <w:t>FinancialAccess</w:t>
      </w:r>
      <w:proofErr w:type="spellEnd"/>
      <w:r w:rsidRPr="00FE340C">
        <w:t>ᵢ + α₅</w:t>
      </w:r>
      <w:proofErr w:type="spellStart"/>
      <w:r w:rsidRPr="00FE340C">
        <w:t>DigitalFinancialServices</w:t>
      </w:r>
      <w:proofErr w:type="spellEnd"/>
      <w:r w:rsidRPr="00FE340C">
        <w:t>ᵢ + α₆Regulationᵢ.</w:t>
      </w:r>
    </w:p>
    <w:p w14:paraId="4AF57B0B" w14:textId="77777777" w:rsidR="00122D62" w:rsidRPr="00FE340C" w:rsidRDefault="00000000">
      <w:pPr>
        <w:ind w:firstLine="331"/>
        <w:jc w:val="both"/>
      </w:pPr>
      <w:r w:rsidRPr="00FE340C">
        <w:t>The ordered logit models estimate the cumulative probability of reporting a higher tendency to choose stocks or mutual funds:</w:t>
      </w:r>
    </w:p>
    <w:p w14:paraId="467E2C10" w14:textId="77777777" w:rsidR="00122D62" w:rsidRPr="00FE340C" w:rsidRDefault="00000000">
      <w:pPr>
        <w:spacing w:after="60"/>
        <w:jc w:val="center"/>
      </w:pPr>
      <w:proofErr w:type="gramStart"/>
      <w:r w:rsidRPr="00FE340C">
        <w:t>log[P(</w:t>
      </w:r>
      <w:proofErr w:type="gramEnd"/>
      <w:r w:rsidRPr="00FE340C">
        <w:t>Yᵢ ≤ j)/</w:t>
      </w:r>
      <w:proofErr w:type="gramStart"/>
      <w:r w:rsidRPr="00FE340C">
        <w:t>P(</w:t>
      </w:r>
      <w:proofErr w:type="gramEnd"/>
      <w:r w:rsidRPr="00FE340C">
        <w:t>Yᵢ &gt; j)] = τⱼ − Xᵢβ,</w:t>
      </w:r>
    </w:p>
    <w:p w14:paraId="716D3E32" w14:textId="77777777" w:rsidR="00122D62" w:rsidRPr="00FE340C" w:rsidRDefault="00000000">
      <w:pPr>
        <w:ind w:firstLine="331"/>
        <w:jc w:val="both"/>
      </w:pPr>
      <w:r w:rsidRPr="00FE340C">
        <w:t>where τⱼ denotes a cut point and Xᵢ contains the explanatory variables. The models were re-estimated by maximum likelihood from the 200-row respondent-level dataset supplied for revision. Coefficients, conventional standard errors, z-statistics, p-values, odds ratios, and 95% confidence intervals are reported. Heteroskedasticity-consistent HC1 standard errors were examined as a robustness check. Binary-model assessment included the likelihood-ratio test, McFadden R², Hosmer–</w:t>
      </w:r>
      <w:proofErr w:type="spellStart"/>
      <w:r w:rsidRPr="00FE340C">
        <w:t>Lemeshow</w:t>
      </w:r>
      <w:proofErr w:type="spellEnd"/>
      <w:r w:rsidRPr="00FE340C">
        <w:t xml:space="preserve"> test, area under the receiver-operating-characteristic curve, classification accuracy, and Brier score (Hosmer et al., 2013). Predictor VIF values were calculated with an intercept. Ordered-model assessment included likelihood-ratio tests, McFadden R², cut points, and a parallel-lines diagnostic based on stacked cumulative logits (Brant, 1990).</w:t>
      </w:r>
    </w:p>
    <w:p w14:paraId="06F802F2" w14:textId="77777777" w:rsidR="00122D62" w:rsidRPr="00FE340C" w:rsidRDefault="00000000">
      <w:pPr>
        <w:keepNext/>
        <w:spacing w:before="100" w:after="40"/>
      </w:pPr>
      <w:r w:rsidRPr="00FE340C">
        <w:rPr>
          <w:b/>
          <w:sz w:val="21"/>
        </w:rPr>
        <w:t>4. RESULTS</w:t>
      </w:r>
    </w:p>
    <w:p w14:paraId="7395BE46" w14:textId="77777777" w:rsidR="00122D62" w:rsidRPr="00FE340C" w:rsidRDefault="00000000">
      <w:pPr>
        <w:keepNext/>
        <w:spacing w:before="60" w:after="40"/>
      </w:pPr>
      <w:r w:rsidRPr="00FE340C">
        <w:rPr>
          <w:b/>
        </w:rPr>
        <w:t>4.1 Descriptive Results</w:t>
      </w:r>
    </w:p>
    <w:p w14:paraId="52B184C1" w14:textId="77777777" w:rsidR="00122D62" w:rsidRPr="00FE340C" w:rsidRDefault="00000000">
      <w:pPr>
        <w:ind w:firstLine="331"/>
        <w:jc w:val="both"/>
      </w:pPr>
      <w:r w:rsidRPr="00FE340C">
        <w:t>The average stock-tendency score was 3.50 (SD = 1.00), and the average mutual-fund tendency score was 3.67 (SD = 0.91). The mean scores for risk tolerance, financial literacy, financial access, digital financial services, and regulation were 4.21, 3.94, 4.16, 4.24, and 4.25, respectively. These distributions are concentrated towards the upper end of the five-point scales, which should be considered when interpreting large estimated odds ratios.</w:t>
      </w:r>
    </w:p>
    <w:p w14:paraId="7F3ECDBB" w14:textId="77777777" w:rsidR="00122D62" w:rsidRPr="00FE340C" w:rsidRDefault="00000000">
      <w:pPr>
        <w:keepNext/>
        <w:spacing w:before="60" w:after="40"/>
      </w:pPr>
      <w:r w:rsidRPr="00FE340C">
        <w:rPr>
          <w:b/>
        </w:rPr>
        <w:t>4.2 Binary Choice between Stocks and Mutual Funds</w:t>
      </w:r>
    </w:p>
    <w:p w14:paraId="2767752C" w14:textId="77777777" w:rsidR="00122D62" w:rsidRPr="00FE340C" w:rsidRDefault="00000000">
      <w:pPr>
        <w:ind w:firstLine="331"/>
        <w:jc w:val="both"/>
      </w:pPr>
      <w:r w:rsidRPr="00FE340C">
        <w:t>Table 3 reports the verified binary-logit estimates. Age category, risk tolerance, and financial literacy are positively associated with choosing stocks, whereas financial access is negatively associated. A one-category increase in age is associated with 5.82 times the odds of stock preference; this is an ordered generation-category effect and not a one-year age effect. Risk tolerance has a large positive association (OR = 155.17), while a one-unit increase in financial literacy is associated with 2.12 times the odds of stock preference. Financial access is associated with lower odds of stock preference (OR = 0.16), suggesting a relative shift toward mutual funds when access improves. Digital financial services and regulation are not statistically significant in the binary model.</w:t>
      </w:r>
    </w:p>
    <w:p w14:paraId="4706E4BD" w14:textId="77777777" w:rsidR="00122D62" w:rsidRPr="00FE340C" w:rsidRDefault="00000000">
      <w:pPr>
        <w:keepNext/>
        <w:spacing w:before="60" w:after="20"/>
      </w:pPr>
      <w:r w:rsidRPr="00FE340C">
        <w:rPr>
          <w:b/>
          <w:sz w:val="18"/>
        </w:rPr>
        <w:lastRenderedPageBreak/>
        <w:t>Table 3. Binary logit estimates for stock preference (stock = 1; mutual fund = 0)</w:t>
      </w:r>
    </w:p>
    <w:tbl>
      <w:tblPr>
        <w:tblW w:w="0" w:type="auto"/>
        <w:jc w:val="center"/>
        <w:tblBorders>
          <w:top w:val="single" w:sz="6" w:space="0" w:color="000000"/>
          <w:left w:val="nil"/>
          <w:bottom w:val="single" w:sz="6" w:space="0" w:color="000000"/>
          <w:right w:val="nil"/>
          <w:insideH w:val="single" w:sz="6" w:space="0" w:color="000000"/>
          <w:insideV w:val="nil"/>
        </w:tblBorders>
        <w:tblLayout w:type="fixed"/>
        <w:tblLook w:val="04A0" w:firstRow="1" w:lastRow="0" w:firstColumn="1" w:lastColumn="0" w:noHBand="0" w:noVBand="1"/>
      </w:tblPr>
      <w:tblGrid>
        <w:gridCol w:w="2376"/>
        <w:gridCol w:w="1656"/>
        <w:gridCol w:w="1080"/>
        <w:gridCol w:w="936"/>
        <w:gridCol w:w="1008"/>
        <w:gridCol w:w="1944"/>
      </w:tblGrid>
      <w:tr w:rsidR="00122D62" w:rsidRPr="00FE340C" w14:paraId="6E0F0F8A" w14:textId="77777777">
        <w:trPr>
          <w:tblHeader/>
          <w:jc w:val="center"/>
        </w:trPr>
        <w:tc>
          <w:tcPr>
            <w:tcW w:w="2376" w:type="dxa"/>
            <w:tcMar>
              <w:top w:w="45" w:type="dxa"/>
              <w:left w:w="55" w:type="dxa"/>
              <w:bottom w:w="45" w:type="dxa"/>
              <w:right w:w="55" w:type="dxa"/>
            </w:tcMar>
            <w:vAlign w:val="center"/>
          </w:tcPr>
          <w:p w14:paraId="6E81F2A3" w14:textId="77777777" w:rsidR="00122D62" w:rsidRPr="00FE340C" w:rsidRDefault="00000000">
            <w:pPr>
              <w:spacing w:after="0"/>
              <w:jc w:val="center"/>
            </w:pPr>
            <w:r w:rsidRPr="00FE340C">
              <w:rPr>
                <w:b/>
                <w:sz w:val="15"/>
              </w:rPr>
              <w:t>Variable</w:t>
            </w:r>
          </w:p>
        </w:tc>
        <w:tc>
          <w:tcPr>
            <w:tcW w:w="1656" w:type="dxa"/>
            <w:tcMar>
              <w:top w:w="45" w:type="dxa"/>
              <w:left w:w="55" w:type="dxa"/>
              <w:bottom w:w="45" w:type="dxa"/>
              <w:right w:w="55" w:type="dxa"/>
            </w:tcMar>
            <w:vAlign w:val="center"/>
          </w:tcPr>
          <w:p w14:paraId="0A46381A" w14:textId="77777777" w:rsidR="00122D62" w:rsidRPr="00FE340C" w:rsidRDefault="00000000">
            <w:pPr>
              <w:spacing w:after="0"/>
              <w:jc w:val="center"/>
            </w:pPr>
            <w:r w:rsidRPr="00FE340C">
              <w:rPr>
                <w:b/>
                <w:sz w:val="15"/>
              </w:rPr>
              <w:t>β (SE)</w:t>
            </w:r>
          </w:p>
        </w:tc>
        <w:tc>
          <w:tcPr>
            <w:tcW w:w="1080" w:type="dxa"/>
            <w:tcMar>
              <w:top w:w="45" w:type="dxa"/>
              <w:left w:w="55" w:type="dxa"/>
              <w:bottom w:w="45" w:type="dxa"/>
              <w:right w:w="55" w:type="dxa"/>
            </w:tcMar>
            <w:vAlign w:val="center"/>
          </w:tcPr>
          <w:p w14:paraId="42E2EBAD" w14:textId="77777777" w:rsidR="00122D62" w:rsidRPr="00FE340C" w:rsidRDefault="00000000">
            <w:pPr>
              <w:spacing w:after="0"/>
              <w:jc w:val="center"/>
            </w:pPr>
            <w:r w:rsidRPr="00FE340C">
              <w:rPr>
                <w:b/>
                <w:sz w:val="15"/>
              </w:rPr>
              <w:t>z</w:t>
            </w:r>
          </w:p>
        </w:tc>
        <w:tc>
          <w:tcPr>
            <w:tcW w:w="936" w:type="dxa"/>
            <w:tcMar>
              <w:top w:w="45" w:type="dxa"/>
              <w:left w:w="55" w:type="dxa"/>
              <w:bottom w:w="45" w:type="dxa"/>
              <w:right w:w="55" w:type="dxa"/>
            </w:tcMar>
            <w:vAlign w:val="center"/>
          </w:tcPr>
          <w:p w14:paraId="16782876" w14:textId="77777777" w:rsidR="00122D62" w:rsidRPr="00FE340C" w:rsidRDefault="00000000">
            <w:pPr>
              <w:spacing w:after="0"/>
              <w:jc w:val="center"/>
            </w:pPr>
            <w:r w:rsidRPr="00FE340C">
              <w:rPr>
                <w:b/>
                <w:sz w:val="15"/>
              </w:rPr>
              <w:t>p</w:t>
            </w:r>
          </w:p>
        </w:tc>
        <w:tc>
          <w:tcPr>
            <w:tcW w:w="1008" w:type="dxa"/>
            <w:tcMar>
              <w:top w:w="45" w:type="dxa"/>
              <w:left w:w="55" w:type="dxa"/>
              <w:bottom w:w="45" w:type="dxa"/>
              <w:right w:w="55" w:type="dxa"/>
            </w:tcMar>
            <w:vAlign w:val="center"/>
          </w:tcPr>
          <w:p w14:paraId="1AB4FDD4" w14:textId="77777777" w:rsidR="00122D62" w:rsidRPr="00FE340C" w:rsidRDefault="00000000">
            <w:pPr>
              <w:spacing w:after="0"/>
              <w:jc w:val="center"/>
            </w:pPr>
            <w:r w:rsidRPr="00FE340C">
              <w:rPr>
                <w:b/>
                <w:sz w:val="15"/>
              </w:rPr>
              <w:t>OR</w:t>
            </w:r>
          </w:p>
        </w:tc>
        <w:tc>
          <w:tcPr>
            <w:tcW w:w="1944" w:type="dxa"/>
            <w:tcMar>
              <w:top w:w="45" w:type="dxa"/>
              <w:left w:w="55" w:type="dxa"/>
              <w:bottom w:w="45" w:type="dxa"/>
              <w:right w:w="55" w:type="dxa"/>
            </w:tcMar>
            <w:vAlign w:val="center"/>
          </w:tcPr>
          <w:p w14:paraId="2C7A6204" w14:textId="77777777" w:rsidR="00122D62" w:rsidRPr="00FE340C" w:rsidRDefault="00000000">
            <w:pPr>
              <w:spacing w:after="0"/>
              <w:jc w:val="center"/>
            </w:pPr>
            <w:r w:rsidRPr="00FE340C">
              <w:rPr>
                <w:b/>
                <w:sz w:val="15"/>
              </w:rPr>
              <w:t>95% CI for OR</w:t>
            </w:r>
          </w:p>
        </w:tc>
      </w:tr>
      <w:tr w:rsidR="00122D62" w:rsidRPr="00FE340C" w14:paraId="7A9CAD3F" w14:textId="77777777">
        <w:trPr>
          <w:cantSplit/>
          <w:jc w:val="center"/>
        </w:trPr>
        <w:tc>
          <w:tcPr>
            <w:tcW w:w="2376" w:type="dxa"/>
            <w:tcMar>
              <w:top w:w="45" w:type="dxa"/>
              <w:left w:w="55" w:type="dxa"/>
              <w:bottom w:w="45" w:type="dxa"/>
              <w:right w:w="55" w:type="dxa"/>
            </w:tcMar>
            <w:vAlign w:val="center"/>
          </w:tcPr>
          <w:p w14:paraId="52D4040A" w14:textId="77777777" w:rsidR="00122D62" w:rsidRPr="00FE340C" w:rsidRDefault="00000000">
            <w:pPr>
              <w:spacing w:after="0"/>
            </w:pPr>
            <w:r w:rsidRPr="00FE340C">
              <w:rPr>
                <w:sz w:val="15"/>
              </w:rPr>
              <w:t>Constant</w:t>
            </w:r>
          </w:p>
        </w:tc>
        <w:tc>
          <w:tcPr>
            <w:tcW w:w="1656" w:type="dxa"/>
            <w:tcMar>
              <w:top w:w="45" w:type="dxa"/>
              <w:left w:w="55" w:type="dxa"/>
              <w:bottom w:w="45" w:type="dxa"/>
              <w:right w:w="55" w:type="dxa"/>
            </w:tcMar>
            <w:vAlign w:val="center"/>
          </w:tcPr>
          <w:p w14:paraId="2AABC47B" w14:textId="77777777" w:rsidR="00122D62" w:rsidRPr="00FE340C" w:rsidRDefault="00000000">
            <w:pPr>
              <w:spacing w:after="0"/>
              <w:jc w:val="center"/>
            </w:pPr>
            <w:r w:rsidRPr="00FE340C">
              <w:rPr>
                <w:sz w:val="15"/>
              </w:rPr>
              <w:t>-23.989 (4.018)</w:t>
            </w:r>
          </w:p>
        </w:tc>
        <w:tc>
          <w:tcPr>
            <w:tcW w:w="1080" w:type="dxa"/>
            <w:tcMar>
              <w:top w:w="45" w:type="dxa"/>
              <w:left w:w="55" w:type="dxa"/>
              <w:bottom w:w="45" w:type="dxa"/>
              <w:right w:w="55" w:type="dxa"/>
            </w:tcMar>
            <w:vAlign w:val="center"/>
          </w:tcPr>
          <w:p w14:paraId="1A9D7C27" w14:textId="77777777" w:rsidR="00122D62" w:rsidRPr="00FE340C" w:rsidRDefault="00000000">
            <w:pPr>
              <w:spacing w:after="0"/>
              <w:jc w:val="center"/>
            </w:pPr>
            <w:r w:rsidRPr="00FE340C">
              <w:rPr>
                <w:sz w:val="15"/>
              </w:rPr>
              <w:t>-5.970</w:t>
            </w:r>
          </w:p>
        </w:tc>
        <w:tc>
          <w:tcPr>
            <w:tcW w:w="936" w:type="dxa"/>
            <w:tcMar>
              <w:top w:w="45" w:type="dxa"/>
              <w:left w:w="55" w:type="dxa"/>
              <w:bottom w:w="45" w:type="dxa"/>
              <w:right w:w="55" w:type="dxa"/>
            </w:tcMar>
            <w:vAlign w:val="center"/>
          </w:tcPr>
          <w:p w14:paraId="26B09300" w14:textId="77777777" w:rsidR="00122D62" w:rsidRPr="00FE340C" w:rsidRDefault="00000000">
            <w:pPr>
              <w:spacing w:after="0"/>
              <w:jc w:val="center"/>
            </w:pPr>
            <w:r w:rsidRPr="00FE340C">
              <w:rPr>
                <w:sz w:val="15"/>
              </w:rPr>
              <w:t>&lt;.001</w:t>
            </w:r>
          </w:p>
        </w:tc>
        <w:tc>
          <w:tcPr>
            <w:tcW w:w="1008" w:type="dxa"/>
            <w:tcMar>
              <w:top w:w="45" w:type="dxa"/>
              <w:left w:w="55" w:type="dxa"/>
              <w:bottom w:w="45" w:type="dxa"/>
              <w:right w:w="55" w:type="dxa"/>
            </w:tcMar>
            <w:vAlign w:val="center"/>
          </w:tcPr>
          <w:p w14:paraId="5F042EA1" w14:textId="77777777" w:rsidR="00122D62" w:rsidRPr="00FE340C" w:rsidRDefault="00000000">
            <w:pPr>
              <w:spacing w:after="0"/>
              <w:jc w:val="center"/>
            </w:pPr>
            <w:r w:rsidRPr="00FE340C">
              <w:rPr>
                <w:sz w:val="15"/>
              </w:rPr>
              <w:t>—</w:t>
            </w:r>
          </w:p>
        </w:tc>
        <w:tc>
          <w:tcPr>
            <w:tcW w:w="1944" w:type="dxa"/>
            <w:tcMar>
              <w:top w:w="45" w:type="dxa"/>
              <w:left w:w="55" w:type="dxa"/>
              <w:bottom w:w="45" w:type="dxa"/>
              <w:right w:w="55" w:type="dxa"/>
            </w:tcMar>
            <w:vAlign w:val="center"/>
          </w:tcPr>
          <w:p w14:paraId="3E7DC934" w14:textId="77777777" w:rsidR="00122D62" w:rsidRPr="00FE340C" w:rsidRDefault="00000000">
            <w:pPr>
              <w:spacing w:after="0"/>
              <w:jc w:val="center"/>
            </w:pPr>
            <w:r w:rsidRPr="00FE340C">
              <w:rPr>
                <w:sz w:val="15"/>
              </w:rPr>
              <w:t>—</w:t>
            </w:r>
          </w:p>
        </w:tc>
      </w:tr>
      <w:tr w:rsidR="00122D62" w:rsidRPr="00FE340C" w14:paraId="21F1D10A" w14:textId="77777777">
        <w:trPr>
          <w:cantSplit/>
          <w:jc w:val="center"/>
        </w:trPr>
        <w:tc>
          <w:tcPr>
            <w:tcW w:w="2376" w:type="dxa"/>
            <w:tcMar>
              <w:top w:w="45" w:type="dxa"/>
              <w:left w:w="55" w:type="dxa"/>
              <w:bottom w:w="45" w:type="dxa"/>
              <w:right w:w="55" w:type="dxa"/>
            </w:tcMar>
            <w:vAlign w:val="center"/>
          </w:tcPr>
          <w:p w14:paraId="67AF5686" w14:textId="77777777" w:rsidR="00122D62" w:rsidRPr="00FE340C" w:rsidRDefault="00000000">
            <w:pPr>
              <w:spacing w:after="0"/>
            </w:pPr>
            <w:r w:rsidRPr="00FE340C">
              <w:rPr>
                <w:sz w:val="15"/>
              </w:rPr>
              <w:t>Age category</w:t>
            </w:r>
          </w:p>
        </w:tc>
        <w:tc>
          <w:tcPr>
            <w:tcW w:w="1656" w:type="dxa"/>
            <w:tcMar>
              <w:top w:w="45" w:type="dxa"/>
              <w:left w:w="55" w:type="dxa"/>
              <w:bottom w:w="45" w:type="dxa"/>
              <w:right w:w="55" w:type="dxa"/>
            </w:tcMar>
            <w:vAlign w:val="center"/>
          </w:tcPr>
          <w:p w14:paraId="4C9750A2" w14:textId="77777777" w:rsidR="00122D62" w:rsidRPr="00FE340C" w:rsidRDefault="00000000">
            <w:pPr>
              <w:spacing w:after="0"/>
              <w:jc w:val="center"/>
            </w:pPr>
            <w:r w:rsidRPr="00FE340C">
              <w:rPr>
                <w:sz w:val="15"/>
              </w:rPr>
              <w:t>1.762 (0.311)</w:t>
            </w:r>
          </w:p>
        </w:tc>
        <w:tc>
          <w:tcPr>
            <w:tcW w:w="1080" w:type="dxa"/>
            <w:tcMar>
              <w:top w:w="45" w:type="dxa"/>
              <w:left w:w="55" w:type="dxa"/>
              <w:bottom w:w="45" w:type="dxa"/>
              <w:right w:w="55" w:type="dxa"/>
            </w:tcMar>
            <w:vAlign w:val="center"/>
          </w:tcPr>
          <w:p w14:paraId="63FD3DA7" w14:textId="77777777" w:rsidR="00122D62" w:rsidRPr="00FE340C" w:rsidRDefault="00000000">
            <w:pPr>
              <w:spacing w:after="0"/>
              <w:jc w:val="center"/>
            </w:pPr>
            <w:r w:rsidRPr="00FE340C">
              <w:rPr>
                <w:sz w:val="15"/>
              </w:rPr>
              <w:t>5.673</w:t>
            </w:r>
          </w:p>
        </w:tc>
        <w:tc>
          <w:tcPr>
            <w:tcW w:w="936" w:type="dxa"/>
            <w:tcMar>
              <w:top w:w="45" w:type="dxa"/>
              <w:left w:w="55" w:type="dxa"/>
              <w:bottom w:w="45" w:type="dxa"/>
              <w:right w:w="55" w:type="dxa"/>
            </w:tcMar>
            <w:vAlign w:val="center"/>
          </w:tcPr>
          <w:p w14:paraId="0533119A" w14:textId="77777777" w:rsidR="00122D62" w:rsidRPr="00FE340C" w:rsidRDefault="00000000">
            <w:pPr>
              <w:spacing w:after="0"/>
              <w:jc w:val="center"/>
            </w:pPr>
            <w:r w:rsidRPr="00FE340C">
              <w:rPr>
                <w:sz w:val="15"/>
              </w:rPr>
              <w:t>&lt;.001</w:t>
            </w:r>
          </w:p>
        </w:tc>
        <w:tc>
          <w:tcPr>
            <w:tcW w:w="1008" w:type="dxa"/>
            <w:tcMar>
              <w:top w:w="45" w:type="dxa"/>
              <w:left w:w="55" w:type="dxa"/>
              <w:bottom w:w="45" w:type="dxa"/>
              <w:right w:w="55" w:type="dxa"/>
            </w:tcMar>
            <w:vAlign w:val="center"/>
          </w:tcPr>
          <w:p w14:paraId="133703EF" w14:textId="77777777" w:rsidR="00122D62" w:rsidRPr="00FE340C" w:rsidRDefault="00000000">
            <w:pPr>
              <w:spacing w:after="0"/>
              <w:jc w:val="center"/>
            </w:pPr>
            <w:r w:rsidRPr="00FE340C">
              <w:rPr>
                <w:sz w:val="15"/>
              </w:rPr>
              <w:t>5.82</w:t>
            </w:r>
          </w:p>
        </w:tc>
        <w:tc>
          <w:tcPr>
            <w:tcW w:w="1944" w:type="dxa"/>
            <w:tcMar>
              <w:top w:w="45" w:type="dxa"/>
              <w:left w:w="55" w:type="dxa"/>
              <w:bottom w:w="45" w:type="dxa"/>
              <w:right w:w="55" w:type="dxa"/>
            </w:tcMar>
            <w:vAlign w:val="center"/>
          </w:tcPr>
          <w:p w14:paraId="409EAA23" w14:textId="77777777" w:rsidR="00122D62" w:rsidRPr="00FE340C" w:rsidRDefault="00000000">
            <w:pPr>
              <w:spacing w:after="0"/>
              <w:jc w:val="center"/>
            </w:pPr>
            <w:r w:rsidRPr="00FE340C">
              <w:rPr>
                <w:sz w:val="15"/>
              </w:rPr>
              <w:t>3.17–10.71</w:t>
            </w:r>
          </w:p>
        </w:tc>
      </w:tr>
      <w:tr w:rsidR="00122D62" w:rsidRPr="00FE340C" w14:paraId="0D7223D3" w14:textId="77777777">
        <w:trPr>
          <w:cantSplit/>
          <w:jc w:val="center"/>
        </w:trPr>
        <w:tc>
          <w:tcPr>
            <w:tcW w:w="2376" w:type="dxa"/>
            <w:tcMar>
              <w:top w:w="45" w:type="dxa"/>
              <w:left w:w="55" w:type="dxa"/>
              <w:bottom w:w="45" w:type="dxa"/>
              <w:right w:w="55" w:type="dxa"/>
            </w:tcMar>
            <w:vAlign w:val="center"/>
          </w:tcPr>
          <w:p w14:paraId="54ED3BAE" w14:textId="77777777" w:rsidR="00122D62" w:rsidRPr="00FE340C" w:rsidRDefault="00000000">
            <w:pPr>
              <w:spacing w:after="0"/>
            </w:pPr>
            <w:r w:rsidRPr="00FE340C">
              <w:rPr>
                <w:sz w:val="15"/>
              </w:rPr>
              <w:t>Risk tolerance</w:t>
            </w:r>
          </w:p>
        </w:tc>
        <w:tc>
          <w:tcPr>
            <w:tcW w:w="1656" w:type="dxa"/>
            <w:tcMar>
              <w:top w:w="45" w:type="dxa"/>
              <w:left w:w="55" w:type="dxa"/>
              <w:bottom w:w="45" w:type="dxa"/>
              <w:right w:w="55" w:type="dxa"/>
            </w:tcMar>
            <w:vAlign w:val="center"/>
          </w:tcPr>
          <w:p w14:paraId="2C177441" w14:textId="77777777" w:rsidR="00122D62" w:rsidRPr="00FE340C" w:rsidRDefault="00000000">
            <w:pPr>
              <w:spacing w:after="0"/>
              <w:jc w:val="center"/>
            </w:pPr>
            <w:r w:rsidRPr="00FE340C">
              <w:rPr>
                <w:sz w:val="15"/>
              </w:rPr>
              <w:t>5.045 (0.782)</w:t>
            </w:r>
          </w:p>
        </w:tc>
        <w:tc>
          <w:tcPr>
            <w:tcW w:w="1080" w:type="dxa"/>
            <w:tcMar>
              <w:top w:w="45" w:type="dxa"/>
              <w:left w:w="55" w:type="dxa"/>
              <w:bottom w:w="45" w:type="dxa"/>
              <w:right w:w="55" w:type="dxa"/>
            </w:tcMar>
            <w:vAlign w:val="center"/>
          </w:tcPr>
          <w:p w14:paraId="1AD3A6A0" w14:textId="77777777" w:rsidR="00122D62" w:rsidRPr="00FE340C" w:rsidRDefault="00000000">
            <w:pPr>
              <w:spacing w:after="0"/>
              <w:jc w:val="center"/>
            </w:pPr>
            <w:r w:rsidRPr="00FE340C">
              <w:rPr>
                <w:sz w:val="15"/>
              </w:rPr>
              <w:t>6.454</w:t>
            </w:r>
          </w:p>
        </w:tc>
        <w:tc>
          <w:tcPr>
            <w:tcW w:w="936" w:type="dxa"/>
            <w:tcMar>
              <w:top w:w="45" w:type="dxa"/>
              <w:left w:w="55" w:type="dxa"/>
              <w:bottom w:w="45" w:type="dxa"/>
              <w:right w:w="55" w:type="dxa"/>
            </w:tcMar>
            <w:vAlign w:val="center"/>
          </w:tcPr>
          <w:p w14:paraId="44AC06C4" w14:textId="77777777" w:rsidR="00122D62" w:rsidRPr="00FE340C" w:rsidRDefault="00000000">
            <w:pPr>
              <w:spacing w:after="0"/>
              <w:jc w:val="center"/>
            </w:pPr>
            <w:r w:rsidRPr="00FE340C">
              <w:rPr>
                <w:sz w:val="15"/>
              </w:rPr>
              <w:t>&lt;.001</w:t>
            </w:r>
          </w:p>
        </w:tc>
        <w:tc>
          <w:tcPr>
            <w:tcW w:w="1008" w:type="dxa"/>
            <w:tcMar>
              <w:top w:w="45" w:type="dxa"/>
              <w:left w:w="55" w:type="dxa"/>
              <w:bottom w:w="45" w:type="dxa"/>
              <w:right w:w="55" w:type="dxa"/>
            </w:tcMar>
            <w:vAlign w:val="center"/>
          </w:tcPr>
          <w:p w14:paraId="168C615A" w14:textId="77777777" w:rsidR="00122D62" w:rsidRPr="00FE340C" w:rsidRDefault="00000000">
            <w:pPr>
              <w:spacing w:after="0"/>
              <w:jc w:val="center"/>
            </w:pPr>
            <w:r w:rsidRPr="00FE340C">
              <w:rPr>
                <w:sz w:val="15"/>
              </w:rPr>
              <w:t>155.17</w:t>
            </w:r>
          </w:p>
        </w:tc>
        <w:tc>
          <w:tcPr>
            <w:tcW w:w="1944" w:type="dxa"/>
            <w:tcMar>
              <w:top w:w="45" w:type="dxa"/>
              <w:left w:w="55" w:type="dxa"/>
              <w:bottom w:w="45" w:type="dxa"/>
              <w:right w:w="55" w:type="dxa"/>
            </w:tcMar>
            <w:vAlign w:val="center"/>
          </w:tcPr>
          <w:p w14:paraId="227F6C80" w14:textId="77777777" w:rsidR="00122D62" w:rsidRPr="00FE340C" w:rsidRDefault="00000000">
            <w:pPr>
              <w:spacing w:after="0"/>
              <w:jc w:val="center"/>
            </w:pPr>
            <w:r w:rsidRPr="00FE340C">
              <w:rPr>
                <w:sz w:val="15"/>
              </w:rPr>
              <w:t>33.54–717.91</w:t>
            </w:r>
          </w:p>
        </w:tc>
      </w:tr>
      <w:tr w:rsidR="00122D62" w:rsidRPr="00FE340C" w14:paraId="1B40A091" w14:textId="77777777">
        <w:trPr>
          <w:cantSplit/>
          <w:jc w:val="center"/>
        </w:trPr>
        <w:tc>
          <w:tcPr>
            <w:tcW w:w="2376" w:type="dxa"/>
            <w:tcMar>
              <w:top w:w="45" w:type="dxa"/>
              <w:left w:w="55" w:type="dxa"/>
              <w:bottom w:w="45" w:type="dxa"/>
              <w:right w:w="55" w:type="dxa"/>
            </w:tcMar>
            <w:vAlign w:val="center"/>
          </w:tcPr>
          <w:p w14:paraId="6ED50767" w14:textId="77777777" w:rsidR="00122D62" w:rsidRPr="00FE340C" w:rsidRDefault="00000000">
            <w:pPr>
              <w:spacing w:after="0"/>
            </w:pPr>
            <w:r w:rsidRPr="00FE340C">
              <w:rPr>
                <w:sz w:val="15"/>
              </w:rPr>
              <w:t>Financial literacy</w:t>
            </w:r>
          </w:p>
        </w:tc>
        <w:tc>
          <w:tcPr>
            <w:tcW w:w="1656" w:type="dxa"/>
            <w:tcMar>
              <w:top w:w="45" w:type="dxa"/>
              <w:left w:w="55" w:type="dxa"/>
              <w:bottom w:w="45" w:type="dxa"/>
              <w:right w:w="55" w:type="dxa"/>
            </w:tcMar>
            <w:vAlign w:val="center"/>
          </w:tcPr>
          <w:p w14:paraId="7D89EBA2" w14:textId="77777777" w:rsidR="00122D62" w:rsidRPr="00FE340C" w:rsidRDefault="00000000">
            <w:pPr>
              <w:spacing w:after="0"/>
              <w:jc w:val="center"/>
            </w:pPr>
            <w:r w:rsidRPr="00FE340C">
              <w:rPr>
                <w:sz w:val="15"/>
              </w:rPr>
              <w:t>0.753 (0.294)</w:t>
            </w:r>
          </w:p>
        </w:tc>
        <w:tc>
          <w:tcPr>
            <w:tcW w:w="1080" w:type="dxa"/>
            <w:tcMar>
              <w:top w:w="45" w:type="dxa"/>
              <w:left w:w="55" w:type="dxa"/>
              <w:bottom w:w="45" w:type="dxa"/>
              <w:right w:w="55" w:type="dxa"/>
            </w:tcMar>
            <w:vAlign w:val="center"/>
          </w:tcPr>
          <w:p w14:paraId="2F219160" w14:textId="77777777" w:rsidR="00122D62" w:rsidRPr="00FE340C" w:rsidRDefault="00000000">
            <w:pPr>
              <w:spacing w:after="0"/>
              <w:jc w:val="center"/>
            </w:pPr>
            <w:r w:rsidRPr="00FE340C">
              <w:rPr>
                <w:sz w:val="15"/>
              </w:rPr>
              <w:t>2.558</w:t>
            </w:r>
          </w:p>
        </w:tc>
        <w:tc>
          <w:tcPr>
            <w:tcW w:w="936" w:type="dxa"/>
            <w:tcMar>
              <w:top w:w="45" w:type="dxa"/>
              <w:left w:w="55" w:type="dxa"/>
              <w:bottom w:w="45" w:type="dxa"/>
              <w:right w:w="55" w:type="dxa"/>
            </w:tcMar>
            <w:vAlign w:val="center"/>
          </w:tcPr>
          <w:p w14:paraId="35D2DC87" w14:textId="77777777" w:rsidR="00122D62" w:rsidRPr="00FE340C" w:rsidRDefault="00000000">
            <w:pPr>
              <w:spacing w:after="0"/>
              <w:jc w:val="center"/>
            </w:pPr>
            <w:r w:rsidRPr="00FE340C">
              <w:rPr>
                <w:sz w:val="15"/>
              </w:rPr>
              <w:t>0.011</w:t>
            </w:r>
          </w:p>
        </w:tc>
        <w:tc>
          <w:tcPr>
            <w:tcW w:w="1008" w:type="dxa"/>
            <w:tcMar>
              <w:top w:w="45" w:type="dxa"/>
              <w:left w:w="55" w:type="dxa"/>
              <w:bottom w:w="45" w:type="dxa"/>
              <w:right w:w="55" w:type="dxa"/>
            </w:tcMar>
            <w:vAlign w:val="center"/>
          </w:tcPr>
          <w:p w14:paraId="7562F9E9" w14:textId="77777777" w:rsidR="00122D62" w:rsidRPr="00FE340C" w:rsidRDefault="00000000">
            <w:pPr>
              <w:spacing w:after="0"/>
              <w:jc w:val="center"/>
            </w:pPr>
            <w:r w:rsidRPr="00FE340C">
              <w:rPr>
                <w:sz w:val="15"/>
              </w:rPr>
              <w:t>2.12</w:t>
            </w:r>
          </w:p>
        </w:tc>
        <w:tc>
          <w:tcPr>
            <w:tcW w:w="1944" w:type="dxa"/>
            <w:tcMar>
              <w:top w:w="45" w:type="dxa"/>
              <w:left w:w="55" w:type="dxa"/>
              <w:bottom w:w="45" w:type="dxa"/>
              <w:right w:w="55" w:type="dxa"/>
            </w:tcMar>
            <w:vAlign w:val="center"/>
          </w:tcPr>
          <w:p w14:paraId="711A5BCC" w14:textId="77777777" w:rsidR="00122D62" w:rsidRPr="00FE340C" w:rsidRDefault="00000000">
            <w:pPr>
              <w:spacing w:after="0"/>
              <w:jc w:val="center"/>
            </w:pPr>
            <w:r w:rsidRPr="00FE340C">
              <w:rPr>
                <w:sz w:val="15"/>
              </w:rPr>
              <w:t>1.19–3.78</w:t>
            </w:r>
          </w:p>
        </w:tc>
      </w:tr>
      <w:tr w:rsidR="00122D62" w:rsidRPr="00FE340C" w14:paraId="0C7FF7C4" w14:textId="77777777">
        <w:trPr>
          <w:cantSplit/>
          <w:jc w:val="center"/>
        </w:trPr>
        <w:tc>
          <w:tcPr>
            <w:tcW w:w="2376" w:type="dxa"/>
            <w:tcMar>
              <w:top w:w="45" w:type="dxa"/>
              <w:left w:w="55" w:type="dxa"/>
              <w:bottom w:w="45" w:type="dxa"/>
              <w:right w:w="55" w:type="dxa"/>
            </w:tcMar>
            <w:vAlign w:val="center"/>
          </w:tcPr>
          <w:p w14:paraId="195C8D1B" w14:textId="77777777" w:rsidR="00122D62" w:rsidRPr="00FE340C" w:rsidRDefault="00000000">
            <w:pPr>
              <w:spacing w:after="0"/>
            </w:pPr>
            <w:r w:rsidRPr="00FE340C">
              <w:rPr>
                <w:sz w:val="15"/>
              </w:rPr>
              <w:t>Financial access</w:t>
            </w:r>
          </w:p>
        </w:tc>
        <w:tc>
          <w:tcPr>
            <w:tcW w:w="1656" w:type="dxa"/>
            <w:tcMar>
              <w:top w:w="45" w:type="dxa"/>
              <w:left w:w="55" w:type="dxa"/>
              <w:bottom w:w="45" w:type="dxa"/>
              <w:right w:w="55" w:type="dxa"/>
            </w:tcMar>
            <w:vAlign w:val="center"/>
          </w:tcPr>
          <w:p w14:paraId="0E9E01A7" w14:textId="77777777" w:rsidR="00122D62" w:rsidRPr="00FE340C" w:rsidRDefault="00000000">
            <w:pPr>
              <w:spacing w:after="0"/>
              <w:jc w:val="center"/>
            </w:pPr>
            <w:r w:rsidRPr="00FE340C">
              <w:rPr>
                <w:sz w:val="15"/>
              </w:rPr>
              <w:t>-1.817 (0.843)</w:t>
            </w:r>
          </w:p>
        </w:tc>
        <w:tc>
          <w:tcPr>
            <w:tcW w:w="1080" w:type="dxa"/>
            <w:tcMar>
              <w:top w:w="45" w:type="dxa"/>
              <w:left w:w="55" w:type="dxa"/>
              <w:bottom w:w="45" w:type="dxa"/>
              <w:right w:w="55" w:type="dxa"/>
            </w:tcMar>
            <w:vAlign w:val="center"/>
          </w:tcPr>
          <w:p w14:paraId="5EB22A06" w14:textId="77777777" w:rsidR="00122D62" w:rsidRPr="00FE340C" w:rsidRDefault="00000000">
            <w:pPr>
              <w:spacing w:after="0"/>
              <w:jc w:val="center"/>
            </w:pPr>
            <w:r w:rsidRPr="00FE340C">
              <w:rPr>
                <w:sz w:val="15"/>
              </w:rPr>
              <w:t>-2.157</w:t>
            </w:r>
          </w:p>
        </w:tc>
        <w:tc>
          <w:tcPr>
            <w:tcW w:w="936" w:type="dxa"/>
            <w:tcMar>
              <w:top w:w="45" w:type="dxa"/>
              <w:left w:w="55" w:type="dxa"/>
              <w:bottom w:w="45" w:type="dxa"/>
              <w:right w:w="55" w:type="dxa"/>
            </w:tcMar>
            <w:vAlign w:val="center"/>
          </w:tcPr>
          <w:p w14:paraId="74031785" w14:textId="77777777" w:rsidR="00122D62" w:rsidRPr="00FE340C" w:rsidRDefault="00000000">
            <w:pPr>
              <w:spacing w:after="0"/>
              <w:jc w:val="center"/>
            </w:pPr>
            <w:r w:rsidRPr="00FE340C">
              <w:rPr>
                <w:sz w:val="15"/>
              </w:rPr>
              <w:t>0.031</w:t>
            </w:r>
          </w:p>
        </w:tc>
        <w:tc>
          <w:tcPr>
            <w:tcW w:w="1008" w:type="dxa"/>
            <w:tcMar>
              <w:top w:w="45" w:type="dxa"/>
              <w:left w:w="55" w:type="dxa"/>
              <w:bottom w:w="45" w:type="dxa"/>
              <w:right w:w="55" w:type="dxa"/>
            </w:tcMar>
            <w:vAlign w:val="center"/>
          </w:tcPr>
          <w:p w14:paraId="35AA465F" w14:textId="77777777" w:rsidR="00122D62" w:rsidRPr="00FE340C" w:rsidRDefault="00000000">
            <w:pPr>
              <w:spacing w:after="0"/>
              <w:jc w:val="center"/>
            </w:pPr>
            <w:r w:rsidRPr="00FE340C">
              <w:rPr>
                <w:sz w:val="15"/>
              </w:rPr>
              <w:t>0.16</w:t>
            </w:r>
          </w:p>
        </w:tc>
        <w:tc>
          <w:tcPr>
            <w:tcW w:w="1944" w:type="dxa"/>
            <w:tcMar>
              <w:top w:w="45" w:type="dxa"/>
              <w:left w:w="55" w:type="dxa"/>
              <w:bottom w:w="45" w:type="dxa"/>
              <w:right w:w="55" w:type="dxa"/>
            </w:tcMar>
            <w:vAlign w:val="center"/>
          </w:tcPr>
          <w:p w14:paraId="605A8A7E" w14:textId="77777777" w:rsidR="00122D62" w:rsidRPr="00FE340C" w:rsidRDefault="00000000">
            <w:pPr>
              <w:spacing w:after="0"/>
              <w:jc w:val="center"/>
            </w:pPr>
            <w:r w:rsidRPr="00FE340C">
              <w:rPr>
                <w:sz w:val="15"/>
              </w:rPr>
              <w:t>0.03–0.85</w:t>
            </w:r>
          </w:p>
        </w:tc>
      </w:tr>
      <w:tr w:rsidR="00122D62" w:rsidRPr="00FE340C" w14:paraId="1DAF8C73" w14:textId="77777777">
        <w:trPr>
          <w:cantSplit/>
          <w:jc w:val="center"/>
        </w:trPr>
        <w:tc>
          <w:tcPr>
            <w:tcW w:w="2376" w:type="dxa"/>
            <w:tcMar>
              <w:top w:w="45" w:type="dxa"/>
              <w:left w:w="55" w:type="dxa"/>
              <w:bottom w:w="45" w:type="dxa"/>
              <w:right w:w="55" w:type="dxa"/>
            </w:tcMar>
            <w:vAlign w:val="center"/>
          </w:tcPr>
          <w:p w14:paraId="2450D493" w14:textId="77777777" w:rsidR="00122D62" w:rsidRPr="00FE340C" w:rsidRDefault="00000000">
            <w:pPr>
              <w:spacing w:after="0"/>
            </w:pPr>
            <w:r w:rsidRPr="00FE340C">
              <w:rPr>
                <w:sz w:val="15"/>
              </w:rPr>
              <w:t>Digital financial services</w:t>
            </w:r>
          </w:p>
        </w:tc>
        <w:tc>
          <w:tcPr>
            <w:tcW w:w="1656" w:type="dxa"/>
            <w:tcMar>
              <w:top w:w="45" w:type="dxa"/>
              <w:left w:w="55" w:type="dxa"/>
              <w:bottom w:w="45" w:type="dxa"/>
              <w:right w:w="55" w:type="dxa"/>
            </w:tcMar>
            <w:vAlign w:val="center"/>
          </w:tcPr>
          <w:p w14:paraId="4BF7D1FC" w14:textId="77777777" w:rsidR="00122D62" w:rsidRPr="00FE340C" w:rsidRDefault="00000000">
            <w:pPr>
              <w:spacing w:after="0"/>
              <w:jc w:val="center"/>
            </w:pPr>
            <w:r w:rsidRPr="00FE340C">
              <w:rPr>
                <w:sz w:val="15"/>
              </w:rPr>
              <w:t>0.287 (0.450)</w:t>
            </w:r>
          </w:p>
        </w:tc>
        <w:tc>
          <w:tcPr>
            <w:tcW w:w="1080" w:type="dxa"/>
            <w:tcMar>
              <w:top w:w="45" w:type="dxa"/>
              <w:left w:w="55" w:type="dxa"/>
              <w:bottom w:w="45" w:type="dxa"/>
              <w:right w:w="55" w:type="dxa"/>
            </w:tcMar>
            <w:vAlign w:val="center"/>
          </w:tcPr>
          <w:p w14:paraId="7D3F8E6E" w14:textId="77777777" w:rsidR="00122D62" w:rsidRPr="00FE340C" w:rsidRDefault="00000000">
            <w:pPr>
              <w:spacing w:after="0"/>
              <w:jc w:val="center"/>
            </w:pPr>
            <w:r w:rsidRPr="00FE340C">
              <w:rPr>
                <w:sz w:val="15"/>
              </w:rPr>
              <w:t>0.638</w:t>
            </w:r>
          </w:p>
        </w:tc>
        <w:tc>
          <w:tcPr>
            <w:tcW w:w="936" w:type="dxa"/>
            <w:tcMar>
              <w:top w:w="45" w:type="dxa"/>
              <w:left w:w="55" w:type="dxa"/>
              <w:bottom w:w="45" w:type="dxa"/>
              <w:right w:w="55" w:type="dxa"/>
            </w:tcMar>
            <w:vAlign w:val="center"/>
          </w:tcPr>
          <w:p w14:paraId="0A4802A8" w14:textId="77777777" w:rsidR="00122D62" w:rsidRPr="00FE340C" w:rsidRDefault="00000000">
            <w:pPr>
              <w:spacing w:after="0"/>
              <w:jc w:val="center"/>
            </w:pPr>
            <w:r w:rsidRPr="00FE340C">
              <w:rPr>
                <w:sz w:val="15"/>
              </w:rPr>
              <w:t>0.524</w:t>
            </w:r>
          </w:p>
        </w:tc>
        <w:tc>
          <w:tcPr>
            <w:tcW w:w="1008" w:type="dxa"/>
            <w:tcMar>
              <w:top w:w="45" w:type="dxa"/>
              <w:left w:w="55" w:type="dxa"/>
              <w:bottom w:w="45" w:type="dxa"/>
              <w:right w:w="55" w:type="dxa"/>
            </w:tcMar>
            <w:vAlign w:val="center"/>
          </w:tcPr>
          <w:p w14:paraId="079AA1B4" w14:textId="77777777" w:rsidR="00122D62" w:rsidRPr="00FE340C" w:rsidRDefault="00000000">
            <w:pPr>
              <w:spacing w:after="0"/>
              <w:jc w:val="center"/>
            </w:pPr>
            <w:r w:rsidRPr="00FE340C">
              <w:rPr>
                <w:sz w:val="15"/>
              </w:rPr>
              <w:t>1.33</w:t>
            </w:r>
          </w:p>
        </w:tc>
        <w:tc>
          <w:tcPr>
            <w:tcW w:w="1944" w:type="dxa"/>
            <w:tcMar>
              <w:top w:w="45" w:type="dxa"/>
              <w:left w:w="55" w:type="dxa"/>
              <w:bottom w:w="45" w:type="dxa"/>
              <w:right w:w="55" w:type="dxa"/>
            </w:tcMar>
            <w:vAlign w:val="center"/>
          </w:tcPr>
          <w:p w14:paraId="523A327B" w14:textId="77777777" w:rsidR="00122D62" w:rsidRPr="00FE340C" w:rsidRDefault="00000000">
            <w:pPr>
              <w:spacing w:after="0"/>
              <w:jc w:val="center"/>
            </w:pPr>
            <w:r w:rsidRPr="00FE340C">
              <w:rPr>
                <w:sz w:val="15"/>
              </w:rPr>
              <w:t>0.55–3.22</w:t>
            </w:r>
          </w:p>
        </w:tc>
      </w:tr>
      <w:tr w:rsidR="00122D62" w:rsidRPr="00FE340C" w14:paraId="207C7B2A" w14:textId="77777777">
        <w:trPr>
          <w:cantSplit/>
          <w:jc w:val="center"/>
        </w:trPr>
        <w:tc>
          <w:tcPr>
            <w:tcW w:w="2376" w:type="dxa"/>
            <w:tcMar>
              <w:top w:w="45" w:type="dxa"/>
              <w:left w:w="55" w:type="dxa"/>
              <w:bottom w:w="45" w:type="dxa"/>
              <w:right w:w="55" w:type="dxa"/>
            </w:tcMar>
            <w:vAlign w:val="center"/>
          </w:tcPr>
          <w:p w14:paraId="72ABE39A" w14:textId="77777777" w:rsidR="00122D62" w:rsidRPr="00FE340C" w:rsidRDefault="00000000">
            <w:pPr>
              <w:spacing w:after="0"/>
            </w:pPr>
            <w:r w:rsidRPr="00FE340C">
              <w:rPr>
                <w:sz w:val="15"/>
              </w:rPr>
              <w:t>Regulation</w:t>
            </w:r>
          </w:p>
        </w:tc>
        <w:tc>
          <w:tcPr>
            <w:tcW w:w="1656" w:type="dxa"/>
            <w:tcMar>
              <w:top w:w="45" w:type="dxa"/>
              <w:left w:w="55" w:type="dxa"/>
              <w:bottom w:w="45" w:type="dxa"/>
              <w:right w:w="55" w:type="dxa"/>
            </w:tcMar>
            <w:vAlign w:val="center"/>
          </w:tcPr>
          <w:p w14:paraId="47478441" w14:textId="77777777" w:rsidR="00122D62" w:rsidRPr="00FE340C" w:rsidRDefault="00000000">
            <w:pPr>
              <w:spacing w:after="0"/>
              <w:jc w:val="center"/>
            </w:pPr>
            <w:r w:rsidRPr="00FE340C">
              <w:rPr>
                <w:sz w:val="15"/>
              </w:rPr>
              <w:t>0.612 (0.818)</w:t>
            </w:r>
          </w:p>
        </w:tc>
        <w:tc>
          <w:tcPr>
            <w:tcW w:w="1080" w:type="dxa"/>
            <w:tcMar>
              <w:top w:w="45" w:type="dxa"/>
              <w:left w:w="55" w:type="dxa"/>
              <w:bottom w:w="45" w:type="dxa"/>
              <w:right w:w="55" w:type="dxa"/>
            </w:tcMar>
            <w:vAlign w:val="center"/>
          </w:tcPr>
          <w:p w14:paraId="1DA98E74" w14:textId="77777777" w:rsidR="00122D62" w:rsidRPr="00FE340C" w:rsidRDefault="00000000">
            <w:pPr>
              <w:spacing w:after="0"/>
              <w:jc w:val="center"/>
            </w:pPr>
            <w:r w:rsidRPr="00FE340C">
              <w:rPr>
                <w:sz w:val="15"/>
              </w:rPr>
              <w:t>0.748</w:t>
            </w:r>
          </w:p>
        </w:tc>
        <w:tc>
          <w:tcPr>
            <w:tcW w:w="936" w:type="dxa"/>
            <w:tcMar>
              <w:top w:w="45" w:type="dxa"/>
              <w:left w:w="55" w:type="dxa"/>
              <w:bottom w:w="45" w:type="dxa"/>
              <w:right w:w="55" w:type="dxa"/>
            </w:tcMar>
            <w:vAlign w:val="center"/>
          </w:tcPr>
          <w:p w14:paraId="0CCAADA5" w14:textId="77777777" w:rsidR="00122D62" w:rsidRPr="00FE340C" w:rsidRDefault="00000000">
            <w:pPr>
              <w:spacing w:after="0"/>
              <w:jc w:val="center"/>
            </w:pPr>
            <w:r w:rsidRPr="00FE340C">
              <w:rPr>
                <w:sz w:val="15"/>
              </w:rPr>
              <w:t>0.454</w:t>
            </w:r>
          </w:p>
        </w:tc>
        <w:tc>
          <w:tcPr>
            <w:tcW w:w="1008" w:type="dxa"/>
            <w:tcMar>
              <w:top w:w="45" w:type="dxa"/>
              <w:left w:w="55" w:type="dxa"/>
              <w:bottom w:w="45" w:type="dxa"/>
              <w:right w:w="55" w:type="dxa"/>
            </w:tcMar>
            <w:vAlign w:val="center"/>
          </w:tcPr>
          <w:p w14:paraId="56743A94" w14:textId="77777777" w:rsidR="00122D62" w:rsidRPr="00FE340C" w:rsidRDefault="00000000">
            <w:pPr>
              <w:spacing w:after="0"/>
              <w:jc w:val="center"/>
            </w:pPr>
            <w:r w:rsidRPr="00FE340C">
              <w:rPr>
                <w:sz w:val="15"/>
              </w:rPr>
              <w:t>1.84</w:t>
            </w:r>
          </w:p>
        </w:tc>
        <w:tc>
          <w:tcPr>
            <w:tcW w:w="1944" w:type="dxa"/>
            <w:tcMar>
              <w:top w:w="45" w:type="dxa"/>
              <w:left w:w="55" w:type="dxa"/>
              <w:bottom w:w="45" w:type="dxa"/>
              <w:right w:w="55" w:type="dxa"/>
            </w:tcMar>
            <w:vAlign w:val="center"/>
          </w:tcPr>
          <w:p w14:paraId="43F81CFA" w14:textId="77777777" w:rsidR="00122D62" w:rsidRPr="00FE340C" w:rsidRDefault="00000000">
            <w:pPr>
              <w:spacing w:after="0"/>
              <w:jc w:val="center"/>
            </w:pPr>
            <w:r w:rsidRPr="00FE340C">
              <w:rPr>
                <w:sz w:val="15"/>
              </w:rPr>
              <w:t>0.37–9.17</w:t>
            </w:r>
          </w:p>
        </w:tc>
      </w:tr>
    </w:tbl>
    <w:p w14:paraId="628DB3A7" w14:textId="77777777" w:rsidR="00122D62" w:rsidRPr="00FE340C" w:rsidRDefault="00000000">
      <w:pPr>
        <w:spacing w:before="20" w:after="40"/>
        <w:jc w:val="both"/>
      </w:pPr>
      <w:r w:rsidRPr="00FE340C">
        <w:rPr>
          <w:b/>
          <w:sz w:val="16"/>
        </w:rPr>
        <w:t xml:space="preserve">Note: </w:t>
      </w:r>
      <w:r w:rsidRPr="00FE340C">
        <w:rPr>
          <w:sz w:val="16"/>
        </w:rPr>
        <w:t>N = 200. Log likelihood = -61.824; LR χ</w:t>
      </w:r>
      <w:proofErr w:type="gramStart"/>
      <w:r w:rsidRPr="00FE340C">
        <w:rPr>
          <w:sz w:val="16"/>
        </w:rPr>
        <w:t>²(</w:t>
      </w:r>
      <w:proofErr w:type="gramEnd"/>
      <w:r w:rsidRPr="00FE340C">
        <w:rPr>
          <w:sz w:val="16"/>
        </w:rPr>
        <w:t>6) = 153.611, p &lt; .001; McFadden R² = 0.554.</w:t>
      </w:r>
    </w:p>
    <w:p w14:paraId="7131ECC0" w14:textId="77777777" w:rsidR="00122D62" w:rsidRPr="00FE340C" w:rsidRDefault="00000000">
      <w:pPr>
        <w:keepNext/>
        <w:spacing w:before="60" w:after="40"/>
      </w:pPr>
      <w:r w:rsidRPr="00FE340C">
        <w:rPr>
          <w:b/>
        </w:rPr>
        <w:t>4.3 Ordered Logit Model for Stock Tendency</w:t>
      </w:r>
    </w:p>
    <w:p w14:paraId="23546ED9" w14:textId="77777777" w:rsidR="00122D62" w:rsidRPr="00FE340C" w:rsidRDefault="00000000">
      <w:pPr>
        <w:ind w:firstLine="331"/>
        <w:jc w:val="both"/>
      </w:pPr>
      <w:r w:rsidRPr="00FE340C">
        <w:t>Risk tolerance is positively associated with a higher stock-tendency category (OR = 5.04, p &lt; .001). Financial access is negatively associated (OR = 0.45, p = 0.010), whereas digital financial services are positively associated (OR = 1.74, p = 0.023). The financial-literacy coefficient is positive but not significant at the 5% level under conventional standard errors (p = 0.062), and regulation is not significant.</w:t>
      </w:r>
    </w:p>
    <w:p w14:paraId="792D404A" w14:textId="77777777" w:rsidR="00122D62" w:rsidRPr="00FE340C" w:rsidRDefault="00000000">
      <w:pPr>
        <w:keepNext/>
        <w:spacing w:before="60" w:after="20"/>
      </w:pPr>
      <w:r w:rsidRPr="00FE340C">
        <w:rPr>
          <w:b/>
          <w:sz w:val="18"/>
        </w:rPr>
        <w:t>Table 4. Ordered logit estimates for tendency to choose stocks</w:t>
      </w:r>
    </w:p>
    <w:tbl>
      <w:tblPr>
        <w:tblW w:w="0" w:type="auto"/>
        <w:jc w:val="center"/>
        <w:tblBorders>
          <w:top w:val="single" w:sz="6" w:space="0" w:color="000000"/>
          <w:left w:val="nil"/>
          <w:bottom w:val="single" w:sz="6" w:space="0" w:color="000000"/>
          <w:right w:val="nil"/>
          <w:insideH w:val="single" w:sz="6" w:space="0" w:color="000000"/>
          <w:insideV w:val="nil"/>
        </w:tblBorders>
        <w:tblLayout w:type="fixed"/>
        <w:tblLook w:val="04A0" w:firstRow="1" w:lastRow="0" w:firstColumn="1" w:lastColumn="0" w:noHBand="0" w:noVBand="1"/>
      </w:tblPr>
      <w:tblGrid>
        <w:gridCol w:w="2376"/>
        <w:gridCol w:w="1656"/>
        <w:gridCol w:w="1080"/>
        <w:gridCol w:w="936"/>
        <w:gridCol w:w="1008"/>
        <w:gridCol w:w="1944"/>
      </w:tblGrid>
      <w:tr w:rsidR="00122D62" w:rsidRPr="00FE340C" w14:paraId="68346822" w14:textId="77777777">
        <w:trPr>
          <w:tblHeader/>
          <w:jc w:val="center"/>
        </w:trPr>
        <w:tc>
          <w:tcPr>
            <w:tcW w:w="2376" w:type="dxa"/>
            <w:tcMar>
              <w:top w:w="45" w:type="dxa"/>
              <w:left w:w="55" w:type="dxa"/>
              <w:bottom w:w="45" w:type="dxa"/>
              <w:right w:w="55" w:type="dxa"/>
            </w:tcMar>
            <w:vAlign w:val="center"/>
          </w:tcPr>
          <w:p w14:paraId="58083F55" w14:textId="77777777" w:rsidR="00122D62" w:rsidRPr="00FE340C" w:rsidRDefault="00000000">
            <w:pPr>
              <w:spacing w:after="0"/>
              <w:jc w:val="center"/>
            </w:pPr>
            <w:r w:rsidRPr="00FE340C">
              <w:rPr>
                <w:b/>
                <w:sz w:val="15"/>
              </w:rPr>
              <w:t>Variable</w:t>
            </w:r>
          </w:p>
        </w:tc>
        <w:tc>
          <w:tcPr>
            <w:tcW w:w="1656" w:type="dxa"/>
            <w:tcMar>
              <w:top w:w="45" w:type="dxa"/>
              <w:left w:w="55" w:type="dxa"/>
              <w:bottom w:w="45" w:type="dxa"/>
              <w:right w:w="55" w:type="dxa"/>
            </w:tcMar>
            <w:vAlign w:val="center"/>
          </w:tcPr>
          <w:p w14:paraId="4F7281CF" w14:textId="77777777" w:rsidR="00122D62" w:rsidRPr="00FE340C" w:rsidRDefault="00000000">
            <w:pPr>
              <w:spacing w:after="0"/>
              <w:jc w:val="center"/>
            </w:pPr>
            <w:r w:rsidRPr="00FE340C">
              <w:rPr>
                <w:b/>
                <w:sz w:val="15"/>
              </w:rPr>
              <w:t>β (SE)</w:t>
            </w:r>
          </w:p>
        </w:tc>
        <w:tc>
          <w:tcPr>
            <w:tcW w:w="1080" w:type="dxa"/>
            <w:tcMar>
              <w:top w:w="45" w:type="dxa"/>
              <w:left w:w="55" w:type="dxa"/>
              <w:bottom w:w="45" w:type="dxa"/>
              <w:right w:w="55" w:type="dxa"/>
            </w:tcMar>
            <w:vAlign w:val="center"/>
          </w:tcPr>
          <w:p w14:paraId="76EACB8C" w14:textId="77777777" w:rsidR="00122D62" w:rsidRPr="00FE340C" w:rsidRDefault="00000000">
            <w:pPr>
              <w:spacing w:after="0"/>
              <w:jc w:val="center"/>
            </w:pPr>
            <w:r w:rsidRPr="00FE340C">
              <w:rPr>
                <w:b/>
                <w:sz w:val="15"/>
              </w:rPr>
              <w:t>z</w:t>
            </w:r>
          </w:p>
        </w:tc>
        <w:tc>
          <w:tcPr>
            <w:tcW w:w="936" w:type="dxa"/>
            <w:tcMar>
              <w:top w:w="45" w:type="dxa"/>
              <w:left w:w="55" w:type="dxa"/>
              <w:bottom w:w="45" w:type="dxa"/>
              <w:right w:w="55" w:type="dxa"/>
            </w:tcMar>
            <w:vAlign w:val="center"/>
          </w:tcPr>
          <w:p w14:paraId="288FA289" w14:textId="77777777" w:rsidR="00122D62" w:rsidRPr="00FE340C" w:rsidRDefault="00000000">
            <w:pPr>
              <w:spacing w:after="0"/>
              <w:jc w:val="center"/>
            </w:pPr>
            <w:r w:rsidRPr="00FE340C">
              <w:rPr>
                <w:b/>
                <w:sz w:val="15"/>
              </w:rPr>
              <w:t>p</w:t>
            </w:r>
          </w:p>
        </w:tc>
        <w:tc>
          <w:tcPr>
            <w:tcW w:w="1008" w:type="dxa"/>
            <w:tcMar>
              <w:top w:w="45" w:type="dxa"/>
              <w:left w:w="55" w:type="dxa"/>
              <w:bottom w:w="45" w:type="dxa"/>
              <w:right w:w="55" w:type="dxa"/>
            </w:tcMar>
            <w:vAlign w:val="center"/>
          </w:tcPr>
          <w:p w14:paraId="295B322B" w14:textId="77777777" w:rsidR="00122D62" w:rsidRPr="00FE340C" w:rsidRDefault="00000000">
            <w:pPr>
              <w:spacing w:after="0"/>
              <w:jc w:val="center"/>
            </w:pPr>
            <w:r w:rsidRPr="00FE340C">
              <w:rPr>
                <w:b/>
                <w:sz w:val="15"/>
              </w:rPr>
              <w:t>OR</w:t>
            </w:r>
          </w:p>
        </w:tc>
        <w:tc>
          <w:tcPr>
            <w:tcW w:w="1944" w:type="dxa"/>
            <w:tcMar>
              <w:top w:w="45" w:type="dxa"/>
              <w:left w:w="55" w:type="dxa"/>
              <w:bottom w:w="45" w:type="dxa"/>
              <w:right w:w="55" w:type="dxa"/>
            </w:tcMar>
            <w:vAlign w:val="center"/>
          </w:tcPr>
          <w:p w14:paraId="2AA071A4" w14:textId="77777777" w:rsidR="00122D62" w:rsidRPr="00FE340C" w:rsidRDefault="00000000">
            <w:pPr>
              <w:spacing w:after="0"/>
              <w:jc w:val="center"/>
            </w:pPr>
            <w:r w:rsidRPr="00FE340C">
              <w:rPr>
                <w:b/>
                <w:sz w:val="15"/>
              </w:rPr>
              <w:t>95% CI for OR</w:t>
            </w:r>
          </w:p>
        </w:tc>
      </w:tr>
      <w:tr w:rsidR="00122D62" w:rsidRPr="00FE340C" w14:paraId="65946BF2" w14:textId="77777777">
        <w:trPr>
          <w:cantSplit/>
          <w:jc w:val="center"/>
        </w:trPr>
        <w:tc>
          <w:tcPr>
            <w:tcW w:w="2376" w:type="dxa"/>
            <w:tcMar>
              <w:top w:w="45" w:type="dxa"/>
              <w:left w:w="55" w:type="dxa"/>
              <w:bottom w:w="45" w:type="dxa"/>
              <w:right w:w="55" w:type="dxa"/>
            </w:tcMar>
            <w:vAlign w:val="center"/>
          </w:tcPr>
          <w:p w14:paraId="3D8BCC19" w14:textId="77777777" w:rsidR="00122D62" w:rsidRPr="00FE340C" w:rsidRDefault="00000000">
            <w:pPr>
              <w:spacing w:after="0"/>
            </w:pPr>
            <w:r w:rsidRPr="00FE340C">
              <w:rPr>
                <w:sz w:val="15"/>
              </w:rPr>
              <w:t>Risk tolerance</w:t>
            </w:r>
          </w:p>
        </w:tc>
        <w:tc>
          <w:tcPr>
            <w:tcW w:w="1656" w:type="dxa"/>
            <w:tcMar>
              <w:top w:w="45" w:type="dxa"/>
              <w:left w:w="55" w:type="dxa"/>
              <w:bottom w:w="45" w:type="dxa"/>
              <w:right w:w="55" w:type="dxa"/>
            </w:tcMar>
            <w:vAlign w:val="center"/>
          </w:tcPr>
          <w:p w14:paraId="3721BC91" w14:textId="77777777" w:rsidR="00122D62" w:rsidRPr="00FE340C" w:rsidRDefault="00000000">
            <w:pPr>
              <w:spacing w:after="0"/>
              <w:jc w:val="center"/>
            </w:pPr>
            <w:r w:rsidRPr="00FE340C">
              <w:rPr>
                <w:sz w:val="15"/>
              </w:rPr>
              <w:t>1.617 (0.280)</w:t>
            </w:r>
          </w:p>
        </w:tc>
        <w:tc>
          <w:tcPr>
            <w:tcW w:w="1080" w:type="dxa"/>
            <w:tcMar>
              <w:top w:w="45" w:type="dxa"/>
              <w:left w:w="55" w:type="dxa"/>
              <w:bottom w:w="45" w:type="dxa"/>
              <w:right w:w="55" w:type="dxa"/>
            </w:tcMar>
            <w:vAlign w:val="center"/>
          </w:tcPr>
          <w:p w14:paraId="244BC638" w14:textId="77777777" w:rsidR="00122D62" w:rsidRPr="00FE340C" w:rsidRDefault="00000000">
            <w:pPr>
              <w:spacing w:after="0"/>
              <w:jc w:val="center"/>
            </w:pPr>
            <w:r w:rsidRPr="00FE340C">
              <w:rPr>
                <w:sz w:val="15"/>
              </w:rPr>
              <w:t>5.771</w:t>
            </w:r>
          </w:p>
        </w:tc>
        <w:tc>
          <w:tcPr>
            <w:tcW w:w="936" w:type="dxa"/>
            <w:tcMar>
              <w:top w:w="45" w:type="dxa"/>
              <w:left w:w="55" w:type="dxa"/>
              <w:bottom w:w="45" w:type="dxa"/>
              <w:right w:w="55" w:type="dxa"/>
            </w:tcMar>
            <w:vAlign w:val="center"/>
          </w:tcPr>
          <w:p w14:paraId="0A000706" w14:textId="77777777" w:rsidR="00122D62" w:rsidRPr="00FE340C" w:rsidRDefault="00000000">
            <w:pPr>
              <w:spacing w:after="0"/>
              <w:jc w:val="center"/>
            </w:pPr>
            <w:r w:rsidRPr="00FE340C">
              <w:rPr>
                <w:sz w:val="15"/>
              </w:rPr>
              <w:t>&lt;.001</w:t>
            </w:r>
          </w:p>
        </w:tc>
        <w:tc>
          <w:tcPr>
            <w:tcW w:w="1008" w:type="dxa"/>
            <w:tcMar>
              <w:top w:w="45" w:type="dxa"/>
              <w:left w:w="55" w:type="dxa"/>
              <w:bottom w:w="45" w:type="dxa"/>
              <w:right w:w="55" w:type="dxa"/>
            </w:tcMar>
            <w:vAlign w:val="center"/>
          </w:tcPr>
          <w:p w14:paraId="3E1A18E4" w14:textId="77777777" w:rsidR="00122D62" w:rsidRPr="00FE340C" w:rsidRDefault="00000000">
            <w:pPr>
              <w:spacing w:after="0"/>
              <w:jc w:val="center"/>
            </w:pPr>
            <w:r w:rsidRPr="00FE340C">
              <w:rPr>
                <w:sz w:val="15"/>
              </w:rPr>
              <w:t>5.04</w:t>
            </w:r>
          </w:p>
        </w:tc>
        <w:tc>
          <w:tcPr>
            <w:tcW w:w="1944" w:type="dxa"/>
            <w:tcMar>
              <w:top w:w="45" w:type="dxa"/>
              <w:left w:w="55" w:type="dxa"/>
              <w:bottom w:w="45" w:type="dxa"/>
              <w:right w:w="55" w:type="dxa"/>
            </w:tcMar>
            <w:vAlign w:val="center"/>
          </w:tcPr>
          <w:p w14:paraId="0A39C703" w14:textId="77777777" w:rsidR="00122D62" w:rsidRPr="00FE340C" w:rsidRDefault="00000000">
            <w:pPr>
              <w:spacing w:after="0"/>
              <w:jc w:val="center"/>
            </w:pPr>
            <w:r w:rsidRPr="00FE340C">
              <w:rPr>
                <w:sz w:val="15"/>
              </w:rPr>
              <w:t>2.91–8.72</w:t>
            </w:r>
          </w:p>
        </w:tc>
      </w:tr>
      <w:tr w:rsidR="00122D62" w:rsidRPr="00FE340C" w14:paraId="055DE446" w14:textId="77777777">
        <w:trPr>
          <w:cantSplit/>
          <w:jc w:val="center"/>
        </w:trPr>
        <w:tc>
          <w:tcPr>
            <w:tcW w:w="2376" w:type="dxa"/>
            <w:tcMar>
              <w:top w:w="45" w:type="dxa"/>
              <w:left w:w="55" w:type="dxa"/>
              <w:bottom w:w="45" w:type="dxa"/>
              <w:right w:w="55" w:type="dxa"/>
            </w:tcMar>
            <w:vAlign w:val="center"/>
          </w:tcPr>
          <w:p w14:paraId="09FE030D" w14:textId="77777777" w:rsidR="00122D62" w:rsidRPr="00FE340C" w:rsidRDefault="00000000">
            <w:pPr>
              <w:spacing w:after="0"/>
            </w:pPr>
            <w:r w:rsidRPr="00FE340C">
              <w:rPr>
                <w:sz w:val="15"/>
              </w:rPr>
              <w:t>Financial literacy</w:t>
            </w:r>
          </w:p>
        </w:tc>
        <w:tc>
          <w:tcPr>
            <w:tcW w:w="1656" w:type="dxa"/>
            <w:tcMar>
              <w:top w:w="45" w:type="dxa"/>
              <w:left w:w="55" w:type="dxa"/>
              <w:bottom w:w="45" w:type="dxa"/>
              <w:right w:w="55" w:type="dxa"/>
            </w:tcMar>
            <w:vAlign w:val="center"/>
          </w:tcPr>
          <w:p w14:paraId="70C7BEEB" w14:textId="77777777" w:rsidR="00122D62" w:rsidRPr="00FE340C" w:rsidRDefault="00000000">
            <w:pPr>
              <w:spacing w:after="0"/>
              <w:jc w:val="center"/>
            </w:pPr>
            <w:r w:rsidRPr="00FE340C">
              <w:rPr>
                <w:sz w:val="15"/>
              </w:rPr>
              <w:t>0.284 (0.152)</w:t>
            </w:r>
          </w:p>
        </w:tc>
        <w:tc>
          <w:tcPr>
            <w:tcW w:w="1080" w:type="dxa"/>
            <w:tcMar>
              <w:top w:w="45" w:type="dxa"/>
              <w:left w:w="55" w:type="dxa"/>
              <w:bottom w:w="45" w:type="dxa"/>
              <w:right w:w="55" w:type="dxa"/>
            </w:tcMar>
            <w:vAlign w:val="center"/>
          </w:tcPr>
          <w:p w14:paraId="39F43C3A" w14:textId="77777777" w:rsidR="00122D62" w:rsidRPr="00FE340C" w:rsidRDefault="00000000">
            <w:pPr>
              <w:spacing w:after="0"/>
              <w:jc w:val="center"/>
            </w:pPr>
            <w:r w:rsidRPr="00FE340C">
              <w:rPr>
                <w:sz w:val="15"/>
              </w:rPr>
              <w:t>1.868</w:t>
            </w:r>
          </w:p>
        </w:tc>
        <w:tc>
          <w:tcPr>
            <w:tcW w:w="936" w:type="dxa"/>
            <w:tcMar>
              <w:top w:w="45" w:type="dxa"/>
              <w:left w:w="55" w:type="dxa"/>
              <w:bottom w:w="45" w:type="dxa"/>
              <w:right w:w="55" w:type="dxa"/>
            </w:tcMar>
            <w:vAlign w:val="center"/>
          </w:tcPr>
          <w:p w14:paraId="69B7447A" w14:textId="77777777" w:rsidR="00122D62" w:rsidRPr="00FE340C" w:rsidRDefault="00000000">
            <w:pPr>
              <w:spacing w:after="0"/>
              <w:jc w:val="center"/>
            </w:pPr>
            <w:r w:rsidRPr="00FE340C">
              <w:rPr>
                <w:sz w:val="15"/>
              </w:rPr>
              <w:t>0.062</w:t>
            </w:r>
          </w:p>
        </w:tc>
        <w:tc>
          <w:tcPr>
            <w:tcW w:w="1008" w:type="dxa"/>
            <w:tcMar>
              <w:top w:w="45" w:type="dxa"/>
              <w:left w:w="55" w:type="dxa"/>
              <w:bottom w:w="45" w:type="dxa"/>
              <w:right w:w="55" w:type="dxa"/>
            </w:tcMar>
            <w:vAlign w:val="center"/>
          </w:tcPr>
          <w:p w14:paraId="36CADA22" w14:textId="77777777" w:rsidR="00122D62" w:rsidRPr="00FE340C" w:rsidRDefault="00000000">
            <w:pPr>
              <w:spacing w:after="0"/>
              <w:jc w:val="center"/>
            </w:pPr>
            <w:r w:rsidRPr="00FE340C">
              <w:rPr>
                <w:sz w:val="15"/>
              </w:rPr>
              <w:t>1.33</w:t>
            </w:r>
          </w:p>
        </w:tc>
        <w:tc>
          <w:tcPr>
            <w:tcW w:w="1944" w:type="dxa"/>
            <w:tcMar>
              <w:top w:w="45" w:type="dxa"/>
              <w:left w:w="55" w:type="dxa"/>
              <w:bottom w:w="45" w:type="dxa"/>
              <w:right w:w="55" w:type="dxa"/>
            </w:tcMar>
            <w:vAlign w:val="center"/>
          </w:tcPr>
          <w:p w14:paraId="1F1F0DB7" w14:textId="77777777" w:rsidR="00122D62" w:rsidRPr="00FE340C" w:rsidRDefault="00000000">
            <w:pPr>
              <w:spacing w:after="0"/>
              <w:jc w:val="center"/>
            </w:pPr>
            <w:r w:rsidRPr="00FE340C">
              <w:rPr>
                <w:sz w:val="15"/>
              </w:rPr>
              <w:t>0.99–1.79</w:t>
            </w:r>
          </w:p>
        </w:tc>
      </w:tr>
      <w:tr w:rsidR="00122D62" w:rsidRPr="00FE340C" w14:paraId="41C80C30" w14:textId="77777777">
        <w:trPr>
          <w:cantSplit/>
          <w:jc w:val="center"/>
        </w:trPr>
        <w:tc>
          <w:tcPr>
            <w:tcW w:w="2376" w:type="dxa"/>
            <w:tcMar>
              <w:top w:w="45" w:type="dxa"/>
              <w:left w:w="55" w:type="dxa"/>
              <w:bottom w:w="45" w:type="dxa"/>
              <w:right w:w="55" w:type="dxa"/>
            </w:tcMar>
            <w:vAlign w:val="center"/>
          </w:tcPr>
          <w:p w14:paraId="7E0B0D25" w14:textId="77777777" w:rsidR="00122D62" w:rsidRPr="00FE340C" w:rsidRDefault="00000000">
            <w:pPr>
              <w:spacing w:after="0"/>
            </w:pPr>
            <w:r w:rsidRPr="00FE340C">
              <w:rPr>
                <w:sz w:val="15"/>
              </w:rPr>
              <w:t>Financial access</w:t>
            </w:r>
          </w:p>
        </w:tc>
        <w:tc>
          <w:tcPr>
            <w:tcW w:w="1656" w:type="dxa"/>
            <w:tcMar>
              <w:top w:w="45" w:type="dxa"/>
              <w:left w:w="55" w:type="dxa"/>
              <w:bottom w:w="45" w:type="dxa"/>
              <w:right w:w="55" w:type="dxa"/>
            </w:tcMar>
            <w:vAlign w:val="center"/>
          </w:tcPr>
          <w:p w14:paraId="09043BBB" w14:textId="77777777" w:rsidR="00122D62" w:rsidRPr="00FE340C" w:rsidRDefault="00000000">
            <w:pPr>
              <w:spacing w:after="0"/>
              <w:jc w:val="center"/>
            </w:pPr>
            <w:r w:rsidRPr="00FE340C">
              <w:rPr>
                <w:sz w:val="15"/>
              </w:rPr>
              <w:t>-0.792 (0.308)</w:t>
            </w:r>
          </w:p>
        </w:tc>
        <w:tc>
          <w:tcPr>
            <w:tcW w:w="1080" w:type="dxa"/>
            <w:tcMar>
              <w:top w:w="45" w:type="dxa"/>
              <w:left w:w="55" w:type="dxa"/>
              <w:bottom w:w="45" w:type="dxa"/>
              <w:right w:w="55" w:type="dxa"/>
            </w:tcMar>
            <w:vAlign w:val="center"/>
          </w:tcPr>
          <w:p w14:paraId="02742F02" w14:textId="77777777" w:rsidR="00122D62" w:rsidRPr="00FE340C" w:rsidRDefault="00000000">
            <w:pPr>
              <w:spacing w:after="0"/>
              <w:jc w:val="center"/>
            </w:pPr>
            <w:r w:rsidRPr="00FE340C">
              <w:rPr>
                <w:sz w:val="15"/>
              </w:rPr>
              <w:t>-2.572</w:t>
            </w:r>
          </w:p>
        </w:tc>
        <w:tc>
          <w:tcPr>
            <w:tcW w:w="936" w:type="dxa"/>
            <w:tcMar>
              <w:top w:w="45" w:type="dxa"/>
              <w:left w:w="55" w:type="dxa"/>
              <w:bottom w:w="45" w:type="dxa"/>
              <w:right w:w="55" w:type="dxa"/>
            </w:tcMar>
            <w:vAlign w:val="center"/>
          </w:tcPr>
          <w:p w14:paraId="3E3C0A70" w14:textId="77777777" w:rsidR="00122D62" w:rsidRPr="00FE340C" w:rsidRDefault="00000000">
            <w:pPr>
              <w:spacing w:after="0"/>
              <w:jc w:val="center"/>
            </w:pPr>
            <w:r w:rsidRPr="00FE340C">
              <w:rPr>
                <w:sz w:val="15"/>
              </w:rPr>
              <w:t>0.010</w:t>
            </w:r>
          </w:p>
        </w:tc>
        <w:tc>
          <w:tcPr>
            <w:tcW w:w="1008" w:type="dxa"/>
            <w:tcMar>
              <w:top w:w="45" w:type="dxa"/>
              <w:left w:w="55" w:type="dxa"/>
              <w:bottom w:w="45" w:type="dxa"/>
              <w:right w:w="55" w:type="dxa"/>
            </w:tcMar>
            <w:vAlign w:val="center"/>
          </w:tcPr>
          <w:p w14:paraId="206932B3" w14:textId="77777777" w:rsidR="00122D62" w:rsidRPr="00FE340C" w:rsidRDefault="00000000">
            <w:pPr>
              <w:spacing w:after="0"/>
              <w:jc w:val="center"/>
            </w:pPr>
            <w:r w:rsidRPr="00FE340C">
              <w:rPr>
                <w:sz w:val="15"/>
              </w:rPr>
              <w:t>0.45</w:t>
            </w:r>
          </w:p>
        </w:tc>
        <w:tc>
          <w:tcPr>
            <w:tcW w:w="1944" w:type="dxa"/>
            <w:tcMar>
              <w:top w:w="45" w:type="dxa"/>
              <w:left w:w="55" w:type="dxa"/>
              <w:bottom w:w="45" w:type="dxa"/>
              <w:right w:w="55" w:type="dxa"/>
            </w:tcMar>
            <w:vAlign w:val="center"/>
          </w:tcPr>
          <w:p w14:paraId="7ECAB67E" w14:textId="77777777" w:rsidR="00122D62" w:rsidRPr="00FE340C" w:rsidRDefault="00000000">
            <w:pPr>
              <w:spacing w:after="0"/>
              <w:jc w:val="center"/>
            </w:pPr>
            <w:r w:rsidRPr="00FE340C">
              <w:rPr>
                <w:sz w:val="15"/>
              </w:rPr>
              <w:t>0.25–0.83</w:t>
            </w:r>
          </w:p>
        </w:tc>
      </w:tr>
      <w:tr w:rsidR="00122D62" w:rsidRPr="00FE340C" w14:paraId="3F7DCD8F" w14:textId="77777777">
        <w:trPr>
          <w:cantSplit/>
          <w:jc w:val="center"/>
        </w:trPr>
        <w:tc>
          <w:tcPr>
            <w:tcW w:w="2376" w:type="dxa"/>
            <w:tcMar>
              <w:top w:w="45" w:type="dxa"/>
              <w:left w:w="55" w:type="dxa"/>
              <w:bottom w:w="45" w:type="dxa"/>
              <w:right w:w="55" w:type="dxa"/>
            </w:tcMar>
            <w:vAlign w:val="center"/>
          </w:tcPr>
          <w:p w14:paraId="32887690" w14:textId="77777777" w:rsidR="00122D62" w:rsidRPr="00FE340C" w:rsidRDefault="00000000">
            <w:pPr>
              <w:spacing w:after="0"/>
            </w:pPr>
            <w:r w:rsidRPr="00FE340C">
              <w:rPr>
                <w:sz w:val="15"/>
              </w:rPr>
              <w:t>Digital financial services</w:t>
            </w:r>
          </w:p>
        </w:tc>
        <w:tc>
          <w:tcPr>
            <w:tcW w:w="1656" w:type="dxa"/>
            <w:tcMar>
              <w:top w:w="45" w:type="dxa"/>
              <w:left w:w="55" w:type="dxa"/>
              <w:bottom w:w="45" w:type="dxa"/>
              <w:right w:w="55" w:type="dxa"/>
            </w:tcMar>
            <w:vAlign w:val="center"/>
          </w:tcPr>
          <w:p w14:paraId="38394615" w14:textId="77777777" w:rsidR="00122D62" w:rsidRPr="00FE340C" w:rsidRDefault="00000000">
            <w:pPr>
              <w:spacing w:after="0"/>
              <w:jc w:val="center"/>
            </w:pPr>
            <w:r w:rsidRPr="00FE340C">
              <w:rPr>
                <w:sz w:val="15"/>
              </w:rPr>
              <w:t>0.556 (0.245)</w:t>
            </w:r>
          </w:p>
        </w:tc>
        <w:tc>
          <w:tcPr>
            <w:tcW w:w="1080" w:type="dxa"/>
            <w:tcMar>
              <w:top w:w="45" w:type="dxa"/>
              <w:left w:w="55" w:type="dxa"/>
              <w:bottom w:w="45" w:type="dxa"/>
              <w:right w:w="55" w:type="dxa"/>
            </w:tcMar>
            <w:vAlign w:val="center"/>
          </w:tcPr>
          <w:p w14:paraId="08427052" w14:textId="77777777" w:rsidR="00122D62" w:rsidRPr="00FE340C" w:rsidRDefault="00000000">
            <w:pPr>
              <w:spacing w:after="0"/>
              <w:jc w:val="center"/>
            </w:pPr>
            <w:r w:rsidRPr="00FE340C">
              <w:rPr>
                <w:sz w:val="15"/>
              </w:rPr>
              <w:t>2.267</w:t>
            </w:r>
          </w:p>
        </w:tc>
        <w:tc>
          <w:tcPr>
            <w:tcW w:w="936" w:type="dxa"/>
            <w:tcMar>
              <w:top w:w="45" w:type="dxa"/>
              <w:left w:w="55" w:type="dxa"/>
              <w:bottom w:w="45" w:type="dxa"/>
              <w:right w:w="55" w:type="dxa"/>
            </w:tcMar>
            <w:vAlign w:val="center"/>
          </w:tcPr>
          <w:p w14:paraId="77DBA159" w14:textId="77777777" w:rsidR="00122D62" w:rsidRPr="00FE340C" w:rsidRDefault="00000000">
            <w:pPr>
              <w:spacing w:after="0"/>
              <w:jc w:val="center"/>
            </w:pPr>
            <w:r w:rsidRPr="00FE340C">
              <w:rPr>
                <w:sz w:val="15"/>
              </w:rPr>
              <w:t>0.023</w:t>
            </w:r>
          </w:p>
        </w:tc>
        <w:tc>
          <w:tcPr>
            <w:tcW w:w="1008" w:type="dxa"/>
            <w:tcMar>
              <w:top w:w="45" w:type="dxa"/>
              <w:left w:w="55" w:type="dxa"/>
              <w:bottom w:w="45" w:type="dxa"/>
              <w:right w:w="55" w:type="dxa"/>
            </w:tcMar>
            <w:vAlign w:val="center"/>
          </w:tcPr>
          <w:p w14:paraId="3FC9CFF0" w14:textId="77777777" w:rsidR="00122D62" w:rsidRPr="00FE340C" w:rsidRDefault="00000000">
            <w:pPr>
              <w:spacing w:after="0"/>
              <w:jc w:val="center"/>
            </w:pPr>
            <w:r w:rsidRPr="00FE340C">
              <w:rPr>
                <w:sz w:val="15"/>
              </w:rPr>
              <w:t>1.74</w:t>
            </w:r>
          </w:p>
        </w:tc>
        <w:tc>
          <w:tcPr>
            <w:tcW w:w="1944" w:type="dxa"/>
            <w:tcMar>
              <w:top w:w="45" w:type="dxa"/>
              <w:left w:w="55" w:type="dxa"/>
              <w:bottom w:w="45" w:type="dxa"/>
              <w:right w:w="55" w:type="dxa"/>
            </w:tcMar>
            <w:vAlign w:val="center"/>
          </w:tcPr>
          <w:p w14:paraId="3C3B06B9" w14:textId="77777777" w:rsidR="00122D62" w:rsidRPr="00FE340C" w:rsidRDefault="00000000">
            <w:pPr>
              <w:spacing w:after="0"/>
              <w:jc w:val="center"/>
            </w:pPr>
            <w:r w:rsidRPr="00FE340C">
              <w:rPr>
                <w:sz w:val="15"/>
              </w:rPr>
              <w:t>1.08–2.82</w:t>
            </w:r>
          </w:p>
        </w:tc>
      </w:tr>
      <w:tr w:rsidR="00122D62" w:rsidRPr="00FE340C" w14:paraId="470D858C" w14:textId="77777777">
        <w:trPr>
          <w:cantSplit/>
          <w:jc w:val="center"/>
        </w:trPr>
        <w:tc>
          <w:tcPr>
            <w:tcW w:w="2376" w:type="dxa"/>
            <w:tcMar>
              <w:top w:w="45" w:type="dxa"/>
              <w:left w:w="55" w:type="dxa"/>
              <w:bottom w:w="45" w:type="dxa"/>
              <w:right w:w="55" w:type="dxa"/>
            </w:tcMar>
            <w:vAlign w:val="center"/>
          </w:tcPr>
          <w:p w14:paraId="5843C56F" w14:textId="77777777" w:rsidR="00122D62" w:rsidRPr="00FE340C" w:rsidRDefault="00000000">
            <w:pPr>
              <w:spacing w:after="0"/>
            </w:pPr>
            <w:r w:rsidRPr="00FE340C">
              <w:rPr>
                <w:sz w:val="15"/>
              </w:rPr>
              <w:t>Regulation</w:t>
            </w:r>
          </w:p>
        </w:tc>
        <w:tc>
          <w:tcPr>
            <w:tcW w:w="1656" w:type="dxa"/>
            <w:tcMar>
              <w:top w:w="45" w:type="dxa"/>
              <w:left w:w="55" w:type="dxa"/>
              <w:bottom w:w="45" w:type="dxa"/>
              <w:right w:w="55" w:type="dxa"/>
            </w:tcMar>
            <w:vAlign w:val="center"/>
          </w:tcPr>
          <w:p w14:paraId="3AFA0F09" w14:textId="77777777" w:rsidR="00122D62" w:rsidRPr="00FE340C" w:rsidRDefault="00000000">
            <w:pPr>
              <w:spacing w:after="0"/>
              <w:jc w:val="center"/>
            </w:pPr>
            <w:r w:rsidRPr="00FE340C">
              <w:rPr>
                <w:sz w:val="15"/>
              </w:rPr>
              <w:t>0.486 (0.359)</w:t>
            </w:r>
          </w:p>
        </w:tc>
        <w:tc>
          <w:tcPr>
            <w:tcW w:w="1080" w:type="dxa"/>
            <w:tcMar>
              <w:top w:w="45" w:type="dxa"/>
              <w:left w:w="55" w:type="dxa"/>
              <w:bottom w:w="45" w:type="dxa"/>
              <w:right w:w="55" w:type="dxa"/>
            </w:tcMar>
            <w:vAlign w:val="center"/>
          </w:tcPr>
          <w:p w14:paraId="261FB2B3" w14:textId="77777777" w:rsidR="00122D62" w:rsidRPr="00FE340C" w:rsidRDefault="00000000">
            <w:pPr>
              <w:spacing w:after="0"/>
              <w:jc w:val="center"/>
            </w:pPr>
            <w:r w:rsidRPr="00FE340C">
              <w:rPr>
                <w:sz w:val="15"/>
              </w:rPr>
              <w:t>1.354</w:t>
            </w:r>
          </w:p>
        </w:tc>
        <w:tc>
          <w:tcPr>
            <w:tcW w:w="936" w:type="dxa"/>
            <w:tcMar>
              <w:top w:w="45" w:type="dxa"/>
              <w:left w:w="55" w:type="dxa"/>
              <w:bottom w:w="45" w:type="dxa"/>
              <w:right w:w="55" w:type="dxa"/>
            </w:tcMar>
            <w:vAlign w:val="center"/>
          </w:tcPr>
          <w:p w14:paraId="29173C1E" w14:textId="77777777" w:rsidR="00122D62" w:rsidRPr="00FE340C" w:rsidRDefault="00000000">
            <w:pPr>
              <w:spacing w:after="0"/>
              <w:jc w:val="center"/>
            </w:pPr>
            <w:r w:rsidRPr="00FE340C">
              <w:rPr>
                <w:sz w:val="15"/>
              </w:rPr>
              <w:t>0.176</w:t>
            </w:r>
          </w:p>
        </w:tc>
        <w:tc>
          <w:tcPr>
            <w:tcW w:w="1008" w:type="dxa"/>
            <w:tcMar>
              <w:top w:w="45" w:type="dxa"/>
              <w:left w:w="55" w:type="dxa"/>
              <w:bottom w:w="45" w:type="dxa"/>
              <w:right w:w="55" w:type="dxa"/>
            </w:tcMar>
            <w:vAlign w:val="center"/>
          </w:tcPr>
          <w:p w14:paraId="7B6A227C" w14:textId="77777777" w:rsidR="00122D62" w:rsidRPr="00FE340C" w:rsidRDefault="00000000">
            <w:pPr>
              <w:spacing w:after="0"/>
              <w:jc w:val="center"/>
            </w:pPr>
            <w:r w:rsidRPr="00FE340C">
              <w:rPr>
                <w:sz w:val="15"/>
              </w:rPr>
              <w:t>1.63</w:t>
            </w:r>
          </w:p>
        </w:tc>
        <w:tc>
          <w:tcPr>
            <w:tcW w:w="1944" w:type="dxa"/>
            <w:tcMar>
              <w:top w:w="45" w:type="dxa"/>
              <w:left w:w="55" w:type="dxa"/>
              <w:bottom w:w="45" w:type="dxa"/>
              <w:right w:w="55" w:type="dxa"/>
            </w:tcMar>
            <w:vAlign w:val="center"/>
          </w:tcPr>
          <w:p w14:paraId="31B9FC37" w14:textId="77777777" w:rsidR="00122D62" w:rsidRPr="00FE340C" w:rsidRDefault="00000000">
            <w:pPr>
              <w:spacing w:after="0"/>
              <w:jc w:val="center"/>
            </w:pPr>
            <w:r w:rsidRPr="00FE340C">
              <w:rPr>
                <w:sz w:val="15"/>
              </w:rPr>
              <w:t>0.80–3.28</w:t>
            </w:r>
          </w:p>
        </w:tc>
      </w:tr>
    </w:tbl>
    <w:p w14:paraId="6CC93535" w14:textId="77777777" w:rsidR="00122D62" w:rsidRPr="00FE340C" w:rsidRDefault="00000000">
      <w:pPr>
        <w:spacing w:before="20" w:after="40"/>
        <w:jc w:val="both"/>
      </w:pPr>
      <w:r w:rsidRPr="00FE340C">
        <w:rPr>
          <w:b/>
          <w:sz w:val="16"/>
        </w:rPr>
        <w:t xml:space="preserve">Note: </w:t>
      </w:r>
      <w:r w:rsidRPr="00FE340C">
        <w:rPr>
          <w:sz w:val="16"/>
        </w:rPr>
        <w:t>N = 200. Log likelihood = -235.108; LR χ</w:t>
      </w:r>
      <w:proofErr w:type="gramStart"/>
      <w:r w:rsidRPr="00FE340C">
        <w:rPr>
          <w:sz w:val="16"/>
        </w:rPr>
        <w:t>²(</w:t>
      </w:r>
      <w:proofErr w:type="gramEnd"/>
      <w:r w:rsidRPr="00FE340C">
        <w:rPr>
          <w:sz w:val="16"/>
        </w:rPr>
        <w:t>5) = 70.593, p &lt; .001; McFadden R² = 0.131. Cut points: 2/3 = 7.148, 3/4 = 9.036, and 4/5 = 10.962.</w:t>
      </w:r>
    </w:p>
    <w:p w14:paraId="7E0B1AED" w14:textId="77777777" w:rsidR="00122D62" w:rsidRPr="00FE340C" w:rsidRDefault="00000000">
      <w:pPr>
        <w:keepNext/>
        <w:spacing w:before="60" w:after="40"/>
      </w:pPr>
      <w:r w:rsidRPr="00FE340C">
        <w:rPr>
          <w:b/>
        </w:rPr>
        <w:t>4.4 Ordered Logit Model for Mutual-Fund Tendency</w:t>
      </w:r>
    </w:p>
    <w:p w14:paraId="0B14ECDD" w14:textId="77777777" w:rsidR="00122D62" w:rsidRPr="00FE340C" w:rsidRDefault="00000000">
      <w:pPr>
        <w:ind w:firstLine="331"/>
        <w:jc w:val="both"/>
      </w:pPr>
      <w:r w:rsidRPr="00FE340C">
        <w:t>Risk tolerance is negatively associated with a higher mutual-fund tendency (OR = 0.32, p &lt; .001), consistent with risk-tolerant respondents preferring direct stocks. The financial-literacy coefficient is negative but not significant at the 5% level under conventional standard errors (p = 0.077). Financial access, digital financial services, and regulation are not statistically significant in the verified model.</w:t>
      </w:r>
    </w:p>
    <w:p w14:paraId="3CCF8A04" w14:textId="77777777" w:rsidR="00122D62" w:rsidRPr="00FE340C" w:rsidRDefault="00000000">
      <w:pPr>
        <w:keepNext/>
        <w:spacing w:before="60" w:after="20"/>
      </w:pPr>
      <w:r w:rsidRPr="00FE340C">
        <w:rPr>
          <w:b/>
          <w:sz w:val="18"/>
        </w:rPr>
        <w:t>Table 5. Ordered logit estimates for tendency to choose mutual funds</w:t>
      </w:r>
    </w:p>
    <w:tbl>
      <w:tblPr>
        <w:tblW w:w="0" w:type="auto"/>
        <w:jc w:val="center"/>
        <w:tblBorders>
          <w:top w:val="single" w:sz="6" w:space="0" w:color="000000"/>
          <w:left w:val="nil"/>
          <w:bottom w:val="single" w:sz="6" w:space="0" w:color="000000"/>
          <w:right w:val="nil"/>
          <w:insideH w:val="single" w:sz="6" w:space="0" w:color="000000"/>
          <w:insideV w:val="nil"/>
        </w:tblBorders>
        <w:tblLayout w:type="fixed"/>
        <w:tblLook w:val="04A0" w:firstRow="1" w:lastRow="0" w:firstColumn="1" w:lastColumn="0" w:noHBand="0" w:noVBand="1"/>
      </w:tblPr>
      <w:tblGrid>
        <w:gridCol w:w="2376"/>
        <w:gridCol w:w="1656"/>
        <w:gridCol w:w="1080"/>
        <w:gridCol w:w="936"/>
        <w:gridCol w:w="1008"/>
        <w:gridCol w:w="1944"/>
      </w:tblGrid>
      <w:tr w:rsidR="00122D62" w:rsidRPr="00FE340C" w14:paraId="4FC22445" w14:textId="77777777">
        <w:trPr>
          <w:tblHeader/>
          <w:jc w:val="center"/>
        </w:trPr>
        <w:tc>
          <w:tcPr>
            <w:tcW w:w="2376" w:type="dxa"/>
            <w:tcMar>
              <w:top w:w="45" w:type="dxa"/>
              <w:left w:w="55" w:type="dxa"/>
              <w:bottom w:w="45" w:type="dxa"/>
              <w:right w:w="55" w:type="dxa"/>
            </w:tcMar>
            <w:vAlign w:val="center"/>
          </w:tcPr>
          <w:p w14:paraId="00EE89FB" w14:textId="77777777" w:rsidR="00122D62" w:rsidRPr="00FE340C" w:rsidRDefault="00000000">
            <w:pPr>
              <w:spacing w:after="0"/>
              <w:jc w:val="center"/>
            </w:pPr>
            <w:r w:rsidRPr="00FE340C">
              <w:rPr>
                <w:b/>
                <w:sz w:val="15"/>
              </w:rPr>
              <w:t>Variable</w:t>
            </w:r>
          </w:p>
        </w:tc>
        <w:tc>
          <w:tcPr>
            <w:tcW w:w="1656" w:type="dxa"/>
            <w:tcMar>
              <w:top w:w="45" w:type="dxa"/>
              <w:left w:w="55" w:type="dxa"/>
              <w:bottom w:w="45" w:type="dxa"/>
              <w:right w:w="55" w:type="dxa"/>
            </w:tcMar>
            <w:vAlign w:val="center"/>
          </w:tcPr>
          <w:p w14:paraId="5A302372" w14:textId="77777777" w:rsidR="00122D62" w:rsidRPr="00FE340C" w:rsidRDefault="00000000">
            <w:pPr>
              <w:spacing w:after="0"/>
              <w:jc w:val="center"/>
            </w:pPr>
            <w:r w:rsidRPr="00FE340C">
              <w:rPr>
                <w:b/>
                <w:sz w:val="15"/>
              </w:rPr>
              <w:t>β (SE)</w:t>
            </w:r>
          </w:p>
        </w:tc>
        <w:tc>
          <w:tcPr>
            <w:tcW w:w="1080" w:type="dxa"/>
            <w:tcMar>
              <w:top w:w="45" w:type="dxa"/>
              <w:left w:w="55" w:type="dxa"/>
              <w:bottom w:w="45" w:type="dxa"/>
              <w:right w:w="55" w:type="dxa"/>
            </w:tcMar>
            <w:vAlign w:val="center"/>
          </w:tcPr>
          <w:p w14:paraId="03CCAE47" w14:textId="77777777" w:rsidR="00122D62" w:rsidRPr="00FE340C" w:rsidRDefault="00000000">
            <w:pPr>
              <w:spacing w:after="0"/>
              <w:jc w:val="center"/>
            </w:pPr>
            <w:r w:rsidRPr="00FE340C">
              <w:rPr>
                <w:b/>
                <w:sz w:val="15"/>
              </w:rPr>
              <w:t>z</w:t>
            </w:r>
          </w:p>
        </w:tc>
        <w:tc>
          <w:tcPr>
            <w:tcW w:w="936" w:type="dxa"/>
            <w:tcMar>
              <w:top w:w="45" w:type="dxa"/>
              <w:left w:w="55" w:type="dxa"/>
              <w:bottom w:w="45" w:type="dxa"/>
              <w:right w:w="55" w:type="dxa"/>
            </w:tcMar>
            <w:vAlign w:val="center"/>
          </w:tcPr>
          <w:p w14:paraId="5E467AE9" w14:textId="77777777" w:rsidR="00122D62" w:rsidRPr="00FE340C" w:rsidRDefault="00000000">
            <w:pPr>
              <w:spacing w:after="0"/>
              <w:jc w:val="center"/>
            </w:pPr>
            <w:r w:rsidRPr="00FE340C">
              <w:rPr>
                <w:b/>
                <w:sz w:val="15"/>
              </w:rPr>
              <w:t>p</w:t>
            </w:r>
          </w:p>
        </w:tc>
        <w:tc>
          <w:tcPr>
            <w:tcW w:w="1008" w:type="dxa"/>
            <w:tcMar>
              <w:top w:w="45" w:type="dxa"/>
              <w:left w:w="55" w:type="dxa"/>
              <w:bottom w:w="45" w:type="dxa"/>
              <w:right w:w="55" w:type="dxa"/>
            </w:tcMar>
            <w:vAlign w:val="center"/>
          </w:tcPr>
          <w:p w14:paraId="50E6216C" w14:textId="77777777" w:rsidR="00122D62" w:rsidRPr="00FE340C" w:rsidRDefault="00000000">
            <w:pPr>
              <w:spacing w:after="0"/>
              <w:jc w:val="center"/>
            </w:pPr>
            <w:r w:rsidRPr="00FE340C">
              <w:rPr>
                <w:b/>
                <w:sz w:val="15"/>
              </w:rPr>
              <w:t>OR</w:t>
            </w:r>
          </w:p>
        </w:tc>
        <w:tc>
          <w:tcPr>
            <w:tcW w:w="1944" w:type="dxa"/>
            <w:tcMar>
              <w:top w:w="45" w:type="dxa"/>
              <w:left w:w="55" w:type="dxa"/>
              <w:bottom w:w="45" w:type="dxa"/>
              <w:right w:w="55" w:type="dxa"/>
            </w:tcMar>
            <w:vAlign w:val="center"/>
          </w:tcPr>
          <w:p w14:paraId="279D11D7" w14:textId="77777777" w:rsidR="00122D62" w:rsidRPr="00FE340C" w:rsidRDefault="00000000">
            <w:pPr>
              <w:spacing w:after="0"/>
              <w:jc w:val="center"/>
            </w:pPr>
            <w:r w:rsidRPr="00FE340C">
              <w:rPr>
                <w:b/>
                <w:sz w:val="15"/>
              </w:rPr>
              <w:t>95% CI for OR</w:t>
            </w:r>
          </w:p>
        </w:tc>
      </w:tr>
      <w:tr w:rsidR="00122D62" w:rsidRPr="00FE340C" w14:paraId="2F7F8CA2" w14:textId="77777777">
        <w:trPr>
          <w:cantSplit/>
          <w:jc w:val="center"/>
        </w:trPr>
        <w:tc>
          <w:tcPr>
            <w:tcW w:w="2376" w:type="dxa"/>
            <w:tcMar>
              <w:top w:w="45" w:type="dxa"/>
              <w:left w:w="55" w:type="dxa"/>
              <w:bottom w:w="45" w:type="dxa"/>
              <w:right w:w="55" w:type="dxa"/>
            </w:tcMar>
            <w:vAlign w:val="center"/>
          </w:tcPr>
          <w:p w14:paraId="65F649A0" w14:textId="77777777" w:rsidR="00122D62" w:rsidRPr="00FE340C" w:rsidRDefault="00000000">
            <w:pPr>
              <w:spacing w:after="0"/>
            </w:pPr>
            <w:r w:rsidRPr="00FE340C">
              <w:rPr>
                <w:sz w:val="15"/>
              </w:rPr>
              <w:t>Risk tolerance</w:t>
            </w:r>
          </w:p>
        </w:tc>
        <w:tc>
          <w:tcPr>
            <w:tcW w:w="1656" w:type="dxa"/>
            <w:tcMar>
              <w:top w:w="45" w:type="dxa"/>
              <w:left w:w="55" w:type="dxa"/>
              <w:bottom w:w="45" w:type="dxa"/>
              <w:right w:w="55" w:type="dxa"/>
            </w:tcMar>
            <w:vAlign w:val="center"/>
          </w:tcPr>
          <w:p w14:paraId="347361CE" w14:textId="77777777" w:rsidR="00122D62" w:rsidRPr="00FE340C" w:rsidRDefault="00000000">
            <w:pPr>
              <w:spacing w:after="0"/>
              <w:jc w:val="center"/>
            </w:pPr>
            <w:r w:rsidRPr="00FE340C">
              <w:rPr>
                <w:sz w:val="15"/>
              </w:rPr>
              <w:t>-1.133 (0.250)</w:t>
            </w:r>
          </w:p>
        </w:tc>
        <w:tc>
          <w:tcPr>
            <w:tcW w:w="1080" w:type="dxa"/>
            <w:tcMar>
              <w:top w:w="45" w:type="dxa"/>
              <w:left w:w="55" w:type="dxa"/>
              <w:bottom w:w="45" w:type="dxa"/>
              <w:right w:w="55" w:type="dxa"/>
            </w:tcMar>
            <w:vAlign w:val="center"/>
          </w:tcPr>
          <w:p w14:paraId="497BFE24" w14:textId="77777777" w:rsidR="00122D62" w:rsidRPr="00FE340C" w:rsidRDefault="00000000">
            <w:pPr>
              <w:spacing w:after="0"/>
              <w:jc w:val="center"/>
            </w:pPr>
            <w:r w:rsidRPr="00FE340C">
              <w:rPr>
                <w:sz w:val="15"/>
              </w:rPr>
              <w:t>-4.538</w:t>
            </w:r>
          </w:p>
        </w:tc>
        <w:tc>
          <w:tcPr>
            <w:tcW w:w="936" w:type="dxa"/>
            <w:tcMar>
              <w:top w:w="45" w:type="dxa"/>
              <w:left w:w="55" w:type="dxa"/>
              <w:bottom w:w="45" w:type="dxa"/>
              <w:right w:w="55" w:type="dxa"/>
            </w:tcMar>
            <w:vAlign w:val="center"/>
          </w:tcPr>
          <w:p w14:paraId="34D190E8" w14:textId="77777777" w:rsidR="00122D62" w:rsidRPr="00FE340C" w:rsidRDefault="00000000">
            <w:pPr>
              <w:spacing w:after="0"/>
              <w:jc w:val="center"/>
            </w:pPr>
            <w:r w:rsidRPr="00FE340C">
              <w:rPr>
                <w:sz w:val="15"/>
              </w:rPr>
              <w:t>&lt;.001</w:t>
            </w:r>
          </w:p>
        </w:tc>
        <w:tc>
          <w:tcPr>
            <w:tcW w:w="1008" w:type="dxa"/>
            <w:tcMar>
              <w:top w:w="45" w:type="dxa"/>
              <w:left w:w="55" w:type="dxa"/>
              <w:bottom w:w="45" w:type="dxa"/>
              <w:right w:w="55" w:type="dxa"/>
            </w:tcMar>
            <w:vAlign w:val="center"/>
          </w:tcPr>
          <w:p w14:paraId="66B0E859" w14:textId="77777777" w:rsidR="00122D62" w:rsidRPr="00FE340C" w:rsidRDefault="00000000">
            <w:pPr>
              <w:spacing w:after="0"/>
              <w:jc w:val="center"/>
            </w:pPr>
            <w:r w:rsidRPr="00FE340C">
              <w:rPr>
                <w:sz w:val="15"/>
              </w:rPr>
              <w:t>0.32</w:t>
            </w:r>
          </w:p>
        </w:tc>
        <w:tc>
          <w:tcPr>
            <w:tcW w:w="1944" w:type="dxa"/>
            <w:tcMar>
              <w:top w:w="45" w:type="dxa"/>
              <w:left w:w="55" w:type="dxa"/>
              <w:bottom w:w="45" w:type="dxa"/>
              <w:right w:w="55" w:type="dxa"/>
            </w:tcMar>
            <w:vAlign w:val="center"/>
          </w:tcPr>
          <w:p w14:paraId="2BCE96E5" w14:textId="77777777" w:rsidR="00122D62" w:rsidRPr="00FE340C" w:rsidRDefault="00000000">
            <w:pPr>
              <w:spacing w:after="0"/>
              <w:jc w:val="center"/>
            </w:pPr>
            <w:r w:rsidRPr="00FE340C">
              <w:rPr>
                <w:sz w:val="15"/>
              </w:rPr>
              <w:t>0.20–0.53</w:t>
            </w:r>
          </w:p>
        </w:tc>
      </w:tr>
      <w:tr w:rsidR="00122D62" w:rsidRPr="00FE340C" w14:paraId="505D8135" w14:textId="77777777">
        <w:trPr>
          <w:cantSplit/>
          <w:jc w:val="center"/>
        </w:trPr>
        <w:tc>
          <w:tcPr>
            <w:tcW w:w="2376" w:type="dxa"/>
            <w:tcMar>
              <w:top w:w="45" w:type="dxa"/>
              <w:left w:w="55" w:type="dxa"/>
              <w:bottom w:w="45" w:type="dxa"/>
              <w:right w:w="55" w:type="dxa"/>
            </w:tcMar>
            <w:vAlign w:val="center"/>
          </w:tcPr>
          <w:p w14:paraId="4B42FA98" w14:textId="77777777" w:rsidR="00122D62" w:rsidRPr="00FE340C" w:rsidRDefault="00000000">
            <w:pPr>
              <w:spacing w:after="0"/>
            </w:pPr>
            <w:r w:rsidRPr="00FE340C">
              <w:rPr>
                <w:sz w:val="15"/>
              </w:rPr>
              <w:t>Financial literacy</w:t>
            </w:r>
          </w:p>
        </w:tc>
        <w:tc>
          <w:tcPr>
            <w:tcW w:w="1656" w:type="dxa"/>
            <w:tcMar>
              <w:top w:w="45" w:type="dxa"/>
              <w:left w:w="55" w:type="dxa"/>
              <w:bottom w:w="45" w:type="dxa"/>
              <w:right w:w="55" w:type="dxa"/>
            </w:tcMar>
            <w:vAlign w:val="center"/>
          </w:tcPr>
          <w:p w14:paraId="63946798" w14:textId="77777777" w:rsidR="00122D62" w:rsidRPr="00FE340C" w:rsidRDefault="00000000">
            <w:pPr>
              <w:spacing w:after="0"/>
              <w:jc w:val="center"/>
            </w:pPr>
            <w:r w:rsidRPr="00FE340C">
              <w:rPr>
                <w:sz w:val="15"/>
              </w:rPr>
              <w:t>-0.261 (0.148)</w:t>
            </w:r>
          </w:p>
        </w:tc>
        <w:tc>
          <w:tcPr>
            <w:tcW w:w="1080" w:type="dxa"/>
            <w:tcMar>
              <w:top w:w="45" w:type="dxa"/>
              <w:left w:w="55" w:type="dxa"/>
              <w:bottom w:w="45" w:type="dxa"/>
              <w:right w:w="55" w:type="dxa"/>
            </w:tcMar>
            <w:vAlign w:val="center"/>
          </w:tcPr>
          <w:p w14:paraId="4F570BE8" w14:textId="77777777" w:rsidR="00122D62" w:rsidRPr="00FE340C" w:rsidRDefault="00000000">
            <w:pPr>
              <w:spacing w:after="0"/>
              <w:jc w:val="center"/>
            </w:pPr>
            <w:r w:rsidRPr="00FE340C">
              <w:rPr>
                <w:sz w:val="15"/>
              </w:rPr>
              <w:t>-1.768</w:t>
            </w:r>
          </w:p>
        </w:tc>
        <w:tc>
          <w:tcPr>
            <w:tcW w:w="936" w:type="dxa"/>
            <w:tcMar>
              <w:top w:w="45" w:type="dxa"/>
              <w:left w:w="55" w:type="dxa"/>
              <w:bottom w:w="45" w:type="dxa"/>
              <w:right w:w="55" w:type="dxa"/>
            </w:tcMar>
            <w:vAlign w:val="center"/>
          </w:tcPr>
          <w:p w14:paraId="5970AD61" w14:textId="77777777" w:rsidR="00122D62" w:rsidRPr="00FE340C" w:rsidRDefault="00000000">
            <w:pPr>
              <w:spacing w:after="0"/>
              <w:jc w:val="center"/>
            </w:pPr>
            <w:r w:rsidRPr="00FE340C">
              <w:rPr>
                <w:sz w:val="15"/>
              </w:rPr>
              <w:t>0.077</w:t>
            </w:r>
          </w:p>
        </w:tc>
        <w:tc>
          <w:tcPr>
            <w:tcW w:w="1008" w:type="dxa"/>
            <w:tcMar>
              <w:top w:w="45" w:type="dxa"/>
              <w:left w:w="55" w:type="dxa"/>
              <w:bottom w:w="45" w:type="dxa"/>
              <w:right w:w="55" w:type="dxa"/>
            </w:tcMar>
            <w:vAlign w:val="center"/>
          </w:tcPr>
          <w:p w14:paraId="52B843DE" w14:textId="77777777" w:rsidR="00122D62" w:rsidRPr="00FE340C" w:rsidRDefault="00000000">
            <w:pPr>
              <w:spacing w:after="0"/>
              <w:jc w:val="center"/>
            </w:pPr>
            <w:r w:rsidRPr="00FE340C">
              <w:rPr>
                <w:sz w:val="15"/>
              </w:rPr>
              <w:t>0.77</w:t>
            </w:r>
          </w:p>
        </w:tc>
        <w:tc>
          <w:tcPr>
            <w:tcW w:w="1944" w:type="dxa"/>
            <w:tcMar>
              <w:top w:w="45" w:type="dxa"/>
              <w:left w:w="55" w:type="dxa"/>
              <w:bottom w:w="45" w:type="dxa"/>
              <w:right w:w="55" w:type="dxa"/>
            </w:tcMar>
            <w:vAlign w:val="center"/>
          </w:tcPr>
          <w:p w14:paraId="02108F7E" w14:textId="77777777" w:rsidR="00122D62" w:rsidRPr="00FE340C" w:rsidRDefault="00000000">
            <w:pPr>
              <w:spacing w:after="0"/>
              <w:jc w:val="center"/>
            </w:pPr>
            <w:r w:rsidRPr="00FE340C">
              <w:rPr>
                <w:sz w:val="15"/>
              </w:rPr>
              <w:t>0.58–1.03</w:t>
            </w:r>
          </w:p>
        </w:tc>
      </w:tr>
      <w:tr w:rsidR="00122D62" w:rsidRPr="00FE340C" w14:paraId="7188D829" w14:textId="77777777">
        <w:trPr>
          <w:cantSplit/>
          <w:jc w:val="center"/>
        </w:trPr>
        <w:tc>
          <w:tcPr>
            <w:tcW w:w="2376" w:type="dxa"/>
            <w:tcMar>
              <w:top w:w="45" w:type="dxa"/>
              <w:left w:w="55" w:type="dxa"/>
              <w:bottom w:w="45" w:type="dxa"/>
              <w:right w:w="55" w:type="dxa"/>
            </w:tcMar>
            <w:vAlign w:val="center"/>
          </w:tcPr>
          <w:p w14:paraId="2E329D15" w14:textId="77777777" w:rsidR="00122D62" w:rsidRPr="00FE340C" w:rsidRDefault="00000000">
            <w:pPr>
              <w:spacing w:after="0"/>
            </w:pPr>
            <w:r w:rsidRPr="00FE340C">
              <w:rPr>
                <w:sz w:val="15"/>
              </w:rPr>
              <w:t>Financial access</w:t>
            </w:r>
          </w:p>
        </w:tc>
        <w:tc>
          <w:tcPr>
            <w:tcW w:w="1656" w:type="dxa"/>
            <w:tcMar>
              <w:top w:w="45" w:type="dxa"/>
              <w:left w:w="55" w:type="dxa"/>
              <w:bottom w:w="45" w:type="dxa"/>
              <w:right w:w="55" w:type="dxa"/>
            </w:tcMar>
            <w:vAlign w:val="center"/>
          </w:tcPr>
          <w:p w14:paraId="66C0FC67" w14:textId="77777777" w:rsidR="00122D62" w:rsidRPr="00FE340C" w:rsidRDefault="00000000">
            <w:pPr>
              <w:spacing w:after="0"/>
              <w:jc w:val="center"/>
            </w:pPr>
            <w:r w:rsidRPr="00FE340C">
              <w:rPr>
                <w:sz w:val="15"/>
              </w:rPr>
              <w:t>0.302 (0.314)</w:t>
            </w:r>
          </w:p>
        </w:tc>
        <w:tc>
          <w:tcPr>
            <w:tcW w:w="1080" w:type="dxa"/>
            <w:tcMar>
              <w:top w:w="45" w:type="dxa"/>
              <w:left w:w="55" w:type="dxa"/>
              <w:bottom w:w="45" w:type="dxa"/>
              <w:right w:w="55" w:type="dxa"/>
            </w:tcMar>
            <w:vAlign w:val="center"/>
          </w:tcPr>
          <w:p w14:paraId="149FEA17" w14:textId="77777777" w:rsidR="00122D62" w:rsidRPr="00FE340C" w:rsidRDefault="00000000">
            <w:pPr>
              <w:spacing w:after="0"/>
              <w:jc w:val="center"/>
            </w:pPr>
            <w:r w:rsidRPr="00FE340C">
              <w:rPr>
                <w:sz w:val="15"/>
              </w:rPr>
              <w:t>0.964</w:t>
            </w:r>
          </w:p>
        </w:tc>
        <w:tc>
          <w:tcPr>
            <w:tcW w:w="936" w:type="dxa"/>
            <w:tcMar>
              <w:top w:w="45" w:type="dxa"/>
              <w:left w:w="55" w:type="dxa"/>
              <w:bottom w:w="45" w:type="dxa"/>
              <w:right w:w="55" w:type="dxa"/>
            </w:tcMar>
            <w:vAlign w:val="center"/>
          </w:tcPr>
          <w:p w14:paraId="55E432B2" w14:textId="77777777" w:rsidR="00122D62" w:rsidRPr="00FE340C" w:rsidRDefault="00000000">
            <w:pPr>
              <w:spacing w:after="0"/>
              <w:jc w:val="center"/>
            </w:pPr>
            <w:r w:rsidRPr="00FE340C">
              <w:rPr>
                <w:sz w:val="15"/>
              </w:rPr>
              <w:t>0.335</w:t>
            </w:r>
          </w:p>
        </w:tc>
        <w:tc>
          <w:tcPr>
            <w:tcW w:w="1008" w:type="dxa"/>
            <w:tcMar>
              <w:top w:w="45" w:type="dxa"/>
              <w:left w:w="55" w:type="dxa"/>
              <w:bottom w:w="45" w:type="dxa"/>
              <w:right w:w="55" w:type="dxa"/>
            </w:tcMar>
            <w:vAlign w:val="center"/>
          </w:tcPr>
          <w:p w14:paraId="2E79B54D" w14:textId="77777777" w:rsidR="00122D62" w:rsidRPr="00FE340C" w:rsidRDefault="00000000">
            <w:pPr>
              <w:spacing w:after="0"/>
              <w:jc w:val="center"/>
            </w:pPr>
            <w:r w:rsidRPr="00FE340C">
              <w:rPr>
                <w:sz w:val="15"/>
              </w:rPr>
              <w:t>1.35</w:t>
            </w:r>
          </w:p>
        </w:tc>
        <w:tc>
          <w:tcPr>
            <w:tcW w:w="1944" w:type="dxa"/>
            <w:tcMar>
              <w:top w:w="45" w:type="dxa"/>
              <w:left w:w="55" w:type="dxa"/>
              <w:bottom w:w="45" w:type="dxa"/>
              <w:right w:w="55" w:type="dxa"/>
            </w:tcMar>
            <w:vAlign w:val="center"/>
          </w:tcPr>
          <w:p w14:paraId="0E2D0E43" w14:textId="77777777" w:rsidR="00122D62" w:rsidRPr="00FE340C" w:rsidRDefault="00000000">
            <w:pPr>
              <w:spacing w:after="0"/>
              <w:jc w:val="center"/>
            </w:pPr>
            <w:r w:rsidRPr="00FE340C">
              <w:rPr>
                <w:sz w:val="15"/>
              </w:rPr>
              <w:t>0.73–2.50</w:t>
            </w:r>
          </w:p>
        </w:tc>
      </w:tr>
      <w:tr w:rsidR="00122D62" w:rsidRPr="00FE340C" w14:paraId="46943A17" w14:textId="77777777">
        <w:trPr>
          <w:cantSplit/>
          <w:jc w:val="center"/>
        </w:trPr>
        <w:tc>
          <w:tcPr>
            <w:tcW w:w="2376" w:type="dxa"/>
            <w:tcMar>
              <w:top w:w="45" w:type="dxa"/>
              <w:left w:w="55" w:type="dxa"/>
              <w:bottom w:w="45" w:type="dxa"/>
              <w:right w:w="55" w:type="dxa"/>
            </w:tcMar>
            <w:vAlign w:val="center"/>
          </w:tcPr>
          <w:p w14:paraId="29D98319" w14:textId="77777777" w:rsidR="00122D62" w:rsidRPr="00FE340C" w:rsidRDefault="00000000">
            <w:pPr>
              <w:spacing w:after="0"/>
            </w:pPr>
            <w:r w:rsidRPr="00FE340C">
              <w:rPr>
                <w:sz w:val="15"/>
              </w:rPr>
              <w:t>Digital financial services</w:t>
            </w:r>
          </w:p>
        </w:tc>
        <w:tc>
          <w:tcPr>
            <w:tcW w:w="1656" w:type="dxa"/>
            <w:tcMar>
              <w:top w:w="45" w:type="dxa"/>
              <w:left w:w="55" w:type="dxa"/>
              <w:bottom w:w="45" w:type="dxa"/>
              <w:right w:w="55" w:type="dxa"/>
            </w:tcMar>
            <w:vAlign w:val="center"/>
          </w:tcPr>
          <w:p w14:paraId="188726A2" w14:textId="77777777" w:rsidR="00122D62" w:rsidRPr="00FE340C" w:rsidRDefault="00000000">
            <w:pPr>
              <w:spacing w:after="0"/>
              <w:jc w:val="center"/>
            </w:pPr>
            <w:r w:rsidRPr="00FE340C">
              <w:rPr>
                <w:sz w:val="15"/>
              </w:rPr>
              <w:t>-0.367 (0.246)</w:t>
            </w:r>
          </w:p>
        </w:tc>
        <w:tc>
          <w:tcPr>
            <w:tcW w:w="1080" w:type="dxa"/>
            <w:tcMar>
              <w:top w:w="45" w:type="dxa"/>
              <w:left w:w="55" w:type="dxa"/>
              <w:bottom w:w="45" w:type="dxa"/>
              <w:right w:w="55" w:type="dxa"/>
            </w:tcMar>
            <w:vAlign w:val="center"/>
          </w:tcPr>
          <w:p w14:paraId="13E1D272" w14:textId="77777777" w:rsidR="00122D62" w:rsidRPr="00FE340C" w:rsidRDefault="00000000">
            <w:pPr>
              <w:spacing w:after="0"/>
              <w:jc w:val="center"/>
            </w:pPr>
            <w:r w:rsidRPr="00FE340C">
              <w:rPr>
                <w:sz w:val="15"/>
              </w:rPr>
              <w:t>-1.494</w:t>
            </w:r>
          </w:p>
        </w:tc>
        <w:tc>
          <w:tcPr>
            <w:tcW w:w="936" w:type="dxa"/>
            <w:tcMar>
              <w:top w:w="45" w:type="dxa"/>
              <w:left w:w="55" w:type="dxa"/>
              <w:bottom w:w="45" w:type="dxa"/>
              <w:right w:w="55" w:type="dxa"/>
            </w:tcMar>
            <w:vAlign w:val="center"/>
          </w:tcPr>
          <w:p w14:paraId="59531EBA" w14:textId="77777777" w:rsidR="00122D62" w:rsidRPr="00FE340C" w:rsidRDefault="00000000">
            <w:pPr>
              <w:spacing w:after="0"/>
              <w:jc w:val="center"/>
            </w:pPr>
            <w:r w:rsidRPr="00FE340C">
              <w:rPr>
                <w:sz w:val="15"/>
              </w:rPr>
              <w:t>0.135</w:t>
            </w:r>
          </w:p>
        </w:tc>
        <w:tc>
          <w:tcPr>
            <w:tcW w:w="1008" w:type="dxa"/>
            <w:tcMar>
              <w:top w:w="45" w:type="dxa"/>
              <w:left w:w="55" w:type="dxa"/>
              <w:bottom w:w="45" w:type="dxa"/>
              <w:right w:w="55" w:type="dxa"/>
            </w:tcMar>
            <w:vAlign w:val="center"/>
          </w:tcPr>
          <w:p w14:paraId="64CEB211" w14:textId="77777777" w:rsidR="00122D62" w:rsidRPr="00FE340C" w:rsidRDefault="00000000">
            <w:pPr>
              <w:spacing w:after="0"/>
              <w:jc w:val="center"/>
            </w:pPr>
            <w:r w:rsidRPr="00FE340C">
              <w:rPr>
                <w:sz w:val="15"/>
              </w:rPr>
              <w:t>0.69</w:t>
            </w:r>
          </w:p>
        </w:tc>
        <w:tc>
          <w:tcPr>
            <w:tcW w:w="1944" w:type="dxa"/>
            <w:tcMar>
              <w:top w:w="45" w:type="dxa"/>
              <w:left w:w="55" w:type="dxa"/>
              <w:bottom w:w="45" w:type="dxa"/>
              <w:right w:w="55" w:type="dxa"/>
            </w:tcMar>
            <w:vAlign w:val="center"/>
          </w:tcPr>
          <w:p w14:paraId="6892109D" w14:textId="77777777" w:rsidR="00122D62" w:rsidRPr="00FE340C" w:rsidRDefault="00000000">
            <w:pPr>
              <w:spacing w:after="0"/>
              <w:jc w:val="center"/>
            </w:pPr>
            <w:r w:rsidRPr="00FE340C">
              <w:rPr>
                <w:sz w:val="15"/>
              </w:rPr>
              <w:t>0.43–1.12</w:t>
            </w:r>
          </w:p>
        </w:tc>
      </w:tr>
      <w:tr w:rsidR="00122D62" w:rsidRPr="00FE340C" w14:paraId="4301B587" w14:textId="77777777">
        <w:trPr>
          <w:cantSplit/>
          <w:jc w:val="center"/>
        </w:trPr>
        <w:tc>
          <w:tcPr>
            <w:tcW w:w="2376" w:type="dxa"/>
            <w:tcMar>
              <w:top w:w="45" w:type="dxa"/>
              <w:left w:w="55" w:type="dxa"/>
              <w:bottom w:w="45" w:type="dxa"/>
              <w:right w:w="55" w:type="dxa"/>
            </w:tcMar>
            <w:vAlign w:val="center"/>
          </w:tcPr>
          <w:p w14:paraId="3F856324" w14:textId="77777777" w:rsidR="00122D62" w:rsidRPr="00FE340C" w:rsidRDefault="00000000">
            <w:pPr>
              <w:spacing w:after="0"/>
            </w:pPr>
            <w:r w:rsidRPr="00FE340C">
              <w:rPr>
                <w:sz w:val="15"/>
              </w:rPr>
              <w:t>Regulation</w:t>
            </w:r>
          </w:p>
        </w:tc>
        <w:tc>
          <w:tcPr>
            <w:tcW w:w="1656" w:type="dxa"/>
            <w:tcMar>
              <w:top w:w="45" w:type="dxa"/>
              <w:left w:w="55" w:type="dxa"/>
              <w:bottom w:w="45" w:type="dxa"/>
              <w:right w:w="55" w:type="dxa"/>
            </w:tcMar>
            <w:vAlign w:val="center"/>
          </w:tcPr>
          <w:p w14:paraId="7B392D4C" w14:textId="77777777" w:rsidR="00122D62" w:rsidRPr="00FE340C" w:rsidRDefault="00000000">
            <w:pPr>
              <w:spacing w:after="0"/>
              <w:jc w:val="center"/>
            </w:pPr>
            <w:r w:rsidRPr="00FE340C">
              <w:rPr>
                <w:sz w:val="15"/>
              </w:rPr>
              <w:t>0.037 (0.357)</w:t>
            </w:r>
          </w:p>
        </w:tc>
        <w:tc>
          <w:tcPr>
            <w:tcW w:w="1080" w:type="dxa"/>
            <w:tcMar>
              <w:top w:w="45" w:type="dxa"/>
              <w:left w:w="55" w:type="dxa"/>
              <w:bottom w:w="45" w:type="dxa"/>
              <w:right w:w="55" w:type="dxa"/>
            </w:tcMar>
            <w:vAlign w:val="center"/>
          </w:tcPr>
          <w:p w14:paraId="5B8BB8EA" w14:textId="77777777" w:rsidR="00122D62" w:rsidRPr="00FE340C" w:rsidRDefault="00000000">
            <w:pPr>
              <w:spacing w:after="0"/>
              <w:jc w:val="center"/>
            </w:pPr>
            <w:r w:rsidRPr="00FE340C">
              <w:rPr>
                <w:sz w:val="15"/>
              </w:rPr>
              <w:t>0.103</w:t>
            </w:r>
          </w:p>
        </w:tc>
        <w:tc>
          <w:tcPr>
            <w:tcW w:w="936" w:type="dxa"/>
            <w:tcMar>
              <w:top w:w="45" w:type="dxa"/>
              <w:left w:w="55" w:type="dxa"/>
              <w:bottom w:w="45" w:type="dxa"/>
              <w:right w:w="55" w:type="dxa"/>
            </w:tcMar>
            <w:vAlign w:val="center"/>
          </w:tcPr>
          <w:p w14:paraId="1A41D009" w14:textId="77777777" w:rsidR="00122D62" w:rsidRPr="00FE340C" w:rsidRDefault="00000000">
            <w:pPr>
              <w:spacing w:after="0"/>
              <w:jc w:val="center"/>
            </w:pPr>
            <w:r w:rsidRPr="00FE340C">
              <w:rPr>
                <w:sz w:val="15"/>
              </w:rPr>
              <w:t>0.918</w:t>
            </w:r>
          </w:p>
        </w:tc>
        <w:tc>
          <w:tcPr>
            <w:tcW w:w="1008" w:type="dxa"/>
            <w:tcMar>
              <w:top w:w="45" w:type="dxa"/>
              <w:left w:w="55" w:type="dxa"/>
              <w:bottom w:w="45" w:type="dxa"/>
              <w:right w:w="55" w:type="dxa"/>
            </w:tcMar>
            <w:vAlign w:val="center"/>
          </w:tcPr>
          <w:p w14:paraId="69D6B9BE" w14:textId="77777777" w:rsidR="00122D62" w:rsidRPr="00FE340C" w:rsidRDefault="00000000">
            <w:pPr>
              <w:spacing w:after="0"/>
              <w:jc w:val="center"/>
            </w:pPr>
            <w:r w:rsidRPr="00FE340C">
              <w:rPr>
                <w:sz w:val="15"/>
              </w:rPr>
              <w:t>1.04</w:t>
            </w:r>
          </w:p>
        </w:tc>
        <w:tc>
          <w:tcPr>
            <w:tcW w:w="1944" w:type="dxa"/>
            <w:tcMar>
              <w:top w:w="45" w:type="dxa"/>
              <w:left w:w="55" w:type="dxa"/>
              <w:bottom w:w="45" w:type="dxa"/>
              <w:right w:w="55" w:type="dxa"/>
            </w:tcMar>
            <w:vAlign w:val="center"/>
          </w:tcPr>
          <w:p w14:paraId="6DA08B02" w14:textId="77777777" w:rsidR="00122D62" w:rsidRPr="00FE340C" w:rsidRDefault="00000000">
            <w:pPr>
              <w:spacing w:after="0"/>
              <w:jc w:val="center"/>
            </w:pPr>
            <w:r w:rsidRPr="00FE340C">
              <w:rPr>
                <w:sz w:val="15"/>
              </w:rPr>
              <w:t>0.52–2.09</w:t>
            </w:r>
          </w:p>
        </w:tc>
      </w:tr>
    </w:tbl>
    <w:p w14:paraId="339DC1CD" w14:textId="77777777" w:rsidR="00122D62" w:rsidRPr="00FE340C" w:rsidRDefault="00000000">
      <w:pPr>
        <w:spacing w:before="20" w:after="40"/>
        <w:jc w:val="both"/>
      </w:pPr>
      <w:r w:rsidRPr="00FE340C">
        <w:rPr>
          <w:b/>
          <w:sz w:val="16"/>
        </w:rPr>
        <w:t xml:space="preserve">Note: </w:t>
      </w:r>
      <w:r w:rsidRPr="00FE340C">
        <w:rPr>
          <w:sz w:val="16"/>
        </w:rPr>
        <w:t>N = 200. Log likelihood = -236.210; LR χ</w:t>
      </w:r>
      <w:proofErr w:type="gramStart"/>
      <w:r w:rsidRPr="00FE340C">
        <w:rPr>
          <w:sz w:val="16"/>
        </w:rPr>
        <w:t>²(</w:t>
      </w:r>
      <w:proofErr w:type="gramEnd"/>
      <w:r w:rsidRPr="00FE340C">
        <w:rPr>
          <w:sz w:val="16"/>
        </w:rPr>
        <w:t>5) = 37.609, p &lt; .001; McFadden R² = 0.074. Cut points: 2/3 = -8.598, 3/4 = -6.139, and 4/5 = -4.501.</w:t>
      </w:r>
    </w:p>
    <w:p w14:paraId="4620B36F" w14:textId="77777777" w:rsidR="00122D62" w:rsidRPr="00FE340C" w:rsidRDefault="00000000">
      <w:pPr>
        <w:keepNext/>
        <w:spacing w:before="60" w:after="40"/>
      </w:pPr>
      <w:r w:rsidRPr="00FE340C">
        <w:rPr>
          <w:b/>
        </w:rPr>
        <w:t>4.5 Model Diagnostics and Robustness</w:t>
      </w:r>
    </w:p>
    <w:p w14:paraId="6F907A9E" w14:textId="77777777" w:rsidR="00122D62" w:rsidRPr="00FE340C" w:rsidRDefault="00000000">
      <w:pPr>
        <w:ind w:firstLine="331"/>
        <w:jc w:val="both"/>
      </w:pPr>
      <w:r w:rsidRPr="00FE340C">
        <w:t>The binary model showed strong overall discrimination: the likelihood-ratio test was significant (p &lt; .001), McFadden R² was 0.554, AUC was 0.940, and classification accuracy at a 0.50 cutoff was 85.5% (84 true negatives and 87 true positives). The Brier score was 0.099. The Hosmer–</w:t>
      </w:r>
      <w:proofErr w:type="spellStart"/>
      <w:r w:rsidRPr="00FE340C">
        <w:t>Lemeshow</w:t>
      </w:r>
      <w:proofErr w:type="spellEnd"/>
      <w:r w:rsidRPr="00FE340C">
        <w:t xml:space="preserve"> statistic was 5.844 (p = 0.665), providing no evidence of lack of fit under the chosen decile grouping. Predictor VIF values ranged from 1.02 to 2.17, indicating no serious multicollinearity.</w:t>
      </w:r>
    </w:p>
    <w:p w14:paraId="14BD02AD" w14:textId="77777777" w:rsidR="00122D62" w:rsidRPr="00FE340C" w:rsidRDefault="00000000">
      <w:pPr>
        <w:ind w:firstLine="331"/>
        <w:jc w:val="both"/>
      </w:pPr>
      <w:r w:rsidRPr="00FE340C">
        <w:t>HC1 robust standard errors retained the significance of age, risk tolerance, financial literacy, and financial access in the binary model. In the ordered stock model, robust inference retained the significance of risk tolerance, financial access, and digital financial services and also placed financial literacy just below the 5% threshold (p = 0.040). In the mutual-fund model, risk tolerance remained significant, while financial literacy became significant under HC1 errors (p = 0.028); this sensitivity warrants cautious interpretation of the literacy effect.</w:t>
      </w:r>
    </w:p>
    <w:p w14:paraId="321C6351" w14:textId="77777777" w:rsidR="00122D62" w:rsidRPr="00FE340C" w:rsidRDefault="00000000">
      <w:pPr>
        <w:ind w:firstLine="331"/>
        <w:jc w:val="both"/>
      </w:pPr>
      <w:r w:rsidRPr="00FE340C">
        <w:t>The parallel-lines diagnostic did not reject proportional odds for the mutual-fund model (χ²(10) = 12.20, p = 0.272) but indicated a possible violation for the stock model (χ²(10) = 22.09, p = 0.015). Accordingly, the ordered-logit coefficients for stock tendency should be interpreted as average proportional-odds associations. A multinomial or generalised ordered-logit model would be a useful sensitivity extension in future research.</w:t>
      </w:r>
    </w:p>
    <w:p w14:paraId="061AE44F" w14:textId="77777777" w:rsidR="00122D62" w:rsidRPr="00FE340C" w:rsidRDefault="00000000">
      <w:pPr>
        <w:keepNext/>
        <w:spacing w:before="60" w:after="20"/>
      </w:pPr>
      <w:r w:rsidRPr="00FE340C">
        <w:rPr>
          <w:b/>
          <w:sz w:val="18"/>
        </w:rPr>
        <w:t>Table 6. Model-fit and diagnostic summary</w:t>
      </w:r>
    </w:p>
    <w:tbl>
      <w:tblPr>
        <w:tblW w:w="0" w:type="auto"/>
        <w:jc w:val="center"/>
        <w:tblBorders>
          <w:top w:val="single" w:sz="6" w:space="0" w:color="000000"/>
          <w:left w:val="nil"/>
          <w:bottom w:val="single" w:sz="6" w:space="0" w:color="000000"/>
          <w:right w:val="nil"/>
          <w:insideH w:val="single" w:sz="6" w:space="0" w:color="000000"/>
          <w:insideV w:val="nil"/>
        </w:tblBorders>
        <w:tblLayout w:type="fixed"/>
        <w:tblLook w:val="04A0" w:firstRow="1" w:lastRow="0" w:firstColumn="1" w:lastColumn="0" w:noHBand="0" w:noVBand="1"/>
      </w:tblPr>
      <w:tblGrid>
        <w:gridCol w:w="2232"/>
        <w:gridCol w:w="1440"/>
        <w:gridCol w:w="1440"/>
        <w:gridCol w:w="2448"/>
        <w:gridCol w:w="2376"/>
      </w:tblGrid>
      <w:tr w:rsidR="00122D62" w:rsidRPr="00FE340C" w14:paraId="59FC420F" w14:textId="77777777">
        <w:trPr>
          <w:tblHeader/>
          <w:jc w:val="center"/>
        </w:trPr>
        <w:tc>
          <w:tcPr>
            <w:tcW w:w="2232" w:type="dxa"/>
            <w:tcMar>
              <w:top w:w="45" w:type="dxa"/>
              <w:left w:w="55" w:type="dxa"/>
              <w:bottom w:w="45" w:type="dxa"/>
              <w:right w:w="55" w:type="dxa"/>
            </w:tcMar>
            <w:vAlign w:val="center"/>
          </w:tcPr>
          <w:p w14:paraId="50B561EC" w14:textId="77777777" w:rsidR="00122D62" w:rsidRPr="00FE340C" w:rsidRDefault="00000000">
            <w:pPr>
              <w:spacing w:after="0"/>
              <w:jc w:val="center"/>
            </w:pPr>
            <w:r w:rsidRPr="00FE340C">
              <w:rPr>
                <w:b/>
                <w:sz w:val="15"/>
              </w:rPr>
              <w:t>Model</w:t>
            </w:r>
          </w:p>
        </w:tc>
        <w:tc>
          <w:tcPr>
            <w:tcW w:w="1440" w:type="dxa"/>
            <w:tcMar>
              <w:top w:w="45" w:type="dxa"/>
              <w:left w:w="55" w:type="dxa"/>
              <w:bottom w:w="45" w:type="dxa"/>
              <w:right w:w="55" w:type="dxa"/>
            </w:tcMar>
            <w:vAlign w:val="center"/>
          </w:tcPr>
          <w:p w14:paraId="597A6F8D" w14:textId="77777777" w:rsidR="00122D62" w:rsidRPr="00FE340C" w:rsidRDefault="00000000">
            <w:pPr>
              <w:spacing w:after="0"/>
              <w:jc w:val="center"/>
            </w:pPr>
            <w:r w:rsidRPr="00FE340C">
              <w:rPr>
                <w:b/>
                <w:sz w:val="15"/>
              </w:rPr>
              <w:t>Log likelihood</w:t>
            </w:r>
          </w:p>
        </w:tc>
        <w:tc>
          <w:tcPr>
            <w:tcW w:w="1440" w:type="dxa"/>
            <w:tcMar>
              <w:top w:w="45" w:type="dxa"/>
              <w:left w:w="55" w:type="dxa"/>
              <w:bottom w:w="45" w:type="dxa"/>
              <w:right w:w="55" w:type="dxa"/>
            </w:tcMar>
            <w:vAlign w:val="center"/>
          </w:tcPr>
          <w:p w14:paraId="491665BD" w14:textId="77777777" w:rsidR="00122D62" w:rsidRPr="00FE340C" w:rsidRDefault="00000000">
            <w:pPr>
              <w:spacing w:after="0"/>
              <w:jc w:val="center"/>
            </w:pPr>
            <w:r w:rsidRPr="00FE340C">
              <w:rPr>
                <w:b/>
                <w:sz w:val="15"/>
              </w:rPr>
              <w:t>McFadden R²</w:t>
            </w:r>
          </w:p>
        </w:tc>
        <w:tc>
          <w:tcPr>
            <w:tcW w:w="2448" w:type="dxa"/>
            <w:tcMar>
              <w:top w:w="45" w:type="dxa"/>
              <w:left w:w="55" w:type="dxa"/>
              <w:bottom w:w="45" w:type="dxa"/>
              <w:right w:w="55" w:type="dxa"/>
            </w:tcMar>
            <w:vAlign w:val="center"/>
          </w:tcPr>
          <w:p w14:paraId="7B49E49D" w14:textId="77777777" w:rsidR="00122D62" w:rsidRPr="00FE340C" w:rsidRDefault="00000000">
            <w:pPr>
              <w:spacing w:after="0"/>
              <w:jc w:val="center"/>
            </w:pPr>
            <w:r w:rsidRPr="00FE340C">
              <w:rPr>
                <w:b/>
                <w:sz w:val="15"/>
              </w:rPr>
              <w:t>LR test</w:t>
            </w:r>
          </w:p>
        </w:tc>
        <w:tc>
          <w:tcPr>
            <w:tcW w:w="2376" w:type="dxa"/>
            <w:tcMar>
              <w:top w:w="45" w:type="dxa"/>
              <w:left w:w="55" w:type="dxa"/>
              <w:bottom w:w="45" w:type="dxa"/>
              <w:right w:w="55" w:type="dxa"/>
            </w:tcMar>
            <w:vAlign w:val="center"/>
          </w:tcPr>
          <w:p w14:paraId="5CD45CE2" w14:textId="77777777" w:rsidR="00122D62" w:rsidRPr="00FE340C" w:rsidRDefault="00000000">
            <w:pPr>
              <w:spacing w:after="0"/>
              <w:jc w:val="center"/>
            </w:pPr>
            <w:r w:rsidRPr="00FE340C">
              <w:rPr>
                <w:b/>
                <w:sz w:val="15"/>
              </w:rPr>
              <w:t>Additional diagnostics</w:t>
            </w:r>
          </w:p>
        </w:tc>
      </w:tr>
      <w:tr w:rsidR="00122D62" w:rsidRPr="00FE340C" w14:paraId="517118DF" w14:textId="77777777">
        <w:trPr>
          <w:cantSplit/>
          <w:jc w:val="center"/>
        </w:trPr>
        <w:tc>
          <w:tcPr>
            <w:tcW w:w="2232" w:type="dxa"/>
            <w:tcMar>
              <w:top w:w="45" w:type="dxa"/>
              <w:left w:w="55" w:type="dxa"/>
              <w:bottom w:w="45" w:type="dxa"/>
              <w:right w:w="55" w:type="dxa"/>
            </w:tcMar>
            <w:vAlign w:val="center"/>
          </w:tcPr>
          <w:p w14:paraId="3D7F323C" w14:textId="77777777" w:rsidR="00122D62" w:rsidRPr="00FE340C" w:rsidRDefault="00000000">
            <w:pPr>
              <w:spacing w:after="0"/>
            </w:pPr>
            <w:r w:rsidRPr="00FE340C">
              <w:rPr>
                <w:sz w:val="15"/>
              </w:rPr>
              <w:t>Binary stock preference</w:t>
            </w:r>
          </w:p>
        </w:tc>
        <w:tc>
          <w:tcPr>
            <w:tcW w:w="1440" w:type="dxa"/>
            <w:tcMar>
              <w:top w:w="45" w:type="dxa"/>
              <w:left w:w="55" w:type="dxa"/>
              <w:bottom w:w="45" w:type="dxa"/>
              <w:right w:w="55" w:type="dxa"/>
            </w:tcMar>
            <w:vAlign w:val="center"/>
          </w:tcPr>
          <w:p w14:paraId="53B6FA24" w14:textId="77777777" w:rsidR="00122D62" w:rsidRPr="00FE340C" w:rsidRDefault="00000000">
            <w:pPr>
              <w:spacing w:after="0"/>
              <w:jc w:val="center"/>
            </w:pPr>
            <w:r w:rsidRPr="00FE340C">
              <w:rPr>
                <w:sz w:val="15"/>
              </w:rPr>
              <w:t>-61.824</w:t>
            </w:r>
          </w:p>
        </w:tc>
        <w:tc>
          <w:tcPr>
            <w:tcW w:w="1440" w:type="dxa"/>
            <w:tcMar>
              <w:top w:w="45" w:type="dxa"/>
              <w:left w:w="55" w:type="dxa"/>
              <w:bottom w:w="45" w:type="dxa"/>
              <w:right w:w="55" w:type="dxa"/>
            </w:tcMar>
            <w:vAlign w:val="center"/>
          </w:tcPr>
          <w:p w14:paraId="2DA728D2" w14:textId="77777777" w:rsidR="00122D62" w:rsidRPr="00FE340C" w:rsidRDefault="00000000">
            <w:pPr>
              <w:spacing w:after="0"/>
              <w:jc w:val="center"/>
            </w:pPr>
            <w:r w:rsidRPr="00FE340C">
              <w:rPr>
                <w:sz w:val="15"/>
              </w:rPr>
              <w:t>0.554</w:t>
            </w:r>
          </w:p>
        </w:tc>
        <w:tc>
          <w:tcPr>
            <w:tcW w:w="2448" w:type="dxa"/>
            <w:tcMar>
              <w:top w:w="45" w:type="dxa"/>
              <w:left w:w="55" w:type="dxa"/>
              <w:bottom w:w="45" w:type="dxa"/>
              <w:right w:w="55" w:type="dxa"/>
            </w:tcMar>
            <w:vAlign w:val="center"/>
          </w:tcPr>
          <w:p w14:paraId="00D5CFCB" w14:textId="77777777" w:rsidR="00122D62" w:rsidRPr="00FE340C" w:rsidRDefault="00000000">
            <w:pPr>
              <w:spacing w:after="0"/>
              <w:jc w:val="center"/>
            </w:pPr>
            <w:r w:rsidRPr="00FE340C">
              <w:rPr>
                <w:sz w:val="15"/>
              </w:rPr>
              <w:t>χ</w:t>
            </w:r>
            <w:proofErr w:type="gramStart"/>
            <w:r w:rsidRPr="00FE340C">
              <w:rPr>
                <w:sz w:val="15"/>
              </w:rPr>
              <w:t>²(</w:t>
            </w:r>
            <w:proofErr w:type="gramEnd"/>
            <w:r w:rsidRPr="00FE340C">
              <w:rPr>
                <w:sz w:val="15"/>
              </w:rPr>
              <w:t>6) = 153.61, p &lt; .001</w:t>
            </w:r>
          </w:p>
        </w:tc>
        <w:tc>
          <w:tcPr>
            <w:tcW w:w="2376" w:type="dxa"/>
            <w:tcMar>
              <w:top w:w="45" w:type="dxa"/>
              <w:left w:w="55" w:type="dxa"/>
              <w:bottom w:w="45" w:type="dxa"/>
              <w:right w:w="55" w:type="dxa"/>
            </w:tcMar>
            <w:vAlign w:val="center"/>
          </w:tcPr>
          <w:p w14:paraId="25914782" w14:textId="77777777" w:rsidR="00122D62" w:rsidRPr="00FE340C" w:rsidRDefault="00000000">
            <w:pPr>
              <w:spacing w:after="0"/>
              <w:jc w:val="center"/>
            </w:pPr>
            <w:r w:rsidRPr="00FE340C">
              <w:rPr>
                <w:sz w:val="15"/>
              </w:rPr>
              <w:t>AUC = 0.940; H–L p = 0.665</w:t>
            </w:r>
          </w:p>
        </w:tc>
      </w:tr>
      <w:tr w:rsidR="00122D62" w:rsidRPr="00FE340C" w14:paraId="7D005D45" w14:textId="77777777">
        <w:trPr>
          <w:cantSplit/>
          <w:jc w:val="center"/>
        </w:trPr>
        <w:tc>
          <w:tcPr>
            <w:tcW w:w="2232" w:type="dxa"/>
            <w:tcMar>
              <w:top w:w="45" w:type="dxa"/>
              <w:left w:w="55" w:type="dxa"/>
              <w:bottom w:w="45" w:type="dxa"/>
              <w:right w:w="55" w:type="dxa"/>
            </w:tcMar>
            <w:vAlign w:val="center"/>
          </w:tcPr>
          <w:p w14:paraId="7AD415C3" w14:textId="77777777" w:rsidR="00122D62" w:rsidRPr="00FE340C" w:rsidRDefault="00000000">
            <w:pPr>
              <w:spacing w:after="0"/>
            </w:pPr>
            <w:r w:rsidRPr="00FE340C">
              <w:rPr>
                <w:sz w:val="15"/>
              </w:rPr>
              <w:t>Ordered stock tendency</w:t>
            </w:r>
          </w:p>
        </w:tc>
        <w:tc>
          <w:tcPr>
            <w:tcW w:w="1440" w:type="dxa"/>
            <w:tcMar>
              <w:top w:w="45" w:type="dxa"/>
              <w:left w:w="55" w:type="dxa"/>
              <w:bottom w:w="45" w:type="dxa"/>
              <w:right w:w="55" w:type="dxa"/>
            </w:tcMar>
            <w:vAlign w:val="center"/>
          </w:tcPr>
          <w:p w14:paraId="3553CDD4" w14:textId="77777777" w:rsidR="00122D62" w:rsidRPr="00FE340C" w:rsidRDefault="00000000">
            <w:pPr>
              <w:spacing w:after="0"/>
              <w:jc w:val="center"/>
            </w:pPr>
            <w:r w:rsidRPr="00FE340C">
              <w:rPr>
                <w:sz w:val="15"/>
              </w:rPr>
              <w:t>-235.108</w:t>
            </w:r>
          </w:p>
        </w:tc>
        <w:tc>
          <w:tcPr>
            <w:tcW w:w="1440" w:type="dxa"/>
            <w:tcMar>
              <w:top w:w="45" w:type="dxa"/>
              <w:left w:w="55" w:type="dxa"/>
              <w:bottom w:w="45" w:type="dxa"/>
              <w:right w:w="55" w:type="dxa"/>
            </w:tcMar>
            <w:vAlign w:val="center"/>
          </w:tcPr>
          <w:p w14:paraId="6B0C1EBF" w14:textId="77777777" w:rsidR="00122D62" w:rsidRPr="00FE340C" w:rsidRDefault="00000000">
            <w:pPr>
              <w:spacing w:after="0"/>
              <w:jc w:val="center"/>
            </w:pPr>
            <w:r w:rsidRPr="00FE340C">
              <w:rPr>
                <w:sz w:val="15"/>
              </w:rPr>
              <w:t>0.131</w:t>
            </w:r>
          </w:p>
        </w:tc>
        <w:tc>
          <w:tcPr>
            <w:tcW w:w="2448" w:type="dxa"/>
            <w:tcMar>
              <w:top w:w="45" w:type="dxa"/>
              <w:left w:w="55" w:type="dxa"/>
              <w:bottom w:w="45" w:type="dxa"/>
              <w:right w:w="55" w:type="dxa"/>
            </w:tcMar>
            <w:vAlign w:val="center"/>
          </w:tcPr>
          <w:p w14:paraId="4B047255" w14:textId="77777777" w:rsidR="00122D62" w:rsidRPr="00FE340C" w:rsidRDefault="00000000">
            <w:pPr>
              <w:spacing w:after="0"/>
              <w:jc w:val="center"/>
            </w:pPr>
            <w:r w:rsidRPr="00FE340C">
              <w:rPr>
                <w:sz w:val="15"/>
              </w:rPr>
              <w:t>χ</w:t>
            </w:r>
            <w:proofErr w:type="gramStart"/>
            <w:r w:rsidRPr="00FE340C">
              <w:rPr>
                <w:sz w:val="15"/>
              </w:rPr>
              <w:t>²(</w:t>
            </w:r>
            <w:proofErr w:type="gramEnd"/>
            <w:r w:rsidRPr="00FE340C">
              <w:rPr>
                <w:sz w:val="15"/>
              </w:rPr>
              <w:t>5) = 70.59, p &lt; .001</w:t>
            </w:r>
          </w:p>
        </w:tc>
        <w:tc>
          <w:tcPr>
            <w:tcW w:w="2376" w:type="dxa"/>
            <w:tcMar>
              <w:top w:w="45" w:type="dxa"/>
              <w:left w:w="55" w:type="dxa"/>
              <w:bottom w:w="45" w:type="dxa"/>
              <w:right w:w="55" w:type="dxa"/>
            </w:tcMar>
            <w:vAlign w:val="center"/>
          </w:tcPr>
          <w:p w14:paraId="04A304EB" w14:textId="77777777" w:rsidR="00122D62" w:rsidRPr="00FE340C" w:rsidRDefault="00000000">
            <w:pPr>
              <w:spacing w:after="0"/>
              <w:jc w:val="center"/>
            </w:pPr>
            <w:r w:rsidRPr="00FE340C">
              <w:rPr>
                <w:sz w:val="15"/>
              </w:rPr>
              <w:t>Parallel-lines p = 0.015</w:t>
            </w:r>
          </w:p>
        </w:tc>
      </w:tr>
      <w:tr w:rsidR="00122D62" w:rsidRPr="00FE340C" w14:paraId="4E96AF90" w14:textId="77777777">
        <w:trPr>
          <w:cantSplit/>
          <w:jc w:val="center"/>
        </w:trPr>
        <w:tc>
          <w:tcPr>
            <w:tcW w:w="2232" w:type="dxa"/>
            <w:tcMar>
              <w:top w:w="45" w:type="dxa"/>
              <w:left w:w="55" w:type="dxa"/>
              <w:bottom w:w="45" w:type="dxa"/>
              <w:right w:w="55" w:type="dxa"/>
            </w:tcMar>
            <w:vAlign w:val="center"/>
          </w:tcPr>
          <w:p w14:paraId="12071F39" w14:textId="77777777" w:rsidR="00122D62" w:rsidRPr="00FE340C" w:rsidRDefault="00000000">
            <w:pPr>
              <w:spacing w:after="0"/>
            </w:pPr>
            <w:r w:rsidRPr="00FE340C">
              <w:rPr>
                <w:sz w:val="15"/>
              </w:rPr>
              <w:t>Ordered mutual-fund tendency</w:t>
            </w:r>
          </w:p>
        </w:tc>
        <w:tc>
          <w:tcPr>
            <w:tcW w:w="1440" w:type="dxa"/>
            <w:tcMar>
              <w:top w:w="45" w:type="dxa"/>
              <w:left w:w="55" w:type="dxa"/>
              <w:bottom w:w="45" w:type="dxa"/>
              <w:right w:w="55" w:type="dxa"/>
            </w:tcMar>
            <w:vAlign w:val="center"/>
          </w:tcPr>
          <w:p w14:paraId="36458AA0" w14:textId="77777777" w:rsidR="00122D62" w:rsidRPr="00FE340C" w:rsidRDefault="00000000">
            <w:pPr>
              <w:spacing w:after="0"/>
              <w:jc w:val="center"/>
            </w:pPr>
            <w:r w:rsidRPr="00FE340C">
              <w:rPr>
                <w:sz w:val="15"/>
              </w:rPr>
              <w:t>-236.210</w:t>
            </w:r>
          </w:p>
        </w:tc>
        <w:tc>
          <w:tcPr>
            <w:tcW w:w="1440" w:type="dxa"/>
            <w:tcMar>
              <w:top w:w="45" w:type="dxa"/>
              <w:left w:w="55" w:type="dxa"/>
              <w:bottom w:w="45" w:type="dxa"/>
              <w:right w:w="55" w:type="dxa"/>
            </w:tcMar>
            <w:vAlign w:val="center"/>
          </w:tcPr>
          <w:p w14:paraId="24E3E974" w14:textId="77777777" w:rsidR="00122D62" w:rsidRPr="00FE340C" w:rsidRDefault="00000000">
            <w:pPr>
              <w:spacing w:after="0"/>
              <w:jc w:val="center"/>
            </w:pPr>
            <w:r w:rsidRPr="00FE340C">
              <w:rPr>
                <w:sz w:val="15"/>
              </w:rPr>
              <w:t>0.074</w:t>
            </w:r>
          </w:p>
        </w:tc>
        <w:tc>
          <w:tcPr>
            <w:tcW w:w="2448" w:type="dxa"/>
            <w:tcMar>
              <w:top w:w="45" w:type="dxa"/>
              <w:left w:w="55" w:type="dxa"/>
              <w:bottom w:w="45" w:type="dxa"/>
              <w:right w:w="55" w:type="dxa"/>
            </w:tcMar>
            <w:vAlign w:val="center"/>
          </w:tcPr>
          <w:p w14:paraId="567FCC00" w14:textId="77777777" w:rsidR="00122D62" w:rsidRPr="00FE340C" w:rsidRDefault="00000000">
            <w:pPr>
              <w:spacing w:after="0"/>
              <w:jc w:val="center"/>
            </w:pPr>
            <w:r w:rsidRPr="00FE340C">
              <w:rPr>
                <w:sz w:val="15"/>
              </w:rPr>
              <w:t>χ</w:t>
            </w:r>
            <w:proofErr w:type="gramStart"/>
            <w:r w:rsidRPr="00FE340C">
              <w:rPr>
                <w:sz w:val="15"/>
              </w:rPr>
              <w:t>²(</w:t>
            </w:r>
            <w:proofErr w:type="gramEnd"/>
            <w:r w:rsidRPr="00FE340C">
              <w:rPr>
                <w:sz w:val="15"/>
              </w:rPr>
              <w:t>5) = 37.61, p &lt; .001</w:t>
            </w:r>
          </w:p>
        </w:tc>
        <w:tc>
          <w:tcPr>
            <w:tcW w:w="2376" w:type="dxa"/>
            <w:tcMar>
              <w:top w:w="45" w:type="dxa"/>
              <w:left w:w="55" w:type="dxa"/>
              <w:bottom w:w="45" w:type="dxa"/>
              <w:right w:w="55" w:type="dxa"/>
            </w:tcMar>
            <w:vAlign w:val="center"/>
          </w:tcPr>
          <w:p w14:paraId="7FC1F310" w14:textId="77777777" w:rsidR="00122D62" w:rsidRPr="00FE340C" w:rsidRDefault="00000000">
            <w:pPr>
              <w:spacing w:after="0"/>
              <w:jc w:val="center"/>
            </w:pPr>
            <w:r w:rsidRPr="00FE340C">
              <w:rPr>
                <w:sz w:val="15"/>
              </w:rPr>
              <w:t>Parallel-lines p = 0.272</w:t>
            </w:r>
          </w:p>
        </w:tc>
      </w:tr>
    </w:tbl>
    <w:p w14:paraId="05D9FFCF" w14:textId="77777777" w:rsidR="00122D62" w:rsidRPr="00FE340C" w:rsidRDefault="00000000">
      <w:pPr>
        <w:keepNext/>
        <w:spacing w:before="100" w:after="40"/>
      </w:pPr>
      <w:r w:rsidRPr="00FE340C">
        <w:rPr>
          <w:b/>
          <w:sz w:val="21"/>
        </w:rPr>
        <w:lastRenderedPageBreak/>
        <w:t>5. DISCUSSION</w:t>
      </w:r>
    </w:p>
    <w:p w14:paraId="1737492C" w14:textId="77777777" w:rsidR="00122D62" w:rsidRPr="00FE340C" w:rsidRDefault="00000000">
      <w:pPr>
        <w:ind w:firstLine="331"/>
        <w:jc w:val="both"/>
      </w:pPr>
      <w:r w:rsidRPr="00FE340C">
        <w:t xml:space="preserve">The verified results indicate that risk tolerance is the most consistent product-choice determinant. It is strongly associated with stock preference and higher stock-tendency categories and inversely associated with mutual-fund tendency. This pattern is consistent with the greater short-term volatility and concentration risk of direct equity ownership and with household-finance evidence that willingness to bear risk is central to portfolio allocation (Campbell, 2006; </w:t>
      </w:r>
      <w:proofErr w:type="spellStart"/>
      <w:r w:rsidRPr="00FE340C">
        <w:t>Bannier</w:t>
      </w:r>
      <w:proofErr w:type="spellEnd"/>
      <w:r w:rsidRPr="00FE340C">
        <w:t xml:space="preserve"> &amp; Neubert, 2016).</w:t>
      </w:r>
    </w:p>
    <w:p w14:paraId="3EFECD77" w14:textId="77777777" w:rsidR="00122D62" w:rsidRPr="00FE340C" w:rsidRDefault="00000000">
      <w:pPr>
        <w:ind w:firstLine="331"/>
        <w:jc w:val="both"/>
      </w:pPr>
      <w:r w:rsidRPr="00FE340C">
        <w:t>Financial literacy is positively associated with the binary choice of stocks, although its ordered-model significance is sensitive to the covariance estimator. More financially literate investors may be better equipped to evaluate individual securities and may therefore prefer direct control over selection. The result supports education programmes that develop practical competence in diversification, risk assessment, fees, and long-term portfolio planning rather than limiting education to product awareness (van Rooij et al., 2011; Lusardi &amp; Mitchell, 2014).</w:t>
      </w:r>
    </w:p>
    <w:p w14:paraId="501D15B6" w14:textId="77777777" w:rsidR="00122D62" w:rsidRPr="00FE340C" w:rsidRDefault="00000000">
      <w:pPr>
        <w:ind w:firstLine="331"/>
        <w:jc w:val="both"/>
      </w:pPr>
      <w:r w:rsidRPr="00FE340C">
        <w:t>Financial access has product-specific implications. It is negatively associated with stock preference and higher stock-tendency categories in the verified models, suggesting a relative association between greater access and preference for mutual funds or other intermediated products over stocks. However, financial access is not significant in the ordered mutual-fund model. The finding should therefore be read as a relative-choice association rather than proof that access directly increases mutual-fund use. Product distribution, account-opening convenience, and advice may influence the binary choice in ways not captured by a single access rating.</w:t>
      </w:r>
    </w:p>
    <w:p w14:paraId="06D6CBE6" w14:textId="77777777" w:rsidR="00122D62" w:rsidRPr="00FE340C" w:rsidRDefault="00000000">
      <w:pPr>
        <w:ind w:firstLine="331"/>
        <w:jc w:val="both"/>
      </w:pPr>
      <w:r w:rsidRPr="00FE340C">
        <w:t>Digital financial services are significant only in the ordered stock model, not in the binary or mutual-fund models. The revised interpretation therefore avoids the earlier broad claim that digital services are a universal driver. Digital platforms may reduce transaction and monitoring costs (Gomber et al., 2017; Gomber et al., 2018), but these associations may depend on the instrument, user competence, security perceptions, and the quality of information available online (Choung et al., 2023).</w:t>
      </w:r>
    </w:p>
    <w:p w14:paraId="7958F5CA" w14:textId="77777777" w:rsidR="00122D62" w:rsidRPr="00FE340C" w:rsidRDefault="00000000">
      <w:pPr>
        <w:ind w:firstLine="331"/>
        <w:jc w:val="both"/>
      </w:pPr>
      <w:r w:rsidRPr="00FE340C">
        <w:t>Regulation is not statistically significant after re-estimation. This does not imply that investor protection is unimportant; rather, it indicates that the single perceived-regulation rating does not independently explain product preference after controlling for the included characteristics. More detailed measures of trust, disclosure quality, complaint resolution, enforcement, and perceived fraud risk are required before drawing stronger conclusions about regulatory effects.</w:t>
      </w:r>
    </w:p>
    <w:p w14:paraId="64DA5246" w14:textId="77777777" w:rsidR="00122D62" w:rsidRPr="00FE340C" w:rsidRDefault="00000000">
      <w:pPr>
        <w:ind w:firstLine="331"/>
        <w:jc w:val="both"/>
      </w:pPr>
      <w:r w:rsidRPr="00FE340C">
        <w:t>The findings have practical implications for investor suitability. Education should be differentiated by risk capacity and product complexity; digital stock platforms should combine convenience with clear risk information; and mutual-fund distribution should emphasise diversification, fees, and the role of professional management. These measures may support broader participation, but the present study does not directly estimate national capital-market inclusion.</w:t>
      </w:r>
    </w:p>
    <w:p w14:paraId="26932611" w14:textId="77777777" w:rsidR="00122D62" w:rsidRPr="00FE340C" w:rsidRDefault="00000000">
      <w:pPr>
        <w:keepNext/>
        <w:spacing w:before="100" w:after="40"/>
      </w:pPr>
      <w:r w:rsidRPr="00FE340C">
        <w:rPr>
          <w:b/>
          <w:sz w:val="21"/>
        </w:rPr>
        <w:t>6. CONCLUSION</w:t>
      </w:r>
    </w:p>
    <w:p w14:paraId="76281D75" w14:textId="77777777" w:rsidR="00122D62" w:rsidRPr="00FE340C" w:rsidRDefault="00000000">
      <w:pPr>
        <w:ind w:firstLine="331"/>
        <w:jc w:val="both"/>
      </w:pPr>
      <w:r w:rsidRPr="00FE340C">
        <w:t>This study examines stock and mutual-fund preferences among 200 Indonesian capital-market investors. Verified binary-logit estimates show that age category, risk tolerance, and financial literacy are positively associated with stock preference, whereas financial access is negatively associated. In the ordered stock model, risk tolerance and digital financial services are positively associated with stock tendency, whereas financial access is negatively associated. In the ordered mutual-fund model, risk tolerance is negatively associated with mutual-fund tendency, while the other predictors are not significant at the 5% level under conventional standard errors.</w:t>
      </w:r>
    </w:p>
    <w:p w14:paraId="7BFF160C" w14:textId="77777777" w:rsidR="00122D62" w:rsidRPr="00FE340C" w:rsidRDefault="00000000">
      <w:pPr>
        <w:ind w:firstLine="331"/>
        <w:jc w:val="both"/>
      </w:pPr>
      <w:r w:rsidRPr="00FE340C">
        <w:t>The central conclusion is that product preference is most consistently associated with risk tolerance, with access, literacy, age, and digital services showing model- or product-specific associations. Financial institutions and regulators should therefore avoid a one-size-fits-all inclusion strategy and instead combine practical investor education, suitability safeguards, accessible distribution, and transparent risk disclosure. The results are associative, not causal, and concern preferences within a purposively selected sample rather than national inclusion rates.</w:t>
      </w:r>
    </w:p>
    <w:p w14:paraId="03FDD701" w14:textId="77777777" w:rsidR="00122D62" w:rsidRPr="00FE340C" w:rsidRDefault="00000000">
      <w:pPr>
        <w:keepNext/>
        <w:spacing w:before="100" w:after="40"/>
      </w:pPr>
      <w:r w:rsidRPr="00FE340C">
        <w:rPr>
          <w:b/>
          <w:sz w:val="21"/>
        </w:rPr>
        <w:t>7. LIMITATIONS AND FUTURE RESEARCH</w:t>
      </w:r>
    </w:p>
    <w:p w14:paraId="3C2DF297" w14:textId="77777777" w:rsidR="00925E68" w:rsidRPr="00FE340C" w:rsidRDefault="00925E68">
      <w:pPr>
        <w:keepNext/>
        <w:spacing w:before="100" w:after="40"/>
      </w:pPr>
      <w:r w:rsidRPr="00FE340C">
        <w:t xml:space="preserve">The study is limited by purposive sampling, a sample of 200 respondents, and the absence of province-level and broader demographic information. The outcomes reflect self-reported preferences rather than verified holdings or transactions, while age is recorded only by generation category. Each explanatory construct is represented by a single rating, preventing reliability and factor-validity assessment. Important factors such as income, wealth, education, investment experience, fees, trust, </w:t>
      </w:r>
      <w:proofErr w:type="spellStart"/>
      <w:r w:rsidRPr="00FE340C">
        <w:t>behavioural</w:t>
      </w:r>
      <w:proofErr w:type="spellEnd"/>
      <w:r w:rsidRPr="00FE340C">
        <w:t xml:space="preserve"> biases, and product availability were unavailable. The proportional-odds assumption may also be imperfect for the stock-tendency model.</w:t>
      </w:r>
    </w:p>
    <w:p w14:paraId="49C071A8" w14:textId="77777777" w:rsidR="00925E68" w:rsidRPr="00FE340C" w:rsidRDefault="00925E68">
      <w:pPr>
        <w:keepNext/>
        <w:spacing w:before="100" w:after="40"/>
      </w:pPr>
    </w:p>
    <w:p w14:paraId="76D51BF6" w14:textId="77777777" w:rsidR="00122D62" w:rsidRPr="00FE340C" w:rsidRDefault="00000000">
      <w:pPr>
        <w:keepNext/>
        <w:spacing w:before="100" w:after="40"/>
      </w:pPr>
      <w:r w:rsidRPr="00FE340C">
        <w:rPr>
          <w:b/>
          <w:sz w:val="21"/>
        </w:rPr>
        <w:t>ACKNOWLEDGEMENTS</w:t>
      </w:r>
    </w:p>
    <w:p w14:paraId="689E95B7" w14:textId="77777777" w:rsidR="00122D62" w:rsidRPr="00FE340C" w:rsidRDefault="00000000">
      <w:pPr>
        <w:jc w:val="both"/>
      </w:pPr>
      <w:r w:rsidRPr="00FE340C">
        <w:t>The authors thank the Institute for Research and Community Service at Universitas Pembangunan Nasional “Veteran” Yogyakarta, Indonesia, for supporting this research, as well as the respondents who participated in the survey.</w:t>
      </w:r>
    </w:p>
    <w:p w14:paraId="26E2764F" w14:textId="77777777" w:rsidR="003916F1" w:rsidRPr="00FE340C" w:rsidRDefault="003916F1">
      <w:pPr>
        <w:jc w:val="both"/>
      </w:pPr>
    </w:p>
    <w:p w14:paraId="58E16C98" w14:textId="77777777" w:rsidR="00122D62" w:rsidRPr="00FE340C" w:rsidRDefault="00000000">
      <w:pPr>
        <w:keepNext/>
        <w:spacing w:before="100" w:after="40"/>
      </w:pPr>
      <w:r w:rsidRPr="00FE340C">
        <w:rPr>
          <w:b/>
          <w:sz w:val="21"/>
        </w:rPr>
        <w:t>COMPETING INTERESTS</w:t>
      </w:r>
    </w:p>
    <w:p w14:paraId="5B0FF063" w14:textId="77777777" w:rsidR="00122D62" w:rsidRPr="00FE340C" w:rsidRDefault="00000000">
      <w:pPr>
        <w:jc w:val="both"/>
      </w:pPr>
      <w:r w:rsidRPr="00FE340C">
        <w:t>The authors declare that no competing interests exist.</w:t>
      </w:r>
    </w:p>
    <w:p w14:paraId="0D85F8C2" w14:textId="77777777" w:rsidR="003916F1" w:rsidRPr="00FE340C" w:rsidRDefault="003916F1">
      <w:pPr>
        <w:jc w:val="both"/>
      </w:pPr>
    </w:p>
    <w:p w14:paraId="67A4E871" w14:textId="77777777" w:rsidR="00122D62" w:rsidRPr="00FE340C" w:rsidRDefault="00000000">
      <w:pPr>
        <w:keepNext/>
        <w:spacing w:before="100" w:after="40"/>
      </w:pPr>
      <w:r w:rsidRPr="00FE340C">
        <w:rPr>
          <w:b/>
          <w:sz w:val="21"/>
        </w:rPr>
        <w:t>AUTHORS’ CONTRIBUTIONS</w:t>
      </w:r>
    </w:p>
    <w:p w14:paraId="3C761935" w14:textId="77777777" w:rsidR="00122D62" w:rsidRPr="00FE340C" w:rsidRDefault="00000000">
      <w:pPr>
        <w:jc w:val="both"/>
      </w:pPr>
      <w:r w:rsidRPr="00FE340C">
        <w:t>All authors contributed to the conception of the study, interpretation of the findings, critical revision of the manuscript, and approval of the final version. The corresponding author coordinated the revision and communication with the journal.</w:t>
      </w:r>
    </w:p>
    <w:p w14:paraId="19B1DE26" w14:textId="77777777" w:rsidR="00C35C4C" w:rsidRPr="00FE340C" w:rsidRDefault="00C35C4C">
      <w:pPr>
        <w:jc w:val="both"/>
      </w:pPr>
    </w:p>
    <w:p w14:paraId="57A40DC0" w14:textId="77777777" w:rsidR="00C35C4C" w:rsidRPr="00FE340C" w:rsidRDefault="00C35C4C" w:rsidP="00A84898">
      <w:pPr>
        <w:spacing w:after="160" w:line="278" w:lineRule="auto"/>
        <w:jc w:val="both"/>
        <w:rPr>
          <w:b/>
          <w:sz w:val="21"/>
        </w:rPr>
      </w:pPr>
      <w:r w:rsidRPr="00FE340C">
        <w:rPr>
          <w:b/>
          <w:sz w:val="21"/>
        </w:rPr>
        <w:lastRenderedPageBreak/>
        <w:t>Declaration of AI Use</w:t>
      </w:r>
    </w:p>
    <w:p w14:paraId="4BB0768F" w14:textId="77777777" w:rsidR="00A84898" w:rsidRPr="00FE340C" w:rsidRDefault="00A84898" w:rsidP="00A84898">
      <w:pPr>
        <w:spacing w:after="160" w:line="278" w:lineRule="auto"/>
        <w:jc w:val="both"/>
        <w:rPr>
          <w:rFonts w:ascii="Arial" w:eastAsia="Calibri" w:hAnsi="Arial" w:cs="Arial"/>
          <w:kern w:val="2"/>
          <w:sz w:val="20"/>
          <w:szCs w:val="20"/>
          <w14:ligatures w14:val="standardContextual"/>
        </w:rPr>
      </w:pPr>
      <w:r w:rsidRPr="00FE340C">
        <w:rPr>
          <w:rFonts w:ascii="Arial" w:eastAsia="Calibri" w:hAnsi="Arial" w:cs="Arial"/>
          <w:kern w:val="2"/>
          <w:sz w:val="20"/>
          <w:szCs w:val="20"/>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4BC136CC" w14:textId="77777777" w:rsidR="00A84898" w:rsidRPr="00FE340C" w:rsidRDefault="00A84898">
      <w:pPr>
        <w:jc w:val="both"/>
      </w:pPr>
    </w:p>
    <w:p w14:paraId="4E600AB2" w14:textId="77777777" w:rsidR="00122D62" w:rsidRPr="00FE340C" w:rsidRDefault="00000000">
      <w:pPr>
        <w:keepNext/>
        <w:spacing w:before="100" w:after="40"/>
        <w:rPr>
          <w:b/>
          <w:sz w:val="21"/>
        </w:rPr>
      </w:pPr>
      <w:r w:rsidRPr="00FE340C">
        <w:rPr>
          <w:b/>
          <w:sz w:val="21"/>
        </w:rPr>
        <w:t>REFERENCES</w:t>
      </w:r>
    </w:p>
    <w:p w14:paraId="5C72D34A" w14:textId="77777777" w:rsidR="00E07760" w:rsidRDefault="00E07760" w:rsidP="00E07760">
      <w:pPr>
        <w:spacing w:after="0" w:line="240" w:lineRule="auto"/>
        <w:ind w:left="540" w:hanging="540"/>
        <w:jc w:val="both"/>
        <w:rPr>
          <w:rFonts w:cs="Times New Roman"/>
          <w:sz w:val="24"/>
          <w:szCs w:val="24"/>
          <w:lang w:val="nl-BE"/>
        </w:rPr>
      </w:pPr>
    </w:p>
    <w:p w14:paraId="3FB28FBC" w14:textId="014F5B6B" w:rsidR="00E07760" w:rsidRPr="00E07760" w:rsidRDefault="00E07760" w:rsidP="00E07760">
      <w:pPr>
        <w:spacing w:after="0" w:line="240" w:lineRule="auto"/>
        <w:ind w:left="540" w:hanging="540"/>
        <w:jc w:val="both"/>
        <w:rPr>
          <w:rFonts w:cs="Times New Roman"/>
          <w:sz w:val="24"/>
          <w:szCs w:val="24"/>
        </w:rPr>
      </w:pPr>
      <w:r w:rsidRPr="00E07760">
        <w:rPr>
          <w:rFonts w:cs="Times New Roman"/>
          <w:sz w:val="24"/>
          <w:szCs w:val="24"/>
          <w:lang w:val="nl-BE"/>
        </w:rPr>
        <w:t xml:space="preserve">Al-Tamimi, H. A. H., &amp; Bin Kalli, A. A. (2009). </w:t>
      </w:r>
      <w:r w:rsidRPr="00E07760">
        <w:rPr>
          <w:rFonts w:cs="Times New Roman"/>
          <w:sz w:val="24"/>
          <w:szCs w:val="24"/>
        </w:rPr>
        <w:t xml:space="preserve">Financial literacy and investment decisions of UAE investors. </w:t>
      </w:r>
      <w:r w:rsidRPr="00E07760">
        <w:rPr>
          <w:rFonts w:cs="Times New Roman"/>
          <w:i/>
          <w:iCs/>
          <w:sz w:val="24"/>
          <w:szCs w:val="24"/>
        </w:rPr>
        <w:t>The Journal of Risk Finance, 10</w:t>
      </w:r>
      <w:r w:rsidRPr="00E07760">
        <w:rPr>
          <w:rFonts w:cs="Times New Roman"/>
          <w:sz w:val="24"/>
          <w:szCs w:val="24"/>
        </w:rPr>
        <w:t xml:space="preserve">(5), 500–516. </w:t>
      </w:r>
      <w:hyperlink r:id="rId8" w:history="1">
        <w:r w:rsidRPr="00E07760">
          <w:rPr>
            <w:rFonts w:cs="Times New Roman"/>
            <w:color w:val="0000FF"/>
            <w:sz w:val="24"/>
            <w:szCs w:val="24"/>
            <w:u w:val="single"/>
          </w:rPr>
          <w:t>https://doi.org/10.1108/15265940911001402</w:t>
        </w:r>
      </w:hyperlink>
    </w:p>
    <w:p w14:paraId="4040E7B7" w14:textId="574CDEF2" w:rsidR="00E07760" w:rsidRPr="00E07760" w:rsidRDefault="00E07760" w:rsidP="00E07760">
      <w:pPr>
        <w:spacing w:after="0" w:line="240" w:lineRule="auto"/>
        <w:ind w:left="540" w:hanging="540"/>
        <w:jc w:val="both"/>
        <w:rPr>
          <w:rFonts w:cs="Times New Roman"/>
          <w:sz w:val="24"/>
          <w:szCs w:val="24"/>
        </w:rPr>
      </w:pPr>
      <w:proofErr w:type="spellStart"/>
      <w:r w:rsidRPr="00E07760">
        <w:rPr>
          <w:rFonts w:cs="Times New Roman"/>
          <w:sz w:val="24"/>
          <w:szCs w:val="24"/>
        </w:rPr>
        <w:t>Bannier</w:t>
      </w:r>
      <w:proofErr w:type="spellEnd"/>
      <w:r w:rsidRPr="00E07760">
        <w:rPr>
          <w:rFonts w:cs="Times New Roman"/>
          <w:sz w:val="24"/>
          <w:szCs w:val="24"/>
        </w:rPr>
        <w:t xml:space="preserve">, C. E., &amp; Neubert, M. (2016). Gender differences in financial risk taking: The role of financial literacy and risk tolerance. </w:t>
      </w:r>
      <w:r w:rsidRPr="00E07760">
        <w:rPr>
          <w:rFonts w:cs="Times New Roman"/>
          <w:i/>
          <w:iCs/>
          <w:sz w:val="24"/>
          <w:szCs w:val="24"/>
        </w:rPr>
        <w:t>Economics Letters, 145</w:t>
      </w:r>
      <w:r w:rsidRPr="00E07760">
        <w:rPr>
          <w:rFonts w:cs="Times New Roman"/>
          <w:sz w:val="24"/>
          <w:szCs w:val="24"/>
        </w:rPr>
        <w:t xml:space="preserve">, 130–135. </w:t>
      </w:r>
      <w:hyperlink r:id="rId9" w:history="1">
        <w:r w:rsidRPr="00E07760">
          <w:rPr>
            <w:rFonts w:cs="Times New Roman"/>
            <w:color w:val="0000FF"/>
            <w:sz w:val="24"/>
            <w:szCs w:val="24"/>
            <w:u w:val="single"/>
          </w:rPr>
          <w:t>https://doi.org/10.1016/j.econlet.2016.05.033</w:t>
        </w:r>
      </w:hyperlink>
    </w:p>
    <w:p w14:paraId="1506337F" w14:textId="2D08C988" w:rsidR="00E07760" w:rsidRPr="00E07760" w:rsidRDefault="00E07760" w:rsidP="00E07760">
      <w:pPr>
        <w:spacing w:after="0" w:line="240" w:lineRule="auto"/>
        <w:ind w:left="540" w:hanging="540"/>
        <w:jc w:val="both"/>
        <w:rPr>
          <w:rFonts w:cs="Times New Roman"/>
          <w:sz w:val="24"/>
          <w:szCs w:val="24"/>
        </w:rPr>
      </w:pPr>
      <w:r w:rsidRPr="00E07760">
        <w:rPr>
          <w:rFonts w:cs="Times New Roman"/>
          <w:sz w:val="24"/>
          <w:szCs w:val="24"/>
        </w:rPr>
        <w:t xml:space="preserve">Bianchi, M. (2018). Financial literacy and portfolio dynamics. </w:t>
      </w:r>
      <w:r w:rsidRPr="00E07760">
        <w:rPr>
          <w:rFonts w:cs="Times New Roman"/>
          <w:i/>
          <w:iCs/>
          <w:sz w:val="24"/>
          <w:szCs w:val="24"/>
        </w:rPr>
        <w:t>The Journal of Finance, 73</w:t>
      </w:r>
      <w:r w:rsidRPr="00E07760">
        <w:rPr>
          <w:rFonts w:cs="Times New Roman"/>
          <w:sz w:val="24"/>
          <w:szCs w:val="24"/>
        </w:rPr>
        <w:t xml:space="preserve">(2), 831–859. </w:t>
      </w:r>
      <w:hyperlink r:id="rId10" w:history="1">
        <w:r w:rsidRPr="00E07760">
          <w:rPr>
            <w:rFonts w:cs="Times New Roman"/>
            <w:color w:val="0000FF"/>
            <w:sz w:val="24"/>
            <w:szCs w:val="24"/>
            <w:u w:val="single"/>
          </w:rPr>
          <w:t>https://doi.org/10.1111/jofi.12605</w:t>
        </w:r>
      </w:hyperlink>
    </w:p>
    <w:p w14:paraId="29F244B6" w14:textId="0EF5C8A8" w:rsidR="00E07760" w:rsidRPr="00E07760" w:rsidRDefault="00E07760" w:rsidP="00E07760">
      <w:pPr>
        <w:spacing w:after="0" w:line="240" w:lineRule="auto"/>
        <w:ind w:left="540" w:hanging="540"/>
        <w:jc w:val="both"/>
        <w:rPr>
          <w:rFonts w:cs="Times New Roman"/>
          <w:sz w:val="24"/>
          <w:szCs w:val="24"/>
        </w:rPr>
      </w:pPr>
      <w:r w:rsidRPr="00E07760">
        <w:rPr>
          <w:rFonts w:cs="Times New Roman"/>
          <w:sz w:val="24"/>
          <w:szCs w:val="24"/>
        </w:rPr>
        <w:t xml:space="preserve">Brant, R. (1990). Assessing proportionality in the proportional odds model for ordinal logistic regression. </w:t>
      </w:r>
      <w:r w:rsidRPr="00E07760">
        <w:rPr>
          <w:rFonts w:cs="Times New Roman"/>
          <w:i/>
          <w:iCs/>
          <w:sz w:val="24"/>
          <w:szCs w:val="24"/>
        </w:rPr>
        <w:t>Biometrics, 46</w:t>
      </w:r>
      <w:r w:rsidRPr="00E07760">
        <w:rPr>
          <w:rFonts w:cs="Times New Roman"/>
          <w:sz w:val="24"/>
          <w:szCs w:val="24"/>
        </w:rPr>
        <w:t xml:space="preserve">(4), 1171–1178. </w:t>
      </w:r>
      <w:hyperlink r:id="rId11" w:history="1">
        <w:r w:rsidRPr="00E07760">
          <w:rPr>
            <w:rFonts w:cs="Times New Roman"/>
            <w:color w:val="0000FF"/>
            <w:sz w:val="24"/>
            <w:szCs w:val="24"/>
            <w:u w:val="single"/>
          </w:rPr>
          <w:t>https://doi.org/10.2307/2532457</w:t>
        </w:r>
      </w:hyperlink>
    </w:p>
    <w:p w14:paraId="4E42CF16" w14:textId="6DCC69A6" w:rsidR="00E07760" w:rsidRPr="00E07760" w:rsidRDefault="00E07760" w:rsidP="00E07760">
      <w:pPr>
        <w:spacing w:after="0" w:line="240" w:lineRule="auto"/>
        <w:ind w:left="540" w:hanging="540"/>
        <w:jc w:val="both"/>
        <w:rPr>
          <w:rFonts w:cs="Times New Roman"/>
          <w:sz w:val="24"/>
          <w:szCs w:val="24"/>
        </w:rPr>
      </w:pPr>
      <w:r w:rsidRPr="00E07760">
        <w:rPr>
          <w:rFonts w:cs="Times New Roman"/>
          <w:sz w:val="24"/>
          <w:szCs w:val="24"/>
        </w:rPr>
        <w:t xml:space="preserve">Calcagno, R., &amp; </w:t>
      </w:r>
      <w:proofErr w:type="spellStart"/>
      <w:r w:rsidRPr="00E07760">
        <w:rPr>
          <w:rFonts w:cs="Times New Roman"/>
          <w:sz w:val="24"/>
          <w:szCs w:val="24"/>
        </w:rPr>
        <w:t>Monticone</w:t>
      </w:r>
      <w:proofErr w:type="spellEnd"/>
      <w:r w:rsidRPr="00E07760">
        <w:rPr>
          <w:rFonts w:cs="Times New Roman"/>
          <w:sz w:val="24"/>
          <w:szCs w:val="24"/>
        </w:rPr>
        <w:t xml:space="preserve">, C. (2015). Financial literacy and the demand for financial advice. </w:t>
      </w:r>
      <w:r w:rsidRPr="00E07760">
        <w:rPr>
          <w:rFonts w:cs="Times New Roman"/>
          <w:i/>
          <w:iCs/>
          <w:sz w:val="24"/>
          <w:szCs w:val="24"/>
        </w:rPr>
        <w:t>Journal of Banking &amp; Finance, 50</w:t>
      </w:r>
      <w:r w:rsidRPr="00E07760">
        <w:rPr>
          <w:rFonts w:cs="Times New Roman"/>
          <w:sz w:val="24"/>
          <w:szCs w:val="24"/>
        </w:rPr>
        <w:t xml:space="preserve">, 363–380. </w:t>
      </w:r>
      <w:hyperlink r:id="rId12" w:history="1">
        <w:r w:rsidRPr="00E07760">
          <w:rPr>
            <w:rFonts w:cs="Times New Roman"/>
            <w:color w:val="0000FF"/>
            <w:sz w:val="24"/>
            <w:szCs w:val="24"/>
            <w:u w:val="single"/>
          </w:rPr>
          <w:t>https://doi.org/10.1016/j.jbankfin.2014.03.013</w:t>
        </w:r>
      </w:hyperlink>
    </w:p>
    <w:p w14:paraId="740F5814" w14:textId="56CD7CAB" w:rsidR="00E07760" w:rsidRPr="00E07760" w:rsidRDefault="00E07760" w:rsidP="00E07760">
      <w:pPr>
        <w:spacing w:after="0" w:line="240" w:lineRule="auto"/>
        <w:ind w:left="540" w:hanging="540"/>
        <w:jc w:val="both"/>
        <w:rPr>
          <w:rFonts w:cs="Times New Roman"/>
          <w:sz w:val="24"/>
          <w:szCs w:val="24"/>
        </w:rPr>
      </w:pPr>
      <w:r w:rsidRPr="00E07760">
        <w:rPr>
          <w:rFonts w:cs="Times New Roman"/>
          <w:sz w:val="24"/>
          <w:szCs w:val="24"/>
        </w:rPr>
        <w:t xml:space="preserve">Campbell, J. Y. (2006). Household finance. </w:t>
      </w:r>
      <w:r w:rsidRPr="00E07760">
        <w:rPr>
          <w:rFonts w:cs="Times New Roman"/>
          <w:i/>
          <w:iCs/>
          <w:sz w:val="24"/>
          <w:szCs w:val="24"/>
        </w:rPr>
        <w:t>The Journal of Finance, 61</w:t>
      </w:r>
      <w:r w:rsidRPr="00E07760">
        <w:rPr>
          <w:rFonts w:cs="Times New Roman"/>
          <w:sz w:val="24"/>
          <w:szCs w:val="24"/>
        </w:rPr>
        <w:t xml:space="preserve">(4), 1553–1604. </w:t>
      </w:r>
      <w:hyperlink r:id="rId13" w:history="1">
        <w:r w:rsidRPr="00E07760">
          <w:rPr>
            <w:rFonts w:cs="Times New Roman"/>
            <w:color w:val="0000FF"/>
            <w:sz w:val="24"/>
            <w:szCs w:val="24"/>
            <w:u w:val="single"/>
          </w:rPr>
          <w:t>https://doi.org/10.1111/j.1540-6261.2006.00883.x</w:t>
        </w:r>
      </w:hyperlink>
    </w:p>
    <w:p w14:paraId="0BB2F659" w14:textId="684BDEE8" w:rsidR="00E07760" w:rsidRPr="00E07760" w:rsidRDefault="00E07760" w:rsidP="00E07760">
      <w:pPr>
        <w:spacing w:after="0" w:line="240" w:lineRule="auto"/>
        <w:ind w:left="540" w:hanging="540"/>
        <w:jc w:val="both"/>
        <w:rPr>
          <w:rFonts w:cs="Times New Roman"/>
          <w:sz w:val="24"/>
          <w:szCs w:val="24"/>
        </w:rPr>
      </w:pPr>
      <w:r w:rsidRPr="00E07760">
        <w:rPr>
          <w:rFonts w:cs="Times New Roman"/>
          <w:sz w:val="24"/>
          <w:szCs w:val="24"/>
        </w:rPr>
        <w:t xml:space="preserve">Choung, Y., Chatterjee, S., &amp; Pak, T.-Y. (2023). Digital financial literacy and financial well-being. </w:t>
      </w:r>
      <w:r w:rsidRPr="00E07760">
        <w:rPr>
          <w:rFonts w:cs="Times New Roman"/>
          <w:i/>
          <w:iCs/>
          <w:sz w:val="24"/>
          <w:szCs w:val="24"/>
        </w:rPr>
        <w:t>Finance Research Letters, 58</w:t>
      </w:r>
      <w:r w:rsidRPr="00E07760">
        <w:rPr>
          <w:rFonts w:cs="Times New Roman"/>
          <w:sz w:val="24"/>
          <w:szCs w:val="24"/>
        </w:rPr>
        <w:t xml:space="preserve">, Article 104438. </w:t>
      </w:r>
      <w:hyperlink r:id="rId14" w:history="1">
        <w:r w:rsidRPr="00E07760">
          <w:rPr>
            <w:rFonts w:cs="Times New Roman"/>
            <w:color w:val="0000FF"/>
            <w:sz w:val="24"/>
            <w:szCs w:val="24"/>
            <w:u w:val="single"/>
          </w:rPr>
          <w:t>https://doi.org/10.1016/j.frl.2023.104438</w:t>
        </w:r>
      </w:hyperlink>
    </w:p>
    <w:p w14:paraId="6BA16A34" w14:textId="28716A37" w:rsidR="00E07760" w:rsidRPr="00E07760" w:rsidRDefault="00E07760" w:rsidP="00E07760">
      <w:pPr>
        <w:spacing w:after="0" w:line="240" w:lineRule="auto"/>
        <w:ind w:left="540" w:hanging="540"/>
        <w:jc w:val="both"/>
        <w:rPr>
          <w:rFonts w:cs="Times New Roman"/>
          <w:sz w:val="24"/>
          <w:szCs w:val="24"/>
        </w:rPr>
      </w:pPr>
      <w:r w:rsidRPr="00E07760">
        <w:rPr>
          <w:rFonts w:cs="Times New Roman"/>
          <w:sz w:val="24"/>
          <w:szCs w:val="24"/>
        </w:rPr>
        <w:t xml:space="preserve">Dash, M., &amp; Rita, S. (2023). Impact of portfolio allocation on the performance of Indian mutual funds. </w:t>
      </w:r>
      <w:r w:rsidRPr="00E07760">
        <w:rPr>
          <w:rFonts w:cs="Times New Roman"/>
          <w:i/>
          <w:iCs/>
          <w:sz w:val="24"/>
          <w:szCs w:val="24"/>
        </w:rPr>
        <w:t>Journal of Economics and Trade, 8</w:t>
      </w:r>
      <w:r w:rsidRPr="00E07760">
        <w:rPr>
          <w:rFonts w:cs="Times New Roman"/>
          <w:sz w:val="24"/>
          <w:szCs w:val="24"/>
        </w:rPr>
        <w:t xml:space="preserve">(1), 9–17. </w:t>
      </w:r>
      <w:hyperlink r:id="rId15" w:history="1">
        <w:r w:rsidRPr="00E07760">
          <w:rPr>
            <w:rFonts w:cs="Times New Roman"/>
            <w:color w:val="0000FF"/>
            <w:sz w:val="24"/>
            <w:szCs w:val="24"/>
            <w:u w:val="single"/>
          </w:rPr>
          <w:t>https://doi.org/10.56557/jet/2023/v8i18139</w:t>
        </w:r>
      </w:hyperlink>
    </w:p>
    <w:p w14:paraId="2A743DBC" w14:textId="3A2ADB20" w:rsidR="00E07760" w:rsidRPr="00E07760" w:rsidRDefault="00E07760" w:rsidP="00E07760">
      <w:pPr>
        <w:spacing w:after="0" w:line="240" w:lineRule="auto"/>
        <w:ind w:left="540" w:hanging="540"/>
        <w:jc w:val="both"/>
        <w:rPr>
          <w:rFonts w:cs="Times New Roman"/>
          <w:sz w:val="24"/>
          <w:szCs w:val="24"/>
        </w:rPr>
      </w:pPr>
      <w:r w:rsidRPr="00E07760">
        <w:rPr>
          <w:rFonts w:cs="Times New Roman"/>
          <w:sz w:val="24"/>
          <w:szCs w:val="24"/>
        </w:rPr>
        <w:t xml:space="preserve">Gomber, P., Kauffman, R. J., Parker, C., &amp; Weber, B. W. (2018). On the FinTech revolution: Interpreting the forces of innovation, disruption, and transformation in financial services. </w:t>
      </w:r>
      <w:r w:rsidRPr="00E07760">
        <w:rPr>
          <w:rFonts w:cs="Times New Roman"/>
          <w:i/>
          <w:iCs/>
          <w:sz w:val="24"/>
          <w:szCs w:val="24"/>
        </w:rPr>
        <w:t>Journal of Management Information Systems, 35</w:t>
      </w:r>
      <w:r w:rsidRPr="00E07760">
        <w:rPr>
          <w:rFonts w:cs="Times New Roman"/>
          <w:sz w:val="24"/>
          <w:szCs w:val="24"/>
        </w:rPr>
        <w:t xml:space="preserve">(1), 220–265. </w:t>
      </w:r>
      <w:hyperlink r:id="rId16" w:history="1">
        <w:r w:rsidRPr="00E07760">
          <w:rPr>
            <w:rFonts w:cs="Times New Roman"/>
            <w:color w:val="0000FF"/>
            <w:sz w:val="24"/>
            <w:szCs w:val="24"/>
            <w:u w:val="single"/>
          </w:rPr>
          <w:t>https://doi.org/10.1080/07421222.2018.1440766</w:t>
        </w:r>
      </w:hyperlink>
    </w:p>
    <w:p w14:paraId="48711E0D" w14:textId="4D6B1BF1" w:rsidR="00E07760" w:rsidRPr="00E07760" w:rsidRDefault="00E07760" w:rsidP="00E07760">
      <w:pPr>
        <w:spacing w:after="0" w:line="240" w:lineRule="auto"/>
        <w:ind w:left="540" w:hanging="540"/>
        <w:jc w:val="both"/>
        <w:rPr>
          <w:rFonts w:cs="Times New Roman"/>
          <w:sz w:val="24"/>
          <w:szCs w:val="24"/>
        </w:rPr>
      </w:pPr>
      <w:r w:rsidRPr="00E07760">
        <w:rPr>
          <w:rFonts w:cs="Times New Roman"/>
          <w:sz w:val="24"/>
          <w:szCs w:val="24"/>
          <w:lang w:val="nl-BE"/>
        </w:rPr>
        <w:t xml:space="preserve">Gomber, P., Koch, J.-A., &amp; Siering, M. (2017). </w:t>
      </w:r>
      <w:r w:rsidRPr="00E07760">
        <w:rPr>
          <w:rFonts w:cs="Times New Roman"/>
          <w:sz w:val="24"/>
          <w:szCs w:val="24"/>
        </w:rPr>
        <w:t xml:space="preserve">Digital finance and FinTech: Current research and future research directions. </w:t>
      </w:r>
      <w:r w:rsidRPr="00E07760">
        <w:rPr>
          <w:rFonts w:cs="Times New Roman"/>
          <w:i/>
          <w:iCs/>
          <w:sz w:val="24"/>
          <w:szCs w:val="24"/>
        </w:rPr>
        <w:t>Journal of Business Economics, 87</w:t>
      </w:r>
      <w:r w:rsidRPr="00E07760">
        <w:rPr>
          <w:rFonts w:cs="Times New Roman"/>
          <w:sz w:val="24"/>
          <w:szCs w:val="24"/>
        </w:rPr>
        <w:t xml:space="preserve">(5), 537–580. </w:t>
      </w:r>
      <w:hyperlink r:id="rId17" w:history="1">
        <w:r w:rsidRPr="00E07760">
          <w:rPr>
            <w:rFonts w:cs="Times New Roman"/>
            <w:color w:val="0000FF"/>
            <w:sz w:val="24"/>
            <w:szCs w:val="24"/>
            <w:u w:val="single"/>
          </w:rPr>
          <w:t>https://doi.org/10.1007/s11573-017-0852-x</w:t>
        </w:r>
      </w:hyperlink>
    </w:p>
    <w:p w14:paraId="369AC0E0" w14:textId="4059D656" w:rsidR="00E07760" w:rsidRPr="00E07760" w:rsidRDefault="00E07760" w:rsidP="00E07760">
      <w:pPr>
        <w:spacing w:after="0" w:line="240" w:lineRule="auto"/>
        <w:ind w:left="540" w:hanging="540"/>
        <w:jc w:val="both"/>
        <w:rPr>
          <w:rFonts w:cs="Times New Roman"/>
          <w:sz w:val="24"/>
          <w:szCs w:val="24"/>
        </w:rPr>
      </w:pPr>
      <w:r w:rsidRPr="00E07760">
        <w:rPr>
          <w:rFonts w:cs="Times New Roman"/>
          <w:sz w:val="24"/>
          <w:szCs w:val="24"/>
        </w:rPr>
        <w:t xml:space="preserve">Guiso, L., &amp; </w:t>
      </w:r>
      <w:proofErr w:type="spellStart"/>
      <w:r w:rsidRPr="00E07760">
        <w:rPr>
          <w:rFonts w:cs="Times New Roman"/>
          <w:sz w:val="24"/>
          <w:szCs w:val="24"/>
        </w:rPr>
        <w:t>Jappelli</w:t>
      </w:r>
      <w:proofErr w:type="spellEnd"/>
      <w:r w:rsidRPr="00E07760">
        <w:rPr>
          <w:rFonts w:cs="Times New Roman"/>
          <w:sz w:val="24"/>
          <w:szCs w:val="24"/>
        </w:rPr>
        <w:t xml:space="preserve">, T. (2005). Awareness and stock market participation. </w:t>
      </w:r>
      <w:r w:rsidRPr="00E07760">
        <w:rPr>
          <w:rFonts w:cs="Times New Roman"/>
          <w:i/>
          <w:iCs/>
          <w:sz w:val="24"/>
          <w:szCs w:val="24"/>
        </w:rPr>
        <w:t>Review of Finance, 9</w:t>
      </w:r>
      <w:r w:rsidRPr="00E07760">
        <w:rPr>
          <w:rFonts w:cs="Times New Roman"/>
          <w:sz w:val="24"/>
          <w:szCs w:val="24"/>
        </w:rPr>
        <w:t xml:space="preserve">(4), 537–567. </w:t>
      </w:r>
      <w:hyperlink r:id="rId18" w:history="1">
        <w:r w:rsidRPr="00E07760">
          <w:rPr>
            <w:rFonts w:cs="Times New Roman"/>
            <w:color w:val="0000FF"/>
            <w:sz w:val="24"/>
            <w:szCs w:val="24"/>
            <w:u w:val="single"/>
          </w:rPr>
          <w:t>https://doi.org/10.1007/s10679-005-5000-8</w:t>
        </w:r>
      </w:hyperlink>
    </w:p>
    <w:p w14:paraId="69E61748" w14:textId="2FA796C9" w:rsidR="00E07760" w:rsidRPr="00E07760" w:rsidRDefault="00E07760" w:rsidP="00E07760">
      <w:pPr>
        <w:spacing w:after="0" w:line="240" w:lineRule="auto"/>
        <w:ind w:left="540" w:hanging="540"/>
        <w:jc w:val="both"/>
        <w:rPr>
          <w:rFonts w:cs="Times New Roman"/>
          <w:sz w:val="24"/>
          <w:szCs w:val="24"/>
        </w:rPr>
      </w:pPr>
      <w:r w:rsidRPr="00E07760">
        <w:rPr>
          <w:rFonts w:cs="Times New Roman"/>
          <w:sz w:val="24"/>
          <w:szCs w:val="24"/>
        </w:rPr>
        <w:t xml:space="preserve">Hosmer, D. W., </w:t>
      </w:r>
      <w:proofErr w:type="spellStart"/>
      <w:r w:rsidRPr="00E07760">
        <w:rPr>
          <w:rFonts w:cs="Times New Roman"/>
          <w:sz w:val="24"/>
          <w:szCs w:val="24"/>
        </w:rPr>
        <w:t>Lemeshow</w:t>
      </w:r>
      <w:proofErr w:type="spellEnd"/>
      <w:r w:rsidRPr="00E07760">
        <w:rPr>
          <w:rFonts w:cs="Times New Roman"/>
          <w:sz w:val="24"/>
          <w:szCs w:val="24"/>
        </w:rPr>
        <w:t xml:space="preserve">, S., &amp; Sturdivant, R. X. (2013). </w:t>
      </w:r>
      <w:r w:rsidRPr="00E07760">
        <w:rPr>
          <w:rFonts w:cs="Times New Roman"/>
          <w:i/>
          <w:iCs/>
          <w:sz w:val="24"/>
          <w:szCs w:val="24"/>
        </w:rPr>
        <w:t>Applied logistic regression</w:t>
      </w:r>
      <w:r w:rsidRPr="00E07760">
        <w:rPr>
          <w:rFonts w:cs="Times New Roman"/>
          <w:sz w:val="24"/>
          <w:szCs w:val="24"/>
        </w:rPr>
        <w:t xml:space="preserve"> (3rd ed.). John Wiley &amp; Sons. </w:t>
      </w:r>
      <w:hyperlink r:id="rId19" w:history="1">
        <w:r w:rsidRPr="00E07760">
          <w:rPr>
            <w:rFonts w:cs="Times New Roman"/>
            <w:color w:val="0000FF"/>
            <w:sz w:val="24"/>
            <w:szCs w:val="24"/>
            <w:u w:val="single"/>
          </w:rPr>
          <w:t>https://doi.org/10.1002/9781118548387</w:t>
        </w:r>
      </w:hyperlink>
    </w:p>
    <w:p w14:paraId="3B18110E" w14:textId="042FDDFF" w:rsidR="00E07760" w:rsidRPr="00E07760" w:rsidRDefault="00E07760" w:rsidP="00E07760">
      <w:pPr>
        <w:spacing w:after="0" w:line="240" w:lineRule="auto"/>
        <w:ind w:left="540" w:hanging="540"/>
        <w:jc w:val="both"/>
        <w:rPr>
          <w:rFonts w:cs="Times New Roman"/>
          <w:sz w:val="24"/>
          <w:szCs w:val="24"/>
        </w:rPr>
      </w:pPr>
      <w:proofErr w:type="spellStart"/>
      <w:r w:rsidRPr="00E07760">
        <w:rPr>
          <w:rFonts w:cs="Times New Roman"/>
          <w:sz w:val="24"/>
          <w:szCs w:val="24"/>
        </w:rPr>
        <w:t>Jappelli</w:t>
      </w:r>
      <w:proofErr w:type="spellEnd"/>
      <w:r w:rsidRPr="00E07760">
        <w:rPr>
          <w:rFonts w:cs="Times New Roman"/>
          <w:sz w:val="24"/>
          <w:szCs w:val="24"/>
        </w:rPr>
        <w:t xml:space="preserve">, T., &amp; Padula, M. (2013). Investment in financial literacy and saving decisions. </w:t>
      </w:r>
      <w:r w:rsidRPr="00E07760">
        <w:rPr>
          <w:rFonts w:cs="Times New Roman"/>
          <w:i/>
          <w:iCs/>
          <w:sz w:val="24"/>
          <w:szCs w:val="24"/>
        </w:rPr>
        <w:t>Journal of Banking &amp; Finance, 37</w:t>
      </w:r>
      <w:r w:rsidRPr="00E07760">
        <w:rPr>
          <w:rFonts w:cs="Times New Roman"/>
          <w:sz w:val="24"/>
          <w:szCs w:val="24"/>
        </w:rPr>
        <w:t xml:space="preserve">(8), 2779–2792. </w:t>
      </w:r>
      <w:hyperlink r:id="rId20" w:history="1">
        <w:r w:rsidRPr="00E07760">
          <w:rPr>
            <w:rFonts w:cs="Times New Roman"/>
            <w:color w:val="0000FF"/>
            <w:sz w:val="24"/>
            <w:szCs w:val="24"/>
            <w:u w:val="single"/>
          </w:rPr>
          <w:t>https://doi.org/10.1016/j.jbankfin.2013.03.019</w:t>
        </w:r>
      </w:hyperlink>
    </w:p>
    <w:p w14:paraId="25530F25" w14:textId="12AA8B19" w:rsidR="00E07760" w:rsidRPr="00E07760" w:rsidRDefault="00E07760" w:rsidP="00E07760">
      <w:pPr>
        <w:spacing w:after="0" w:line="240" w:lineRule="auto"/>
        <w:ind w:left="540" w:hanging="540"/>
        <w:jc w:val="both"/>
        <w:rPr>
          <w:rFonts w:cs="Times New Roman"/>
          <w:sz w:val="24"/>
          <w:szCs w:val="24"/>
        </w:rPr>
      </w:pPr>
      <w:r w:rsidRPr="00E07760">
        <w:rPr>
          <w:rFonts w:cs="Times New Roman"/>
          <w:sz w:val="24"/>
          <w:szCs w:val="24"/>
        </w:rPr>
        <w:t xml:space="preserve">Johri, A., Wasiq, M., Kaur, H., &amp; Asif, M. (2023). Assessment of users’ adoption </w:t>
      </w:r>
      <w:proofErr w:type="spellStart"/>
      <w:r w:rsidRPr="00E07760">
        <w:rPr>
          <w:rFonts w:cs="Times New Roman"/>
          <w:sz w:val="24"/>
          <w:szCs w:val="24"/>
        </w:rPr>
        <w:t>behaviour</w:t>
      </w:r>
      <w:proofErr w:type="spellEnd"/>
      <w:r w:rsidRPr="00E07760">
        <w:rPr>
          <w:rFonts w:cs="Times New Roman"/>
          <w:sz w:val="24"/>
          <w:szCs w:val="24"/>
        </w:rPr>
        <w:t xml:space="preserve"> for stock market investment through online applications. </w:t>
      </w:r>
      <w:proofErr w:type="spellStart"/>
      <w:r w:rsidRPr="00E07760">
        <w:rPr>
          <w:rFonts w:cs="Times New Roman"/>
          <w:i/>
          <w:iCs/>
          <w:sz w:val="24"/>
          <w:szCs w:val="24"/>
        </w:rPr>
        <w:t>Heliyon</w:t>
      </w:r>
      <w:proofErr w:type="spellEnd"/>
      <w:r w:rsidRPr="00E07760">
        <w:rPr>
          <w:rFonts w:cs="Times New Roman"/>
          <w:i/>
          <w:iCs/>
          <w:sz w:val="24"/>
          <w:szCs w:val="24"/>
        </w:rPr>
        <w:t>, 9</w:t>
      </w:r>
      <w:r w:rsidRPr="00E07760">
        <w:rPr>
          <w:rFonts w:cs="Times New Roman"/>
          <w:sz w:val="24"/>
          <w:szCs w:val="24"/>
        </w:rPr>
        <w:t xml:space="preserve">(9), Article e19524. </w:t>
      </w:r>
      <w:hyperlink r:id="rId21" w:history="1">
        <w:r w:rsidRPr="00E07760">
          <w:rPr>
            <w:rFonts w:cs="Times New Roman"/>
            <w:color w:val="0000FF"/>
            <w:sz w:val="24"/>
            <w:szCs w:val="24"/>
            <w:u w:val="single"/>
          </w:rPr>
          <w:t>https://doi.org/10.1016/j.heliyon.2023.e19524</w:t>
        </w:r>
      </w:hyperlink>
    </w:p>
    <w:p w14:paraId="7E78B5BC" w14:textId="23BDC9F6" w:rsidR="00E07760" w:rsidRPr="00E07760" w:rsidRDefault="00E07760" w:rsidP="00E07760">
      <w:pPr>
        <w:spacing w:after="0" w:line="240" w:lineRule="auto"/>
        <w:ind w:left="540" w:hanging="540"/>
        <w:jc w:val="both"/>
        <w:rPr>
          <w:rFonts w:cs="Times New Roman"/>
          <w:sz w:val="24"/>
          <w:szCs w:val="24"/>
        </w:rPr>
      </w:pPr>
      <w:r w:rsidRPr="00E07760">
        <w:rPr>
          <w:rFonts w:cs="Times New Roman"/>
          <w:sz w:val="24"/>
          <w:szCs w:val="24"/>
        </w:rPr>
        <w:t xml:space="preserve">Khorana, A., Servaes, H., &amp; Tufano, P. (2005). Explaining the size of the mutual fund industry around the world. </w:t>
      </w:r>
      <w:r w:rsidRPr="00E07760">
        <w:rPr>
          <w:rFonts w:cs="Times New Roman"/>
          <w:i/>
          <w:iCs/>
          <w:sz w:val="24"/>
          <w:szCs w:val="24"/>
        </w:rPr>
        <w:t>Journal of Financial Economics, 78</w:t>
      </w:r>
      <w:r w:rsidRPr="00E07760">
        <w:rPr>
          <w:rFonts w:cs="Times New Roman"/>
          <w:sz w:val="24"/>
          <w:szCs w:val="24"/>
        </w:rPr>
        <w:t xml:space="preserve">(1), 145–185. </w:t>
      </w:r>
      <w:hyperlink r:id="rId22" w:history="1">
        <w:r w:rsidRPr="00E07760">
          <w:rPr>
            <w:rFonts w:cs="Times New Roman"/>
            <w:color w:val="0000FF"/>
            <w:sz w:val="24"/>
            <w:szCs w:val="24"/>
            <w:u w:val="single"/>
          </w:rPr>
          <w:t>https://doi.org/10.1016/j.jfineco.2004.08.006</w:t>
        </w:r>
      </w:hyperlink>
    </w:p>
    <w:p w14:paraId="77E0EF72" w14:textId="7022CCFF" w:rsidR="00E07760" w:rsidRPr="00E07760" w:rsidRDefault="00E07760" w:rsidP="00E07760">
      <w:pPr>
        <w:spacing w:after="0" w:line="240" w:lineRule="auto"/>
        <w:ind w:left="540" w:hanging="540"/>
        <w:jc w:val="both"/>
        <w:rPr>
          <w:rFonts w:cs="Times New Roman"/>
          <w:sz w:val="24"/>
          <w:szCs w:val="24"/>
        </w:rPr>
      </w:pPr>
      <w:r w:rsidRPr="00E07760">
        <w:rPr>
          <w:rFonts w:cs="Times New Roman"/>
          <w:sz w:val="24"/>
          <w:szCs w:val="24"/>
        </w:rPr>
        <w:t xml:space="preserve">La Porta, R., Lopez-de-Silanes, F., &amp; Shleifer, A. (2006). What works in securities laws? </w:t>
      </w:r>
      <w:r w:rsidRPr="00E07760">
        <w:rPr>
          <w:rFonts w:cs="Times New Roman"/>
          <w:i/>
          <w:iCs/>
          <w:sz w:val="24"/>
          <w:szCs w:val="24"/>
        </w:rPr>
        <w:t>The Journal of Finance, 61</w:t>
      </w:r>
      <w:r w:rsidRPr="00E07760">
        <w:rPr>
          <w:rFonts w:cs="Times New Roman"/>
          <w:sz w:val="24"/>
          <w:szCs w:val="24"/>
        </w:rPr>
        <w:t xml:space="preserve">(1), 1–32. </w:t>
      </w:r>
      <w:hyperlink r:id="rId23" w:history="1">
        <w:r w:rsidRPr="00E07760">
          <w:rPr>
            <w:rFonts w:cs="Times New Roman"/>
            <w:color w:val="0000FF"/>
            <w:sz w:val="24"/>
            <w:szCs w:val="24"/>
            <w:u w:val="single"/>
          </w:rPr>
          <w:t>https://doi.org/10.1111/j.1540-6261.2006.00828.x</w:t>
        </w:r>
      </w:hyperlink>
    </w:p>
    <w:p w14:paraId="0B4ED5E3" w14:textId="275C30D4" w:rsidR="00E07760" w:rsidRPr="00E07760" w:rsidRDefault="00E07760" w:rsidP="00E07760">
      <w:pPr>
        <w:spacing w:after="0" w:line="240" w:lineRule="auto"/>
        <w:ind w:left="540" w:hanging="540"/>
        <w:jc w:val="both"/>
        <w:rPr>
          <w:rFonts w:cs="Times New Roman"/>
          <w:sz w:val="24"/>
          <w:szCs w:val="24"/>
        </w:rPr>
      </w:pPr>
      <w:r w:rsidRPr="00E07760">
        <w:rPr>
          <w:rFonts w:cs="Times New Roman"/>
          <w:sz w:val="24"/>
          <w:szCs w:val="24"/>
        </w:rPr>
        <w:t xml:space="preserve">Lu, Z., Wu, J., Li, H., &amp; Galloway, B. (2024). Digital finance and stock market participation: The case of internet wealth management products in China. </w:t>
      </w:r>
      <w:r w:rsidRPr="00E07760">
        <w:rPr>
          <w:rFonts w:cs="Times New Roman"/>
          <w:i/>
          <w:iCs/>
          <w:sz w:val="24"/>
          <w:szCs w:val="24"/>
        </w:rPr>
        <w:t>Economic Systems, 48</w:t>
      </w:r>
      <w:r w:rsidRPr="00E07760">
        <w:rPr>
          <w:rFonts w:cs="Times New Roman"/>
          <w:sz w:val="24"/>
          <w:szCs w:val="24"/>
        </w:rPr>
        <w:t xml:space="preserve">(1), Article 101148. </w:t>
      </w:r>
      <w:hyperlink r:id="rId24" w:history="1">
        <w:r w:rsidRPr="00E07760">
          <w:rPr>
            <w:rFonts w:cs="Times New Roman"/>
            <w:color w:val="0000FF"/>
            <w:sz w:val="24"/>
            <w:szCs w:val="24"/>
            <w:u w:val="single"/>
          </w:rPr>
          <w:t>https://doi.org/10.1016/j.ecosys.2023.101148</w:t>
        </w:r>
      </w:hyperlink>
    </w:p>
    <w:p w14:paraId="6A702779" w14:textId="662C5FD5" w:rsidR="00E07760" w:rsidRPr="00E07760" w:rsidRDefault="00E07760" w:rsidP="00E07760">
      <w:pPr>
        <w:spacing w:after="0" w:line="240" w:lineRule="auto"/>
        <w:ind w:left="540" w:hanging="540"/>
        <w:jc w:val="both"/>
        <w:rPr>
          <w:rFonts w:cs="Times New Roman"/>
          <w:sz w:val="24"/>
          <w:szCs w:val="24"/>
        </w:rPr>
      </w:pPr>
      <w:r w:rsidRPr="00E07760">
        <w:rPr>
          <w:rFonts w:cs="Times New Roman"/>
          <w:sz w:val="24"/>
          <w:szCs w:val="24"/>
        </w:rPr>
        <w:lastRenderedPageBreak/>
        <w:t xml:space="preserve">Lusardi, A., &amp; Mitchell, O. S. (2014). The economic importance of financial literacy: Theory and evidence. </w:t>
      </w:r>
      <w:r w:rsidRPr="00E07760">
        <w:rPr>
          <w:rFonts w:cs="Times New Roman"/>
          <w:i/>
          <w:iCs/>
          <w:sz w:val="24"/>
          <w:szCs w:val="24"/>
        </w:rPr>
        <w:t>Journal of Economic Literature, 52</w:t>
      </w:r>
      <w:r w:rsidRPr="00E07760">
        <w:rPr>
          <w:rFonts w:cs="Times New Roman"/>
          <w:sz w:val="24"/>
          <w:szCs w:val="24"/>
        </w:rPr>
        <w:t xml:space="preserve">(1), 5–44. </w:t>
      </w:r>
      <w:hyperlink r:id="rId25" w:history="1">
        <w:r w:rsidRPr="00E07760">
          <w:rPr>
            <w:rFonts w:cs="Times New Roman"/>
            <w:color w:val="0000FF"/>
            <w:sz w:val="24"/>
            <w:szCs w:val="24"/>
            <w:u w:val="single"/>
          </w:rPr>
          <w:t>https://doi.org/10.1257/jel.52.1.5</w:t>
        </w:r>
      </w:hyperlink>
    </w:p>
    <w:p w14:paraId="6BA74E22" w14:textId="2D2173D0" w:rsidR="00E07760" w:rsidRPr="00E07760" w:rsidRDefault="00E07760" w:rsidP="00E07760">
      <w:pPr>
        <w:spacing w:after="0" w:line="240" w:lineRule="auto"/>
        <w:ind w:left="540" w:hanging="540"/>
        <w:jc w:val="both"/>
        <w:rPr>
          <w:rFonts w:cs="Times New Roman"/>
          <w:sz w:val="24"/>
          <w:szCs w:val="24"/>
        </w:rPr>
      </w:pPr>
      <w:r w:rsidRPr="00E07760">
        <w:rPr>
          <w:rFonts w:cs="Times New Roman"/>
          <w:sz w:val="24"/>
          <w:szCs w:val="24"/>
          <w:lang w:val="nl-BE"/>
        </w:rPr>
        <w:t xml:space="preserve">Oehler, A., Horn, M., &amp; Wendt, S. (2024). </w:t>
      </w:r>
      <w:r w:rsidRPr="00E07760">
        <w:rPr>
          <w:rFonts w:cs="Times New Roman"/>
          <w:sz w:val="24"/>
          <w:szCs w:val="24"/>
        </w:rPr>
        <w:t xml:space="preserve">Investment in risky assets and participation in the financial market: Does financial literacy matter? </w:t>
      </w:r>
      <w:r w:rsidRPr="00E07760">
        <w:rPr>
          <w:rFonts w:cs="Times New Roman"/>
          <w:i/>
          <w:iCs/>
          <w:sz w:val="24"/>
          <w:szCs w:val="24"/>
        </w:rPr>
        <w:t>International Review of Economics, 71</w:t>
      </w:r>
      <w:r w:rsidRPr="00E07760">
        <w:rPr>
          <w:rFonts w:cs="Times New Roman"/>
          <w:sz w:val="24"/>
          <w:szCs w:val="24"/>
        </w:rPr>
        <w:t xml:space="preserve">(1), 19–45. </w:t>
      </w:r>
      <w:hyperlink r:id="rId26" w:history="1">
        <w:r w:rsidRPr="00E07760">
          <w:rPr>
            <w:rFonts w:cs="Times New Roman"/>
            <w:color w:val="0000FF"/>
            <w:sz w:val="24"/>
            <w:szCs w:val="24"/>
            <w:u w:val="single"/>
          </w:rPr>
          <w:t>https://doi.org/10.1007/s12232-023-00432-9</w:t>
        </w:r>
      </w:hyperlink>
    </w:p>
    <w:p w14:paraId="0C6D4DE3" w14:textId="57C30705" w:rsidR="00E07760" w:rsidRPr="00E07760" w:rsidRDefault="00E07760" w:rsidP="00E07760">
      <w:pPr>
        <w:spacing w:after="0" w:line="240" w:lineRule="auto"/>
        <w:ind w:left="540" w:hanging="540"/>
        <w:jc w:val="both"/>
        <w:rPr>
          <w:rFonts w:cs="Times New Roman"/>
          <w:sz w:val="24"/>
          <w:szCs w:val="24"/>
        </w:rPr>
      </w:pPr>
      <w:r w:rsidRPr="00E07760">
        <w:rPr>
          <w:rFonts w:cs="Times New Roman"/>
          <w:sz w:val="24"/>
          <w:szCs w:val="24"/>
        </w:rPr>
        <w:t xml:space="preserve">Olatunbosun, A., John, A. A., Solomon, T. M., Chuks, K. N., Christianah, O. G., Funmilayo, K. B., Barakat, A. J., &amp; Oyebamiji, H. O. (2026). Digital financial inclusion and economic resilience in Sub-Saharan Africa: A scoping review. </w:t>
      </w:r>
      <w:r w:rsidRPr="00E07760">
        <w:rPr>
          <w:rFonts w:cs="Times New Roman"/>
          <w:i/>
          <w:iCs/>
          <w:sz w:val="24"/>
          <w:szCs w:val="24"/>
        </w:rPr>
        <w:t>Journal of Economics and Trade, 11</w:t>
      </w:r>
      <w:r w:rsidRPr="00E07760">
        <w:rPr>
          <w:rFonts w:cs="Times New Roman"/>
          <w:sz w:val="24"/>
          <w:szCs w:val="24"/>
        </w:rPr>
        <w:t xml:space="preserve">(1), 25–41. </w:t>
      </w:r>
      <w:hyperlink r:id="rId27" w:history="1">
        <w:r w:rsidRPr="00E07760">
          <w:rPr>
            <w:rFonts w:cs="Times New Roman"/>
            <w:color w:val="0000FF"/>
            <w:sz w:val="24"/>
            <w:szCs w:val="24"/>
            <w:u w:val="single"/>
          </w:rPr>
          <w:t>https://doi.org/10.56557/jet/2026/v11i110099</w:t>
        </w:r>
      </w:hyperlink>
    </w:p>
    <w:p w14:paraId="5851C7B8" w14:textId="53345B51" w:rsidR="00E07760" w:rsidRPr="00E07760" w:rsidRDefault="00E07760" w:rsidP="00E07760">
      <w:pPr>
        <w:spacing w:after="0" w:line="240" w:lineRule="auto"/>
        <w:ind w:left="540" w:hanging="540"/>
        <w:jc w:val="both"/>
        <w:rPr>
          <w:rFonts w:cs="Times New Roman"/>
          <w:sz w:val="24"/>
          <w:szCs w:val="24"/>
        </w:rPr>
      </w:pPr>
      <w:proofErr w:type="spellStart"/>
      <w:r w:rsidRPr="00E07760">
        <w:rPr>
          <w:rFonts w:cs="Times New Roman"/>
          <w:sz w:val="24"/>
          <w:szCs w:val="24"/>
        </w:rPr>
        <w:t>Rahmayanti</w:t>
      </w:r>
      <w:proofErr w:type="spellEnd"/>
      <w:r w:rsidRPr="00E07760">
        <w:rPr>
          <w:rFonts w:cs="Times New Roman"/>
          <w:sz w:val="24"/>
          <w:szCs w:val="24"/>
        </w:rPr>
        <w:t xml:space="preserve">, P. L. D., </w:t>
      </w:r>
      <w:proofErr w:type="spellStart"/>
      <w:r w:rsidRPr="00E07760">
        <w:rPr>
          <w:rFonts w:cs="Times New Roman"/>
          <w:sz w:val="24"/>
          <w:szCs w:val="24"/>
        </w:rPr>
        <w:t>Sasrawan</w:t>
      </w:r>
      <w:proofErr w:type="spellEnd"/>
      <w:r w:rsidRPr="00E07760">
        <w:rPr>
          <w:rFonts w:cs="Times New Roman"/>
          <w:sz w:val="24"/>
          <w:szCs w:val="24"/>
        </w:rPr>
        <w:t xml:space="preserve">, I. P. H., &amp; Yasa, N. N. K. (2025). Decoding investment intentions: Uncovering how risk tolerance, financial literacy, and subjective norms drive students to begin stock investing. </w:t>
      </w:r>
      <w:r w:rsidRPr="00E07760">
        <w:rPr>
          <w:rFonts w:cs="Times New Roman"/>
          <w:i/>
          <w:iCs/>
          <w:sz w:val="24"/>
          <w:szCs w:val="24"/>
        </w:rPr>
        <w:t>Asian Journal of Economics, Business and Accounting, 25</w:t>
      </w:r>
      <w:r w:rsidRPr="00E07760">
        <w:rPr>
          <w:rFonts w:cs="Times New Roman"/>
          <w:sz w:val="24"/>
          <w:szCs w:val="24"/>
        </w:rPr>
        <w:t xml:space="preserve">(2), 157–166. </w:t>
      </w:r>
      <w:hyperlink r:id="rId28" w:history="1">
        <w:r w:rsidRPr="00E07760">
          <w:rPr>
            <w:rFonts w:cs="Times New Roman"/>
            <w:color w:val="0000FF"/>
            <w:sz w:val="24"/>
            <w:szCs w:val="24"/>
            <w:u w:val="single"/>
          </w:rPr>
          <w:t>https://doi.org/10.9734/ajeba/2025/v25i21671</w:t>
        </w:r>
      </w:hyperlink>
    </w:p>
    <w:p w14:paraId="5467B7E8" w14:textId="0636735A" w:rsidR="00E07760" w:rsidRPr="00E07760" w:rsidRDefault="00E07760" w:rsidP="00E07760">
      <w:pPr>
        <w:spacing w:after="0" w:line="240" w:lineRule="auto"/>
        <w:ind w:left="540" w:hanging="540"/>
        <w:jc w:val="both"/>
        <w:rPr>
          <w:rFonts w:cs="Times New Roman"/>
          <w:sz w:val="24"/>
          <w:szCs w:val="24"/>
        </w:rPr>
      </w:pPr>
      <w:r w:rsidRPr="00E07760">
        <w:rPr>
          <w:rFonts w:cs="Times New Roman"/>
          <w:sz w:val="24"/>
          <w:szCs w:val="24"/>
        </w:rPr>
        <w:t xml:space="preserve">Reilly, F. K., &amp; Brown, K. C. (2012). </w:t>
      </w:r>
      <w:r w:rsidRPr="00E07760">
        <w:rPr>
          <w:rFonts w:cs="Times New Roman"/>
          <w:i/>
          <w:iCs/>
          <w:sz w:val="24"/>
          <w:szCs w:val="24"/>
        </w:rPr>
        <w:t>Investment analysis and portfolio management</w:t>
      </w:r>
      <w:r w:rsidRPr="00E07760">
        <w:rPr>
          <w:rFonts w:cs="Times New Roman"/>
          <w:sz w:val="24"/>
          <w:szCs w:val="24"/>
        </w:rPr>
        <w:t xml:space="preserve"> (10th ed.). South-Western Cengage Learning. </w:t>
      </w:r>
      <w:hyperlink r:id="rId29" w:history="1">
        <w:r w:rsidRPr="00E07760">
          <w:rPr>
            <w:rFonts w:cs="Times New Roman"/>
            <w:color w:val="0000FF"/>
            <w:sz w:val="24"/>
            <w:szCs w:val="24"/>
            <w:u w:val="single"/>
          </w:rPr>
          <w:t>https://www.cengage.com/c/investment-analysis-and-portfolio-management-10e-reilly/brown/9780538482387/</w:t>
        </w:r>
      </w:hyperlink>
    </w:p>
    <w:p w14:paraId="2A0725DC" w14:textId="2EC1821A" w:rsidR="00E07760" w:rsidRPr="00E07760" w:rsidRDefault="00E07760" w:rsidP="00E07760">
      <w:pPr>
        <w:spacing w:after="0" w:line="240" w:lineRule="auto"/>
        <w:ind w:left="540" w:hanging="540"/>
        <w:jc w:val="both"/>
        <w:rPr>
          <w:rFonts w:cs="Times New Roman"/>
          <w:sz w:val="24"/>
          <w:szCs w:val="24"/>
        </w:rPr>
      </w:pPr>
      <w:proofErr w:type="spellStart"/>
      <w:r w:rsidRPr="00E07760">
        <w:rPr>
          <w:rFonts w:cs="Times New Roman"/>
          <w:sz w:val="24"/>
          <w:szCs w:val="24"/>
        </w:rPr>
        <w:t>Talawar</w:t>
      </w:r>
      <w:proofErr w:type="spellEnd"/>
      <w:r w:rsidRPr="00E07760">
        <w:rPr>
          <w:rFonts w:cs="Times New Roman"/>
          <w:sz w:val="24"/>
          <w:szCs w:val="24"/>
        </w:rPr>
        <w:t xml:space="preserve">, N. (2025). </w:t>
      </w:r>
      <w:proofErr w:type="spellStart"/>
      <w:r w:rsidRPr="00E07760">
        <w:rPr>
          <w:rFonts w:cs="Times New Roman"/>
          <w:sz w:val="24"/>
          <w:szCs w:val="24"/>
        </w:rPr>
        <w:t>Analysing</w:t>
      </w:r>
      <w:proofErr w:type="spellEnd"/>
      <w:r w:rsidRPr="00E07760">
        <w:rPr>
          <w:rFonts w:cs="Times New Roman"/>
          <w:sz w:val="24"/>
          <w:szCs w:val="24"/>
        </w:rPr>
        <w:t xml:space="preserve"> investor perceptions and preferences in mutual funds: A case study of Belagavi City, India. </w:t>
      </w:r>
      <w:r w:rsidRPr="00E07760">
        <w:rPr>
          <w:rFonts w:cs="Times New Roman"/>
          <w:i/>
          <w:iCs/>
          <w:sz w:val="24"/>
          <w:szCs w:val="24"/>
        </w:rPr>
        <w:t>Asian Journal of Economics, Business and Accounting, 25</w:t>
      </w:r>
      <w:r w:rsidRPr="00E07760">
        <w:rPr>
          <w:rFonts w:cs="Times New Roman"/>
          <w:sz w:val="24"/>
          <w:szCs w:val="24"/>
        </w:rPr>
        <w:t xml:space="preserve">(4), 603–612. </w:t>
      </w:r>
      <w:hyperlink r:id="rId30" w:history="1">
        <w:r w:rsidRPr="00E07760">
          <w:rPr>
            <w:rFonts w:cs="Times New Roman"/>
            <w:color w:val="0000FF"/>
            <w:sz w:val="24"/>
            <w:szCs w:val="24"/>
            <w:u w:val="single"/>
          </w:rPr>
          <w:t>https://doi.org/10.9734/ajeba/2025/v25i41774</w:t>
        </w:r>
      </w:hyperlink>
    </w:p>
    <w:p w14:paraId="6F4435F2" w14:textId="1A986488" w:rsidR="00E07760" w:rsidRPr="00E07760" w:rsidRDefault="00E07760" w:rsidP="00E07760">
      <w:pPr>
        <w:spacing w:after="0" w:line="240" w:lineRule="auto"/>
        <w:ind w:left="540" w:hanging="540"/>
        <w:jc w:val="both"/>
        <w:rPr>
          <w:rFonts w:cs="Times New Roman"/>
          <w:sz w:val="24"/>
          <w:szCs w:val="24"/>
        </w:rPr>
      </w:pPr>
      <w:r w:rsidRPr="00E07760">
        <w:rPr>
          <w:rFonts w:cs="Times New Roman"/>
          <w:sz w:val="24"/>
          <w:szCs w:val="24"/>
        </w:rPr>
        <w:t xml:space="preserve">Thanki, H., Tripathy, N., &amp; Shah, S. (2025). Investors’ behavioral intention in mutual fund investments in India: Applicability of theory of planned behavior. </w:t>
      </w:r>
      <w:r w:rsidRPr="00E07760">
        <w:rPr>
          <w:rFonts w:cs="Times New Roman"/>
          <w:i/>
          <w:iCs/>
          <w:sz w:val="24"/>
          <w:szCs w:val="24"/>
        </w:rPr>
        <w:t>Asia-Pacific Financial Markets, 32</w:t>
      </w:r>
      <w:r w:rsidRPr="00E07760">
        <w:rPr>
          <w:rFonts w:cs="Times New Roman"/>
          <w:sz w:val="24"/>
          <w:szCs w:val="24"/>
        </w:rPr>
        <w:t xml:space="preserve">(3), 975–996. </w:t>
      </w:r>
      <w:hyperlink r:id="rId31" w:history="1">
        <w:r w:rsidRPr="00E07760">
          <w:rPr>
            <w:rFonts w:cs="Times New Roman"/>
            <w:color w:val="0000FF"/>
            <w:sz w:val="24"/>
            <w:szCs w:val="24"/>
            <w:u w:val="single"/>
          </w:rPr>
          <w:t>https://doi.org/10.1007/s10690-024-09477-4</w:t>
        </w:r>
      </w:hyperlink>
    </w:p>
    <w:p w14:paraId="26D67AA1" w14:textId="119D9656" w:rsidR="00E07760" w:rsidRPr="00E07760" w:rsidRDefault="00E07760" w:rsidP="00E07760">
      <w:pPr>
        <w:spacing w:after="0" w:line="240" w:lineRule="auto"/>
        <w:ind w:left="540" w:hanging="540"/>
        <w:jc w:val="both"/>
        <w:rPr>
          <w:rFonts w:cs="Times New Roman"/>
          <w:sz w:val="24"/>
          <w:szCs w:val="24"/>
        </w:rPr>
      </w:pPr>
      <w:r w:rsidRPr="00E07760">
        <w:rPr>
          <w:rFonts w:cs="Times New Roman"/>
          <w:sz w:val="24"/>
          <w:szCs w:val="24"/>
          <w:lang w:val="nl-BE"/>
        </w:rPr>
        <w:t xml:space="preserve">van Rooij, M. C. J., Lusardi, A., &amp; Alessie, R. J. M. (2011). </w:t>
      </w:r>
      <w:r w:rsidRPr="00E07760">
        <w:rPr>
          <w:rFonts w:cs="Times New Roman"/>
          <w:sz w:val="24"/>
          <w:szCs w:val="24"/>
        </w:rPr>
        <w:t xml:space="preserve">Financial literacy and stock market participation. </w:t>
      </w:r>
      <w:r w:rsidRPr="00E07760">
        <w:rPr>
          <w:rFonts w:cs="Times New Roman"/>
          <w:i/>
          <w:iCs/>
          <w:sz w:val="24"/>
          <w:szCs w:val="24"/>
        </w:rPr>
        <w:t>Journal of Financial Economics, 101</w:t>
      </w:r>
      <w:r w:rsidRPr="00E07760">
        <w:rPr>
          <w:rFonts w:cs="Times New Roman"/>
          <w:sz w:val="24"/>
          <w:szCs w:val="24"/>
        </w:rPr>
        <w:t xml:space="preserve">(2), 449–472. </w:t>
      </w:r>
      <w:hyperlink r:id="rId32" w:history="1">
        <w:r w:rsidRPr="00E07760">
          <w:rPr>
            <w:rFonts w:cs="Times New Roman"/>
            <w:color w:val="0000FF"/>
            <w:sz w:val="24"/>
            <w:szCs w:val="24"/>
            <w:u w:val="single"/>
          </w:rPr>
          <w:t>https://doi.org/10.1016/j.jfineco.2011.03.006</w:t>
        </w:r>
      </w:hyperlink>
    </w:p>
    <w:p w14:paraId="0D2B33C1" w14:textId="520B984C" w:rsidR="00E07760" w:rsidRPr="00E07760" w:rsidRDefault="00E07760" w:rsidP="00E07760">
      <w:pPr>
        <w:spacing w:after="0" w:line="240" w:lineRule="auto"/>
        <w:ind w:left="540" w:hanging="540"/>
        <w:jc w:val="both"/>
        <w:rPr>
          <w:rFonts w:cs="Times New Roman"/>
          <w:sz w:val="24"/>
          <w:szCs w:val="24"/>
        </w:rPr>
      </w:pPr>
      <w:r w:rsidRPr="00E07760">
        <w:rPr>
          <w:rFonts w:cs="Times New Roman"/>
          <w:sz w:val="24"/>
          <w:szCs w:val="24"/>
        </w:rPr>
        <w:t xml:space="preserve">Vittinghoff, E., &amp; McCulloch, C. E. (2007). Relaxing the rule of ten events per variable in logistic and Cox regression. </w:t>
      </w:r>
      <w:r w:rsidRPr="00E07760">
        <w:rPr>
          <w:rFonts w:cs="Times New Roman"/>
          <w:i/>
          <w:iCs/>
          <w:sz w:val="24"/>
          <w:szCs w:val="24"/>
        </w:rPr>
        <w:t>American Journal of Epidemiology, 165</w:t>
      </w:r>
      <w:r w:rsidRPr="00E07760">
        <w:rPr>
          <w:rFonts w:cs="Times New Roman"/>
          <w:sz w:val="24"/>
          <w:szCs w:val="24"/>
        </w:rPr>
        <w:t xml:space="preserve">(6), 710–718. </w:t>
      </w:r>
      <w:hyperlink r:id="rId33" w:history="1">
        <w:r w:rsidRPr="00E07760">
          <w:rPr>
            <w:rFonts w:cs="Times New Roman"/>
            <w:color w:val="0000FF"/>
            <w:sz w:val="24"/>
            <w:szCs w:val="24"/>
            <w:u w:val="single"/>
          </w:rPr>
          <w:t>https://doi.org/10.1093/aje/kwk052</w:t>
        </w:r>
      </w:hyperlink>
    </w:p>
    <w:p w14:paraId="510350EB" w14:textId="1E4011D0" w:rsidR="004A504A" w:rsidRDefault="00E07760" w:rsidP="00E07760">
      <w:pPr>
        <w:pStyle w:val="isselectedend"/>
        <w:ind w:left="540" w:hanging="540"/>
        <w:jc w:val="both"/>
      </w:pPr>
      <w:r w:rsidRPr="00E07760">
        <w:t xml:space="preserve">Zhao, M., Dai, Y., Chen, H., &amp; Li, Z. (2024). Financial literacy among Chinese rural households and its impact on stock-market participation. </w:t>
      </w:r>
      <w:r w:rsidRPr="00E07760">
        <w:rPr>
          <w:i/>
          <w:iCs/>
        </w:rPr>
        <w:t>Borsa Istanbul Review, 24</w:t>
      </w:r>
      <w:r w:rsidRPr="00E07760">
        <w:t xml:space="preserve">(5), 1019–1030. </w:t>
      </w:r>
      <w:hyperlink r:id="rId34" w:history="1">
        <w:r w:rsidRPr="00E07760">
          <w:rPr>
            <w:color w:val="0000FF"/>
            <w:u w:val="single"/>
          </w:rPr>
          <w:t>https://doi.org/10.1016/j.bir.2024.05.011</w:t>
        </w:r>
      </w:hyperlink>
    </w:p>
    <w:sectPr w:rsidR="004A504A" w:rsidSect="00034616">
      <w:footerReference w:type="default" r:id="rId35"/>
      <w:pgSz w:w="11906" w:h="16838"/>
      <w:pgMar w:top="893" w:right="1008" w:bottom="893" w:left="1008" w:header="360"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BC7DCF" w14:textId="77777777" w:rsidR="006573D6" w:rsidRDefault="006573D6">
      <w:pPr>
        <w:spacing w:after="0" w:line="240" w:lineRule="auto"/>
      </w:pPr>
      <w:r>
        <w:separator/>
      </w:r>
    </w:p>
  </w:endnote>
  <w:endnote w:type="continuationSeparator" w:id="0">
    <w:p w14:paraId="15207EAA" w14:textId="77777777" w:rsidR="006573D6" w:rsidRDefault="006573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B800B" w14:textId="77777777" w:rsidR="00122D62" w:rsidRDefault="00000000">
    <w:pPr>
      <w:pStyle w:val="Footer"/>
      <w:jc w:val="center"/>
    </w:pPr>
    <w:r>
      <w:rPr>
        <w:sz w:val="16"/>
      </w:rPr>
      <w:fldChar w:fldCharType="begin"/>
    </w:r>
    <w:r>
      <w:rPr>
        <w:sz w:val="16"/>
      </w:rPr>
      <w:instrText xml:space="preserve"> PAGE </w:instrText>
    </w:r>
    <w:r>
      <w:rPr>
        <w:sz w:val="16"/>
      </w:rPr>
      <w:fldChar w:fldCharType="separate"/>
    </w:r>
    <w:r w:rsidR="003822E3">
      <w:rPr>
        <w:noProof/>
        <w:sz w:val="16"/>
      </w:rPr>
      <w:t>1</w:t>
    </w:r>
    <w:r>
      <w:rP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0EB98" w14:textId="77777777" w:rsidR="006573D6" w:rsidRDefault="006573D6">
      <w:pPr>
        <w:spacing w:after="0" w:line="240" w:lineRule="auto"/>
      </w:pPr>
      <w:r>
        <w:separator/>
      </w:r>
    </w:p>
  </w:footnote>
  <w:footnote w:type="continuationSeparator" w:id="0">
    <w:p w14:paraId="5AD396B2" w14:textId="77777777" w:rsidR="006573D6" w:rsidRDefault="006573D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3EB56B55"/>
    <w:multiLevelType w:val="hybridMultilevel"/>
    <w:tmpl w:val="C4989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126281"/>
    <w:multiLevelType w:val="hybridMultilevel"/>
    <w:tmpl w:val="71A082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732542D"/>
    <w:multiLevelType w:val="hybridMultilevel"/>
    <w:tmpl w:val="BFA83D6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515698">
    <w:abstractNumId w:val="8"/>
  </w:num>
  <w:num w:numId="2" w16cid:durableId="1918205732">
    <w:abstractNumId w:val="6"/>
  </w:num>
  <w:num w:numId="3" w16cid:durableId="685401728">
    <w:abstractNumId w:val="5"/>
  </w:num>
  <w:num w:numId="4" w16cid:durableId="831986386">
    <w:abstractNumId w:val="4"/>
  </w:num>
  <w:num w:numId="5" w16cid:durableId="638807815">
    <w:abstractNumId w:val="7"/>
  </w:num>
  <w:num w:numId="6" w16cid:durableId="1175538987">
    <w:abstractNumId w:val="3"/>
  </w:num>
  <w:num w:numId="7" w16cid:durableId="54277528">
    <w:abstractNumId w:val="2"/>
  </w:num>
  <w:num w:numId="8" w16cid:durableId="22027185">
    <w:abstractNumId w:val="1"/>
  </w:num>
  <w:num w:numId="9" w16cid:durableId="1985620504">
    <w:abstractNumId w:val="0"/>
  </w:num>
  <w:num w:numId="10" w16cid:durableId="2245530">
    <w:abstractNumId w:val="9"/>
  </w:num>
  <w:num w:numId="11" w16cid:durableId="415632920">
    <w:abstractNumId w:val="10"/>
  </w:num>
  <w:num w:numId="12" w16cid:durableId="6155278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sjQwNLY0MzM3tbQwMjVW0lEKTi0uzszPAykwrAUAT2gxmSwAAAA="/>
  </w:docVars>
  <w:rsids>
    <w:rsidRoot w:val="00B47730"/>
    <w:rsid w:val="00034616"/>
    <w:rsid w:val="0006063C"/>
    <w:rsid w:val="00122D62"/>
    <w:rsid w:val="0015074B"/>
    <w:rsid w:val="0029639D"/>
    <w:rsid w:val="00326F90"/>
    <w:rsid w:val="00334734"/>
    <w:rsid w:val="003819B6"/>
    <w:rsid w:val="003822E3"/>
    <w:rsid w:val="003916F1"/>
    <w:rsid w:val="004A504A"/>
    <w:rsid w:val="004F23BC"/>
    <w:rsid w:val="004F25F0"/>
    <w:rsid w:val="00573C84"/>
    <w:rsid w:val="005A04DB"/>
    <w:rsid w:val="00615ED5"/>
    <w:rsid w:val="006573D6"/>
    <w:rsid w:val="006725F1"/>
    <w:rsid w:val="00707B78"/>
    <w:rsid w:val="007B28D8"/>
    <w:rsid w:val="008B2FBB"/>
    <w:rsid w:val="0090691C"/>
    <w:rsid w:val="00925E68"/>
    <w:rsid w:val="00985BD7"/>
    <w:rsid w:val="009D7A4F"/>
    <w:rsid w:val="00A61EE7"/>
    <w:rsid w:val="00A84898"/>
    <w:rsid w:val="00AA1D8D"/>
    <w:rsid w:val="00AC6FAA"/>
    <w:rsid w:val="00AD66A9"/>
    <w:rsid w:val="00B239BA"/>
    <w:rsid w:val="00B47730"/>
    <w:rsid w:val="00C00BAF"/>
    <w:rsid w:val="00C35C4C"/>
    <w:rsid w:val="00C63E8D"/>
    <w:rsid w:val="00C64ECF"/>
    <w:rsid w:val="00CB0664"/>
    <w:rsid w:val="00D4508B"/>
    <w:rsid w:val="00D62782"/>
    <w:rsid w:val="00DA46A9"/>
    <w:rsid w:val="00DF6A8E"/>
    <w:rsid w:val="00E07760"/>
    <w:rsid w:val="00E17BA1"/>
    <w:rsid w:val="00ED0347"/>
    <w:rsid w:val="00F508F4"/>
    <w:rsid w:val="00FC693F"/>
    <w:rsid w:val="00FE34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E894F50"/>
  <w14:defaultImageDpi w14:val="300"/>
  <w15:docId w15:val="{FBD44DE7-8961-45FD-9406-DC8F8FD23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50" w:line="252" w:lineRule="auto"/>
    </w:pPr>
    <w:rPr>
      <w:rFonts w:ascii="Times New Roman" w:eastAsia="Times New Roman" w:hAnsi="Times New Roman"/>
      <w:sz w:val="19"/>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isselectedend">
    <w:name w:val="isselectedend"/>
    <w:basedOn w:val="Normal"/>
    <w:rsid w:val="00334734"/>
    <w:pPr>
      <w:spacing w:before="100" w:beforeAutospacing="1" w:after="100" w:afterAutospacing="1" w:line="240" w:lineRule="auto"/>
    </w:pPr>
    <w:rPr>
      <w:rFonts w:cs="Times New Roman"/>
      <w:sz w:val="24"/>
      <w:szCs w:val="24"/>
    </w:rPr>
  </w:style>
  <w:style w:type="character" w:styleId="Hyperlink">
    <w:name w:val="Hyperlink"/>
    <w:basedOn w:val="DefaultParagraphFont"/>
    <w:uiPriority w:val="99"/>
    <w:semiHidden/>
    <w:unhideWhenUsed/>
    <w:rsid w:val="00334734"/>
    <w:rPr>
      <w:color w:val="0000FF"/>
      <w:u w:val="single"/>
    </w:rPr>
  </w:style>
  <w:style w:type="paragraph" w:styleId="NormalWeb">
    <w:name w:val="Normal (Web)"/>
    <w:basedOn w:val="Normal"/>
    <w:uiPriority w:val="99"/>
    <w:semiHidden/>
    <w:unhideWhenUsed/>
    <w:rsid w:val="00334734"/>
    <w:pPr>
      <w:spacing w:before="100" w:beforeAutospacing="1" w:after="100" w:afterAutospacing="1" w:line="240" w:lineRule="auto"/>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111/j.1540-6261.2006.00883.x" TargetMode="External"/><Relationship Id="rId18" Type="http://schemas.openxmlformats.org/officeDocument/2006/relationships/hyperlink" Target="https://doi.org/10.1007/s10679-005-5000-8" TargetMode="External"/><Relationship Id="rId26" Type="http://schemas.openxmlformats.org/officeDocument/2006/relationships/hyperlink" Target="https://doi.org/10.1007/s12232-023-00432-9" TargetMode="External"/><Relationship Id="rId21" Type="http://schemas.openxmlformats.org/officeDocument/2006/relationships/hyperlink" Target="https://doi.org/10.1016/j.heliyon.2023.e19524" TargetMode="External"/><Relationship Id="rId34" Type="http://schemas.openxmlformats.org/officeDocument/2006/relationships/hyperlink" Target="https://doi.org/10.1016/j.bir.2024.05.011" TargetMode="External"/><Relationship Id="rId7" Type="http://schemas.openxmlformats.org/officeDocument/2006/relationships/endnotes" Target="endnotes.xml"/><Relationship Id="rId12" Type="http://schemas.openxmlformats.org/officeDocument/2006/relationships/hyperlink" Target="https://doi.org/10.1016/j.jbankfin.2014.03.013" TargetMode="External"/><Relationship Id="rId17" Type="http://schemas.openxmlformats.org/officeDocument/2006/relationships/hyperlink" Target="https://doi.org/10.1007/s11573-017-0852-x" TargetMode="External"/><Relationship Id="rId25" Type="http://schemas.openxmlformats.org/officeDocument/2006/relationships/hyperlink" Target="https://doi.org/10.1257/jel.52.1.5" TargetMode="External"/><Relationship Id="rId33" Type="http://schemas.openxmlformats.org/officeDocument/2006/relationships/hyperlink" Target="https://doi.org/10.1093/aje/kwk052" TargetMode="External"/><Relationship Id="rId2" Type="http://schemas.openxmlformats.org/officeDocument/2006/relationships/numbering" Target="numbering.xml"/><Relationship Id="rId16" Type="http://schemas.openxmlformats.org/officeDocument/2006/relationships/hyperlink" Target="https://doi.org/10.1080/07421222.2018.1440766" TargetMode="External"/><Relationship Id="rId20" Type="http://schemas.openxmlformats.org/officeDocument/2006/relationships/hyperlink" Target="https://doi.org/10.1016/j.jbankfin.2013.03.019" TargetMode="External"/><Relationship Id="rId29" Type="http://schemas.openxmlformats.org/officeDocument/2006/relationships/hyperlink" Target="https://www.cengage.com/c/investment-analysis-and-portfolio-management-10e-reilly/brown/978053848238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307/2532457" TargetMode="External"/><Relationship Id="rId24" Type="http://schemas.openxmlformats.org/officeDocument/2006/relationships/hyperlink" Target="https://doi.org/10.1016/j.ecosys.2023.101148" TargetMode="External"/><Relationship Id="rId32" Type="http://schemas.openxmlformats.org/officeDocument/2006/relationships/hyperlink" Target="https://doi.org/10.1016/j.jfineco.2011.03.006"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doi.org/10.56557/jet/2023/v8i18139" TargetMode="External"/><Relationship Id="rId23" Type="http://schemas.openxmlformats.org/officeDocument/2006/relationships/hyperlink" Target="https://doi.org/10.1111/j.1540-6261.2006.00828.x" TargetMode="External"/><Relationship Id="rId28" Type="http://schemas.openxmlformats.org/officeDocument/2006/relationships/hyperlink" Target="https://doi.org/10.9734/ajeba/2025/v25i21671" TargetMode="External"/><Relationship Id="rId36" Type="http://schemas.openxmlformats.org/officeDocument/2006/relationships/fontTable" Target="fontTable.xml"/><Relationship Id="rId10" Type="http://schemas.openxmlformats.org/officeDocument/2006/relationships/hyperlink" Target="https://doi.org/10.1111/jofi.12605" TargetMode="External"/><Relationship Id="rId19" Type="http://schemas.openxmlformats.org/officeDocument/2006/relationships/hyperlink" Target="https://doi.org/10.1002/9781118548387" TargetMode="External"/><Relationship Id="rId31" Type="http://schemas.openxmlformats.org/officeDocument/2006/relationships/hyperlink" Target="https://doi.org/10.1007/s10690-024-09477-4" TargetMode="External"/><Relationship Id="rId4" Type="http://schemas.openxmlformats.org/officeDocument/2006/relationships/settings" Target="settings.xml"/><Relationship Id="rId9" Type="http://schemas.openxmlformats.org/officeDocument/2006/relationships/hyperlink" Target="https://doi.org/10.1016/j.econlet.2016.05.033" TargetMode="External"/><Relationship Id="rId14" Type="http://schemas.openxmlformats.org/officeDocument/2006/relationships/hyperlink" Target="https://doi.org/10.1016/j.frl.2023.104438" TargetMode="External"/><Relationship Id="rId22" Type="http://schemas.openxmlformats.org/officeDocument/2006/relationships/hyperlink" Target="https://doi.org/10.1016/j.jfineco.2004.08.006" TargetMode="External"/><Relationship Id="rId27" Type="http://schemas.openxmlformats.org/officeDocument/2006/relationships/hyperlink" Target="https://doi.org/10.56557/jet/2026/v11i110099" TargetMode="External"/><Relationship Id="rId30" Type="http://schemas.openxmlformats.org/officeDocument/2006/relationships/hyperlink" Target="https://doi.org/10.9734/ajeba/2025/v25i41774" TargetMode="External"/><Relationship Id="rId35" Type="http://schemas.openxmlformats.org/officeDocument/2006/relationships/footer" Target="footer1.xml"/><Relationship Id="rId8" Type="http://schemas.openxmlformats.org/officeDocument/2006/relationships/hyperlink" Target="https://doi.org/10.1108/15265940911001402"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7</Pages>
  <Words>5251</Words>
  <Characters>29932</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35113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Revised-ms_JGEMBR_15337_v2_Grammar_edited</dc:title>
  <dc:subject/>
  <dc:creator>python-docx</dc:creator>
  <cp:keywords/>
  <dc:description>generated by python-docx</dc:description>
  <cp:lastModifiedBy>Editor-90</cp:lastModifiedBy>
  <cp:revision>20</cp:revision>
  <dcterms:created xsi:type="dcterms:W3CDTF">2013-12-23T23:15:00Z</dcterms:created>
  <dcterms:modified xsi:type="dcterms:W3CDTF">2026-07-20T11:45:00Z</dcterms:modified>
  <cp:category/>
</cp:coreProperties>
</file>