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2C7A7" w14:textId="77777777" w:rsidR="00ED08FF" w:rsidRDefault="000B0822">
      <w:pPr>
        <w:pStyle w:val="BodyText"/>
        <w:spacing w:before="51"/>
        <w:ind w:left="0"/>
      </w:pPr>
      <w:r w:rsidRPr="000B0822">
        <w:rPr>
          <w:highlight w:val="yellow"/>
        </w:rPr>
        <w:t>The Effect of Profitability, Leverage, Firm Size, and Liquidity on Firm Value: Evidence from Consumer Non-Cyclicals Companies Listed On The Indonesia Stock Exchange</w:t>
      </w:r>
    </w:p>
    <w:p w14:paraId="17525FCF" w14:textId="77777777" w:rsidR="000B0822" w:rsidRDefault="000B0822">
      <w:pPr>
        <w:pStyle w:val="BodyText"/>
        <w:spacing w:before="51"/>
        <w:ind w:left="0"/>
      </w:pPr>
    </w:p>
    <w:p w14:paraId="4E3251B4" w14:textId="77777777" w:rsidR="00ED08FF" w:rsidRDefault="00000000">
      <w:pPr>
        <w:pStyle w:val="Heading2"/>
        <w:ind w:left="145"/>
      </w:pPr>
      <w:r>
        <w:rPr>
          <w:spacing w:val="-2"/>
        </w:rPr>
        <w:t>Abstract</w:t>
      </w:r>
    </w:p>
    <w:p w14:paraId="7B75477F" w14:textId="77777777" w:rsidR="00ED08FF" w:rsidRDefault="00000000">
      <w:pPr>
        <w:pStyle w:val="BodyText"/>
        <w:spacing w:before="50" w:line="297" w:lineRule="auto"/>
        <w:ind w:right="309"/>
      </w:pPr>
      <w:r>
        <w:t>This</w:t>
      </w:r>
      <w:r>
        <w:rPr>
          <w:spacing w:val="-3"/>
        </w:rPr>
        <w:t xml:space="preserve"> </w:t>
      </w:r>
      <w:r>
        <w:t>study</w:t>
      </w:r>
      <w:r>
        <w:rPr>
          <w:spacing w:val="-3"/>
        </w:rPr>
        <w:t xml:space="preserve"> </w:t>
      </w:r>
      <w:r>
        <w:t>examines</w:t>
      </w:r>
      <w:r>
        <w:rPr>
          <w:spacing w:val="-4"/>
        </w:rPr>
        <w:t xml:space="preserve"> </w:t>
      </w:r>
      <w:r>
        <w:t>the</w:t>
      </w:r>
      <w:r>
        <w:rPr>
          <w:spacing w:val="-4"/>
        </w:rPr>
        <w:t xml:space="preserve"> </w:t>
      </w:r>
      <w:r>
        <w:t>relationship</w:t>
      </w:r>
      <w:r>
        <w:rPr>
          <w:spacing w:val="-3"/>
        </w:rPr>
        <w:t xml:space="preserve"> </w:t>
      </w:r>
      <w:r>
        <w:t>between</w:t>
      </w:r>
      <w:r>
        <w:rPr>
          <w:spacing w:val="-3"/>
        </w:rPr>
        <w:t xml:space="preserve"> </w:t>
      </w:r>
      <w:r>
        <w:t>profitability,</w:t>
      </w:r>
      <w:r>
        <w:rPr>
          <w:spacing w:val="-3"/>
        </w:rPr>
        <w:t xml:space="preserve"> </w:t>
      </w:r>
      <w:r>
        <w:t>leverage,</w:t>
      </w:r>
      <w:r>
        <w:rPr>
          <w:spacing w:val="-3"/>
        </w:rPr>
        <w:t xml:space="preserve"> </w:t>
      </w:r>
      <w:r>
        <w:t>firm</w:t>
      </w:r>
      <w:r>
        <w:rPr>
          <w:spacing w:val="-4"/>
        </w:rPr>
        <w:t xml:space="preserve"> </w:t>
      </w:r>
      <w:r>
        <w:t>size,</w:t>
      </w:r>
      <w:r>
        <w:rPr>
          <w:spacing w:val="-3"/>
        </w:rPr>
        <w:t xml:space="preserve"> </w:t>
      </w:r>
      <w:r>
        <w:t>liquidity,</w:t>
      </w:r>
      <w:r>
        <w:rPr>
          <w:spacing w:val="-3"/>
        </w:rPr>
        <w:t xml:space="preserve"> </w:t>
      </w:r>
      <w:r>
        <w:t>and</w:t>
      </w:r>
      <w:r>
        <w:rPr>
          <w:spacing w:val="-3"/>
        </w:rPr>
        <w:t xml:space="preserve"> </w:t>
      </w:r>
      <w:r>
        <w:t>firm</w:t>
      </w:r>
      <w:r>
        <w:rPr>
          <w:spacing w:val="-4"/>
        </w:rPr>
        <w:t xml:space="preserve"> </w:t>
      </w:r>
      <w:r>
        <w:t>value</w:t>
      </w:r>
      <w:r>
        <w:rPr>
          <w:spacing w:val="-4"/>
        </w:rPr>
        <w:t xml:space="preserve"> </w:t>
      </w:r>
      <w:r>
        <w:t>among</w:t>
      </w:r>
      <w:r>
        <w:rPr>
          <w:spacing w:val="-3"/>
        </w:rPr>
        <w:t xml:space="preserve"> </w:t>
      </w:r>
      <w:r>
        <w:t>consumer</w:t>
      </w:r>
      <w:r>
        <w:rPr>
          <w:spacing w:val="-3"/>
        </w:rPr>
        <w:t xml:space="preserve"> </w:t>
      </w:r>
      <w:r>
        <w:t>non-cyclicals companies listed on the Indonesia Stock Exchange. A quantitative explanatory design was applied using a balanced panel of 40</w:t>
      </w:r>
    </w:p>
    <w:p w14:paraId="5D44BC8F" w14:textId="77777777" w:rsidR="00ED08FF" w:rsidRDefault="00000000">
      <w:pPr>
        <w:pStyle w:val="BodyText"/>
        <w:spacing w:line="297" w:lineRule="auto"/>
        <w:ind w:right="1008"/>
      </w:pPr>
      <w:r>
        <w:t>firm-year observations from eight issuers over the fiscal years 2021–2025. Firm value was measured by price-to-book value, profitability</w:t>
      </w:r>
      <w:r>
        <w:rPr>
          <w:spacing w:val="-2"/>
        </w:rPr>
        <w:t xml:space="preserve"> </w:t>
      </w:r>
      <w:r>
        <w:t>by</w:t>
      </w:r>
      <w:r>
        <w:rPr>
          <w:spacing w:val="-2"/>
        </w:rPr>
        <w:t xml:space="preserve"> </w:t>
      </w:r>
      <w:r>
        <w:t>return</w:t>
      </w:r>
      <w:r>
        <w:rPr>
          <w:spacing w:val="-2"/>
        </w:rPr>
        <w:t xml:space="preserve"> </w:t>
      </w:r>
      <w:r>
        <w:t>on</w:t>
      </w:r>
      <w:r>
        <w:rPr>
          <w:spacing w:val="-2"/>
        </w:rPr>
        <w:t xml:space="preserve"> </w:t>
      </w:r>
      <w:r>
        <w:t>assets,</w:t>
      </w:r>
      <w:r>
        <w:rPr>
          <w:spacing w:val="-2"/>
        </w:rPr>
        <w:t xml:space="preserve"> </w:t>
      </w:r>
      <w:r>
        <w:t>leverage</w:t>
      </w:r>
      <w:r>
        <w:rPr>
          <w:spacing w:val="-3"/>
        </w:rPr>
        <w:t xml:space="preserve"> </w:t>
      </w:r>
      <w:r>
        <w:t>by</w:t>
      </w:r>
      <w:r>
        <w:rPr>
          <w:spacing w:val="-2"/>
        </w:rPr>
        <w:t xml:space="preserve"> </w:t>
      </w:r>
      <w:r>
        <w:t>debt-to-equity</w:t>
      </w:r>
      <w:r>
        <w:rPr>
          <w:spacing w:val="-2"/>
        </w:rPr>
        <w:t xml:space="preserve"> </w:t>
      </w:r>
      <w:r>
        <w:t>ratio,</w:t>
      </w:r>
      <w:r>
        <w:rPr>
          <w:spacing w:val="-2"/>
        </w:rPr>
        <w:t xml:space="preserve"> </w:t>
      </w:r>
      <w:r>
        <w:t>firm</w:t>
      </w:r>
      <w:r>
        <w:rPr>
          <w:spacing w:val="-3"/>
        </w:rPr>
        <w:t xml:space="preserve"> </w:t>
      </w:r>
      <w:r>
        <w:t>size</w:t>
      </w:r>
      <w:r>
        <w:rPr>
          <w:spacing w:val="-3"/>
        </w:rPr>
        <w:t xml:space="preserve"> </w:t>
      </w:r>
      <w:r>
        <w:t>by</w:t>
      </w:r>
      <w:r>
        <w:rPr>
          <w:spacing w:val="-2"/>
        </w:rPr>
        <w:t xml:space="preserve"> </w:t>
      </w:r>
      <w:r>
        <w:t>the</w:t>
      </w:r>
      <w:r>
        <w:rPr>
          <w:spacing w:val="-3"/>
        </w:rPr>
        <w:t xml:space="preserve"> </w:t>
      </w:r>
      <w:r>
        <w:t>natural</w:t>
      </w:r>
      <w:r>
        <w:rPr>
          <w:spacing w:val="-3"/>
        </w:rPr>
        <w:t xml:space="preserve"> </w:t>
      </w:r>
      <w:r>
        <w:t>logarithm</w:t>
      </w:r>
      <w:r>
        <w:rPr>
          <w:spacing w:val="-3"/>
        </w:rPr>
        <w:t xml:space="preserve"> </w:t>
      </w:r>
      <w:r>
        <w:t>of</w:t>
      </w:r>
      <w:r>
        <w:rPr>
          <w:spacing w:val="-2"/>
        </w:rPr>
        <w:t xml:space="preserve"> </w:t>
      </w:r>
      <w:r>
        <w:t>total</w:t>
      </w:r>
      <w:r>
        <w:rPr>
          <w:spacing w:val="-3"/>
        </w:rPr>
        <w:t xml:space="preserve"> </w:t>
      </w:r>
      <w:r>
        <w:t>assets,</w:t>
      </w:r>
      <w:r>
        <w:rPr>
          <w:spacing w:val="-2"/>
        </w:rPr>
        <w:t xml:space="preserve"> </w:t>
      </w:r>
      <w:r>
        <w:t>and</w:t>
      </w:r>
      <w:r>
        <w:rPr>
          <w:spacing w:val="-2"/>
        </w:rPr>
        <w:t xml:space="preserve"> </w:t>
      </w:r>
      <w:r>
        <w:t>liquidity</w:t>
      </w:r>
      <w:r>
        <w:rPr>
          <w:spacing w:val="-2"/>
        </w:rPr>
        <w:t xml:space="preserve"> </w:t>
      </w:r>
      <w:r>
        <w:t>by</w:t>
      </w:r>
      <w:r>
        <w:rPr>
          <w:spacing w:val="-2"/>
        </w:rPr>
        <w:t xml:space="preserve"> </w:t>
      </w:r>
      <w:r>
        <w:t>the current</w:t>
      </w:r>
      <w:r>
        <w:rPr>
          <w:spacing w:val="-1"/>
        </w:rPr>
        <w:t xml:space="preserve"> </w:t>
      </w:r>
      <w:r>
        <w:t>ratio. The</w:t>
      </w:r>
      <w:r>
        <w:rPr>
          <w:spacing w:val="-1"/>
        </w:rPr>
        <w:t xml:space="preserve"> </w:t>
      </w:r>
      <w:r>
        <w:t>data</w:t>
      </w:r>
      <w:r>
        <w:rPr>
          <w:spacing w:val="-1"/>
        </w:rPr>
        <w:t xml:space="preserve"> </w:t>
      </w:r>
      <w:r>
        <w:t>were</w:t>
      </w:r>
      <w:r>
        <w:rPr>
          <w:spacing w:val="-1"/>
        </w:rPr>
        <w:t xml:space="preserve"> </w:t>
      </w:r>
      <w:r>
        <w:t>compiled from</w:t>
      </w:r>
      <w:r>
        <w:rPr>
          <w:spacing w:val="-1"/>
        </w:rPr>
        <w:t xml:space="preserve"> </w:t>
      </w:r>
      <w:r>
        <w:t>publicly available</w:t>
      </w:r>
      <w:r>
        <w:rPr>
          <w:spacing w:val="-1"/>
        </w:rPr>
        <w:t xml:space="preserve"> </w:t>
      </w:r>
      <w:r>
        <w:t>financial</w:t>
      </w:r>
      <w:r>
        <w:rPr>
          <w:spacing w:val="-1"/>
        </w:rPr>
        <w:t xml:space="preserve"> </w:t>
      </w:r>
      <w:r>
        <w:t>ratio and balance</w:t>
      </w:r>
      <w:r>
        <w:rPr>
          <w:spacing w:val="-1"/>
        </w:rPr>
        <w:t xml:space="preserve"> </w:t>
      </w:r>
      <w:r>
        <w:t>sheet</w:t>
      </w:r>
      <w:r>
        <w:rPr>
          <w:spacing w:val="-1"/>
        </w:rPr>
        <w:t xml:space="preserve"> </w:t>
      </w:r>
      <w:r>
        <w:t>information. The</w:t>
      </w:r>
      <w:r>
        <w:rPr>
          <w:spacing w:val="-1"/>
        </w:rPr>
        <w:t xml:space="preserve"> </w:t>
      </w:r>
      <w:r>
        <w:t>empirical</w:t>
      </w:r>
      <w:r>
        <w:rPr>
          <w:spacing w:val="-1"/>
        </w:rPr>
        <w:t xml:space="preserve"> </w:t>
      </w:r>
      <w:r>
        <w:t>model</w:t>
      </w:r>
      <w:r>
        <w:rPr>
          <w:spacing w:val="-1"/>
        </w:rPr>
        <w:t xml:space="preserve"> </w:t>
      </w:r>
      <w:r>
        <w:t>was estimated using pooled ordinary least squares with HC3 robust standard errors, supported by descriptive statistics, correlation analysis, diagnostic testing, and sensitivity estimation. The results show that profitability has a positive and statistically significant association</w:t>
      </w:r>
      <w:r>
        <w:rPr>
          <w:spacing w:val="-2"/>
        </w:rPr>
        <w:t xml:space="preserve"> </w:t>
      </w:r>
      <w:r>
        <w:t>with</w:t>
      </w:r>
      <w:r>
        <w:rPr>
          <w:spacing w:val="-2"/>
        </w:rPr>
        <w:t xml:space="preserve"> </w:t>
      </w:r>
      <w:r>
        <w:t>firm</w:t>
      </w:r>
      <w:r>
        <w:rPr>
          <w:spacing w:val="-3"/>
        </w:rPr>
        <w:t xml:space="preserve"> </w:t>
      </w:r>
      <w:r>
        <w:t>value,</w:t>
      </w:r>
      <w:r>
        <w:rPr>
          <w:spacing w:val="-2"/>
        </w:rPr>
        <w:t xml:space="preserve"> </w:t>
      </w:r>
      <w:r>
        <w:t>while</w:t>
      </w:r>
      <w:r>
        <w:rPr>
          <w:spacing w:val="-3"/>
        </w:rPr>
        <w:t xml:space="preserve"> </w:t>
      </w:r>
      <w:r>
        <w:t>liquidity</w:t>
      </w:r>
      <w:r>
        <w:rPr>
          <w:spacing w:val="-2"/>
        </w:rPr>
        <w:t xml:space="preserve"> </w:t>
      </w:r>
      <w:r>
        <w:t>has</w:t>
      </w:r>
      <w:r>
        <w:rPr>
          <w:spacing w:val="-3"/>
        </w:rPr>
        <w:t xml:space="preserve"> </w:t>
      </w:r>
      <w:r>
        <w:t>a</w:t>
      </w:r>
      <w:r>
        <w:rPr>
          <w:spacing w:val="-3"/>
        </w:rPr>
        <w:t xml:space="preserve"> </w:t>
      </w:r>
      <w:r>
        <w:t>negative</w:t>
      </w:r>
      <w:r>
        <w:rPr>
          <w:spacing w:val="-3"/>
        </w:rPr>
        <w:t xml:space="preserve"> </w:t>
      </w:r>
      <w:r>
        <w:t>and</w:t>
      </w:r>
      <w:r>
        <w:rPr>
          <w:spacing w:val="-2"/>
        </w:rPr>
        <w:t xml:space="preserve"> </w:t>
      </w:r>
      <w:r>
        <w:t>statistically</w:t>
      </w:r>
      <w:r>
        <w:rPr>
          <w:spacing w:val="-2"/>
        </w:rPr>
        <w:t xml:space="preserve"> </w:t>
      </w:r>
      <w:r>
        <w:t>significant</w:t>
      </w:r>
      <w:r>
        <w:rPr>
          <w:spacing w:val="-3"/>
        </w:rPr>
        <w:t xml:space="preserve"> </w:t>
      </w:r>
      <w:r>
        <w:t>association.</w:t>
      </w:r>
      <w:r>
        <w:rPr>
          <w:spacing w:val="-2"/>
        </w:rPr>
        <w:t xml:space="preserve"> </w:t>
      </w:r>
      <w:r>
        <w:t>Leverage</w:t>
      </w:r>
      <w:r>
        <w:rPr>
          <w:spacing w:val="-3"/>
        </w:rPr>
        <w:t xml:space="preserve"> </w:t>
      </w:r>
      <w:r>
        <w:t>and</w:t>
      </w:r>
      <w:r>
        <w:rPr>
          <w:spacing w:val="-2"/>
        </w:rPr>
        <w:t xml:space="preserve"> </w:t>
      </w:r>
      <w:r>
        <w:t>firm</w:t>
      </w:r>
      <w:r>
        <w:rPr>
          <w:spacing w:val="-3"/>
        </w:rPr>
        <w:t xml:space="preserve"> </w:t>
      </w:r>
      <w:r>
        <w:t>size</w:t>
      </w:r>
      <w:r>
        <w:rPr>
          <w:spacing w:val="-3"/>
        </w:rPr>
        <w:t xml:space="preserve"> </w:t>
      </w:r>
      <w:r>
        <w:t>do</w:t>
      </w:r>
      <w:r>
        <w:rPr>
          <w:spacing w:val="-2"/>
        </w:rPr>
        <w:t xml:space="preserve"> </w:t>
      </w:r>
      <w:r>
        <w:t>not</w:t>
      </w:r>
      <w:r>
        <w:rPr>
          <w:spacing w:val="-3"/>
        </w:rPr>
        <w:t xml:space="preserve"> </w:t>
      </w:r>
      <w:r>
        <w:t>show statistically significant effects in the primary model. The model reports an R-squared value of 0.872 and an adjusted R-squared value of 0.857. The findings suggest that market valuation in the sampled companies is more closely associated with earnings-generating capability</w:t>
      </w:r>
      <w:r>
        <w:rPr>
          <w:spacing w:val="-2"/>
        </w:rPr>
        <w:t xml:space="preserve"> </w:t>
      </w:r>
      <w:r>
        <w:t>than</w:t>
      </w:r>
      <w:r>
        <w:rPr>
          <w:spacing w:val="-2"/>
        </w:rPr>
        <w:t xml:space="preserve"> </w:t>
      </w:r>
      <w:r>
        <w:t>with</w:t>
      </w:r>
      <w:r>
        <w:rPr>
          <w:spacing w:val="-2"/>
        </w:rPr>
        <w:t xml:space="preserve"> </w:t>
      </w:r>
      <w:r>
        <w:t>asset</w:t>
      </w:r>
      <w:r>
        <w:rPr>
          <w:spacing w:val="-3"/>
        </w:rPr>
        <w:t xml:space="preserve"> </w:t>
      </w:r>
      <w:r>
        <w:t>scale.</w:t>
      </w:r>
      <w:r>
        <w:rPr>
          <w:spacing w:val="-2"/>
        </w:rPr>
        <w:t xml:space="preserve"> </w:t>
      </w:r>
      <w:r>
        <w:t>The</w:t>
      </w:r>
      <w:r>
        <w:rPr>
          <w:spacing w:val="-3"/>
        </w:rPr>
        <w:t xml:space="preserve"> </w:t>
      </w:r>
      <w:r>
        <w:t>negative</w:t>
      </w:r>
      <w:r>
        <w:rPr>
          <w:spacing w:val="-3"/>
        </w:rPr>
        <w:t xml:space="preserve"> </w:t>
      </w:r>
      <w:r>
        <w:t>liquidity</w:t>
      </w:r>
      <w:r>
        <w:rPr>
          <w:spacing w:val="-2"/>
        </w:rPr>
        <w:t xml:space="preserve"> </w:t>
      </w:r>
      <w:r>
        <w:t>result</w:t>
      </w:r>
      <w:r>
        <w:rPr>
          <w:spacing w:val="-3"/>
        </w:rPr>
        <w:t xml:space="preserve"> </w:t>
      </w:r>
      <w:r>
        <w:t>indicates</w:t>
      </w:r>
      <w:r>
        <w:rPr>
          <w:spacing w:val="-3"/>
        </w:rPr>
        <w:t xml:space="preserve"> </w:t>
      </w:r>
      <w:r>
        <w:t>that</w:t>
      </w:r>
      <w:r>
        <w:rPr>
          <w:spacing w:val="-3"/>
        </w:rPr>
        <w:t xml:space="preserve"> </w:t>
      </w:r>
      <w:r>
        <w:t>high</w:t>
      </w:r>
      <w:r>
        <w:rPr>
          <w:spacing w:val="-2"/>
        </w:rPr>
        <w:t xml:space="preserve"> </w:t>
      </w:r>
      <w:r>
        <w:t>current</w:t>
      </w:r>
      <w:r>
        <w:rPr>
          <w:spacing w:val="-3"/>
        </w:rPr>
        <w:t xml:space="preserve"> </w:t>
      </w:r>
      <w:r>
        <w:t>assets</w:t>
      </w:r>
      <w:r>
        <w:rPr>
          <w:spacing w:val="-2"/>
        </w:rPr>
        <w:t xml:space="preserve"> </w:t>
      </w:r>
      <w:r>
        <w:t>may</w:t>
      </w:r>
      <w:r>
        <w:rPr>
          <w:spacing w:val="-2"/>
        </w:rPr>
        <w:t xml:space="preserve"> </w:t>
      </w:r>
      <w:r>
        <w:t>not</w:t>
      </w:r>
      <w:r>
        <w:rPr>
          <w:spacing w:val="-3"/>
        </w:rPr>
        <w:t xml:space="preserve"> </w:t>
      </w:r>
      <w:r>
        <w:t>be</w:t>
      </w:r>
      <w:r>
        <w:rPr>
          <w:spacing w:val="-3"/>
        </w:rPr>
        <w:t xml:space="preserve"> </w:t>
      </w:r>
      <w:r>
        <w:t>valued</w:t>
      </w:r>
      <w:r>
        <w:rPr>
          <w:spacing w:val="-2"/>
        </w:rPr>
        <w:t xml:space="preserve"> </w:t>
      </w:r>
      <w:r>
        <w:t>positively</w:t>
      </w:r>
      <w:r>
        <w:rPr>
          <w:spacing w:val="-2"/>
        </w:rPr>
        <w:t xml:space="preserve"> </w:t>
      </w:r>
      <w:r>
        <w:t>when</w:t>
      </w:r>
      <w:r>
        <w:rPr>
          <w:spacing w:val="-2"/>
        </w:rPr>
        <w:t xml:space="preserve"> </w:t>
      </w:r>
      <w:r>
        <w:t>they are not linked to stronger profitability or efficient working capital use.</w:t>
      </w:r>
    </w:p>
    <w:p w14:paraId="3102A9AB" w14:textId="77777777" w:rsidR="00ED08FF" w:rsidRDefault="00ED08FF">
      <w:pPr>
        <w:pStyle w:val="BodyText"/>
        <w:spacing w:before="53"/>
        <w:ind w:left="0"/>
      </w:pPr>
    </w:p>
    <w:p w14:paraId="4E33D84A" w14:textId="77777777" w:rsidR="00ED08FF" w:rsidRDefault="00000000">
      <w:pPr>
        <w:ind w:left="145"/>
        <w:rPr>
          <w:b/>
          <w:sz w:val="18"/>
        </w:rPr>
      </w:pPr>
      <w:r>
        <w:rPr>
          <w:b/>
          <w:sz w:val="18"/>
        </w:rPr>
        <w:t>Keywords:</w:t>
      </w:r>
      <w:r>
        <w:rPr>
          <w:b/>
          <w:spacing w:val="-5"/>
          <w:sz w:val="18"/>
        </w:rPr>
        <w:t xml:space="preserve"> </w:t>
      </w:r>
      <w:r>
        <w:rPr>
          <w:b/>
          <w:sz w:val="18"/>
        </w:rPr>
        <w:t>firm</w:t>
      </w:r>
      <w:r>
        <w:rPr>
          <w:b/>
          <w:spacing w:val="-2"/>
          <w:sz w:val="18"/>
        </w:rPr>
        <w:t xml:space="preserve"> </w:t>
      </w:r>
      <w:r>
        <w:rPr>
          <w:b/>
          <w:sz w:val="18"/>
        </w:rPr>
        <w:t>value,</w:t>
      </w:r>
      <w:r>
        <w:rPr>
          <w:b/>
          <w:spacing w:val="-2"/>
          <w:sz w:val="18"/>
        </w:rPr>
        <w:t xml:space="preserve"> </w:t>
      </w:r>
      <w:r>
        <w:rPr>
          <w:b/>
          <w:sz w:val="18"/>
        </w:rPr>
        <w:t>profitability,</w:t>
      </w:r>
      <w:r>
        <w:rPr>
          <w:b/>
          <w:spacing w:val="-2"/>
          <w:sz w:val="18"/>
        </w:rPr>
        <w:t xml:space="preserve"> </w:t>
      </w:r>
      <w:r>
        <w:rPr>
          <w:b/>
          <w:sz w:val="18"/>
        </w:rPr>
        <w:t>leverage,</w:t>
      </w:r>
      <w:r>
        <w:rPr>
          <w:b/>
          <w:spacing w:val="-2"/>
          <w:sz w:val="18"/>
        </w:rPr>
        <w:t xml:space="preserve"> </w:t>
      </w:r>
      <w:r>
        <w:rPr>
          <w:b/>
          <w:sz w:val="18"/>
        </w:rPr>
        <w:t>firm</w:t>
      </w:r>
      <w:r>
        <w:rPr>
          <w:b/>
          <w:spacing w:val="-2"/>
          <w:sz w:val="18"/>
        </w:rPr>
        <w:t xml:space="preserve"> </w:t>
      </w:r>
      <w:r>
        <w:rPr>
          <w:b/>
          <w:sz w:val="18"/>
        </w:rPr>
        <w:t>size,</w:t>
      </w:r>
      <w:r>
        <w:rPr>
          <w:b/>
          <w:spacing w:val="-2"/>
          <w:sz w:val="18"/>
        </w:rPr>
        <w:t xml:space="preserve"> </w:t>
      </w:r>
      <w:r>
        <w:rPr>
          <w:b/>
          <w:sz w:val="18"/>
        </w:rPr>
        <w:t>liquidity,</w:t>
      </w:r>
      <w:r>
        <w:rPr>
          <w:b/>
          <w:spacing w:val="-2"/>
          <w:sz w:val="18"/>
        </w:rPr>
        <w:t xml:space="preserve"> </w:t>
      </w:r>
      <w:r>
        <w:rPr>
          <w:b/>
          <w:sz w:val="18"/>
        </w:rPr>
        <w:t>consumer</w:t>
      </w:r>
      <w:r>
        <w:rPr>
          <w:b/>
          <w:spacing w:val="-3"/>
          <w:sz w:val="18"/>
        </w:rPr>
        <w:t xml:space="preserve"> </w:t>
      </w:r>
      <w:r>
        <w:rPr>
          <w:b/>
          <w:sz w:val="18"/>
        </w:rPr>
        <w:t>non-</w:t>
      </w:r>
      <w:r>
        <w:rPr>
          <w:b/>
          <w:spacing w:val="-2"/>
          <w:sz w:val="18"/>
        </w:rPr>
        <w:t>cyclicals.</w:t>
      </w:r>
    </w:p>
    <w:p w14:paraId="35FD808D" w14:textId="77777777" w:rsidR="00ED08FF" w:rsidRDefault="00000000">
      <w:pPr>
        <w:pStyle w:val="Heading1"/>
        <w:numPr>
          <w:ilvl w:val="0"/>
          <w:numId w:val="1"/>
        </w:numPr>
        <w:tabs>
          <w:tab w:val="left" w:pos="415"/>
        </w:tabs>
        <w:spacing w:before="50"/>
        <w:ind w:left="415"/>
      </w:pPr>
      <w:r>
        <w:rPr>
          <w:spacing w:val="-2"/>
        </w:rPr>
        <w:t>INTRODUCTION</w:t>
      </w:r>
    </w:p>
    <w:p w14:paraId="593969C1" w14:textId="77777777" w:rsidR="00ED08FF" w:rsidRDefault="00ED08FF">
      <w:pPr>
        <w:pStyle w:val="BodyText"/>
        <w:spacing w:before="100"/>
        <w:ind w:left="0"/>
        <w:rPr>
          <w:b/>
        </w:rPr>
      </w:pPr>
    </w:p>
    <w:p w14:paraId="0A9AE45D" w14:textId="77777777" w:rsidR="00ED08FF" w:rsidRDefault="00000000">
      <w:pPr>
        <w:pStyle w:val="BodyText"/>
        <w:spacing w:before="0" w:line="297" w:lineRule="auto"/>
        <w:ind w:right="1903"/>
      </w:pPr>
      <w:r>
        <w:t>Firm value is a central concern in accounting and corporate finance research because it reflects how capital market participants assess the economic prospects, risk profile, and resource allocation quality of a company. For listed companies, firm value is not merely an abstract concept. It appears in market prices, valuation multiples, and investor willingness</w:t>
      </w:r>
      <w:r>
        <w:rPr>
          <w:spacing w:val="-3"/>
        </w:rPr>
        <w:t xml:space="preserve"> </w:t>
      </w:r>
      <w:r>
        <w:t>to</w:t>
      </w:r>
      <w:r>
        <w:rPr>
          <w:spacing w:val="-3"/>
        </w:rPr>
        <w:t xml:space="preserve"> </w:t>
      </w:r>
      <w:r>
        <w:t>pay</w:t>
      </w:r>
      <w:r>
        <w:rPr>
          <w:spacing w:val="-3"/>
        </w:rPr>
        <w:t xml:space="preserve"> </w:t>
      </w:r>
      <w:r>
        <w:t>for</w:t>
      </w:r>
      <w:r>
        <w:rPr>
          <w:spacing w:val="-3"/>
        </w:rPr>
        <w:t xml:space="preserve"> </w:t>
      </w:r>
      <w:r>
        <w:t>ownership</w:t>
      </w:r>
      <w:r>
        <w:rPr>
          <w:spacing w:val="-3"/>
        </w:rPr>
        <w:t xml:space="preserve"> </w:t>
      </w:r>
      <w:r>
        <w:t>claims.</w:t>
      </w:r>
      <w:r>
        <w:rPr>
          <w:spacing w:val="-3"/>
        </w:rPr>
        <w:t xml:space="preserve"> </w:t>
      </w:r>
      <w:r>
        <w:t>Accounting</w:t>
      </w:r>
      <w:r>
        <w:rPr>
          <w:spacing w:val="-3"/>
        </w:rPr>
        <w:t xml:space="preserve"> </w:t>
      </w:r>
      <w:r>
        <w:t>information</w:t>
      </w:r>
      <w:r>
        <w:rPr>
          <w:spacing w:val="-3"/>
        </w:rPr>
        <w:t xml:space="preserve"> </w:t>
      </w:r>
      <w:r>
        <w:t>is</w:t>
      </w:r>
      <w:r>
        <w:rPr>
          <w:spacing w:val="-4"/>
        </w:rPr>
        <w:t xml:space="preserve"> </w:t>
      </w:r>
      <w:r>
        <w:t>expected</w:t>
      </w:r>
      <w:r>
        <w:rPr>
          <w:spacing w:val="-3"/>
        </w:rPr>
        <w:t xml:space="preserve"> </w:t>
      </w:r>
      <w:r>
        <w:t>to</w:t>
      </w:r>
      <w:r>
        <w:rPr>
          <w:spacing w:val="-3"/>
        </w:rPr>
        <w:t xml:space="preserve"> </w:t>
      </w:r>
      <w:r>
        <w:t>support</w:t>
      </w:r>
      <w:r>
        <w:rPr>
          <w:spacing w:val="-4"/>
        </w:rPr>
        <w:t xml:space="preserve"> </w:t>
      </w:r>
      <w:r>
        <w:t>that</w:t>
      </w:r>
      <w:r>
        <w:rPr>
          <w:spacing w:val="-4"/>
        </w:rPr>
        <w:t xml:space="preserve"> </w:t>
      </w:r>
      <w:r>
        <w:t>valuation</w:t>
      </w:r>
      <w:r>
        <w:rPr>
          <w:spacing w:val="-3"/>
        </w:rPr>
        <w:t xml:space="preserve"> </w:t>
      </w:r>
      <w:r>
        <w:t>process</w:t>
      </w:r>
      <w:r>
        <w:rPr>
          <w:spacing w:val="-4"/>
        </w:rPr>
        <w:t xml:space="preserve"> </w:t>
      </w:r>
      <w:r>
        <w:t>because</w:t>
      </w:r>
      <w:r>
        <w:rPr>
          <w:spacing w:val="-4"/>
        </w:rPr>
        <w:t xml:space="preserve"> </w:t>
      </w:r>
      <w:r>
        <w:t>it</w:t>
      </w:r>
    </w:p>
    <w:p w14:paraId="73376FB1" w14:textId="77777777" w:rsidR="00ED08FF" w:rsidRDefault="00ED08FF">
      <w:pPr>
        <w:pStyle w:val="BodyText"/>
        <w:spacing w:before="51"/>
        <w:ind w:left="0"/>
      </w:pPr>
    </w:p>
    <w:p w14:paraId="30C4C413" w14:textId="77777777" w:rsidR="00ED08FF" w:rsidRDefault="00000000">
      <w:pPr>
        <w:pStyle w:val="BodyText"/>
        <w:spacing w:line="297" w:lineRule="auto"/>
        <w:ind w:right="1903"/>
      </w:pPr>
      <w:r>
        <w:t>translates</w:t>
      </w:r>
      <w:r>
        <w:rPr>
          <w:spacing w:val="-5"/>
        </w:rPr>
        <w:t xml:space="preserve"> </w:t>
      </w:r>
      <w:r>
        <w:t>business</w:t>
      </w:r>
      <w:r>
        <w:rPr>
          <w:spacing w:val="-5"/>
        </w:rPr>
        <w:t xml:space="preserve"> </w:t>
      </w:r>
      <w:r>
        <w:t>activity</w:t>
      </w:r>
      <w:r>
        <w:rPr>
          <w:spacing w:val="-4"/>
        </w:rPr>
        <w:t xml:space="preserve"> </w:t>
      </w:r>
      <w:r>
        <w:t>into</w:t>
      </w:r>
      <w:r>
        <w:rPr>
          <w:spacing w:val="-4"/>
        </w:rPr>
        <w:t xml:space="preserve"> </w:t>
      </w:r>
      <w:r>
        <w:t>measurable</w:t>
      </w:r>
      <w:r>
        <w:rPr>
          <w:spacing w:val="-5"/>
        </w:rPr>
        <w:t xml:space="preserve"> </w:t>
      </w:r>
      <w:r>
        <w:t>numbers,</w:t>
      </w:r>
      <w:r>
        <w:rPr>
          <w:spacing w:val="-4"/>
        </w:rPr>
        <w:t xml:space="preserve"> </w:t>
      </w:r>
      <w:r>
        <w:t>including</w:t>
      </w:r>
      <w:r>
        <w:rPr>
          <w:spacing w:val="-4"/>
        </w:rPr>
        <w:t xml:space="preserve"> </w:t>
      </w:r>
      <w:r>
        <w:t>assets,</w:t>
      </w:r>
      <w:r>
        <w:rPr>
          <w:spacing w:val="-4"/>
        </w:rPr>
        <w:t xml:space="preserve"> </w:t>
      </w:r>
      <w:r>
        <w:t>liabilities,</w:t>
      </w:r>
      <w:r>
        <w:rPr>
          <w:spacing w:val="-4"/>
        </w:rPr>
        <w:t xml:space="preserve"> </w:t>
      </w:r>
      <w:r>
        <w:t>equity,</w:t>
      </w:r>
      <w:r>
        <w:rPr>
          <w:spacing w:val="-4"/>
        </w:rPr>
        <w:t xml:space="preserve"> </w:t>
      </w:r>
      <w:r>
        <w:t>income,</w:t>
      </w:r>
      <w:r>
        <w:rPr>
          <w:spacing w:val="-4"/>
        </w:rPr>
        <w:t xml:space="preserve"> </w:t>
      </w:r>
      <w:r>
        <w:t>and</w:t>
      </w:r>
      <w:r>
        <w:rPr>
          <w:spacing w:val="-4"/>
        </w:rPr>
        <w:t xml:space="preserve"> </w:t>
      </w:r>
      <w:r>
        <w:t xml:space="preserve">cash-generating </w:t>
      </w:r>
      <w:r>
        <w:rPr>
          <w:color w:val="000000"/>
          <w:highlight w:val="yellow"/>
        </w:rPr>
        <w:t>capacity (Fama &amp; French, 1992; Ross et al., 2022).</w:t>
      </w:r>
    </w:p>
    <w:p w14:paraId="07A2E09A" w14:textId="77777777" w:rsidR="00ED08FF" w:rsidRDefault="00000000">
      <w:pPr>
        <w:pStyle w:val="BodyText"/>
        <w:spacing w:before="0" w:line="297" w:lineRule="auto"/>
        <w:ind w:right="1798"/>
      </w:pPr>
      <w:r>
        <w:t>In emerging markets, the link between accounting ratios and market valuation remains important. Investors often face information asymmetry, uneven disclosure quality, and different levels of analyst coverage. Under these conditions, basic financial ratios become practical screening tools. Profitability, leverage, firm size, and liquidity are among the most frequently observed indicators because they can be extracted from annual reports, financial statements, and public</w:t>
      </w:r>
      <w:r>
        <w:rPr>
          <w:spacing w:val="40"/>
        </w:rPr>
        <w:t xml:space="preserve"> </w:t>
      </w:r>
      <w:r>
        <w:t>financial</w:t>
      </w:r>
      <w:r>
        <w:rPr>
          <w:spacing w:val="-3"/>
        </w:rPr>
        <w:t xml:space="preserve"> </w:t>
      </w:r>
      <w:r>
        <w:t>databases.</w:t>
      </w:r>
      <w:r>
        <w:rPr>
          <w:spacing w:val="-2"/>
        </w:rPr>
        <w:t xml:space="preserve"> </w:t>
      </w:r>
      <w:r>
        <w:t>The</w:t>
      </w:r>
      <w:r>
        <w:rPr>
          <w:spacing w:val="-3"/>
        </w:rPr>
        <w:t xml:space="preserve"> </w:t>
      </w:r>
      <w:r>
        <w:t>value</w:t>
      </w:r>
      <w:r>
        <w:rPr>
          <w:spacing w:val="-3"/>
        </w:rPr>
        <w:t xml:space="preserve"> </w:t>
      </w:r>
      <w:r>
        <w:t>of</w:t>
      </w:r>
      <w:r>
        <w:rPr>
          <w:spacing w:val="-2"/>
        </w:rPr>
        <w:t xml:space="preserve"> </w:t>
      </w:r>
      <w:r>
        <w:t>these</w:t>
      </w:r>
      <w:r>
        <w:rPr>
          <w:spacing w:val="-3"/>
        </w:rPr>
        <w:t xml:space="preserve"> </w:t>
      </w:r>
      <w:r>
        <w:t>ratios</w:t>
      </w:r>
      <w:r>
        <w:rPr>
          <w:spacing w:val="-3"/>
        </w:rPr>
        <w:t xml:space="preserve"> </w:t>
      </w:r>
      <w:r>
        <w:t>lies</w:t>
      </w:r>
      <w:r>
        <w:rPr>
          <w:spacing w:val="-3"/>
        </w:rPr>
        <w:t xml:space="preserve"> </w:t>
      </w:r>
      <w:r>
        <w:t>in</w:t>
      </w:r>
      <w:r>
        <w:rPr>
          <w:spacing w:val="-2"/>
        </w:rPr>
        <w:t xml:space="preserve"> </w:t>
      </w:r>
      <w:r>
        <w:t>their</w:t>
      </w:r>
      <w:r>
        <w:rPr>
          <w:spacing w:val="-2"/>
        </w:rPr>
        <w:t xml:space="preserve"> </w:t>
      </w:r>
      <w:r>
        <w:t>simplicity:</w:t>
      </w:r>
      <w:r>
        <w:rPr>
          <w:spacing w:val="-3"/>
        </w:rPr>
        <w:t xml:space="preserve"> </w:t>
      </w:r>
      <w:r>
        <w:t>they</w:t>
      </w:r>
      <w:r>
        <w:rPr>
          <w:spacing w:val="-2"/>
        </w:rPr>
        <w:t xml:space="preserve"> </w:t>
      </w:r>
      <w:r>
        <w:t>allow</w:t>
      </w:r>
      <w:r>
        <w:rPr>
          <w:spacing w:val="-3"/>
        </w:rPr>
        <w:t xml:space="preserve"> </w:t>
      </w:r>
      <w:r>
        <w:t>investors</w:t>
      </w:r>
      <w:r>
        <w:rPr>
          <w:spacing w:val="-3"/>
        </w:rPr>
        <w:t xml:space="preserve"> </w:t>
      </w:r>
      <w:r>
        <w:t>to</w:t>
      </w:r>
      <w:r>
        <w:rPr>
          <w:spacing w:val="-2"/>
        </w:rPr>
        <w:t xml:space="preserve"> </w:t>
      </w:r>
      <w:r>
        <w:t>compare</w:t>
      </w:r>
      <w:r>
        <w:rPr>
          <w:spacing w:val="-3"/>
        </w:rPr>
        <w:t xml:space="preserve"> </w:t>
      </w:r>
      <w:r>
        <w:t>firms</w:t>
      </w:r>
      <w:r>
        <w:rPr>
          <w:spacing w:val="-3"/>
        </w:rPr>
        <w:t xml:space="preserve"> </w:t>
      </w:r>
      <w:r>
        <w:t>without</w:t>
      </w:r>
      <w:r>
        <w:rPr>
          <w:spacing w:val="-3"/>
        </w:rPr>
        <w:t xml:space="preserve"> </w:t>
      </w:r>
      <w:r>
        <w:t xml:space="preserve">needing </w:t>
      </w:r>
      <w:r>
        <w:rPr>
          <w:color w:val="000000"/>
          <w:highlight w:val="yellow"/>
        </w:rPr>
        <w:t>confidential internal information (Wooldridge, 2010; Sekaran &amp; Bougie, 2016).</w:t>
      </w:r>
    </w:p>
    <w:p w14:paraId="0E8F234E" w14:textId="77777777" w:rsidR="00ED08FF" w:rsidRDefault="00000000">
      <w:pPr>
        <w:pStyle w:val="BodyText"/>
        <w:spacing w:before="2" w:line="252" w:lineRule="auto"/>
      </w:pPr>
      <w:r>
        <w:rPr>
          <w:color w:val="000000"/>
          <w:highlight w:val="yellow"/>
        </w:rPr>
        <w:t>Recent empirical evidence indicates that the valuation relevance of profitability, leverage, liquidity, and firm size remains context-dependent;</w:t>
      </w:r>
      <w:r>
        <w:rPr>
          <w:color w:val="000000"/>
        </w:rPr>
        <w:t xml:space="preserve"> </w:t>
      </w:r>
      <w:r>
        <w:rPr>
          <w:color w:val="000000"/>
          <w:highlight w:val="yellow"/>
        </w:rPr>
        <w:t>studies on Indonesian consumer non-cyclicals and other emerging-market settings show that similar ratios can produce different market-value</w:t>
      </w:r>
      <w:r>
        <w:rPr>
          <w:color w:val="000000"/>
        </w:rPr>
        <w:t xml:space="preserve"> </w:t>
      </w:r>
      <w:r>
        <w:rPr>
          <w:color w:val="000000"/>
          <w:highlight w:val="yellow"/>
        </w:rPr>
        <w:t>effects</w:t>
      </w:r>
      <w:r>
        <w:rPr>
          <w:color w:val="000000"/>
          <w:spacing w:val="-3"/>
          <w:highlight w:val="yellow"/>
        </w:rPr>
        <w:t xml:space="preserve"> </w:t>
      </w:r>
      <w:r>
        <w:rPr>
          <w:color w:val="000000"/>
          <w:highlight w:val="yellow"/>
        </w:rPr>
        <w:t>when</w:t>
      </w:r>
      <w:r>
        <w:rPr>
          <w:color w:val="000000"/>
          <w:spacing w:val="-2"/>
          <w:highlight w:val="yellow"/>
        </w:rPr>
        <w:t xml:space="preserve"> </w:t>
      </w:r>
      <w:r>
        <w:rPr>
          <w:color w:val="000000"/>
          <w:highlight w:val="yellow"/>
        </w:rPr>
        <w:t>sector,</w:t>
      </w:r>
      <w:r>
        <w:rPr>
          <w:color w:val="000000"/>
          <w:spacing w:val="-2"/>
          <w:highlight w:val="yellow"/>
        </w:rPr>
        <w:t xml:space="preserve"> </w:t>
      </w:r>
      <w:r>
        <w:rPr>
          <w:color w:val="000000"/>
          <w:highlight w:val="yellow"/>
        </w:rPr>
        <w:t>firm</w:t>
      </w:r>
      <w:r>
        <w:rPr>
          <w:color w:val="000000"/>
          <w:spacing w:val="-3"/>
          <w:highlight w:val="yellow"/>
        </w:rPr>
        <w:t xml:space="preserve"> </w:t>
      </w:r>
      <w:r>
        <w:rPr>
          <w:color w:val="000000"/>
          <w:highlight w:val="yellow"/>
        </w:rPr>
        <w:t>size,</w:t>
      </w:r>
      <w:r>
        <w:rPr>
          <w:color w:val="000000"/>
          <w:spacing w:val="-2"/>
          <w:highlight w:val="yellow"/>
        </w:rPr>
        <w:t xml:space="preserve"> </w:t>
      </w:r>
      <w:r>
        <w:rPr>
          <w:color w:val="000000"/>
          <w:highlight w:val="yellow"/>
        </w:rPr>
        <w:t>liquidity</w:t>
      </w:r>
      <w:r>
        <w:rPr>
          <w:color w:val="000000"/>
          <w:spacing w:val="-2"/>
          <w:highlight w:val="yellow"/>
        </w:rPr>
        <w:t xml:space="preserve"> </w:t>
      </w:r>
      <w:r>
        <w:rPr>
          <w:color w:val="000000"/>
          <w:highlight w:val="yellow"/>
        </w:rPr>
        <w:t>quality,</w:t>
      </w:r>
      <w:r>
        <w:rPr>
          <w:color w:val="000000"/>
          <w:spacing w:val="-2"/>
          <w:highlight w:val="yellow"/>
        </w:rPr>
        <w:t xml:space="preserve"> </w:t>
      </w:r>
      <w:r>
        <w:rPr>
          <w:color w:val="000000"/>
          <w:highlight w:val="yellow"/>
        </w:rPr>
        <w:t>and</w:t>
      </w:r>
      <w:r>
        <w:rPr>
          <w:color w:val="000000"/>
          <w:spacing w:val="-2"/>
          <w:highlight w:val="yellow"/>
        </w:rPr>
        <w:t xml:space="preserve"> </w:t>
      </w:r>
      <w:r>
        <w:rPr>
          <w:color w:val="000000"/>
          <w:highlight w:val="yellow"/>
        </w:rPr>
        <w:t>debt</w:t>
      </w:r>
      <w:r>
        <w:rPr>
          <w:color w:val="000000"/>
          <w:spacing w:val="-3"/>
          <w:highlight w:val="yellow"/>
        </w:rPr>
        <w:t xml:space="preserve"> </w:t>
      </w:r>
      <w:r>
        <w:rPr>
          <w:color w:val="000000"/>
          <w:highlight w:val="yellow"/>
        </w:rPr>
        <w:t>maturity</w:t>
      </w:r>
      <w:r>
        <w:rPr>
          <w:color w:val="000000"/>
          <w:spacing w:val="-2"/>
          <w:highlight w:val="yellow"/>
        </w:rPr>
        <w:t xml:space="preserve"> </w:t>
      </w:r>
      <w:r>
        <w:rPr>
          <w:color w:val="000000"/>
          <w:highlight w:val="yellow"/>
        </w:rPr>
        <w:t>are</w:t>
      </w:r>
      <w:r>
        <w:rPr>
          <w:color w:val="000000"/>
          <w:spacing w:val="-3"/>
          <w:highlight w:val="yellow"/>
        </w:rPr>
        <w:t xml:space="preserve"> </w:t>
      </w:r>
      <w:r>
        <w:rPr>
          <w:color w:val="000000"/>
          <w:highlight w:val="yellow"/>
        </w:rPr>
        <w:t>considered</w:t>
      </w:r>
      <w:r>
        <w:rPr>
          <w:color w:val="000000"/>
          <w:spacing w:val="-2"/>
          <w:highlight w:val="yellow"/>
        </w:rPr>
        <w:t xml:space="preserve"> </w:t>
      </w:r>
      <w:r>
        <w:rPr>
          <w:color w:val="000000"/>
          <w:highlight w:val="yellow"/>
        </w:rPr>
        <w:t>(Sulistiyo</w:t>
      </w:r>
      <w:r>
        <w:rPr>
          <w:color w:val="000000"/>
          <w:spacing w:val="-2"/>
          <w:highlight w:val="yellow"/>
        </w:rPr>
        <w:t xml:space="preserve"> </w:t>
      </w:r>
      <w:r>
        <w:rPr>
          <w:color w:val="000000"/>
          <w:highlight w:val="yellow"/>
        </w:rPr>
        <w:t>et</w:t>
      </w:r>
      <w:r>
        <w:rPr>
          <w:color w:val="000000"/>
          <w:spacing w:val="-3"/>
          <w:highlight w:val="yellow"/>
        </w:rPr>
        <w:t xml:space="preserve"> </w:t>
      </w:r>
      <w:r>
        <w:rPr>
          <w:color w:val="000000"/>
          <w:highlight w:val="yellow"/>
        </w:rPr>
        <w:t>al.,</w:t>
      </w:r>
      <w:r>
        <w:rPr>
          <w:color w:val="000000"/>
          <w:spacing w:val="-2"/>
          <w:highlight w:val="yellow"/>
        </w:rPr>
        <w:t xml:space="preserve"> </w:t>
      </w:r>
      <w:r>
        <w:rPr>
          <w:color w:val="000000"/>
          <w:highlight w:val="yellow"/>
        </w:rPr>
        <w:t>2025;</w:t>
      </w:r>
      <w:r>
        <w:rPr>
          <w:color w:val="000000"/>
          <w:spacing w:val="-3"/>
          <w:highlight w:val="yellow"/>
        </w:rPr>
        <w:t xml:space="preserve"> </w:t>
      </w:r>
      <w:r>
        <w:rPr>
          <w:color w:val="000000"/>
          <w:highlight w:val="yellow"/>
        </w:rPr>
        <w:t>Celestine</w:t>
      </w:r>
      <w:r>
        <w:rPr>
          <w:color w:val="000000"/>
          <w:spacing w:val="-3"/>
          <w:highlight w:val="yellow"/>
        </w:rPr>
        <w:t xml:space="preserve"> </w:t>
      </w:r>
      <w:r>
        <w:rPr>
          <w:color w:val="000000"/>
          <w:highlight w:val="yellow"/>
        </w:rPr>
        <w:t>et</w:t>
      </w:r>
      <w:r>
        <w:rPr>
          <w:color w:val="000000"/>
          <w:spacing w:val="-3"/>
          <w:highlight w:val="yellow"/>
        </w:rPr>
        <w:t xml:space="preserve"> </w:t>
      </w:r>
      <w:r>
        <w:rPr>
          <w:color w:val="000000"/>
          <w:highlight w:val="yellow"/>
        </w:rPr>
        <w:t>al.,</w:t>
      </w:r>
      <w:r>
        <w:rPr>
          <w:color w:val="000000"/>
          <w:spacing w:val="-2"/>
          <w:highlight w:val="yellow"/>
        </w:rPr>
        <w:t xml:space="preserve"> </w:t>
      </w:r>
      <w:r>
        <w:rPr>
          <w:color w:val="000000"/>
          <w:highlight w:val="yellow"/>
        </w:rPr>
        <w:t>2026;</w:t>
      </w:r>
      <w:r>
        <w:rPr>
          <w:color w:val="000000"/>
          <w:spacing w:val="-3"/>
          <w:highlight w:val="yellow"/>
        </w:rPr>
        <w:t xml:space="preserve"> </w:t>
      </w:r>
      <w:r>
        <w:rPr>
          <w:color w:val="000000"/>
          <w:highlight w:val="yellow"/>
        </w:rPr>
        <w:t>Khalifaturofi’ah</w:t>
      </w:r>
      <w:r>
        <w:rPr>
          <w:color w:val="000000"/>
          <w:spacing w:val="-2"/>
          <w:highlight w:val="yellow"/>
        </w:rPr>
        <w:t xml:space="preserve"> </w:t>
      </w:r>
      <w:r>
        <w:rPr>
          <w:color w:val="000000"/>
          <w:highlight w:val="yellow"/>
        </w:rPr>
        <w:t>&amp;</w:t>
      </w:r>
      <w:r>
        <w:rPr>
          <w:color w:val="000000"/>
        </w:rPr>
        <w:t xml:space="preserve"> </w:t>
      </w:r>
      <w:r>
        <w:rPr>
          <w:color w:val="000000"/>
          <w:highlight w:val="yellow"/>
        </w:rPr>
        <w:t>Setiawan, 2025; Kiymaz et al., 2024; Karaca et al., 2025).</w:t>
      </w:r>
    </w:p>
    <w:p w14:paraId="244A1305" w14:textId="77777777" w:rsidR="00ED08FF" w:rsidRDefault="00000000">
      <w:pPr>
        <w:pStyle w:val="BodyText"/>
        <w:spacing w:before="39" w:line="297" w:lineRule="auto"/>
        <w:ind w:right="1903"/>
      </w:pPr>
      <w:r>
        <w:t>The consumer non-cyclicals sector is a suitable setting for this study. Companies in this sector produce or distribute products used in daily household consumption, such as food, beverages, basic retail goods, personal care products, and household necessities. Demand for these products is normally more stable than demand for durable or discretionary products.</w:t>
      </w:r>
      <w:r>
        <w:rPr>
          <w:spacing w:val="-3"/>
        </w:rPr>
        <w:t xml:space="preserve"> </w:t>
      </w:r>
      <w:r>
        <w:t>Stability,</w:t>
      </w:r>
      <w:r>
        <w:rPr>
          <w:spacing w:val="-3"/>
        </w:rPr>
        <w:t xml:space="preserve"> </w:t>
      </w:r>
      <w:r>
        <w:t>however,</w:t>
      </w:r>
      <w:r>
        <w:rPr>
          <w:spacing w:val="-3"/>
        </w:rPr>
        <w:t xml:space="preserve"> </w:t>
      </w:r>
      <w:r>
        <w:t>does</w:t>
      </w:r>
      <w:r>
        <w:rPr>
          <w:spacing w:val="-4"/>
        </w:rPr>
        <w:t xml:space="preserve"> </w:t>
      </w:r>
      <w:r>
        <w:t>not</w:t>
      </w:r>
      <w:r>
        <w:rPr>
          <w:spacing w:val="-4"/>
        </w:rPr>
        <w:t xml:space="preserve"> </w:t>
      </w:r>
      <w:r>
        <w:t>mean</w:t>
      </w:r>
      <w:r>
        <w:rPr>
          <w:spacing w:val="-3"/>
        </w:rPr>
        <w:t xml:space="preserve"> </w:t>
      </w:r>
      <w:r>
        <w:t>valuation</w:t>
      </w:r>
      <w:r>
        <w:rPr>
          <w:spacing w:val="-3"/>
        </w:rPr>
        <w:t xml:space="preserve"> </w:t>
      </w:r>
      <w:r>
        <w:t>uniformity.</w:t>
      </w:r>
      <w:r>
        <w:rPr>
          <w:spacing w:val="-3"/>
        </w:rPr>
        <w:t xml:space="preserve"> </w:t>
      </w:r>
      <w:r>
        <w:t>In</w:t>
      </w:r>
      <w:r>
        <w:rPr>
          <w:spacing w:val="-3"/>
        </w:rPr>
        <w:t xml:space="preserve"> </w:t>
      </w:r>
      <w:r>
        <w:t>practice,</w:t>
      </w:r>
      <w:r>
        <w:rPr>
          <w:spacing w:val="-3"/>
        </w:rPr>
        <w:t xml:space="preserve"> </w:t>
      </w:r>
      <w:r>
        <w:t>PBV</w:t>
      </w:r>
      <w:r>
        <w:rPr>
          <w:spacing w:val="-4"/>
        </w:rPr>
        <w:t xml:space="preserve"> </w:t>
      </w:r>
      <w:r>
        <w:t>differs</w:t>
      </w:r>
      <w:r>
        <w:rPr>
          <w:spacing w:val="-4"/>
        </w:rPr>
        <w:t xml:space="preserve"> </w:t>
      </w:r>
      <w:r>
        <w:t>sharply</w:t>
      </w:r>
      <w:r>
        <w:rPr>
          <w:spacing w:val="-3"/>
        </w:rPr>
        <w:t xml:space="preserve"> </w:t>
      </w:r>
      <w:r>
        <w:t>across</w:t>
      </w:r>
      <w:r>
        <w:rPr>
          <w:spacing w:val="-4"/>
        </w:rPr>
        <w:t xml:space="preserve"> </w:t>
      </w:r>
      <w:r>
        <w:t>issuers</w:t>
      </w:r>
      <w:r>
        <w:rPr>
          <w:spacing w:val="-4"/>
        </w:rPr>
        <w:t xml:space="preserve"> </w:t>
      </w:r>
      <w:r>
        <w:t>because companies have different margins, capital structures, working capital policies, asset bases, brand equity, distribution reach, and growth expectations.</w:t>
      </w:r>
    </w:p>
    <w:p w14:paraId="48C87CAF" w14:textId="77777777" w:rsidR="00ED08FF" w:rsidRDefault="00000000">
      <w:pPr>
        <w:pStyle w:val="BodyText"/>
        <w:spacing w:before="2" w:line="252" w:lineRule="auto"/>
      </w:pPr>
      <w:r>
        <w:rPr>
          <w:color w:val="000000"/>
          <w:highlight w:val="yellow"/>
        </w:rPr>
        <w:t>A</w:t>
      </w:r>
      <w:r>
        <w:rPr>
          <w:color w:val="000000"/>
          <w:spacing w:val="-3"/>
          <w:highlight w:val="yellow"/>
        </w:rPr>
        <w:t xml:space="preserve"> </w:t>
      </w:r>
      <w:r>
        <w:rPr>
          <w:color w:val="000000"/>
          <w:highlight w:val="yellow"/>
        </w:rPr>
        <w:t>recurring</w:t>
      </w:r>
      <w:r>
        <w:rPr>
          <w:color w:val="000000"/>
          <w:spacing w:val="-2"/>
          <w:highlight w:val="yellow"/>
        </w:rPr>
        <w:t xml:space="preserve"> </w:t>
      </w:r>
      <w:r>
        <w:rPr>
          <w:color w:val="000000"/>
          <w:highlight w:val="yellow"/>
        </w:rPr>
        <w:t>limitation</w:t>
      </w:r>
      <w:r>
        <w:rPr>
          <w:color w:val="000000"/>
          <w:spacing w:val="-2"/>
          <w:highlight w:val="yellow"/>
        </w:rPr>
        <w:t xml:space="preserve"> </w:t>
      </w:r>
      <w:r>
        <w:rPr>
          <w:color w:val="000000"/>
          <w:highlight w:val="yellow"/>
        </w:rPr>
        <w:t>in</w:t>
      </w:r>
      <w:r>
        <w:rPr>
          <w:color w:val="000000"/>
          <w:spacing w:val="-2"/>
          <w:highlight w:val="yellow"/>
        </w:rPr>
        <w:t xml:space="preserve"> </w:t>
      </w:r>
      <w:r>
        <w:rPr>
          <w:color w:val="000000"/>
          <w:highlight w:val="yellow"/>
        </w:rPr>
        <w:t>empirical</w:t>
      </w:r>
      <w:r>
        <w:rPr>
          <w:color w:val="000000"/>
          <w:spacing w:val="-3"/>
          <w:highlight w:val="yellow"/>
        </w:rPr>
        <w:t xml:space="preserve"> </w:t>
      </w:r>
      <w:r>
        <w:rPr>
          <w:color w:val="000000"/>
          <w:highlight w:val="yellow"/>
        </w:rPr>
        <w:t>accounting</w:t>
      </w:r>
      <w:r>
        <w:rPr>
          <w:color w:val="000000"/>
          <w:spacing w:val="-2"/>
          <w:highlight w:val="yellow"/>
        </w:rPr>
        <w:t xml:space="preserve"> </w:t>
      </w:r>
      <w:r>
        <w:rPr>
          <w:color w:val="000000"/>
          <w:highlight w:val="yellow"/>
        </w:rPr>
        <w:t>papers</w:t>
      </w:r>
      <w:r>
        <w:rPr>
          <w:color w:val="000000"/>
          <w:spacing w:val="-3"/>
          <w:highlight w:val="yellow"/>
        </w:rPr>
        <w:t xml:space="preserve"> </w:t>
      </w:r>
      <w:r>
        <w:rPr>
          <w:color w:val="000000"/>
          <w:highlight w:val="yellow"/>
        </w:rPr>
        <w:t>is</w:t>
      </w:r>
      <w:r>
        <w:rPr>
          <w:color w:val="000000"/>
          <w:spacing w:val="-3"/>
          <w:highlight w:val="yellow"/>
        </w:rPr>
        <w:t xml:space="preserve"> </w:t>
      </w:r>
      <w:r>
        <w:rPr>
          <w:color w:val="000000"/>
          <w:highlight w:val="yellow"/>
        </w:rPr>
        <w:t>the</w:t>
      </w:r>
      <w:r>
        <w:rPr>
          <w:color w:val="000000"/>
          <w:spacing w:val="-3"/>
          <w:highlight w:val="yellow"/>
        </w:rPr>
        <w:t xml:space="preserve"> </w:t>
      </w:r>
      <w:r>
        <w:rPr>
          <w:color w:val="000000"/>
          <w:highlight w:val="yellow"/>
        </w:rPr>
        <w:t>selection</w:t>
      </w:r>
      <w:r>
        <w:rPr>
          <w:color w:val="000000"/>
          <w:spacing w:val="-2"/>
          <w:highlight w:val="yellow"/>
        </w:rPr>
        <w:t xml:space="preserve"> </w:t>
      </w:r>
      <w:r>
        <w:rPr>
          <w:color w:val="000000"/>
          <w:highlight w:val="yellow"/>
        </w:rPr>
        <w:t>of</w:t>
      </w:r>
      <w:r>
        <w:rPr>
          <w:color w:val="000000"/>
          <w:spacing w:val="-2"/>
          <w:highlight w:val="yellow"/>
        </w:rPr>
        <w:t xml:space="preserve"> </w:t>
      </w:r>
      <w:r>
        <w:rPr>
          <w:color w:val="000000"/>
          <w:highlight w:val="yellow"/>
        </w:rPr>
        <w:t>variables</w:t>
      </w:r>
      <w:r>
        <w:rPr>
          <w:color w:val="000000"/>
          <w:spacing w:val="-3"/>
          <w:highlight w:val="yellow"/>
        </w:rPr>
        <w:t xml:space="preserve"> </w:t>
      </w:r>
      <w:r>
        <w:rPr>
          <w:color w:val="000000"/>
          <w:highlight w:val="yellow"/>
        </w:rPr>
        <w:t>that</w:t>
      </w:r>
      <w:r>
        <w:rPr>
          <w:color w:val="000000"/>
          <w:spacing w:val="-3"/>
          <w:highlight w:val="yellow"/>
        </w:rPr>
        <w:t xml:space="preserve"> </w:t>
      </w:r>
      <w:r>
        <w:rPr>
          <w:color w:val="000000"/>
          <w:highlight w:val="yellow"/>
        </w:rPr>
        <w:t>appear</w:t>
      </w:r>
      <w:r>
        <w:rPr>
          <w:color w:val="000000"/>
          <w:spacing w:val="-2"/>
          <w:highlight w:val="yellow"/>
        </w:rPr>
        <w:t xml:space="preserve"> </w:t>
      </w:r>
      <w:r>
        <w:rPr>
          <w:color w:val="000000"/>
          <w:highlight w:val="yellow"/>
        </w:rPr>
        <w:t>conceptually</w:t>
      </w:r>
      <w:r>
        <w:rPr>
          <w:color w:val="000000"/>
          <w:spacing w:val="-2"/>
          <w:highlight w:val="yellow"/>
        </w:rPr>
        <w:t xml:space="preserve"> </w:t>
      </w:r>
      <w:r>
        <w:rPr>
          <w:color w:val="000000"/>
          <w:highlight w:val="yellow"/>
        </w:rPr>
        <w:t>complex</w:t>
      </w:r>
      <w:r>
        <w:rPr>
          <w:color w:val="000000"/>
          <w:spacing w:val="-2"/>
          <w:highlight w:val="yellow"/>
        </w:rPr>
        <w:t xml:space="preserve"> </w:t>
      </w:r>
      <w:r>
        <w:rPr>
          <w:color w:val="000000"/>
          <w:highlight w:val="yellow"/>
        </w:rPr>
        <w:t>but</w:t>
      </w:r>
      <w:r>
        <w:rPr>
          <w:color w:val="000000"/>
          <w:spacing w:val="-2"/>
          <w:highlight w:val="yellow"/>
        </w:rPr>
        <w:t xml:space="preserve"> </w:t>
      </w:r>
      <w:r>
        <w:rPr>
          <w:color w:val="000000"/>
          <w:highlight w:val="yellow"/>
        </w:rPr>
        <w:t>cannot</w:t>
      </w:r>
      <w:r>
        <w:rPr>
          <w:color w:val="000000"/>
          <w:spacing w:val="-3"/>
          <w:highlight w:val="yellow"/>
        </w:rPr>
        <w:t xml:space="preserve"> </w:t>
      </w:r>
      <w:r>
        <w:rPr>
          <w:color w:val="000000"/>
          <w:highlight w:val="yellow"/>
        </w:rPr>
        <w:t>be</w:t>
      </w:r>
      <w:r>
        <w:rPr>
          <w:color w:val="000000"/>
          <w:spacing w:val="-3"/>
          <w:highlight w:val="yellow"/>
        </w:rPr>
        <w:t xml:space="preserve"> </w:t>
      </w:r>
      <w:r>
        <w:rPr>
          <w:color w:val="000000"/>
          <w:highlight w:val="yellow"/>
        </w:rPr>
        <w:t>measured</w:t>
      </w:r>
      <w:r>
        <w:rPr>
          <w:color w:val="000000"/>
        </w:rPr>
        <w:t xml:space="preserve"> </w:t>
      </w:r>
      <w:r>
        <w:rPr>
          <w:color w:val="000000"/>
          <w:highlight w:val="yellow"/>
        </w:rPr>
        <w:t>consistently. This study therefore uses variables with clear definitions and publicly accessible data.</w:t>
      </w:r>
    </w:p>
    <w:p w14:paraId="4E64258F" w14:textId="77777777" w:rsidR="00ED08FF" w:rsidRDefault="00000000">
      <w:pPr>
        <w:pStyle w:val="BodyText"/>
        <w:spacing w:before="39" w:line="297" w:lineRule="auto"/>
        <w:ind w:right="1671"/>
      </w:pPr>
      <w:r>
        <w:rPr>
          <w:color w:val="000000"/>
          <w:highlight w:val="yellow"/>
        </w:rPr>
        <w:t>public</w:t>
      </w:r>
      <w:r>
        <w:rPr>
          <w:color w:val="000000"/>
          <w:spacing w:val="-4"/>
          <w:highlight w:val="yellow"/>
        </w:rPr>
        <w:t xml:space="preserve"> </w:t>
      </w:r>
      <w:r>
        <w:rPr>
          <w:color w:val="000000"/>
          <w:highlight w:val="yellow"/>
        </w:rPr>
        <w:t>sources.</w:t>
      </w:r>
      <w:r>
        <w:rPr>
          <w:color w:val="000000"/>
          <w:spacing w:val="-3"/>
          <w:highlight w:val="yellow"/>
        </w:rPr>
        <w:t xml:space="preserve"> </w:t>
      </w:r>
      <w:r>
        <w:rPr>
          <w:color w:val="000000"/>
          <w:highlight w:val="yellow"/>
        </w:rPr>
        <w:t>The</w:t>
      </w:r>
      <w:r>
        <w:rPr>
          <w:color w:val="000000"/>
          <w:spacing w:val="-4"/>
          <w:highlight w:val="yellow"/>
        </w:rPr>
        <w:t xml:space="preserve"> </w:t>
      </w:r>
      <w:r>
        <w:rPr>
          <w:color w:val="000000"/>
          <w:highlight w:val="yellow"/>
        </w:rPr>
        <w:t>dependent</w:t>
      </w:r>
      <w:r>
        <w:rPr>
          <w:color w:val="000000"/>
          <w:spacing w:val="-4"/>
          <w:highlight w:val="yellow"/>
        </w:rPr>
        <w:t xml:space="preserve"> </w:t>
      </w:r>
      <w:r>
        <w:rPr>
          <w:color w:val="000000"/>
          <w:highlight w:val="yellow"/>
        </w:rPr>
        <w:t>variable,</w:t>
      </w:r>
      <w:r>
        <w:rPr>
          <w:color w:val="000000"/>
          <w:spacing w:val="-3"/>
          <w:highlight w:val="yellow"/>
        </w:rPr>
        <w:t xml:space="preserve"> </w:t>
      </w:r>
      <w:r>
        <w:rPr>
          <w:color w:val="000000"/>
          <w:highlight w:val="yellow"/>
        </w:rPr>
        <w:t>PBV,</w:t>
      </w:r>
      <w:r>
        <w:rPr>
          <w:color w:val="000000"/>
          <w:spacing w:val="-3"/>
          <w:highlight w:val="yellow"/>
        </w:rPr>
        <w:t xml:space="preserve"> </w:t>
      </w:r>
      <w:r>
        <w:rPr>
          <w:color w:val="000000"/>
          <w:highlight w:val="yellow"/>
        </w:rPr>
        <w:t>represents</w:t>
      </w:r>
      <w:r>
        <w:rPr>
          <w:color w:val="000000"/>
          <w:spacing w:val="-4"/>
          <w:highlight w:val="yellow"/>
        </w:rPr>
        <w:t xml:space="preserve"> </w:t>
      </w:r>
      <w:r>
        <w:rPr>
          <w:color w:val="000000"/>
          <w:highlight w:val="yellow"/>
        </w:rPr>
        <w:t>market</w:t>
      </w:r>
      <w:r>
        <w:rPr>
          <w:color w:val="000000"/>
          <w:spacing w:val="-4"/>
          <w:highlight w:val="yellow"/>
        </w:rPr>
        <w:t xml:space="preserve"> </w:t>
      </w:r>
      <w:r>
        <w:rPr>
          <w:color w:val="000000"/>
          <w:highlight w:val="yellow"/>
        </w:rPr>
        <w:t>value</w:t>
      </w:r>
      <w:r>
        <w:rPr>
          <w:color w:val="000000"/>
          <w:spacing w:val="-4"/>
          <w:highlight w:val="yellow"/>
        </w:rPr>
        <w:t xml:space="preserve"> </w:t>
      </w:r>
      <w:r>
        <w:rPr>
          <w:color w:val="000000"/>
          <w:highlight w:val="yellow"/>
        </w:rPr>
        <w:t>relative</w:t>
      </w:r>
      <w:r>
        <w:rPr>
          <w:color w:val="000000"/>
          <w:spacing w:val="-4"/>
          <w:highlight w:val="yellow"/>
        </w:rPr>
        <w:t xml:space="preserve"> </w:t>
      </w:r>
      <w:r>
        <w:rPr>
          <w:color w:val="000000"/>
          <w:highlight w:val="yellow"/>
        </w:rPr>
        <w:t>to</w:t>
      </w:r>
      <w:r>
        <w:rPr>
          <w:color w:val="000000"/>
          <w:spacing w:val="-3"/>
          <w:highlight w:val="yellow"/>
        </w:rPr>
        <w:t xml:space="preserve"> </w:t>
      </w:r>
      <w:r>
        <w:rPr>
          <w:color w:val="000000"/>
          <w:highlight w:val="yellow"/>
        </w:rPr>
        <w:t>book</w:t>
      </w:r>
      <w:r>
        <w:rPr>
          <w:color w:val="000000"/>
          <w:spacing w:val="-3"/>
          <w:highlight w:val="yellow"/>
        </w:rPr>
        <w:t xml:space="preserve"> </w:t>
      </w:r>
      <w:r>
        <w:rPr>
          <w:color w:val="000000"/>
          <w:highlight w:val="yellow"/>
        </w:rPr>
        <w:t>equity.</w:t>
      </w:r>
      <w:r>
        <w:rPr>
          <w:color w:val="000000"/>
          <w:spacing w:val="-3"/>
          <w:highlight w:val="yellow"/>
        </w:rPr>
        <w:t xml:space="preserve"> </w:t>
      </w:r>
      <w:r>
        <w:rPr>
          <w:color w:val="000000"/>
          <w:highlight w:val="yellow"/>
        </w:rPr>
        <w:t>The</w:t>
      </w:r>
      <w:r>
        <w:rPr>
          <w:color w:val="000000"/>
          <w:spacing w:val="-4"/>
          <w:highlight w:val="yellow"/>
        </w:rPr>
        <w:t xml:space="preserve"> </w:t>
      </w:r>
      <w:r>
        <w:rPr>
          <w:color w:val="000000"/>
          <w:highlight w:val="yellow"/>
        </w:rPr>
        <w:t>independent</w:t>
      </w:r>
      <w:r>
        <w:rPr>
          <w:color w:val="000000"/>
          <w:spacing w:val="-4"/>
          <w:highlight w:val="yellow"/>
        </w:rPr>
        <w:t xml:space="preserve"> </w:t>
      </w:r>
      <w:r>
        <w:rPr>
          <w:color w:val="000000"/>
          <w:highlight w:val="yellow"/>
        </w:rPr>
        <w:t>variables</w:t>
      </w:r>
      <w:r>
        <w:rPr>
          <w:color w:val="000000"/>
          <w:spacing w:val="-4"/>
          <w:highlight w:val="yellow"/>
        </w:rPr>
        <w:t xml:space="preserve"> </w:t>
      </w:r>
      <w:r>
        <w:rPr>
          <w:color w:val="000000"/>
          <w:highlight w:val="yellow"/>
        </w:rPr>
        <w:t>are</w:t>
      </w:r>
      <w:r>
        <w:rPr>
          <w:color w:val="000000"/>
        </w:rPr>
        <w:t xml:space="preserve"> ROA, DER, firm size, and current ratio. These measures are conventional, but that is precisely why they are useful: they</w:t>
      </w:r>
    </w:p>
    <w:p w14:paraId="7301AC92" w14:textId="77777777" w:rsidR="00ED08FF" w:rsidRDefault="00000000">
      <w:pPr>
        <w:pStyle w:val="BodyText"/>
      </w:pPr>
      <w:r>
        <w:t>can</w:t>
      </w:r>
      <w:r>
        <w:rPr>
          <w:spacing w:val="-3"/>
        </w:rPr>
        <w:t xml:space="preserve"> </w:t>
      </w:r>
      <w:r>
        <w:t>be</w:t>
      </w:r>
      <w:r>
        <w:rPr>
          <w:spacing w:val="-3"/>
        </w:rPr>
        <w:t xml:space="preserve"> </w:t>
      </w:r>
      <w:r>
        <w:t>checked,</w:t>
      </w:r>
      <w:r>
        <w:rPr>
          <w:spacing w:val="-2"/>
        </w:rPr>
        <w:t xml:space="preserve"> </w:t>
      </w:r>
      <w:r>
        <w:t>replicated,</w:t>
      </w:r>
      <w:r>
        <w:rPr>
          <w:spacing w:val="-2"/>
        </w:rPr>
        <w:t xml:space="preserve"> </w:t>
      </w:r>
      <w:r>
        <w:t>and</w:t>
      </w:r>
      <w:r>
        <w:rPr>
          <w:spacing w:val="-3"/>
        </w:rPr>
        <w:t xml:space="preserve"> </w:t>
      </w:r>
      <w:r>
        <w:t>debated</w:t>
      </w:r>
      <w:r>
        <w:rPr>
          <w:spacing w:val="-2"/>
        </w:rPr>
        <w:t xml:space="preserve"> </w:t>
      </w:r>
      <w:r>
        <w:t>using</w:t>
      </w:r>
      <w:r>
        <w:rPr>
          <w:spacing w:val="-2"/>
        </w:rPr>
        <w:t xml:space="preserve"> </w:t>
      </w:r>
      <w:r>
        <w:t>transparent</w:t>
      </w:r>
      <w:r>
        <w:rPr>
          <w:spacing w:val="-3"/>
        </w:rPr>
        <w:t xml:space="preserve"> </w:t>
      </w:r>
      <w:r>
        <w:rPr>
          <w:spacing w:val="-2"/>
        </w:rPr>
        <w:t>evidence.</w:t>
      </w:r>
    </w:p>
    <w:p w14:paraId="22466423" w14:textId="77777777" w:rsidR="00ED08FF" w:rsidRDefault="00000000">
      <w:pPr>
        <w:pStyle w:val="BodyText"/>
        <w:spacing w:before="50" w:line="297" w:lineRule="auto"/>
        <w:ind w:right="2145"/>
      </w:pPr>
      <w:r>
        <w:t xml:space="preserve">The period 2021-2025 is also relevant. It covers the recovery and adjustment period after the COVID-19 shock, </w:t>
      </w:r>
      <w:r>
        <w:rPr>
          <w:color w:val="000000"/>
          <w:highlight w:val="yellow"/>
        </w:rPr>
        <w:t>followed</w:t>
      </w:r>
      <w:r>
        <w:rPr>
          <w:color w:val="000000"/>
          <w:spacing w:val="-4"/>
          <w:highlight w:val="yellow"/>
        </w:rPr>
        <w:t xml:space="preserve"> </w:t>
      </w:r>
      <w:r>
        <w:rPr>
          <w:color w:val="000000"/>
          <w:highlight w:val="yellow"/>
        </w:rPr>
        <w:t>by</w:t>
      </w:r>
      <w:r>
        <w:rPr>
          <w:color w:val="000000"/>
          <w:spacing w:val="-4"/>
          <w:highlight w:val="yellow"/>
        </w:rPr>
        <w:t xml:space="preserve"> </w:t>
      </w:r>
      <w:r>
        <w:rPr>
          <w:color w:val="000000"/>
          <w:highlight w:val="yellow"/>
        </w:rPr>
        <w:t>normalisation</w:t>
      </w:r>
      <w:r>
        <w:rPr>
          <w:color w:val="000000"/>
          <w:spacing w:val="-4"/>
          <w:highlight w:val="yellow"/>
        </w:rPr>
        <w:t xml:space="preserve"> </w:t>
      </w:r>
      <w:r>
        <w:rPr>
          <w:color w:val="000000"/>
          <w:highlight w:val="yellow"/>
        </w:rPr>
        <w:t>in</w:t>
      </w:r>
      <w:r>
        <w:rPr>
          <w:color w:val="000000"/>
          <w:spacing w:val="-4"/>
          <w:highlight w:val="yellow"/>
        </w:rPr>
        <w:t xml:space="preserve"> </w:t>
      </w:r>
      <w:r>
        <w:rPr>
          <w:color w:val="000000"/>
          <w:highlight w:val="yellow"/>
        </w:rPr>
        <w:t>consumption</w:t>
      </w:r>
      <w:r>
        <w:rPr>
          <w:color w:val="000000"/>
          <w:spacing w:val="-4"/>
          <w:highlight w:val="yellow"/>
        </w:rPr>
        <w:t xml:space="preserve"> </w:t>
      </w:r>
      <w:r>
        <w:rPr>
          <w:color w:val="000000"/>
          <w:highlight w:val="yellow"/>
        </w:rPr>
        <w:t>activity,</w:t>
      </w:r>
      <w:r>
        <w:rPr>
          <w:color w:val="000000"/>
          <w:spacing w:val="-4"/>
          <w:highlight w:val="yellow"/>
        </w:rPr>
        <w:t xml:space="preserve"> </w:t>
      </w:r>
      <w:r>
        <w:rPr>
          <w:color w:val="000000"/>
          <w:highlight w:val="yellow"/>
        </w:rPr>
        <w:t>inflationary</w:t>
      </w:r>
      <w:r>
        <w:rPr>
          <w:color w:val="000000"/>
          <w:spacing w:val="-4"/>
          <w:highlight w:val="yellow"/>
        </w:rPr>
        <w:t xml:space="preserve"> </w:t>
      </w:r>
      <w:r>
        <w:rPr>
          <w:color w:val="000000"/>
          <w:highlight w:val="yellow"/>
        </w:rPr>
        <w:t>pressure,</w:t>
      </w:r>
      <w:r>
        <w:rPr>
          <w:color w:val="000000"/>
          <w:spacing w:val="-4"/>
          <w:highlight w:val="yellow"/>
        </w:rPr>
        <w:t xml:space="preserve"> </w:t>
      </w:r>
      <w:r>
        <w:rPr>
          <w:color w:val="000000"/>
          <w:highlight w:val="yellow"/>
        </w:rPr>
        <w:t>currency</w:t>
      </w:r>
      <w:r>
        <w:rPr>
          <w:color w:val="000000"/>
          <w:spacing w:val="-4"/>
          <w:highlight w:val="yellow"/>
        </w:rPr>
        <w:t xml:space="preserve"> </w:t>
      </w:r>
      <w:r>
        <w:rPr>
          <w:color w:val="000000"/>
          <w:highlight w:val="yellow"/>
        </w:rPr>
        <w:t>movement,</w:t>
      </w:r>
      <w:r>
        <w:rPr>
          <w:color w:val="000000"/>
          <w:spacing w:val="-4"/>
          <w:highlight w:val="yellow"/>
        </w:rPr>
        <w:t xml:space="preserve"> </w:t>
      </w:r>
      <w:r>
        <w:rPr>
          <w:color w:val="000000"/>
          <w:highlight w:val="yellow"/>
        </w:rPr>
        <w:t>and</w:t>
      </w:r>
      <w:r>
        <w:rPr>
          <w:color w:val="000000"/>
          <w:spacing w:val="-4"/>
          <w:highlight w:val="yellow"/>
        </w:rPr>
        <w:t xml:space="preserve"> </w:t>
      </w:r>
      <w:r>
        <w:rPr>
          <w:color w:val="000000"/>
          <w:highlight w:val="yellow"/>
        </w:rPr>
        <w:t>changing</w:t>
      </w:r>
      <w:r>
        <w:rPr>
          <w:color w:val="000000"/>
          <w:spacing w:val="-4"/>
          <w:highlight w:val="yellow"/>
        </w:rPr>
        <w:t xml:space="preserve"> </w:t>
      </w:r>
      <w:r>
        <w:rPr>
          <w:color w:val="000000"/>
          <w:highlight w:val="yellow"/>
        </w:rPr>
        <w:t>investor</w:t>
      </w:r>
      <w:r>
        <w:rPr>
          <w:color w:val="000000"/>
        </w:rPr>
        <w:t xml:space="preserve"> sentiment. Consumer non-cyclicals issuers were not affected in the same way. Some issuers maintained strong</w:t>
      </w:r>
    </w:p>
    <w:p w14:paraId="017C5960" w14:textId="77777777" w:rsidR="00ED08FF" w:rsidRDefault="00000000">
      <w:pPr>
        <w:pStyle w:val="BodyText"/>
      </w:pPr>
      <w:r>
        <w:t>profitability,</w:t>
      </w:r>
      <w:r>
        <w:rPr>
          <w:spacing w:val="-5"/>
        </w:rPr>
        <w:t xml:space="preserve"> </w:t>
      </w:r>
      <w:r>
        <w:t>some</w:t>
      </w:r>
      <w:r>
        <w:rPr>
          <w:spacing w:val="-3"/>
        </w:rPr>
        <w:t xml:space="preserve"> </w:t>
      </w:r>
      <w:r>
        <w:t>experienced</w:t>
      </w:r>
      <w:r>
        <w:rPr>
          <w:spacing w:val="-2"/>
        </w:rPr>
        <w:t xml:space="preserve"> </w:t>
      </w:r>
      <w:r>
        <w:t>valuation</w:t>
      </w:r>
      <w:r>
        <w:rPr>
          <w:spacing w:val="-2"/>
        </w:rPr>
        <w:t xml:space="preserve"> </w:t>
      </w:r>
      <w:r>
        <w:t>compression,</w:t>
      </w:r>
      <w:r>
        <w:rPr>
          <w:spacing w:val="-2"/>
        </w:rPr>
        <w:t xml:space="preserve"> </w:t>
      </w:r>
      <w:r>
        <w:t>and</w:t>
      </w:r>
      <w:r>
        <w:rPr>
          <w:spacing w:val="-2"/>
        </w:rPr>
        <w:t xml:space="preserve"> </w:t>
      </w:r>
      <w:r>
        <w:t>some</w:t>
      </w:r>
      <w:r>
        <w:rPr>
          <w:spacing w:val="-3"/>
        </w:rPr>
        <w:t xml:space="preserve"> </w:t>
      </w:r>
      <w:r>
        <w:t>benefited</w:t>
      </w:r>
      <w:r>
        <w:rPr>
          <w:spacing w:val="-2"/>
        </w:rPr>
        <w:t xml:space="preserve"> </w:t>
      </w:r>
      <w:r>
        <w:t>from</w:t>
      </w:r>
      <w:r>
        <w:rPr>
          <w:spacing w:val="-3"/>
        </w:rPr>
        <w:t xml:space="preserve"> </w:t>
      </w:r>
      <w:r>
        <w:t>stable</w:t>
      </w:r>
      <w:r>
        <w:rPr>
          <w:spacing w:val="-3"/>
        </w:rPr>
        <w:t xml:space="preserve"> </w:t>
      </w:r>
      <w:r>
        <w:t>domestic</w:t>
      </w:r>
      <w:r>
        <w:rPr>
          <w:spacing w:val="-3"/>
        </w:rPr>
        <w:t xml:space="preserve"> </w:t>
      </w:r>
      <w:r>
        <w:t>consumption.</w:t>
      </w:r>
      <w:r>
        <w:rPr>
          <w:spacing w:val="-2"/>
        </w:rPr>
        <w:t xml:space="preserve"> </w:t>
      </w:r>
      <w:r>
        <w:t>A</w:t>
      </w:r>
      <w:r>
        <w:rPr>
          <w:spacing w:val="-3"/>
        </w:rPr>
        <w:t xml:space="preserve"> </w:t>
      </w:r>
      <w:r>
        <w:t>five-</w:t>
      </w:r>
      <w:r>
        <w:rPr>
          <w:spacing w:val="-4"/>
        </w:rPr>
        <w:t>year</w:t>
      </w:r>
    </w:p>
    <w:p w14:paraId="1A7D765E" w14:textId="77777777" w:rsidR="00ED08FF" w:rsidRDefault="00ED08FF">
      <w:pPr>
        <w:pStyle w:val="BodyText"/>
        <w:sectPr w:rsidR="00ED08FF">
          <w:footerReference w:type="default" r:id="rId7"/>
          <w:type w:val="continuous"/>
          <w:pgSz w:w="12240" w:h="15840"/>
          <w:pgMar w:top="1040" w:right="720" w:bottom="860" w:left="720" w:header="0" w:footer="669" w:gutter="0"/>
          <w:pgNumType w:start="1"/>
          <w:cols w:space="720"/>
        </w:sectPr>
      </w:pPr>
    </w:p>
    <w:p w14:paraId="5A32BA5B" w14:textId="77777777" w:rsidR="00ED08FF" w:rsidRDefault="00000000">
      <w:pPr>
        <w:pStyle w:val="BodyText"/>
        <w:spacing w:before="64" w:line="297" w:lineRule="auto"/>
        <w:ind w:right="2145"/>
      </w:pPr>
      <w:r>
        <w:lastRenderedPageBreak/>
        <w:t>panel therefore offers enough variation to examine whether accounting indicators correspond to firm value. Profitability</w:t>
      </w:r>
      <w:r>
        <w:rPr>
          <w:spacing w:val="-3"/>
        </w:rPr>
        <w:t xml:space="preserve"> </w:t>
      </w:r>
      <w:r>
        <w:t>is</w:t>
      </w:r>
      <w:r>
        <w:rPr>
          <w:spacing w:val="-3"/>
        </w:rPr>
        <w:t xml:space="preserve"> </w:t>
      </w:r>
      <w:r>
        <w:t>expected</w:t>
      </w:r>
      <w:r>
        <w:rPr>
          <w:spacing w:val="-3"/>
        </w:rPr>
        <w:t xml:space="preserve"> </w:t>
      </w:r>
      <w:r>
        <w:t>to</w:t>
      </w:r>
      <w:r>
        <w:rPr>
          <w:spacing w:val="-3"/>
        </w:rPr>
        <w:t xml:space="preserve"> </w:t>
      </w:r>
      <w:r>
        <w:t>increase</w:t>
      </w:r>
      <w:r>
        <w:rPr>
          <w:spacing w:val="-4"/>
        </w:rPr>
        <w:t xml:space="preserve"> </w:t>
      </w:r>
      <w:r>
        <w:t>firm</w:t>
      </w:r>
      <w:r>
        <w:rPr>
          <w:spacing w:val="-4"/>
        </w:rPr>
        <w:t xml:space="preserve"> </w:t>
      </w:r>
      <w:r>
        <w:t>value</w:t>
      </w:r>
      <w:r>
        <w:rPr>
          <w:spacing w:val="-4"/>
        </w:rPr>
        <w:t xml:space="preserve"> </w:t>
      </w:r>
      <w:r>
        <w:t>because</w:t>
      </w:r>
      <w:r>
        <w:rPr>
          <w:spacing w:val="-4"/>
        </w:rPr>
        <w:t xml:space="preserve"> </w:t>
      </w:r>
      <w:r>
        <w:t>investors</w:t>
      </w:r>
      <w:r>
        <w:rPr>
          <w:spacing w:val="-4"/>
        </w:rPr>
        <w:t xml:space="preserve"> </w:t>
      </w:r>
      <w:r>
        <w:t>reward</w:t>
      </w:r>
      <w:r>
        <w:rPr>
          <w:spacing w:val="-3"/>
        </w:rPr>
        <w:t xml:space="preserve"> </w:t>
      </w:r>
      <w:r>
        <w:t>firms</w:t>
      </w:r>
      <w:r>
        <w:rPr>
          <w:spacing w:val="-3"/>
        </w:rPr>
        <w:t xml:space="preserve"> </w:t>
      </w:r>
      <w:r>
        <w:t>that</w:t>
      </w:r>
      <w:r>
        <w:rPr>
          <w:spacing w:val="-4"/>
        </w:rPr>
        <w:t xml:space="preserve"> </w:t>
      </w:r>
      <w:r>
        <w:t>can</w:t>
      </w:r>
      <w:r>
        <w:rPr>
          <w:spacing w:val="-3"/>
        </w:rPr>
        <w:t xml:space="preserve"> </w:t>
      </w:r>
      <w:r>
        <w:t>convert</w:t>
      </w:r>
      <w:r>
        <w:rPr>
          <w:spacing w:val="-4"/>
        </w:rPr>
        <w:t xml:space="preserve"> </w:t>
      </w:r>
      <w:r>
        <w:t>assets</w:t>
      </w:r>
      <w:r>
        <w:rPr>
          <w:spacing w:val="-4"/>
        </w:rPr>
        <w:t xml:space="preserve"> </w:t>
      </w:r>
      <w:r>
        <w:t>into</w:t>
      </w:r>
      <w:r>
        <w:rPr>
          <w:spacing w:val="-3"/>
        </w:rPr>
        <w:t xml:space="preserve"> </w:t>
      </w:r>
      <w:r>
        <w:t>earnings.</w:t>
      </w:r>
    </w:p>
    <w:p w14:paraId="672421F7" w14:textId="77777777" w:rsidR="00ED08FF" w:rsidRDefault="00000000">
      <w:pPr>
        <w:pStyle w:val="BodyText"/>
        <w:spacing w:before="0" w:line="297" w:lineRule="auto"/>
        <w:ind w:right="1903"/>
      </w:pPr>
      <w:r>
        <w:t>ROA</w:t>
      </w:r>
      <w:r>
        <w:rPr>
          <w:spacing w:val="-2"/>
        </w:rPr>
        <w:t xml:space="preserve"> </w:t>
      </w:r>
      <w:r>
        <w:t>is</w:t>
      </w:r>
      <w:r>
        <w:rPr>
          <w:spacing w:val="-2"/>
        </w:rPr>
        <w:t xml:space="preserve"> </w:t>
      </w:r>
      <w:r>
        <w:t>a</w:t>
      </w:r>
      <w:r>
        <w:rPr>
          <w:spacing w:val="-2"/>
        </w:rPr>
        <w:t xml:space="preserve"> </w:t>
      </w:r>
      <w:r>
        <w:t>useful</w:t>
      </w:r>
      <w:r>
        <w:rPr>
          <w:spacing w:val="-2"/>
        </w:rPr>
        <w:t xml:space="preserve"> </w:t>
      </w:r>
      <w:r>
        <w:t>profitability</w:t>
      </w:r>
      <w:r>
        <w:rPr>
          <w:spacing w:val="-1"/>
        </w:rPr>
        <w:t xml:space="preserve"> </w:t>
      </w:r>
      <w:r>
        <w:t>measure</w:t>
      </w:r>
      <w:r>
        <w:rPr>
          <w:spacing w:val="-2"/>
        </w:rPr>
        <w:t xml:space="preserve"> </w:t>
      </w:r>
      <w:r>
        <w:t>because</w:t>
      </w:r>
      <w:r>
        <w:rPr>
          <w:spacing w:val="-2"/>
        </w:rPr>
        <w:t xml:space="preserve"> </w:t>
      </w:r>
      <w:r>
        <w:t>it</w:t>
      </w:r>
      <w:r>
        <w:rPr>
          <w:spacing w:val="-2"/>
        </w:rPr>
        <w:t xml:space="preserve"> </w:t>
      </w:r>
      <w:r>
        <w:t>evaluates</w:t>
      </w:r>
      <w:r>
        <w:rPr>
          <w:spacing w:val="-2"/>
        </w:rPr>
        <w:t xml:space="preserve"> </w:t>
      </w:r>
      <w:r>
        <w:t>the</w:t>
      </w:r>
      <w:r>
        <w:rPr>
          <w:spacing w:val="-2"/>
        </w:rPr>
        <w:t xml:space="preserve"> </w:t>
      </w:r>
      <w:r>
        <w:t>efficiency</w:t>
      </w:r>
      <w:r>
        <w:rPr>
          <w:spacing w:val="-1"/>
        </w:rPr>
        <w:t xml:space="preserve"> </w:t>
      </w:r>
      <w:r>
        <w:t>of</w:t>
      </w:r>
      <w:r>
        <w:rPr>
          <w:spacing w:val="-2"/>
        </w:rPr>
        <w:t xml:space="preserve"> </w:t>
      </w:r>
      <w:r>
        <w:t>assets</w:t>
      </w:r>
      <w:r>
        <w:rPr>
          <w:spacing w:val="-2"/>
        </w:rPr>
        <w:t xml:space="preserve"> </w:t>
      </w:r>
      <w:r>
        <w:t>rather</w:t>
      </w:r>
      <w:r>
        <w:rPr>
          <w:spacing w:val="-1"/>
        </w:rPr>
        <w:t xml:space="preserve"> </w:t>
      </w:r>
      <w:r>
        <w:t>than</w:t>
      </w:r>
      <w:r>
        <w:rPr>
          <w:spacing w:val="-1"/>
        </w:rPr>
        <w:t xml:space="preserve"> </w:t>
      </w:r>
      <w:r>
        <w:t>merely</w:t>
      </w:r>
      <w:r>
        <w:rPr>
          <w:spacing w:val="-1"/>
        </w:rPr>
        <w:t xml:space="preserve"> </w:t>
      </w:r>
      <w:r>
        <w:t>the</w:t>
      </w:r>
      <w:r>
        <w:rPr>
          <w:spacing w:val="-2"/>
        </w:rPr>
        <w:t xml:space="preserve"> </w:t>
      </w:r>
      <w:r>
        <w:t>absolute</w:t>
      </w:r>
      <w:r>
        <w:rPr>
          <w:spacing w:val="-2"/>
        </w:rPr>
        <w:t xml:space="preserve"> </w:t>
      </w:r>
      <w:r>
        <w:t>amount of profit. A company with large assets but weak earnings may be less attractive than a smaller company that uses its assets</w:t>
      </w:r>
      <w:r>
        <w:rPr>
          <w:spacing w:val="-3"/>
        </w:rPr>
        <w:t xml:space="preserve"> </w:t>
      </w:r>
      <w:r>
        <w:t>efficiently.</w:t>
      </w:r>
      <w:r>
        <w:rPr>
          <w:spacing w:val="-3"/>
        </w:rPr>
        <w:t xml:space="preserve"> </w:t>
      </w:r>
      <w:r>
        <w:t>For</w:t>
      </w:r>
      <w:r>
        <w:rPr>
          <w:spacing w:val="-3"/>
        </w:rPr>
        <w:t xml:space="preserve"> </w:t>
      </w:r>
      <w:r>
        <w:t>this</w:t>
      </w:r>
      <w:r>
        <w:rPr>
          <w:spacing w:val="-3"/>
        </w:rPr>
        <w:t xml:space="preserve"> </w:t>
      </w:r>
      <w:r>
        <w:t>reason,</w:t>
      </w:r>
      <w:r>
        <w:rPr>
          <w:spacing w:val="-3"/>
        </w:rPr>
        <w:t xml:space="preserve"> </w:t>
      </w:r>
      <w:r>
        <w:t>profitability</w:t>
      </w:r>
      <w:r>
        <w:rPr>
          <w:spacing w:val="-3"/>
        </w:rPr>
        <w:t xml:space="preserve"> </w:t>
      </w:r>
      <w:r>
        <w:t>is</w:t>
      </w:r>
      <w:r>
        <w:rPr>
          <w:spacing w:val="-3"/>
        </w:rPr>
        <w:t xml:space="preserve"> </w:t>
      </w:r>
      <w:r>
        <w:t>often</w:t>
      </w:r>
      <w:r>
        <w:rPr>
          <w:spacing w:val="-3"/>
        </w:rPr>
        <w:t xml:space="preserve"> </w:t>
      </w:r>
      <w:r>
        <w:t>treated</w:t>
      </w:r>
      <w:r>
        <w:rPr>
          <w:spacing w:val="-3"/>
        </w:rPr>
        <w:t xml:space="preserve"> </w:t>
      </w:r>
      <w:r>
        <w:t>as</w:t>
      </w:r>
      <w:r>
        <w:rPr>
          <w:spacing w:val="-3"/>
        </w:rPr>
        <w:t xml:space="preserve"> </w:t>
      </w:r>
      <w:r>
        <w:t>a</w:t>
      </w:r>
      <w:r>
        <w:rPr>
          <w:spacing w:val="-3"/>
        </w:rPr>
        <w:t xml:space="preserve"> </w:t>
      </w:r>
      <w:r>
        <w:t>key</w:t>
      </w:r>
      <w:r>
        <w:rPr>
          <w:spacing w:val="-3"/>
        </w:rPr>
        <w:t xml:space="preserve"> </w:t>
      </w:r>
      <w:r>
        <w:t>signal</w:t>
      </w:r>
      <w:r>
        <w:rPr>
          <w:spacing w:val="-3"/>
        </w:rPr>
        <w:t xml:space="preserve"> </w:t>
      </w:r>
      <w:r>
        <w:t>of</w:t>
      </w:r>
      <w:r>
        <w:rPr>
          <w:spacing w:val="-3"/>
        </w:rPr>
        <w:t xml:space="preserve"> </w:t>
      </w:r>
      <w:r>
        <w:t>managerial</w:t>
      </w:r>
      <w:r>
        <w:rPr>
          <w:spacing w:val="-3"/>
        </w:rPr>
        <w:t xml:space="preserve"> </w:t>
      </w:r>
      <w:r>
        <w:t>effectiveness</w:t>
      </w:r>
      <w:r>
        <w:rPr>
          <w:spacing w:val="-3"/>
        </w:rPr>
        <w:t xml:space="preserve"> </w:t>
      </w:r>
      <w:r>
        <w:t>and</w:t>
      </w:r>
      <w:r>
        <w:rPr>
          <w:spacing w:val="-3"/>
        </w:rPr>
        <w:t xml:space="preserve"> </w:t>
      </w:r>
      <w:r>
        <w:t>future</w:t>
      </w:r>
      <w:r>
        <w:rPr>
          <w:spacing w:val="-3"/>
        </w:rPr>
        <w:t xml:space="preserve"> </w:t>
      </w:r>
      <w:r>
        <w:t>cash-</w:t>
      </w:r>
      <w:r>
        <w:rPr>
          <w:color w:val="000000"/>
          <w:highlight w:val="yellow"/>
        </w:rPr>
        <w:t>flow potential (Ross, 1977; Damodaran, 2012).</w:t>
      </w:r>
    </w:p>
    <w:p w14:paraId="7037EE46" w14:textId="77777777" w:rsidR="00ED08FF" w:rsidRDefault="00000000">
      <w:pPr>
        <w:pStyle w:val="BodyText"/>
        <w:spacing w:before="2" w:line="297" w:lineRule="auto"/>
        <w:ind w:right="1903"/>
      </w:pPr>
      <w:r>
        <w:t>Leverage has a more complex relationship with firm value. Debt can support expansion, discipline management, and create tax benefits. At the same time, high leverage can raise financial risk and make investors more cautious. This ambiguity</w:t>
      </w:r>
      <w:r>
        <w:rPr>
          <w:spacing w:val="-3"/>
        </w:rPr>
        <w:t xml:space="preserve"> </w:t>
      </w:r>
      <w:r>
        <w:t>is</w:t>
      </w:r>
      <w:r>
        <w:rPr>
          <w:spacing w:val="-4"/>
        </w:rPr>
        <w:t xml:space="preserve"> </w:t>
      </w:r>
      <w:r>
        <w:t>visible</w:t>
      </w:r>
      <w:r>
        <w:rPr>
          <w:spacing w:val="-4"/>
        </w:rPr>
        <w:t xml:space="preserve"> </w:t>
      </w:r>
      <w:r>
        <w:t>in</w:t>
      </w:r>
      <w:r>
        <w:rPr>
          <w:spacing w:val="-3"/>
        </w:rPr>
        <w:t xml:space="preserve"> </w:t>
      </w:r>
      <w:r>
        <w:t>consumer</w:t>
      </w:r>
      <w:r>
        <w:rPr>
          <w:spacing w:val="-3"/>
        </w:rPr>
        <w:t xml:space="preserve"> </w:t>
      </w:r>
      <w:r>
        <w:t>non-cyclicals</w:t>
      </w:r>
      <w:r>
        <w:rPr>
          <w:spacing w:val="-4"/>
        </w:rPr>
        <w:t xml:space="preserve"> </w:t>
      </w:r>
      <w:r>
        <w:t>firms.</w:t>
      </w:r>
      <w:r>
        <w:rPr>
          <w:spacing w:val="-3"/>
        </w:rPr>
        <w:t xml:space="preserve"> </w:t>
      </w:r>
      <w:r>
        <w:t>Some</w:t>
      </w:r>
      <w:r>
        <w:rPr>
          <w:spacing w:val="-4"/>
        </w:rPr>
        <w:t xml:space="preserve"> </w:t>
      </w:r>
      <w:r>
        <w:t>firms</w:t>
      </w:r>
      <w:r>
        <w:rPr>
          <w:spacing w:val="-4"/>
        </w:rPr>
        <w:t xml:space="preserve"> </w:t>
      </w:r>
      <w:r>
        <w:t>can</w:t>
      </w:r>
      <w:r>
        <w:rPr>
          <w:spacing w:val="-3"/>
        </w:rPr>
        <w:t xml:space="preserve"> </w:t>
      </w:r>
      <w:r>
        <w:t>safely</w:t>
      </w:r>
      <w:r>
        <w:rPr>
          <w:spacing w:val="-3"/>
        </w:rPr>
        <w:t xml:space="preserve"> </w:t>
      </w:r>
      <w:r>
        <w:t>carry</w:t>
      </w:r>
      <w:r>
        <w:rPr>
          <w:spacing w:val="-3"/>
        </w:rPr>
        <w:t xml:space="preserve"> </w:t>
      </w:r>
      <w:r>
        <w:t>debt</w:t>
      </w:r>
      <w:r>
        <w:rPr>
          <w:spacing w:val="-4"/>
        </w:rPr>
        <w:t xml:space="preserve"> </w:t>
      </w:r>
      <w:r>
        <w:t>because</w:t>
      </w:r>
      <w:r>
        <w:rPr>
          <w:spacing w:val="-4"/>
        </w:rPr>
        <w:t xml:space="preserve"> </w:t>
      </w:r>
      <w:r>
        <w:t>their</w:t>
      </w:r>
      <w:r>
        <w:rPr>
          <w:spacing w:val="-3"/>
        </w:rPr>
        <w:t xml:space="preserve"> </w:t>
      </w:r>
      <w:r>
        <w:t>operating</w:t>
      </w:r>
      <w:r>
        <w:rPr>
          <w:spacing w:val="-3"/>
        </w:rPr>
        <w:t xml:space="preserve"> </w:t>
      </w:r>
      <w:r>
        <w:t>cash</w:t>
      </w:r>
      <w:r>
        <w:rPr>
          <w:spacing w:val="-3"/>
        </w:rPr>
        <w:t xml:space="preserve"> </w:t>
      </w:r>
      <w:r>
        <w:t xml:space="preserve">flows are stable, while others may face valuation pressure when debt is perceived to reduce flexibility. The empirical effect </w:t>
      </w:r>
      <w:r>
        <w:rPr>
          <w:color w:val="000000"/>
          <w:highlight w:val="yellow"/>
        </w:rPr>
        <w:t>therefore needs to be tested rather than assumed (Rajan &amp; Zingales, 1995; Jensen &amp; Meckling, 1976).</w:t>
      </w:r>
    </w:p>
    <w:p w14:paraId="2CBCE2B3" w14:textId="77777777" w:rsidR="00ED08FF" w:rsidRDefault="00000000">
      <w:pPr>
        <w:pStyle w:val="BodyText"/>
        <w:spacing w:line="297" w:lineRule="auto"/>
        <w:ind w:right="1903"/>
      </w:pPr>
      <w:r>
        <w:t>Firm size can also create mixed expectations. Larger firms may have stronger bargaining power, wider distribution networks,</w:t>
      </w:r>
      <w:r>
        <w:rPr>
          <w:spacing w:val="-2"/>
        </w:rPr>
        <w:t xml:space="preserve"> </w:t>
      </w:r>
      <w:r>
        <w:t>better</w:t>
      </w:r>
      <w:r>
        <w:rPr>
          <w:spacing w:val="-2"/>
        </w:rPr>
        <w:t xml:space="preserve"> </w:t>
      </w:r>
      <w:r>
        <w:t>access</w:t>
      </w:r>
      <w:r>
        <w:rPr>
          <w:spacing w:val="-3"/>
        </w:rPr>
        <w:t xml:space="preserve"> </w:t>
      </w:r>
      <w:r>
        <w:t>to</w:t>
      </w:r>
      <w:r>
        <w:rPr>
          <w:spacing w:val="-2"/>
        </w:rPr>
        <w:t xml:space="preserve"> </w:t>
      </w:r>
      <w:r>
        <w:t>capital</w:t>
      </w:r>
      <w:r>
        <w:rPr>
          <w:spacing w:val="-3"/>
        </w:rPr>
        <w:t xml:space="preserve"> </w:t>
      </w:r>
      <w:r>
        <w:t>markets,</w:t>
      </w:r>
      <w:r>
        <w:rPr>
          <w:spacing w:val="-2"/>
        </w:rPr>
        <w:t xml:space="preserve"> </w:t>
      </w:r>
      <w:r>
        <w:t>and</w:t>
      </w:r>
      <w:r>
        <w:rPr>
          <w:spacing w:val="-2"/>
        </w:rPr>
        <w:t xml:space="preserve"> </w:t>
      </w:r>
      <w:r>
        <w:t>higher</w:t>
      </w:r>
      <w:r>
        <w:rPr>
          <w:spacing w:val="-2"/>
        </w:rPr>
        <w:t xml:space="preserve"> </w:t>
      </w:r>
      <w:r>
        <w:t>resilience</w:t>
      </w:r>
      <w:r>
        <w:rPr>
          <w:spacing w:val="-3"/>
        </w:rPr>
        <w:t xml:space="preserve"> </w:t>
      </w:r>
      <w:r>
        <w:t>during</w:t>
      </w:r>
      <w:r>
        <w:rPr>
          <w:spacing w:val="-2"/>
        </w:rPr>
        <w:t xml:space="preserve"> </w:t>
      </w:r>
      <w:r>
        <w:t>economic</w:t>
      </w:r>
      <w:r>
        <w:rPr>
          <w:spacing w:val="-3"/>
        </w:rPr>
        <w:t xml:space="preserve"> </w:t>
      </w:r>
      <w:r>
        <w:t>shocks.</w:t>
      </w:r>
      <w:r>
        <w:rPr>
          <w:spacing w:val="-2"/>
        </w:rPr>
        <w:t xml:space="preserve"> </w:t>
      </w:r>
      <w:r>
        <w:t>However,</w:t>
      </w:r>
      <w:r>
        <w:rPr>
          <w:spacing w:val="-2"/>
        </w:rPr>
        <w:t xml:space="preserve"> </w:t>
      </w:r>
      <w:r>
        <w:t>larger</w:t>
      </w:r>
      <w:r>
        <w:rPr>
          <w:spacing w:val="-2"/>
        </w:rPr>
        <w:t xml:space="preserve"> </w:t>
      </w:r>
      <w:r>
        <w:t>total</w:t>
      </w:r>
      <w:r>
        <w:rPr>
          <w:spacing w:val="-3"/>
        </w:rPr>
        <w:t xml:space="preserve"> </w:t>
      </w:r>
      <w:r>
        <w:t>assets</w:t>
      </w:r>
      <w:r>
        <w:rPr>
          <w:spacing w:val="-2"/>
        </w:rPr>
        <w:t xml:space="preserve"> </w:t>
      </w:r>
      <w:r>
        <w:t xml:space="preserve">do not automatically create higher valuation. Asset-heavy firms may suffer from lower asset turnover or inefficient capital </w:t>
      </w:r>
      <w:r>
        <w:rPr>
          <w:color w:val="000000"/>
          <w:highlight w:val="yellow"/>
        </w:rPr>
        <w:t>allocation. The market may therefore value earnings quality and growth potential more than size itself (Penrose, 1959).</w:t>
      </w:r>
      <w:r>
        <w:rPr>
          <w:color w:val="000000"/>
        </w:rPr>
        <w:t xml:space="preserve"> Liquidity is commonly viewed as a sign of short-term financial strength. A company with a high current ratio should be able to meet short-term obligations with current assets. Yet excessive liquidity can also signal unused resources, slow inventory</w:t>
      </w:r>
      <w:r>
        <w:rPr>
          <w:color w:val="000000"/>
          <w:spacing w:val="-3"/>
        </w:rPr>
        <w:t xml:space="preserve"> </w:t>
      </w:r>
      <w:r>
        <w:rPr>
          <w:color w:val="000000"/>
        </w:rPr>
        <w:t>turnover,</w:t>
      </w:r>
      <w:r>
        <w:rPr>
          <w:color w:val="000000"/>
          <w:spacing w:val="-3"/>
        </w:rPr>
        <w:t xml:space="preserve"> </w:t>
      </w:r>
      <w:r>
        <w:rPr>
          <w:color w:val="000000"/>
        </w:rPr>
        <w:t>or</w:t>
      </w:r>
      <w:r>
        <w:rPr>
          <w:color w:val="000000"/>
          <w:spacing w:val="-3"/>
        </w:rPr>
        <w:t xml:space="preserve"> </w:t>
      </w:r>
      <w:r>
        <w:rPr>
          <w:color w:val="000000"/>
        </w:rPr>
        <w:t>conservative</w:t>
      </w:r>
      <w:r>
        <w:rPr>
          <w:color w:val="000000"/>
          <w:spacing w:val="-4"/>
        </w:rPr>
        <w:t xml:space="preserve"> </w:t>
      </w:r>
      <w:r>
        <w:rPr>
          <w:color w:val="000000"/>
        </w:rPr>
        <w:t>working</w:t>
      </w:r>
      <w:r>
        <w:rPr>
          <w:color w:val="000000"/>
          <w:spacing w:val="-3"/>
        </w:rPr>
        <w:t xml:space="preserve"> </w:t>
      </w:r>
      <w:r>
        <w:rPr>
          <w:color w:val="000000"/>
        </w:rPr>
        <w:t>capital</w:t>
      </w:r>
      <w:r>
        <w:rPr>
          <w:color w:val="000000"/>
          <w:spacing w:val="-4"/>
        </w:rPr>
        <w:t xml:space="preserve"> </w:t>
      </w:r>
      <w:r>
        <w:rPr>
          <w:color w:val="000000"/>
        </w:rPr>
        <w:t>management.</w:t>
      </w:r>
      <w:r>
        <w:rPr>
          <w:color w:val="000000"/>
          <w:spacing w:val="-3"/>
        </w:rPr>
        <w:t xml:space="preserve"> </w:t>
      </w:r>
      <w:r>
        <w:rPr>
          <w:color w:val="000000"/>
        </w:rPr>
        <w:t>In</w:t>
      </w:r>
      <w:r>
        <w:rPr>
          <w:color w:val="000000"/>
          <w:spacing w:val="-3"/>
        </w:rPr>
        <w:t xml:space="preserve"> </w:t>
      </w:r>
      <w:r>
        <w:rPr>
          <w:color w:val="000000"/>
        </w:rPr>
        <w:t>valuation</w:t>
      </w:r>
      <w:r>
        <w:rPr>
          <w:color w:val="000000"/>
          <w:spacing w:val="-3"/>
        </w:rPr>
        <w:t xml:space="preserve"> </w:t>
      </w:r>
      <w:r>
        <w:rPr>
          <w:color w:val="000000"/>
        </w:rPr>
        <w:t>analysis,</w:t>
      </w:r>
      <w:r>
        <w:rPr>
          <w:color w:val="000000"/>
          <w:spacing w:val="-3"/>
        </w:rPr>
        <w:t xml:space="preserve"> </w:t>
      </w:r>
      <w:r>
        <w:rPr>
          <w:color w:val="000000"/>
        </w:rPr>
        <w:t>liquidity</w:t>
      </w:r>
      <w:r>
        <w:rPr>
          <w:color w:val="000000"/>
          <w:spacing w:val="-3"/>
        </w:rPr>
        <w:t xml:space="preserve"> </w:t>
      </w:r>
      <w:r>
        <w:rPr>
          <w:color w:val="000000"/>
        </w:rPr>
        <w:t>should</w:t>
      </w:r>
      <w:r>
        <w:rPr>
          <w:color w:val="000000"/>
          <w:spacing w:val="-3"/>
        </w:rPr>
        <w:t xml:space="preserve"> </w:t>
      </w:r>
      <w:r>
        <w:rPr>
          <w:color w:val="000000"/>
        </w:rPr>
        <w:t>not</w:t>
      </w:r>
      <w:r>
        <w:rPr>
          <w:color w:val="000000"/>
          <w:spacing w:val="-4"/>
        </w:rPr>
        <w:t xml:space="preserve"> </w:t>
      </w:r>
      <w:r>
        <w:rPr>
          <w:color w:val="000000"/>
        </w:rPr>
        <w:t>be</w:t>
      </w:r>
      <w:r>
        <w:rPr>
          <w:color w:val="000000"/>
          <w:spacing w:val="-4"/>
        </w:rPr>
        <w:t xml:space="preserve"> </w:t>
      </w:r>
      <w:r>
        <w:rPr>
          <w:color w:val="000000"/>
        </w:rPr>
        <w:t>treated</w:t>
      </w:r>
      <w:r>
        <w:rPr>
          <w:color w:val="000000"/>
          <w:spacing w:val="-3"/>
        </w:rPr>
        <w:t xml:space="preserve"> </w:t>
      </w:r>
      <w:r>
        <w:rPr>
          <w:color w:val="000000"/>
        </w:rPr>
        <w:t xml:space="preserve">as automatically positive. The question is whether liquidity supports productive operations or merely accumulates on the </w:t>
      </w:r>
      <w:r>
        <w:rPr>
          <w:color w:val="000000"/>
          <w:highlight w:val="yellow"/>
        </w:rPr>
        <w:t>balance sheet without increasing returns (Penman, 2013; Kasmir, 2019).</w:t>
      </w:r>
    </w:p>
    <w:p w14:paraId="6551BCD3" w14:textId="77777777" w:rsidR="00ED08FF" w:rsidRDefault="00000000">
      <w:pPr>
        <w:pStyle w:val="BodyText"/>
        <w:spacing w:before="3" w:line="297" w:lineRule="auto"/>
        <w:ind w:right="1903"/>
      </w:pPr>
      <w:r>
        <w:t>This</w:t>
      </w:r>
      <w:r>
        <w:rPr>
          <w:spacing w:val="-3"/>
        </w:rPr>
        <w:t xml:space="preserve"> </w:t>
      </w:r>
      <w:r>
        <w:t>study</w:t>
      </w:r>
      <w:r>
        <w:rPr>
          <w:spacing w:val="-3"/>
        </w:rPr>
        <w:t xml:space="preserve"> </w:t>
      </w:r>
      <w:r>
        <w:t>is</w:t>
      </w:r>
      <w:r>
        <w:rPr>
          <w:spacing w:val="-4"/>
        </w:rPr>
        <w:t xml:space="preserve"> </w:t>
      </w:r>
      <w:r>
        <w:t>designed</w:t>
      </w:r>
      <w:r>
        <w:rPr>
          <w:spacing w:val="-3"/>
        </w:rPr>
        <w:t xml:space="preserve"> </w:t>
      </w:r>
      <w:r>
        <w:t>as</w:t>
      </w:r>
      <w:r>
        <w:rPr>
          <w:spacing w:val="-4"/>
        </w:rPr>
        <w:t xml:space="preserve"> </w:t>
      </w:r>
      <w:r>
        <w:t>a</w:t>
      </w:r>
      <w:r>
        <w:rPr>
          <w:spacing w:val="-4"/>
        </w:rPr>
        <w:t xml:space="preserve"> </w:t>
      </w:r>
      <w:r>
        <w:t>compact</w:t>
      </w:r>
      <w:r>
        <w:rPr>
          <w:spacing w:val="-4"/>
        </w:rPr>
        <w:t xml:space="preserve"> </w:t>
      </w:r>
      <w:r>
        <w:t>empirical</w:t>
      </w:r>
      <w:r>
        <w:rPr>
          <w:spacing w:val="-4"/>
        </w:rPr>
        <w:t xml:space="preserve"> </w:t>
      </w:r>
      <w:r>
        <w:t>accounting</w:t>
      </w:r>
      <w:r>
        <w:rPr>
          <w:spacing w:val="-3"/>
        </w:rPr>
        <w:t xml:space="preserve"> </w:t>
      </w:r>
      <w:r>
        <w:t>article</w:t>
      </w:r>
      <w:r>
        <w:rPr>
          <w:spacing w:val="-4"/>
        </w:rPr>
        <w:t xml:space="preserve"> </w:t>
      </w:r>
      <w:r>
        <w:t>aligned</w:t>
      </w:r>
      <w:r>
        <w:rPr>
          <w:spacing w:val="-3"/>
        </w:rPr>
        <w:t xml:space="preserve"> </w:t>
      </w:r>
      <w:r>
        <w:t>with</w:t>
      </w:r>
      <w:r>
        <w:rPr>
          <w:spacing w:val="-3"/>
        </w:rPr>
        <w:t xml:space="preserve"> </w:t>
      </w:r>
      <w:r>
        <w:t>the</w:t>
      </w:r>
      <w:r>
        <w:rPr>
          <w:spacing w:val="-4"/>
        </w:rPr>
        <w:t xml:space="preserve"> </w:t>
      </w:r>
      <w:r>
        <w:t>format</w:t>
      </w:r>
      <w:r>
        <w:rPr>
          <w:spacing w:val="-4"/>
        </w:rPr>
        <w:t xml:space="preserve"> </w:t>
      </w:r>
      <w:r>
        <w:t>of</w:t>
      </w:r>
      <w:r>
        <w:rPr>
          <w:spacing w:val="-4"/>
        </w:rPr>
        <w:t xml:space="preserve"> </w:t>
      </w:r>
      <w:r>
        <w:t>the</w:t>
      </w:r>
      <w:r>
        <w:rPr>
          <w:spacing w:val="-4"/>
        </w:rPr>
        <w:t xml:space="preserve"> </w:t>
      </w:r>
      <w:r>
        <w:t>International</w:t>
      </w:r>
      <w:r>
        <w:rPr>
          <w:spacing w:val="-4"/>
        </w:rPr>
        <w:t xml:space="preserve"> </w:t>
      </w:r>
      <w:r>
        <w:t>Journal</w:t>
      </w:r>
      <w:r>
        <w:rPr>
          <w:spacing w:val="-4"/>
        </w:rPr>
        <w:t xml:space="preserve"> </w:t>
      </w:r>
      <w:r>
        <w:t>of Education, Business and Economics Research (IJEBER). It follows the basic article structure of title, author identity, abstract, keywords, introduction, literature review, methodology, results and discussion, conclusion, references, and author profile. Tables and figures are placed near the relevant discussion, consistent with the submitted template.</w:t>
      </w:r>
    </w:p>
    <w:p w14:paraId="0BC5D5A7" w14:textId="77777777" w:rsidR="00ED08FF" w:rsidRDefault="00000000">
      <w:pPr>
        <w:pStyle w:val="BodyText"/>
        <w:spacing w:before="2" w:line="252" w:lineRule="auto"/>
      </w:pPr>
      <w:r>
        <w:rPr>
          <w:color w:val="000000"/>
          <w:highlight w:val="yellow"/>
        </w:rPr>
        <w:t>However,</w:t>
      </w:r>
      <w:r>
        <w:rPr>
          <w:color w:val="000000"/>
          <w:spacing w:val="-2"/>
          <w:highlight w:val="yellow"/>
        </w:rPr>
        <w:t xml:space="preserve"> </w:t>
      </w:r>
      <w:r>
        <w:rPr>
          <w:color w:val="000000"/>
          <w:highlight w:val="yellow"/>
        </w:rPr>
        <w:t>the</w:t>
      </w:r>
      <w:r>
        <w:rPr>
          <w:color w:val="000000"/>
          <w:spacing w:val="-3"/>
          <w:highlight w:val="yellow"/>
        </w:rPr>
        <w:t xml:space="preserve"> </w:t>
      </w:r>
      <w:r>
        <w:rPr>
          <w:color w:val="000000"/>
          <w:highlight w:val="yellow"/>
        </w:rPr>
        <w:t>recent</w:t>
      </w:r>
      <w:r>
        <w:rPr>
          <w:color w:val="000000"/>
          <w:spacing w:val="-3"/>
          <w:highlight w:val="yellow"/>
        </w:rPr>
        <w:t xml:space="preserve"> </w:t>
      </w:r>
      <w:r>
        <w:rPr>
          <w:color w:val="000000"/>
          <w:highlight w:val="yellow"/>
        </w:rPr>
        <w:t>literature</w:t>
      </w:r>
      <w:r>
        <w:rPr>
          <w:color w:val="000000"/>
          <w:spacing w:val="-3"/>
          <w:highlight w:val="yellow"/>
        </w:rPr>
        <w:t xml:space="preserve"> </w:t>
      </w:r>
      <w:r>
        <w:rPr>
          <w:color w:val="000000"/>
          <w:highlight w:val="yellow"/>
        </w:rPr>
        <w:t>has</w:t>
      </w:r>
      <w:r>
        <w:rPr>
          <w:color w:val="000000"/>
          <w:spacing w:val="-3"/>
          <w:highlight w:val="yellow"/>
        </w:rPr>
        <w:t xml:space="preserve"> </w:t>
      </w:r>
      <w:r>
        <w:rPr>
          <w:color w:val="000000"/>
          <w:highlight w:val="yellow"/>
        </w:rPr>
        <w:t>not</w:t>
      </w:r>
      <w:r>
        <w:rPr>
          <w:color w:val="000000"/>
          <w:spacing w:val="-3"/>
          <w:highlight w:val="yellow"/>
        </w:rPr>
        <w:t xml:space="preserve"> </w:t>
      </w:r>
      <w:r>
        <w:rPr>
          <w:color w:val="000000"/>
          <w:highlight w:val="yellow"/>
        </w:rPr>
        <w:t>fully</w:t>
      </w:r>
      <w:r>
        <w:rPr>
          <w:color w:val="000000"/>
          <w:spacing w:val="-2"/>
          <w:highlight w:val="yellow"/>
        </w:rPr>
        <w:t xml:space="preserve"> </w:t>
      </w:r>
      <w:r>
        <w:rPr>
          <w:color w:val="000000"/>
          <w:highlight w:val="yellow"/>
        </w:rPr>
        <w:t>resolved</w:t>
      </w:r>
      <w:r>
        <w:rPr>
          <w:color w:val="000000"/>
          <w:spacing w:val="-2"/>
          <w:highlight w:val="yellow"/>
        </w:rPr>
        <w:t xml:space="preserve"> </w:t>
      </w:r>
      <w:r>
        <w:rPr>
          <w:color w:val="000000"/>
          <w:highlight w:val="yellow"/>
        </w:rPr>
        <w:t>whether</w:t>
      </w:r>
      <w:r>
        <w:rPr>
          <w:color w:val="000000"/>
          <w:spacing w:val="-2"/>
          <w:highlight w:val="yellow"/>
        </w:rPr>
        <w:t xml:space="preserve"> </w:t>
      </w:r>
      <w:r>
        <w:rPr>
          <w:color w:val="000000"/>
          <w:highlight w:val="yellow"/>
        </w:rPr>
        <w:t>these</w:t>
      </w:r>
      <w:r>
        <w:rPr>
          <w:color w:val="000000"/>
          <w:spacing w:val="-3"/>
          <w:highlight w:val="yellow"/>
        </w:rPr>
        <w:t xml:space="preserve"> </w:t>
      </w:r>
      <w:r>
        <w:rPr>
          <w:color w:val="000000"/>
          <w:highlight w:val="yellow"/>
        </w:rPr>
        <w:t>accounting</w:t>
      </w:r>
      <w:r>
        <w:rPr>
          <w:color w:val="000000"/>
          <w:spacing w:val="-2"/>
          <w:highlight w:val="yellow"/>
        </w:rPr>
        <w:t xml:space="preserve"> </w:t>
      </w:r>
      <w:r>
        <w:rPr>
          <w:color w:val="000000"/>
          <w:highlight w:val="yellow"/>
        </w:rPr>
        <w:t>ratios</w:t>
      </w:r>
      <w:r>
        <w:rPr>
          <w:color w:val="000000"/>
          <w:spacing w:val="-3"/>
          <w:highlight w:val="yellow"/>
        </w:rPr>
        <w:t xml:space="preserve"> </w:t>
      </w:r>
      <w:r>
        <w:rPr>
          <w:color w:val="000000"/>
          <w:highlight w:val="yellow"/>
        </w:rPr>
        <w:t>retain</w:t>
      </w:r>
      <w:r>
        <w:rPr>
          <w:color w:val="000000"/>
          <w:spacing w:val="-2"/>
          <w:highlight w:val="yellow"/>
        </w:rPr>
        <w:t xml:space="preserve"> </w:t>
      </w:r>
      <w:r>
        <w:rPr>
          <w:color w:val="000000"/>
          <w:highlight w:val="yellow"/>
        </w:rPr>
        <w:t>the</w:t>
      </w:r>
      <w:r>
        <w:rPr>
          <w:color w:val="000000"/>
          <w:spacing w:val="-3"/>
          <w:highlight w:val="yellow"/>
        </w:rPr>
        <w:t xml:space="preserve"> </w:t>
      </w:r>
      <w:r>
        <w:rPr>
          <w:color w:val="000000"/>
          <w:highlight w:val="yellow"/>
        </w:rPr>
        <w:t>same</w:t>
      </w:r>
      <w:r>
        <w:rPr>
          <w:color w:val="000000"/>
          <w:spacing w:val="-3"/>
          <w:highlight w:val="yellow"/>
        </w:rPr>
        <w:t xml:space="preserve"> </w:t>
      </w:r>
      <w:r>
        <w:rPr>
          <w:color w:val="000000"/>
          <w:highlight w:val="yellow"/>
        </w:rPr>
        <w:t>valuation</w:t>
      </w:r>
      <w:r>
        <w:rPr>
          <w:color w:val="000000"/>
          <w:spacing w:val="-2"/>
          <w:highlight w:val="yellow"/>
        </w:rPr>
        <w:t xml:space="preserve"> </w:t>
      </w:r>
      <w:r>
        <w:rPr>
          <w:color w:val="000000"/>
          <w:highlight w:val="yellow"/>
        </w:rPr>
        <w:t>relevance</w:t>
      </w:r>
      <w:r>
        <w:rPr>
          <w:color w:val="000000"/>
          <w:spacing w:val="-3"/>
          <w:highlight w:val="yellow"/>
        </w:rPr>
        <w:t xml:space="preserve"> </w:t>
      </w:r>
      <w:r>
        <w:rPr>
          <w:color w:val="000000"/>
          <w:highlight w:val="yellow"/>
        </w:rPr>
        <w:t>in</w:t>
      </w:r>
      <w:r>
        <w:rPr>
          <w:color w:val="000000"/>
          <w:spacing w:val="-2"/>
          <w:highlight w:val="yellow"/>
        </w:rPr>
        <w:t xml:space="preserve"> </w:t>
      </w:r>
      <w:r>
        <w:rPr>
          <w:color w:val="000000"/>
          <w:highlight w:val="yellow"/>
        </w:rPr>
        <w:t>a</w:t>
      </w:r>
      <w:r>
        <w:rPr>
          <w:color w:val="000000"/>
          <w:spacing w:val="-3"/>
          <w:highlight w:val="yellow"/>
        </w:rPr>
        <w:t xml:space="preserve"> </w:t>
      </w:r>
      <w:r>
        <w:rPr>
          <w:color w:val="000000"/>
          <w:highlight w:val="yellow"/>
        </w:rPr>
        <w:t>focused</w:t>
      </w:r>
      <w:r>
        <w:rPr>
          <w:color w:val="000000"/>
          <w:spacing w:val="-2"/>
          <w:highlight w:val="yellow"/>
        </w:rPr>
        <w:t xml:space="preserve"> </w:t>
      </w:r>
      <w:r>
        <w:rPr>
          <w:color w:val="000000"/>
          <w:highlight w:val="yellow"/>
        </w:rPr>
        <w:t>Indonesian</w:t>
      </w:r>
      <w:r>
        <w:rPr>
          <w:color w:val="000000"/>
        </w:rPr>
        <w:t xml:space="preserve"> </w:t>
      </w:r>
      <w:r>
        <w:rPr>
          <w:color w:val="000000"/>
          <w:highlight w:val="yellow"/>
        </w:rPr>
        <w:t>consumer non-cyclicals sample during the 2021-2025 post-pandemic adjustment period. This study addresses that gap by testing profitability,</w:t>
      </w:r>
      <w:r>
        <w:rPr>
          <w:color w:val="000000"/>
        </w:rPr>
        <w:t xml:space="preserve"> </w:t>
      </w:r>
      <w:r>
        <w:rPr>
          <w:color w:val="000000"/>
          <w:highlight w:val="yellow"/>
        </w:rPr>
        <w:t>leverage, firm size, and liquidity together using a transparent firm-year dataset.</w:t>
      </w:r>
    </w:p>
    <w:p w14:paraId="3FA229D4" w14:textId="77777777" w:rsidR="00ED08FF" w:rsidRDefault="00000000">
      <w:pPr>
        <w:pStyle w:val="BodyText"/>
        <w:spacing w:before="39" w:line="297" w:lineRule="auto"/>
        <w:ind w:right="1903"/>
        <w:jc w:val="both"/>
      </w:pPr>
      <w:r>
        <w:t>The</w:t>
      </w:r>
      <w:r>
        <w:rPr>
          <w:spacing w:val="-3"/>
        </w:rPr>
        <w:t xml:space="preserve"> </w:t>
      </w:r>
      <w:r>
        <w:t>research</w:t>
      </w:r>
      <w:r>
        <w:rPr>
          <w:spacing w:val="-2"/>
        </w:rPr>
        <w:t xml:space="preserve"> </w:t>
      </w:r>
      <w:r>
        <w:t>question</w:t>
      </w:r>
      <w:r>
        <w:rPr>
          <w:spacing w:val="-2"/>
        </w:rPr>
        <w:t xml:space="preserve"> </w:t>
      </w:r>
      <w:r>
        <w:t>is</w:t>
      </w:r>
      <w:r>
        <w:rPr>
          <w:spacing w:val="-3"/>
        </w:rPr>
        <w:t xml:space="preserve"> </w:t>
      </w:r>
      <w:r>
        <w:t>formulated</w:t>
      </w:r>
      <w:r>
        <w:rPr>
          <w:spacing w:val="-2"/>
        </w:rPr>
        <w:t xml:space="preserve"> </w:t>
      </w:r>
      <w:r>
        <w:t>as</w:t>
      </w:r>
      <w:r>
        <w:rPr>
          <w:spacing w:val="-2"/>
        </w:rPr>
        <w:t xml:space="preserve"> </w:t>
      </w:r>
      <w:r>
        <w:t>follows:</w:t>
      </w:r>
      <w:r>
        <w:rPr>
          <w:spacing w:val="-3"/>
        </w:rPr>
        <w:t xml:space="preserve"> </w:t>
      </w:r>
      <w:r>
        <w:t>do</w:t>
      </w:r>
      <w:r>
        <w:rPr>
          <w:spacing w:val="-2"/>
        </w:rPr>
        <w:t xml:space="preserve"> </w:t>
      </w:r>
      <w:r>
        <w:t>profitability,</w:t>
      </w:r>
      <w:r>
        <w:rPr>
          <w:spacing w:val="-2"/>
        </w:rPr>
        <w:t xml:space="preserve"> </w:t>
      </w:r>
      <w:r>
        <w:t>leverage,</w:t>
      </w:r>
      <w:r>
        <w:rPr>
          <w:spacing w:val="-2"/>
        </w:rPr>
        <w:t xml:space="preserve"> </w:t>
      </w:r>
      <w:r>
        <w:t>firm</w:t>
      </w:r>
      <w:r>
        <w:rPr>
          <w:spacing w:val="-3"/>
        </w:rPr>
        <w:t xml:space="preserve"> </w:t>
      </w:r>
      <w:r>
        <w:t>size,</w:t>
      </w:r>
      <w:r>
        <w:rPr>
          <w:spacing w:val="-2"/>
        </w:rPr>
        <w:t xml:space="preserve"> </w:t>
      </w:r>
      <w:r>
        <w:t>and</w:t>
      </w:r>
      <w:r>
        <w:rPr>
          <w:spacing w:val="-2"/>
        </w:rPr>
        <w:t xml:space="preserve"> </w:t>
      </w:r>
      <w:r>
        <w:t>liquidity</w:t>
      </w:r>
      <w:r>
        <w:rPr>
          <w:spacing w:val="-2"/>
        </w:rPr>
        <w:t xml:space="preserve"> </w:t>
      </w:r>
      <w:r>
        <w:t>affect</w:t>
      </w:r>
      <w:r>
        <w:rPr>
          <w:spacing w:val="-3"/>
        </w:rPr>
        <w:t xml:space="preserve"> </w:t>
      </w:r>
      <w:r>
        <w:t>firm</w:t>
      </w:r>
      <w:r>
        <w:rPr>
          <w:spacing w:val="-3"/>
        </w:rPr>
        <w:t xml:space="preserve"> </w:t>
      </w:r>
      <w:r>
        <w:t>value</w:t>
      </w:r>
      <w:r>
        <w:rPr>
          <w:spacing w:val="-3"/>
        </w:rPr>
        <w:t xml:space="preserve"> </w:t>
      </w:r>
      <w:r>
        <w:t>among consumer</w:t>
      </w:r>
      <w:r>
        <w:rPr>
          <w:spacing w:val="-2"/>
        </w:rPr>
        <w:t xml:space="preserve"> </w:t>
      </w:r>
      <w:r>
        <w:t>non-cyclicals</w:t>
      </w:r>
      <w:r>
        <w:rPr>
          <w:spacing w:val="-3"/>
        </w:rPr>
        <w:t xml:space="preserve"> </w:t>
      </w:r>
      <w:r>
        <w:t>companies</w:t>
      </w:r>
      <w:r>
        <w:rPr>
          <w:spacing w:val="-3"/>
        </w:rPr>
        <w:t xml:space="preserve"> </w:t>
      </w:r>
      <w:r>
        <w:t>listed</w:t>
      </w:r>
      <w:r>
        <w:rPr>
          <w:spacing w:val="-2"/>
        </w:rPr>
        <w:t xml:space="preserve"> </w:t>
      </w:r>
      <w:r>
        <w:t>on</w:t>
      </w:r>
      <w:r>
        <w:rPr>
          <w:spacing w:val="-2"/>
        </w:rPr>
        <w:t xml:space="preserve"> </w:t>
      </w:r>
      <w:r>
        <w:t>the</w:t>
      </w:r>
      <w:r>
        <w:rPr>
          <w:spacing w:val="-3"/>
        </w:rPr>
        <w:t xml:space="preserve"> </w:t>
      </w:r>
      <w:r>
        <w:t>Indonesia</w:t>
      </w:r>
      <w:r>
        <w:rPr>
          <w:spacing w:val="-3"/>
        </w:rPr>
        <w:t xml:space="preserve"> </w:t>
      </w:r>
      <w:r>
        <w:t>Stock</w:t>
      </w:r>
      <w:r>
        <w:rPr>
          <w:spacing w:val="-2"/>
        </w:rPr>
        <w:t xml:space="preserve"> </w:t>
      </w:r>
      <w:r>
        <w:t>Exchange?</w:t>
      </w:r>
      <w:r>
        <w:rPr>
          <w:spacing w:val="-3"/>
        </w:rPr>
        <w:t xml:space="preserve"> </w:t>
      </w:r>
      <w:r>
        <w:t>The</w:t>
      </w:r>
      <w:r>
        <w:rPr>
          <w:spacing w:val="-3"/>
        </w:rPr>
        <w:t xml:space="preserve"> </w:t>
      </w:r>
      <w:r>
        <w:t>research</w:t>
      </w:r>
      <w:r>
        <w:rPr>
          <w:spacing w:val="-2"/>
        </w:rPr>
        <w:t xml:space="preserve"> </w:t>
      </w:r>
      <w:r>
        <w:t>objective</w:t>
      </w:r>
      <w:r>
        <w:rPr>
          <w:spacing w:val="-3"/>
        </w:rPr>
        <w:t xml:space="preserve"> </w:t>
      </w:r>
      <w:r>
        <w:t>is</w:t>
      </w:r>
      <w:r>
        <w:rPr>
          <w:spacing w:val="-3"/>
        </w:rPr>
        <w:t xml:space="preserve"> </w:t>
      </w:r>
      <w:r>
        <w:t>to</w:t>
      </w:r>
      <w:r>
        <w:rPr>
          <w:spacing w:val="-2"/>
        </w:rPr>
        <w:t xml:space="preserve"> </w:t>
      </w:r>
      <w:r>
        <w:t>test</w:t>
      </w:r>
      <w:r>
        <w:rPr>
          <w:spacing w:val="-3"/>
        </w:rPr>
        <w:t xml:space="preserve"> </w:t>
      </w:r>
      <w:r>
        <w:t>the</w:t>
      </w:r>
      <w:r>
        <w:rPr>
          <w:spacing w:val="-3"/>
        </w:rPr>
        <w:t xml:space="preserve"> </w:t>
      </w:r>
      <w:r>
        <w:t>direction and</w:t>
      </w:r>
      <w:r>
        <w:rPr>
          <w:spacing w:val="-3"/>
        </w:rPr>
        <w:t xml:space="preserve"> </w:t>
      </w:r>
      <w:r>
        <w:t>significance</w:t>
      </w:r>
      <w:r>
        <w:rPr>
          <w:spacing w:val="-4"/>
        </w:rPr>
        <w:t xml:space="preserve"> </w:t>
      </w:r>
      <w:r>
        <w:t>of</w:t>
      </w:r>
      <w:r>
        <w:rPr>
          <w:spacing w:val="-3"/>
        </w:rPr>
        <w:t xml:space="preserve"> </w:t>
      </w:r>
      <w:r>
        <w:t>those</w:t>
      </w:r>
      <w:r>
        <w:rPr>
          <w:spacing w:val="-4"/>
        </w:rPr>
        <w:t xml:space="preserve"> </w:t>
      </w:r>
      <w:r>
        <w:t>relationships</w:t>
      </w:r>
      <w:r>
        <w:rPr>
          <w:spacing w:val="-4"/>
        </w:rPr>
        <w:t xml:space="preserve"> </w:t>
      </w:r>
      <w:r>
        <w:t>using</w:t>
      </w:r>
      <w:r>
        <w:rPr>
          <w:spacing w:val="-3"/>
        </w:rPr>
        <w:t xml:space="preserve"> </w:t>
      </w:r>
      <w:r>
        <w:t>a</w:t>
      </w:r>
      <w:r>
        <w:rPr>
          <w:spacing w:val="-4"/>
        </w:rPr>
        <w:t xml:space="preserve"> </w:t>
      </w:r>
      <w:r>
        <w:t>transparent</w:t>
      </w:r>
      <w:r>
        <w:rPr>
          <w:spacing w:val="-4"/>
        </w:rPr>
        <w:t xml:space="preserve"> </w:t>
      </w:r>
      <w:r>
        <w:t>panel</w:t>
      </w:r>
      <w:r>
        <w:rPr>
          <w:spacing w:val="-4"/>
        </w:rPr>
        <w:t xml:space="preserve"> </w:t>
      </w:r>
      <w:r>
        <w:t>dataset.</w:t>
      </w:r>
      <w:r>
        <w:rPr>
          <w:spacing w:val="-3"/>
        </w:rPr>
        <w:t xml:space="preserve"> </w:t>
      </w:r>
      <w:r>
        <w:t>The</w:t>
      </w:r>
      <w:r>
        <w:rPr>
          <w:spacing w:val="-4"/>
        </w:rPr>
        <w:t xml:space="preserve"> </w:t>
      </w:r>
      <w:r>
        <w:t>practical</w:t>
      </w:r>
      <w:r>
        <w:rPr>
          <w:spacing w:val="-4"/>
        </w:rPr>
        <w:t xml:space="preserve"> </w:t>
      </w:r>
      <w:r>
        <w:t>objective</w:t>
      </w:r>
      <w:r>
        <w:rPr>
          <w:spacing w:val="-4"/>
        </w:rPr>
        <w:t xml:space="preserve"> </w:t>
      </w:r>
      <w:r>
        <w:t>is</w:t>
      </w:r>
      <w:r>
        <w:rPr>
          <w:spacing w:val="-4"/>
        </w:rPr>
        <w:t xml:space="preserve"> </w:t>
      </w:r>
      <w:r>
        <w:t>to</w:t>
      </w:r>
      <w:r>
        <w:rPr>
          <w:spacing w:val="-3"/>
        </w:rPr>
        <w:t xml:space="preserve"> </w:t>
      </w:r>
      <w:r>
        <w:t>provide</w:t>
      </w:r>
      <w:r>
        <w:rPr>
          <w:spacing w:val="-4"/>
        </w:rPr>
        <w:t xml:space="preserve"> </w:t>
      </w:r>
      <w:r>
        <w:t>a</w:t>
      </w:r>
      <w:r>
        <w:rPr>
          <w:spacing w:val="-4"/>
        </w:rPr>
        <w:t xml:space="preserve"> </w:t>
      </w:r>
      <w:r>
        <w:t>model</w:t>
      </w:r>
      <w:r>
        <w:rPr>
          <w:spacing w:val="-4"/>
        </w:rPr>
        <w:t xml:space="preserve"> </w:t>
      </w:r>
      <w:r>
        <w:t xml:space="preserve">that </w:t>
      </w:r>
      <w:r>
        <w:rPr>
          <w:color w:val="000000"/>
          <w:highlight w:val="yellow"/>
        </w:rPr>
        <w:t>can be replicated by accounting researchers and students using public financial data.</w:t>
      </w:r>
    </w:p>
    <w:p w14:paraId="4B2B92C4" w14:textId="77777777" w:rsidR="00ED08FF" w:rsidRDefault="00ED08FF">
      <w:pPr>
        <w:pStyle w:val="BodyText"/>
        <w:spacing w:before="51"/>
        <w:ind w:left="0"/>
      </w:pPr>
    </w:p>
    <w:p w14:paraId="61AA407E" w14:textId="77777777" w:rsidR="00ED08FF" w:rsidRDefault="00000000">
      <w:pPr>
        <w:pStyle w:val="BodyText"/>
        <w:spacing w:before="0" w:line="297" w:lineRule="auto"/>
        <w:ind w:right="2308"/>
      </w:pPr>
      <w:r>
        <w:t>The expected contribution of this paper is threefold. First, it gives recent evidence from Indonesian consumer non-cyclicals</w:t>
      </w:r>
      <w:r>
        <w:rPr>
          <w:spacing w:val="-4"/>
        </w:rPr>
        <w:t xml:space="preserve"> </w:t>
      </w:r>
      <w:r>
        <w:t>companies.</w:t>
      </w:r>
      <w:r>
        <w:rPr>
          <w:spacing w:val="-3"/>
        </w:rPr>
        <w:t xml:space="preserve"> </w:t>
      </w:r>
      <w:r>
        <w:t>Second,</w:t>
      </w:r>
      <w:r>
        <w:rPr>
          <w:spacing w:val="-3"/>
        </w:rPr>
        <w:t xml:space="preserve"> </w:t>
      </w:r>
      <w:r>
        <w:t>it</w:t>
      </w:r>
      <w:r>
        <w:rPr>
          <w:spacing w:val="-4"/>
        </w:rPr>
        <w:t xml:space="preserve"> </w:t>
      </w:r>
      <w:r>
        <w:t>demonstrates</w:t>
      </w:r>
      <w:r>
        <w:rPr>
          <w:spacing w:val="-4"/>
        </w:rPr>
        <w:t xml:space="preserve"> </w:t>
      </w:r>
      <w:r>
        <w:t>how</w:t>
      </w:r>
      <w:r>
        <w:rPr>
          <w:spacing w:val="-4"/>
        </w:rPr>
        <w:t xml:space="preserve"> </w:t>
      </w:r>
      <w:r>
        <w:t>market-based</w:t>
      </w:r>
      <w:r>
        <w:rPr>
          <w:spacing w:val="-3"/>
        </w:rPr>
        <w:t xml:space="preserve"> </w:t>
      </w:r>
      <w:r>
        <w:t>valuation</w:t>
      </w:r>
      <w:r>
        <w:rPr>
          <w:spacing w:val="-3"/>
        </w:rPr>
        <w:t xml:space="preserve"> </w:t>
      </w:r>
      <w:r>
        <w:t>can</w:t>
      </w:r>
      <w:r>
        <w:rPr>
          <w:spacing w:val="-3"/>
        </w:rPr>
        <w:t xml:space="preserve"> </w:t>
      </w:r>
      <w:r>
        <w:t>be</w:t>
      </w:r>
      <w:r>
        <w:rPr>
          <w:spacing w:val="-4"/>
        </w:rPr>
        <w:t xml:space="preserve"> </w:t>
      </w:r>
      <w:r>
        <w:t>examined</w:t>
      </w:r>
      <w:r>
        <w:rPr>
          <w:spacing w:val="-3"/>
        </w:rPr>
        <w:t xml:space="preserve"> </w:t>
      </w:r>
      <w:r>
        <w:t>using</w:t>
      </w:r>
      <w:r>
        <w:rPr>
          <w:spacing w:val="-3"/>
        </w:rPr>
        <w:t xml:space="preserve"> </w:t>
      </w:r>
      <w:r>
        <w:t>accounting</w:t>
      </w:r>
      <w:r>
        <w:rPr>
          <w:spacing w:val="-3"/>
        </w:rPr>
        <w:t xml:space="preserve"> </w:t>
      </w:r>
      <w:r>
        <w:t>ratios. Third, it presents the data, equations, descriptive statistics, and regression output in a way that can be audited. This matters because empirical papers are weak when the data are hidden or when variable construction is vague.</w:t>
      </w:r>
    </w:p>
    <w:p w14:paraId="5B791310" w14:textId="77777777" w:rsidR="00ED08FF" w:rsidRDefault="00ED08FF">
      <w:pPr>
        <w:pStyle w:val="BodyText"/>
        <w:spacing w:before="51"/>
        <w:ind w:left="0"/>
      </w:pPr>
    </w:p>
    <w:p w14:paraId="4EDD3F3A" w14:textId="77777777" w:rsidR="00ED08FF" w:rsidRDefault="00000000">
      <w:pPr>
        <w:pStyle w:val="Heading1"/>
        <w:numPr>
          <w:ilvl w:val="0"/>
          <w:numId w:val="1"/>
        </w:numPr>
        <w:tabs>
          <w:tab w:val="left" w:pos="415"/>
        </w:tabs>
        <w:spacing w:before="1"/>
        <w:ind w:left="415"/>
      </w:pPr>
      <w:r>
        <w:t>LITERATURE</w:t>
      </w:r>
      <w:r>
        <w:rPr>
          <w:spacing w:val="-10"/>
        </w:rPr>
        <w:t xml:space="preserve"> </w:t>
      </w:r>
      <w:r>
        <w:rPr>
          <w:spacing w:val="-2"/>
        </w:rPr>
        <w:t>REVIEW</w:t>
      </w:r>
    </w:p>
    <w:p w14:paraId="18CF7BEC" w14:textId="77777777" w:rsidR="00ED08FF" w:rsidRDefault="00000000">
      <w:pPr>
        <w:pStyle w:val="Heading2"/>
        <w:numPr>
          <w:ilvl w:val="1"/>
          <w:numId w:val="1"/>
        </w:numPr>
        <w:tabs>
          <w:tab w:val="left" w:pos="415"/>
        </w:tabs>
        <w:spacing w:before="50"/>
        <w:ind w:left="415"/>
      </w:pPr>
      <w:r>
        <w:t>Firm</w:t>
      </w:r>
      <w:r>
        <w:rPr>
          <w:spacing w:val="-1"/>
        </w:rPr>
        <w:t xml:space="preserve"> </w:t>
      </w:r>
      <w:r>
        <w:rPr>
          <w:spacing w:val="-2"/>
        </w:rPr>
        <w:t>Value</w:t>
      </w:r>
    </w:p>
    <w:p w14:paraId="6AD1DD21" w14:textId="77777777" w:rsidR="00ED08FF" w:rsidRDefault="00000000">
      <w:pPr>
        <w:pStyle w:val="BodyText"/>
        <w:spacing w:before="50" w:line="297" w:lineRule="auto"/>
        <w:ind w:right="2032"/>
      </w:pPr>
      <w:r>
        <w:t>Firm value represents the market assessment of a company relative to the capital invested by shareholders. In accounting-based</w:t>
      </w:r>
      <w:r>
        <w:rPr>
          <w:spacing w:val="-3"/>
        </w:rPr>
        <w:t xml:space="preserve"> </w:t>
      </w:r>
      <w:r>
        <w:t>valuation</w:t>
      </w:r>
      <w:r>
        <w:rPr>
          <w:spacing w:val="-3"/>
        </w:rPr>
        <w:t xml:space="preserve"> </w:t>
      </w:r>
      <w:r>
        <w:t>studies,</w:t>
      </w:r>
      <w:r>
        <w:rPr>
          <w:spacing w:val="-3"/>
        </w:rPr>
        <w:t xml:space="preserve"> </w:t>
      </w:r>
      <w:r>
        <w:t>price-to-book</w:t>
      </w:r>
      <w:r>
        <w:rPr>
          <w:spacing w:val="-3"/>
        </w:rPr>
        <w:t xml:space="preserve"> </w:t>
      </w:r>
      <w:r>
        <w:t>value</w:t>
      </w:r>
      <w:r>
        <w:rPr>
          <w:spacing w:val="-4"/>
        </w:rPr>
        <w:t xml:space="preserve"> </w:t>
      </w:r>
      <w:r>
        <w:t>is</w:t>
      </w:r>
      <w:r>
        <w:rPr>
          <w:spacing w:val="-4"/>
        </w:rPr>
        <w:t xml:space="preserve"> </w:t>
      </w:r>
      <w:r>
        <w:t>often</w:t>
      </w:r>
      <w:r>
        <w:rPr>
          <w:spacing w:val="-3"/>
        </w:rPr>
        <w:t xml:space="preserve"> </w:t>
      </w:r>
      <w:r>
        <w:t>used</w:t>
      </w:r>
      <w:r>
        <w:rPr>
          <w:spacing w:val="-3"/>
        </w:rPr>
        <w:t xml:space="preserve"> </w:t>
      </w:r>
      <w:r>
        <w:t>because</w:t>
      </w:r>
      <w:r>
        <w:rPr>
          <w:spacing w:val="-4"/>
        </w:rPr>
        <w:t xml:space="preserve"> </w:t>
      </w:r>
      <w:r>
        <w:t>it</w:t>
      </w:r>
      <w:r>
        <w:rPr>
          <w:spacing w:val="-4"/>
        </w:rPr>
        <w:t xml:space="preserve"> </w:t>
      </w:r>
      <w:r>
        <w:t>compares</w:t>
      </w:r>
      <w:r>
        <w:rPr>
          <w:spacing w:val="-4"/>
        </w:rPr>
        <w:t xml:space="preserve"> </w:t>
      </w:r>
      <w:r>
        <w:t>market</w:t>
      </w:r>
      <w:r>
        <w:rPr>
          <w:spacing w:val="-4"/>
        </w:rPr>
        <w:t xml:space="preserve"> </w:t>
      </w:r>
      <w:r>
        <w:t>price</w:t>
      </w:r>
      <w:r>
        <w:rPr>
          <w:spacing w:val="-4"/>
        </w:rPr>
        <w:t xml:space="preserve"> </w:t>
      </w:r>
      <w:r>
        <w:t>with</w:t>
      </w:r>
      <w:r>
        <w:rPr>
          <w:spacing w:val="-3"/>
        </w:rPr>
        <w:t xml:space="preserve"> </w:t>
      </w:r>
      <w:r>
        <w:t>book</w:t>
      </w:r>
      <w:r>
        <w:rPr>
          <w:spacing w:val="-3"/>
        </w:rPr>
        <w:t xml:space="preserve"> </w:t>
      </w:r>
      <w:r>
        <w:t>value</w:t>
      </w:r>
    </w:p>
    <w:p w14:paraId="101D375F" w14:textId="77777777" w:rsidR="00ED08FF" w:rsidRDefault="00000000">
      <w:pPr>
        <w:pStyle w:val="BodyText"/>
        <w:spacing w:before="0" w:line="297" w:lineRule="auto"/>
        <w:ind w:right="1762"/>
      </w:pPr>
      <w:r>
        <w:t xml:space="preserve">per share. PBV greater than one indicates that the market values equity above its accounting book value. PBV below one can indicate weak growth expectations, low profitability, high perceived risk, or market pessimism. PBV is not a perfect </w:t>
      </w:r>
      <w:r>
        <w:rPr>
          <w:color w:val="000000"/>
          <w:highlight w:val="yellow"/>
        </w:rPr>
        <w:t>measure,</w:t>
      </w:r>
      <w:r>
        <w:rPr>
          <w:color w:val="000000"/>
          <w:spacing w:val="-3"/>
          <w:highlight w:val="yellow"/>
        </w:rPr>
        <w:t xml:space="preserve"> </w:t>
      </w:r>
      <w:r>
        <w:rPr>
          <w:color w:val="000000"/>
          <w:highlight w:val="yellow"/>
        </w:rPr>
        <w:t>but</w:t>
      </w:r>
      <w:r>
        <w:rPr>
          <w:color w:val="000000"/>
          <w:spacing w:val="-4"/>
          <w:highlight w:val="yellow"/>
        </w:rPr>
        <w:t xml:space="preserve"> </w:t>
      </w:r>
      <w:r>
        <w:rPr>
          <w:color w:val="000000"/>
          <w:highlight w:val="yellow"/>
        </w:rPr>
        <w:t>it</w:t>
      </w:r>
      <w:r>
        <w:rPr>
          <w:color w:val="000000"/>
          <w:spacing w:val="-4"/>
          <w:highlight w:val="yellow"/>
        </w:rPr>
        <w:t xml:space="preserve"> </w:t>
      </w:r>
      <w:r>
        <w:rPr>
          <w:color w:val="000000"/>
          <w:highlight w:val="yellow"/>
        </w:rPr>
        <w:t>is</w:t>
      </w:r>
      <w:r>
        <w:rPr>
          <w:color w:val="000000"/>
          <w:spacing w:val="-4"/>
          <w:highlight w:val="yellow"/>
        </w:rPr>
        <w:t xml:space="preserve"> </w:t>
      </w:r>
      <w:r>
        <w:rPr>
          <w:color w:val="000000"/>
          <w:highlight w:val="yellow"/>
        </w:rPr>
        <w:t>relevant</w:t>
      </w:r>
      <w:r>
        <w:rPr>
          <w:color w:val="000000"/>
          <w:spacing w:val="-4"/>
          <w:highlight w:val="yellow"/>
        </w:rPr>
        <w:t xml:space="preserve"> </w:t>
      </w:r>
      <w:r>
        <w:rPr>
          <w:color w:val="000000"/>
          <w:highlight w:val="yellow"/>
        </w:rPr>
        <w:t>because</w:t>
      </w:r>
      <w:r>
        <w:rPr>
          <w:color w:val="000000"/>
          <w:spacing w:val="-4"/>
          <w:highlight w:val="yellow"/>
        </w:rPr>
        <w:t xml:space="preserve"> </w:t>
      </w:r>
      <w:r>
        <w:rPr>
          <w:color w:val="000000"/>
          <w:highlight w:val="yellow"/>
        </w:rPr>
        <w:t>it</w:t>
      </w:r>
      <w:r>
        <w:rPr>
          <w:color w:val="000000"/>
          <w:spacing w:val="-4"/>
          <w:highlight w:val="yellow"/>
        </w:rPr>
        <w:t xml:space="preserve"> </w:t>
      </w:r>
      <w:r>
        <w:rPr>
          <w:color w:val="000000"/>
          <w:highlight w:val="yellow"/>
        </w:rPr>
        <w:t>connects</w:t>
      </w:r>
      <w:r>
        <w:rPr>
          <w:color w:val="000000"/>
          <w:spacing w:val="-4"/>
          <w:highlight w:val="yellow"/>
        </w:rPr>
        <w:t xml:space="preserve"> </w:t>
      </w:r>
      <w:r>
        <w:rPr>
          <w:color w:val="000000"/>
          <w:highlight w:val="yellow"/>
        </w:rPr>
        <w:t>financial</w:t>
      </w:r>
      <w:r>
        <w:rPr>
          <w:color w:val="000000"/>
          <w:spacing w:val="-4"/>
          <w:highlight w:val="yellow"/>
        </w:rPr>
        <w:t xml:space="preserve"> </w:t>
      </w:r>
      <w:r>
        <w:rPr>
          <w:color w:val="000000"/>
          <w:highlight w:val="yellow"/>
        </w:rPr>
        <w:t>statement</w:t>
      </w:r>
      <w:r>
        <w:rPr>
          <w:color w:val="000000"/>
          <w:spacing w:val="-4"/>
          <w:highlight w:val="yellow"/>
        </w:rPr>
        <w:t xml:space="preserve"> </w:t>
      </w:r>
      <w:r>
        <w:rPr>
          <w:color w:val="000000"/>
          <w:highlight w:val="yellow"/>
        </w:rPr>
        <w:t>information</w:t>
      </w:r>
      <w:r>
        <w:rPr>
          <w:color w:val="000000"/>
          <w:spacing w:val="-3"/>
          <w:highlight w:val="yellow"/>
        </w:rPr>
        <w:t xml:space="preserve"> </w:t>
      </w:r>
      <w:r>
        <w:rPr>
          <w:color w:val="000000"/>
          <w:highlight w:val="yellow"/>
        </w:rPr>
        <w:t>with</w:t>
      </w:r>
      <w:r>
        <w:rPr>
          <w:color w:val="000000"/>
          <w:spacing w:val="-3"/>
          <w:highlight w:val="yellow"/>
        </w:rPr>
        <w:t xml:space="preserve"> </w:t>
      </w:r>
      <w:r>
        <w:rPr>
          <w:color w:val="000000"/>
          <w:highlight w:val="yellow"/>
        </w:rPr>
        <w:t>capital-market</w:t>
      </w:r>
      <w:r>
        <w:rPr>
          <w:color w:val="000000"/>
          <w:spacing w:val="-4"/>
          <w:highlight w:val="yellow"/>
        </w:rPr>
        <w:t xml:space="preserve"> </w:t>
      </w:r>
      <w:r>
        <w:rPr>
          <w:color w:val="000000"/>
          <w:highlight w:val="yellow"/>
        </w:rPr>
        <w:t>assessment</w:t>
      </w:r>
      <w:r>
        <w:rPr>
          <w:color w:val="000000"/>
          <w:spacing w:val="-4"/>
          <w:highlight w:val="yellow"/>
        </w:rPr>
        <w:t xml:space="preserve"> </w:t>
      </w:r>
      <w:r>
        <w:rPr>
          <w:color w:val="000000"/>
          <w:highlight w:val="yellow"/>
        </w:rPr>
        <w:t>(Hery,</w:t>
      </w:r>
      <w:r>
        <w:rPr>
          <w:color w:val="000000"/>
          <w:spacing w:val="-3"/>
          <w:highlight w:val="yellow"/>
        </w:rPr>
        <w:t xml:space="preserve"> </w:t>
      </w:r>
      <w:r>
        <w:rPr>
          <w:color w:val="000000"/>
          <w:highlight w:val="yellow"/>
        </w:rPr>
        <w:t>2018).</w:t>
      </w:r>
      <w:r>
        <w:rPr>
          <w:color w:val="000000"/>
        </w:rPr>
        <w:t xml:space="preserve"> The use of PBV is especially appropriate when the study focuses on firm-level accounting fundamentals. Book value reflects accumulated equity after recognizing assets, liabilities, profits, losses, dividends, and other equity transactions.</w:t>
      </w:r>
    </w:p>
    <w:p w14:paraId="4BE1FF11" w14:textId="77777777" w:rsidR="00ED08FF" w:rsidRDefault="00000000">
      <w:pPr>
        <w:pStyle w:val="BodyText"/>
        <w:spacing w:before="2" w:line="297" w:lineRule="auto"/>
        <w:ind w:right="1903"/>
      </w:pPr>
      <w:r>
        <w:t>Market</w:t>
      </w:r>
      <w:r>
        <w:rPr>
          <w:spacing w:val="-4"/>
        </w:rPr>
        <w:t xml:space="preserve"> </w:t>
      </w:r>
      <w:r>
        <w:t>value</w:t>
      </w:r>
      <w:r>
        <w:rPr>
          <w:spacing w:val="-4"/>
        </w:rPr>
        <w:t xml:space="preserve"> </w:t>
      </w:r>
      <w:r>
        <w:t>reflects</w:t>
      </w:r>
      <w:r>
        <w:rPr>
          <w:spacing w:val="-4"/>
        </w:rPr>
        <w:t xml:space="preserve"> </w:t>
      </w:r>
      <w:r>
        <w:t>investor</w:t>
      </w:r>
      <w:r>
        <w:rPr>
          <w:spacing w:val="-3"/>
        </w:rPr>
        <w:t xml:space="preserve"> </w:t>
      </w:r>
      <w:r>
        <w:t>expectations</w:t>
      </w:r>
      <w:r>
        <w:rPr>
          <w:spacing w:val="-4"/>
        </w:rPr>
        <w:t xml:space="preserve"> </w:t>
      </w:r>
      <w:r>
        <w:t>about</w:t>
      </w:r>
      <w:r>
        <w:rPr>
          <w:spacing w:val="-4"/>
        </w:rPr>
        <w:t xml:space="preserve"> </w:t>
      </w:r>
      <w:r>
        <w:t>future</w:t>
      </w:r>
      <w:r>
        <w:rPr>
          <w:spacing w:val="-4"/>
        </w:rPr>
        <w:t xml:space="preserve"> </w:t>
      </w:r>
      <w:r>
        <w:t>performance.</w:t>
      </w:r>
      <w:r>
        <w:rPr>
          <w:spacing w:val="-3"/>
        </w:rPr>
        <w:t xml:space="preserve"> </w:t>
      </w:r>
      <w:r>
        <w:t>The</w:t>
      </w:r>
      <w:r>
        <w:rPr>
          <w:spacing w:val="-4"/>
        </w:rPr>
        <w:t xml:space="preserve"> </w:t>
      </w:r>
      <w:r>
        <w:t>gap</w:t>
      </w:r>
      <w:r>
        <w:rPr>
          <w:spacing w:val="-3"/>
        </w:rPr>
        <w:t xml:space="preserve"> </w:t>
      </w:r>
      <w:r>
        <w:t>between</w:t>
      </w:r>
      <w:r>
        <w:rPr>
          <w:spacing w:val="-3"/>
        </w:rPr>
        <w:t xml:space="preserve"> </w:t>
      </w:r>
      <w:r>
        <w:t>those</w:t>
      </w:r>
      <w:r>
        <w:rPr>
          <w:spacing w:val="-4"/>
        </w:rPr>
        <w:t xml:space="preserve"> </w:t>
      </w:r>
      <w:r>
        <w:t>two</w:t>
      </w:r>
      <w:r>
        <w:rPr>
          <w:spacing w:val="-3"/>
        </w:rPr>
        <w:t xml:space="preserve"> </w:t>
      </w:r>
      <w:r>
        <w:t>values</w:t>
      </w:r>
      <w:r>
        <w:rPr>
          <w:spacing w:val="-4"/>
        </w:rPr>
        <w:t xml:space="preserve"> </w:t>
      </w:r>
      <w:r>
        <w:t>is</w:t>
      </w:r>
      <w:r>
        <w:rPr>
          <w:spacing w:val="-4"/>
        </w:rPr>
        <w:t xml:space="preserve"> </w:t>
      </w:r>
      <w:r>
        <w:t>the</w:t>
      </w:r>
      <w:r>
        <w:rPr>
          <w:spacing w:val="-4"/>
        </w:rPr>
        <w:t xml:space="preserve"> </w:t>
      </w:r>
      <w:r>
        <w:t>valuation space that accounting information tries to explain. If ROA, DER, size, and liquidity affect investor expectations, they should be reflected in PBV variation.</w:t>
      </w:r>
    </w:p>
    <w:p w14:paraId="38031AEC" w14:textId="77777777" w:rsidR="00ED08FF" w:rsidRDefault="00000000">
      <w:pPr>
        <w:pStyle w:val="BodyText"/>
        <w:spacing w:line="297" w:lineRule="auto"/>
        <w:ind w:right="2145"/>
      </w:pPr>
      <w:r>
        <w:t>From signaling theory, managers send signals to investors through financial statements and other corporate disclosures.</w:t>
      </w:r>
      <w:r>
        <w:rPr>
          <w:spacing w:val="-3"/>
        </w:rPr>
        <w:t xml:space="preserve"> </w:t>
      </w:r>
      <w:r>
        <w:t>A</w:t>
      </w:r>
      <w:r>
        <w:rPr>
          <w:spacing w:val="-4"/>
        </w:rPr>
        <w:t xml:space="preserve"> </w:t>
      </w:r>
      <w:r>
        <w:t>signal</w:t>
      </w:r>
      <w:r>
        <w:rPr>
          <w:spacing w:val="-4"/>
        </w:rPr>
        <w:t xml:space="preserve"> </w:t>
      </w:r>
      <w:r>
        <w:t>is</w:t>
      </w:r>
      <w:r>
        <w:rPr>
          <w:spacing w:val="-4"/>
        </w:rPr>
        <w:t xml:space="preserve"> </w:t>
      </w:r>
      <w:r>
        <w:t>valuable</w:t>
      </w:r>
      <w:r>
        <w:rPr>
          <w:spacing w:val="-4"/>
        </w:rPr>
        <w:t xml:space="preserve"> </w:t>
      </w:r>
      <w:r>
        <w:t>when</w:t>
      </w:r>
      <w:r>
        <w:rPr>
          <w:spacing w:val="-3"/>
        </w:rPr>
        <w:t xml:space="preserve"> </w:t>
      </w:r>
      <w:r>
        <w:t>it</w:t>
      </w:r>
      <w:r>
        <w:rPr>
          <w:spacing w:val="-4"/>
        </w:rPr>
        <w:t xml:space="preserve"> </w:t>
      </w:r>
      <w:r>
        <w:t>reduces</w:t>
      </w:r>
      <w:r>
        <w:rPr>
          <w:spacing w:val="-4"/>
        </w:rPr>
        <w:t xml:space="preserve"> </w:t>
      </w:r>
      <w:r>
        <w:t>uncertainty.</w:t>
      </w:r>
      <w:r>
        <w:rPr>
          <w:spacing w:val="-3"/>
        </w:rPr>
        <w:t xml:space="preserve"> </w:t>
      </w:r>
      <w:r>
        <w:t>Strong</w:t>
      </w:r>
      <w:r>
        <w:rPr>
          <w:spacing w:val="-3"/>
        </w:rPr>
        <w:t xml:space="preserve"> </w:t>
      </w:r>
      <w:r>
        <w:t>profitability</w:t>
      </w:r>
      <w:r>
        <w:rPr>
          <w:spacing w:val="-3"/>
        </w:rPr>
        <w:t xml:space="preserve"> </w:t>
      </w:r>
      <w:r>
        <w:t>can</w:t>
      </w:r>
      <w:r>
        <w:rPr>
          <w:spacing w:val="-3"/>
        </w:rPr>
        <w:t xml:space="preserve"> </w:t>
      </w:r>
      <w:r>
        <w:t>signal</w:t>
      </w:r>
      <w:r>
        <w:rPr>
          <w:spacing w:val="-4"/>
        </w:rPr>
        <w:t xml:space="preserve"> </w:t>
      </w:r>
      <w:r>
        <w:t>efficient</w:t>
      </w:r>
      <w:r>
        <w:rPr>
          <w:spacing w:val="-4"/>
        </w:rPr>
        <w:t xml:space="preserve"> </w:t>
      </w:r>
      <w:r>
        <w:t>resource</w:t>
      </w:r>
      <w:r>
        <w:rPr>
          <w:spacing w:val="-4"/>
        </w:rPr>
        <w:t xml:space="preserve"> </w:t>
      </w:r>
      <w:r>
        <w:t>use.</w:t>
      </w:r>
    </w:p>
    <w:p w14:paraId="6A2CB137" w14:textId="77777777" w:rsidR="00ED08FF" w:rsidRDefault="00000000">
      <w:pPr>
        <w:pStyle w:val="BodyText"/>
        <w:spacing w:line="297" w:lineRule="auto"/>
        <w:ind w:right="1825"/>
      </w:pPr>
      <w:r>
        <w:t>Moderate</w:t>
      </w:r>
      <w:r>
        <w:rPr>
          <w:spacing w:val="-4"/>
        </w:rPr>
        <w:t xml:space="preserve"> </w:t>
      </w:r>
      <w:r>
        <w:t>leverage</w:t>
      </w:r>
      <w:r>
        <w:rPr>
          <w:spacing w:val="-4"/>
        </w:rPr>
        <w:t xml:space="preserve"> </w:t>
      </w:r>
      <w:r>
        <w:t>can</w:t>
      </w:r>
      <w:r>
        <w:rPr>
          <w:spacing w:val="-3"/>
        </w:rPr>
        <w:t xml:space="preserve"> </w:t>
      </w:r>
      <w:r>
        <w:t>signal</w:t>
      </w:r>
      <w:r>
        <w:rPr>
          <w:spacing w:val="-4"/>
        </w:rPr>
        <w:t xml:space="preserve"> </w:t>
      </w:r>
      <w:r>
        <w:t>financing</w:t>
      </w:r>
      <w:r>
        <w:rPr>
          <w:spacing w:val="-3"/>
        </w:rPr>
        <w:t xml:space="preserve"> </w:t>
      </w:r>
      <w:r>
        <w:t>discipline.</w:t>
      </w:r>
      <w:r>
        <w:rPr>
          <w:spacing w:val="-3"/>
        </w:rPr>
        <w:t xml:space="preserve"> </w:t>
      </w:r>
      <w:r>
        <w:t>Large</w:t>
      </w:r>
      <w:r>
        <w:rPr>
          <w:spacing w:val="-4"/>
        </w:rPr>
        <w:t xml:space="preserve"> </w:t>
      </w:r>
      <w:r>
        <w:t>firm</w:t>
      </w:r>
      <w:r>
        <w:rPr>
          <w:spacing w:val="-4"/>
        </w:rPr>
        <w:t xml:space="preserve"> </w:t>
      </w:r>
      <w:r>
        <w:t>size</w:t>
      </w:r>
      <w:r>
        <w:rPr>
          <w:spacing w:val="-4"/>
        </w:rPr>
        <w:t xml:space="preserve"> </w:t>
      </w:r>
      <w:r>
        <w:t>can</w:t>
      </w:r>
      <w:r>
        <w:rPr>
          <w:spacing w:val="-3"/>
        </w:rPr>
        <w:t xml:space="preserve"> </w:t>
      </w:r>
      <w:r>
        <w:t>signal</w:t>
      </w:r>
      <w:r>
        <w:rPr>
          <w:spacing w:val="-4"/>
        </w:rPr>
        <w:t xml:space="preserve"> </w:t>
      </w:r>
      <w:r>
        <w:t>stability.</w:t>
      </w:r>
      <w:r>
        <w:rPr>
          <w:spacing w:val="-3"/>
        </w:rPr>
        <w:t xml:space="preserve"> </w:t>
      </w:r>
      <w:r>
        <w:t>Adequate</w:t>
      </w:r>
      <w:r>
        <w:rPr>
          <w:spacing w:val="-4"/>
        </w:rPr>
        <w:t xml:space="preserve"> </w:t>
      </w:r>
      <w:r>
        <w:t>liquidity</w:t>
      </w:r>
      <w:r>
        <w:rPr>
          <w:spacing w:val="-3"/>
        </w:rPr>
        <w:t xml:space="preserve"> </w:t>
      </w:r>
      <w:r>
        <w:t>can</w:t>
      </w:r>
      <w:r>
        <w:rPr>
          <w:spacing w:val="-3"/>
        </w:rPr>
        <w:t xml:space="preserve"> </w:t>
      </w:r>
      <w:r>
        <w:t>signal</w:t>
      </w:r>
      <w:r>
        <w:rPr>
          <w:spacing w:val="-4"/>
        </w:rPr>
        <w:t xml:space="preserve"> </w:t>
      </w:r>
      <w:r>
        <w:t xml:space="preserve">short-term solvency. However, the market does not interpret all signals mechanically. The same ratio may be read differently </w:t>
      </w:r>
      <w:r>
        <w:rPr>
          <w:color w:val="000000"/>
          <w:highlight w:val="yellow"/>
        </w:rPr>
        <w:t>depending on sector, business model, and the quality of supporting performance (Spence, 1973).</w:t>
      </w:r>
    </w:p>
    <w:p w14:paraId="4F9770E2" w14:textId="77777777" w:rsidR="00ED08FF" w:rsidRDefault="00000000">
      <w:pPr>
        <w:pStyle w:val="BodyText"/>
      </w:pPr>
      <w:r>
        <w:t>Agency</w:t>
      </w:r>
      <w:r>
        <w:rPr>
          <w:spacing w:val="-3"/>
        </w:rPr>
        <w:t xml:space="preserve"> </w:t>
      </w:r>
      <w:r>
        <w:t>theory</w:t>
      </w:r>
      <w:r>
        <w:rPr>
          <w:spacing w:val="-2"/>
        </w:rPr>
        <w:t xml:space="preserve"> </w:t>
      </w:r>
      <w:r>
        <w:t>also</w:t>
      </w:r>
      <w:r>
        <w:rPr>
          <w:spacing w:val="-3"/>
        </w:rPr>
        <w:t xml:space="preserve"> </w:t>
      </w:r>
      <w:r>
        <w:t>supports</w:t>
      </w:r>
      <w:r>
        <w:rPr>
          <w:spacing w:val="-3"/>
        </w:rPr>
        <w:t xml:space="preserve"> </w:t>
      </w:r>
      <w:r>
        <w:t>the</w:t>
      </w:r>
      <w:r>
        <w:rPr>
          <w:spacing w:val="-3"/>
        </w:rPr>
        <w:t xml:space="preserve"> </w:t>
      </w:r>
      <w:r>
        <w:t>use</w:t>
      </w:r>
      <w:r>
        <w:rPr>
          <w:spacing w:val="-4"/>
        </w:rPr>
        <w:t xml:space="preserve"> </w:t>
      </w:r>
      <w:r>
        <w:t>of</w:t>
      </w:r>
      <w:r>
        <w:rPr>
          <w:spacing w:val="-2"/>
        </w:rPr>
        <w:t xml:space="preserve"> </w:t>
      </w:r>
      <w:r>
        <w:t>financial</w:t>
      </w:r>
      <w:r>
        <w:rPr>
          <w:spacing w:val="-3"/>
        </w:rPr>
        <w:t xml:space="preserve"> </w:t>
      </w:r>
      <w:r>
        <w:t>ratios</w:t>
      </w:r>
      <w:r>
        <w:rPr>
          <w:spacing w:val="-4"/>
        </w:rPr>
        <w:t xml:space="preserve"> </w:t>
      </w:r>
      <w:r>
        <w:t>in</w:t>
      </w:r>
      <w:r>
        <w:rPr>
          <w:spacing w:val="-2"/>
        </w:rPr>
        <w:t xml:space="preserve"> </w:t>
      </w:r>
      <w:r>
        <w:t>valuation</w:t>
      </w:r>
      <w:r>
        <w:rPr>
          <w:spacing w:val="-3"/>
        </w:rPr>
        <w:t xml:space="preserve"> </w:t>
      </w:r>
      <w:r>
        <w:t>research.</w:t>
      </w:r>
      <w:r>
        <w:rPr>
          <w:spacing w:val="-2"/>
        </w:rPr>
        <w:t xml:space="preserve"> </w:t>
      </w:r>
      <w:r>
        <w:t>Investors</w:t>
      </w:r>
      <w:r>
        <w:rPr>
          <w:spacing w:val="-3"/>
        </w:rPr>
        <w:t xml:space="preserve"> </w:t>
      </w:r>
      <w:r>
        <w:t>are</w:t>
      </w:r>
      <w:r>
        <w:rPr>
          <w:spacing w:val="-4"/>
        </w:rPr>
        <w:t xml:space="preserve"> </w:t>
      </w:r>
      <w:r>
        <w:t>principals,</w:t>
      </w:r>
      <w:r>
        <w:rPr>
          <w:spacing w:val="-2"/>
        </w:rPr>
        <w:t xml:space="preserve"> </w:t>
      </w:r>
      <w:r>
        <w:t>while</w:t>
      </w:r>
      <w:r>
        <w:rPr>
          <w:spacing w:val="-3"/>
        </w:rPr>
        <w:t xml:space="preserve"> </w:t>
      </w:r>
      <w:r>
        <w:rPr>
          <w:spacing w:val="-2"/>
        </w:rPr>
        <w:t>managers</w:t>
      </w:r>
    </w:p>
    <w:p w14:paraId="7FD26923" w14:textId="77777777" w:rsidR="00ED08FF" w:rsidRDefault="00ED08FF">
      <w:pPr>
        <w:pStyle w:val="BodyText"/>
        <w:sectPr w:rsidR="00ED08FF">
          <w:pgSz w:w="12240" w:h="15840"/>
          <w:pgMar w:top="800" w:right="720" w:bottom="880" w:left="720" w:header="0" w:footer="669" w:gutter="0"/>
          <w:cols w:space="720"/>
        </w:sectPr>
      </w:pPr>
    </w:p>
    <w:p w14:paraId="46185827" w14:textId="77777777" w:rsidR="00ED08FF" w:rsidRDefault="00000000">
      <w:pPr>
        <w:pStyle w:val="BodyText"/>
        <w:spacing w:before="64" w:line="297" w:lineRule="auto"/>
        <w:ind w:right="1903"/>
      </w:pPr>
      <w:r>
        <w:lastRenderedPageBreak/>
        <w:t>act as agents responsible for managing company resources. Because investors cannot observe all managerial actions directly,</w:t>
      </w:r>
      <w:r>
        <w:rPr>
          <w:spacing w:val="-3"/>
        </w:rPr>
        <w:t xml:space="preserve"> </w:t>
      </w:r>
      <w:r>
        <w:t>they</w:t>
      </w:r>
      <w:r>
        <w:rPr>
          <w:spacing w:val="-3"/>
        </w:rPr>
        <w:t xml:space="preserve"> </w:t>
      </w:r>
      <w:r>
        <w:t>evaluate</w:t>
      </w:r>
      <w:r>
        <w:rPr>
          <w:spacing w:val="-4"/>
        </w:rPr>
        <w:t xml:space="preserve"> </w:t>
      </w:r>
      <w:r>
        <w:t>outcomes</w:t>
      </w:r>
      <w:r>
        <w:rPr>
          <w:spacing w:val="-4"/>
        </w:rPr>
        <w:t xml:space="preserve"> </w:t>
      </w:r>
      <w:r>
        <w:t>reported</w:t>
      </w:r>
      <w:r>
        <w:rPr>
          <w:spacing w:val="-3"/>
        </w:rPr>
        <w:t xml:space="preserve"> </w:t>
      </w:r>
      <w:r>
        <w:t>in</w:t>
      </w:r>
      <w:r>
        <w:rPr>
          <w:spacing w:val="-3"/>
        </w:rPr>
        <w:t xml:space="preserve"> </w:t>
      </w:r>
      <w:r>
        <w:t>financial</w:t>
      </w:r>
      <w:r>
        <w:rPr>
          <w:spacing w:val="-4"/>
        </w:rPr>
        <w:t xml:space="preserve"> </w:t>
      </w:r>
      <w:r>
        <w:t>statements.</w:t>
      </w:r>
      <w:r>
        <w:rPr>
          <w:spacing w:val="-3"/>
        </w:rPr>
        <w:t xml:space="preserve"> </w:t>
      </w:r>
      <w:r>
        <w:t>Ratios</w:t>
      </w:r>
      <w:r>
        <w:rPr>
          <w:spacing w:val="-4"/>
        </w:rPr>
        <w:t xml:space="preserve"> </w:t>
      </w:r>
      <w:r>
        <w:t>such</w:t>
      </w:r>
      <w:r>
        <w:rPr>
          <w:spacing w:val="-3"/>
        </w:rPr>
        <w:t xml:space="preserve"> </w:t>
      </w:r>
      <w:r>
        <w:t>as</w:t>
      </w:r>
      <w:r>
        <w:rPr>
          <w:spacing w:val="-4"/>
        </w:rPr>
        <w:t xml:space="preserve"> </w:t>
      </w:r>
      <w:r>
        <w:t>ROA,</w:t>
      </w:r>
      <w:r>
        <w:rPr>
          <w:spacing w:val="-3"/>
        </w:rPr>
        <w:t xml:space="preserve"> </w:t>
      </w:r>
      <w:r>
        <w:t>DER,</w:t>
      </w:r>
      <w:r>
        <w:rPr>
          <w:spacing w:val="-3"/>
        </w:rPr>
        <w:t xml:space="preserve"> </w:t>
      </w:r>
      <w:r>
        <w:t>and</w:t>
      </w:r>
      <w:r>
        <w:rPr>
          <w:spacing w:val="-3"/>
        </w:rPr>
        <w:t xml:space="preserve"> </w:t>
      </w:r>
      <w:r>
        <w:t>current</w:t>
      </w:r>
      <w:r>
        <w:rPr>
          <w:spacing w:val="-4"/>
        </w:rPr>
        <w:t xml:space="preserve"> </w:t>
      </w:r>
      <w:r>
        <w:t>ratio</w:t>
      </w:r>
      <w:r>
        <w:rPr>
          <w:spacing w:val="-3"/>
        </w:rPr>
        <w:t xml:space="preserve"> </w:t>
      </w:r>
      <w:r>
        <w:t xml:space="preserve">become summary indicators of whether management has allocated resources effectively. Weak ratios may increase perceived </w:t>
      </w:r>
      <w:r>
        <w:rPr>
          <w:color w:val="000000"/>
          <w:highlight w:val="yellow"/>
        </w:rPr>
        <w:t>agency risk and reduce valuation (Jensen &amp; Meckling, 1976).</w:t>
      </w:r>
    </w:p>
    <w:p w14:paraId="2EFAB480" w14:textId="77777777" w:rsidR="00ED08FF" w:rsidRDefault="00ED08FF">
      <w:pPr>
        <w:pStyle w:val="BodyText"/>
        <w:spacing w:before="51"/>
        <w:ind w:left="0"/>
      </w:pPr>
    </w:p>
    <w:p w14:paraId="62EB4E4A" w14:textId="77777777" w:rsidR="00ED08FF" w:rsidRDefault="00000000">
      <w:pPr>
        <w:pStyle w:val="Heading2"/>
        <w:numPr>
          <w:ilvl w:val="1"/>
          <w:numId w:val="1"/>
        </w:numPr>
        <w:tabs>
          <w:tab w:val="left" w:pos="415"/>
        </w:tabs>
        <w:ind w:left="415"/>
      </w:pPr>
      <w:r>
        <w:t>Profitability</w:t>
      </w:r>
      <w:r>
        <w:rPr>
          <w:spacing w:val="-2"/>
        </w:rPr>
        <w:t xml:space="preserve"> </w:t>
      </w:r>
      <w:r>
        <w:t>and</w:t>
      </w:r>
      <w:r>
        <w:rPr>
          <w:spacing w:val="-1"/>
        </w:rPr>
        <w:t xml:space="preserve"> </w:t>
      </w:r>
      <w:r>
        <w:t>Firm</w:t>
      </w:r>
      <w:r>
        <w:rPr>
          <w:spacing w:val="-1"/>
        </w:rPr>
        <w:t xml:space="preserve"> </w:t>
      </w:r>
      <w:r>
        <w:rPr>
          <w:spacing w:val="-2"/>
        </w:rPr>
        <w:t>Value</w:t>
      </w:r>
    </w:p>
    <w:p w14:paraId="78276B22" w14:textId="77777777" w:rsidR="00ED08FF" w:rsidRDefault="00000000">
      <w:pPr>
        <w:pStyle w:val="BodyText"/>
        <w:spacing w:before="50" w:line="297" w:lineRule="auto"/>
        <w:ind w:right="2145"/>
      </w:pPr>
      <w:r>
        <w:t>Profitability</w:t>
      </w:r>
      <w:r>
        <w:rPr>
          <w:spacing w:val="-3"/>
        </w:rPr>
        <w:t xml:space="preserve"> </w:t>
      </w:r>
      <w:r>
        <w:t>is</w:t>
      </w:r>
      <w:r>
        <w:rPr>
          <w:spacing w:val="-3"/>
        </w:rPr>
        <w:t xml:space="preserve"> </w:t>
      </w:r>
      <w:r>
        <w:t>the</w:t>
      </w:r>
      <w:r>
        <w:rPr>
          <w:spacing w:val="-3"/>
        </w:rPr>
        <w:t xml:space="preserve"> </w:t>
      </w:r>
      <w:r>
        <w:t>company's</w:t>
      </w:r>
      <w:r>
        <w:rPr>
          <w:spacing w:val="-3"/>
        </w:rPr>
        <w:t xml:space="preserve"> </w:t>
      </w:r>
      <w:r>
        <w:t>ability</w:t>
      </w:r>
      <w:r>
        <w:rPr>
          <w:spacing w:val="-3"/>
        </w:rPr>
        <w:t xml:space="preserve"> </w:t>
      </w:r>
      <w:r>
        <w:t>to</w:t>
      </w:r>
      <w:r>
        <w:rPr>
          <w:spacing w:val="-3"/>
        </w:rPr>
        <w:t xml:space="preserve"> </w:t>
      </w:r>
      <w:r>
        <w:t>generate</w:t>
      </w:r>
      <w:r>
        <w:rPr>
          <w:spacing w:val="-3"/>
        </w:rPr>
        <w:t xml:space="preserve"> </w:t>
      </w:r>
      <w:r>
        <w:t>earnings</w:t>
      </w:r>
      <w:r>
        <w:rPr>
          <w:spacing w:val="-3"/>
        </w:rPr>
        <w:t xml:space="preserve"> </w:t>
      </w:r>
      <w:r>
        <w:t>from</w:t>
      </w:r>
      <w:r>
        <w:rPr>
          <w:spacing w:val="-3"/>
        </w:rPr>
        <w:t xml:space="preserve"> </w:t>
      </w:r>
      <w:r>
        <w:t>the</w:t>
      </w:r>
      <w:r>
        <w:rPr>
          <w:spacing w:val="-3"/>
        </w:rPr>
        <w:t xml:space="preserve"> </w:t>
      </w:r>
      <w:r>
        <w:t>resources</w:t>
      </w:r>
      <w:r>
        <w:rPr>
          <w:spacing w:val="-3"/>
        </w:rPr>
        <w:t xml:space="preserve"> </w:t>
      </w:r>
      <w:r>
        <w:t>it</w:t>
      </w:r>
      <w:r>
        <w:rPr>
          <w:spacing w:val="-3"/>
        </w:rPr>
        <w:t xml:space="preserve"> </w:t>
      </w:r>
      <w:r>
        <w:t>controls.</w:t>
      </w:r>
      <w:r>
        <w:rPr>
          <w:spacing w:val="-3"/>
        </w:rPr>
        <w:t xml:space="preserve"> </w:t>
      </w:r>
      <w:r>
        <w:t>This</w:t>
      </w:r>
      <w:r>
        <w:rPr>
          <w:spacing w:val="-3"/>
        </w:rPr>
        <w:t xml:space="preserve"> </w:t>
      </w:r>
      <w:r>
        <w:t>study</w:t>
      </w:r>
      <w:r>
        <w:rPr>
          <w:spacing w:val="-3"/>
        </w:rPr>
        <w:t xml:space="preserve"> </w:t>
      </w:r>
      <w:r>
        <w:t>uses</w:t>
      </w:r>
      <w:r>
        <w:rPr>
          <w:spacing w:val="-3"/>
        </w:rPr>
        <w:t xml:space="preserve"> </w:t>
      </w:r>
      <w:r>
        <w:t>return</w:t>
      </w:r>
      <w:r>
        <w:rPr>
          <w:spacing w:val="-3"/>
        </w:rPr>
        <w:t xml:space="preserve"> </w:t>
      </w:r>
      <w:r>
        <w:t>on assets because ROA links net income to total assets and measures how effectively assets generate profit. Unlike</w:t>
      </w:r>
    </w:p>
    <w:p w14:paraId="1B45FA07" w14:textId="77777777" w:rsidR="00ED08FF" w:rsidRDefault="00000000">
      <w:pPr>
        <w:pStyle w:val="BodyText"/>
        <w:spacing w:line="297" w:lineRule="auto"/>
        <w:ind w:right="1903"/>
      </w:pPr>
      <w:r>
        <w:t>absolute</w:t>
      </w:r>
      <w:r>
        <w:rPr>
          <w:spacing w:val="-4"/>
        </w:rPr>
        <w:t xml:space="preserve"> </w:t>
      </w:r>
      <w:r>
        <w:t>profit,</w:t>
      </w:r>
      <w:r>
        <w:rPr>
          <w:spacing w:val="-3"/>
        </w:rPr>
        <w:t xml:space="preserve"> </w:t>
      </w:r>
      <w:r>
        <w:t>ROA</w:t>
      </w:r>
      <w:r>
        <w:rPr>
          <w:spacing w:val="-4"/>
        </w:rPr>
        <w:t xml:space="preserve"> </w:t>
      </w:r>
      <w:r>
        <w:t>allows</w:t>
      </w:r>
      <w:r>
        <w:rPr>
          <w:spacing w:val="-4"/>
        </w:rPr>
        <w:t xml:space="preserve"> </w:t>
      </w:r>
      <w:r>
        <w:t>comparisons</w:t>
      </w:r>
      <w:r>
        <w:rPr>
          <w:spacing w:val="-4"/>
        </w:rPr>
        <w:t xml:space="preserve"> </w:t>
      </w:r>
      <w:r>
        <w:t>among</w:t>
      </w:r>
      <w:r>
        <w:rPr>
          <w:spacing w:val="-3"/>
        </w:rPr>
        <w:t xml:space="preserve"> </w:t>
      </w:r>
      <w:r>
        <w:t>firms</w:t>
      </w:r>
      <w:r>
        <w:rPr>
          <w:spacing w:val="-4"/>
        </w:rPr>
        <w:t xml:space="preserve"> </w:t>
      </w:r>
      <w:r>
        <w:t>with</w:t>
      </w:r>
      <w:r>
        <w:rPr>
          <w:spacing w:val="-3"/>
        </w:rPr>
        <w:t xml:space="preserve"> </w:t>
      </w:r>
      <w:r>
        <w:t>different</w:t>
      </w:r>
      <w:r>
        <w:rPr>
          <w:spacing w:val="-4"/>
        </w:rPr>
        <w:t xml:space="preserve"> </w:t>
      </w:r>
      <w:r>
        <w:t>sizes.</w:t>
      </w:r>
      <w:r>
        <w:rPr>
          <w:spacing w:val="-3"/>
        </w:rPr>
        <w:t xml:space="preserve"> </w:t>
      </w:r>
      <w:r>
        <w:t>A</w:t>
      </w:r>
      <w:r>
        <w:rPr>
          <w:spacing w:val="-4"/>
        </w:rPr>
        <w:t xml:space="preserve"> </w:t>
      </w:r>
      <w:r>
        <w:t>large</w:t>
      </w:r>
      <w:r>
        <w:rPr>
          <w:spacing w:val="-4"/>
        </w:rPr>
        <w:t xml:space="preserve"> </w:t>
      </w:r>
      <w:r>
        <w:t>company</w:t>
      </w:r>
      <w:r>
        <w:rPr>
          <w:spacing w:val="-3"/>
        </w:rPr>
        <w:t xml:space="preserve"> </w:t>
      </w:r>
      <w:r>
        <w:t>may</w:t>
      </w:r>
      <w:r>
        <w:rPr>
          <w:spacing w:val="-3"/>
        </w:rPr>
        <w:t xml:space="preserve"> </w:t>
      </w:r>
      <w:r>
        <w:t>report</w:t>
      </w:r>
      <w:r>
        <w:rPr>
          <w:spacing w:val="-4"/>
        </w:rPr>
        <w:t xml:space="preserve"> </w:t>
      </w:r>
      <w:r>
        <w:t>high</w:t>
      </w:r>
      <w:r>
        <w:rPr>
          <w:spacing w:val="-3"/>
        </w:rPr>
        <w:t xml:space="preserve"> </w:t>
      </w:r>
      <w:r>
        <w:t>net</w:t>
      </w:r>
      <w:r>
        <w:rPr>
          <w:spacing w:val="-4"/>
        </w:rPr>
        <w:t xml:space="preserve"> </w:t>
      </w:r>
      <w:r>
        <w:t>income simply because it controls a large asset base, while ROA evaluates whether those assets are used efficiently.</w:t>
      </w:r>
    </w:p>
    <w:p w14:paraId="6695AFFD" w14:textId="77777777" w:rsidR="00ED08FF" w:rsidRDefault="00000000">
      <w:pPr>
        <w:pStyle w:val="BodyText"/>
        <w:spacing w:before="0" w:line="297" w:lineRule="auto"/>
        <w:ind w:right="1918"/>
      </w:pPr>
      <w:r>
        <w:t>A positive effect of profitability on firm value is theoretically expected. Higher profitability implies stronger internal financing</w:t>
      </w:r>
      <w:r>
        <w:rPr>
          <w:spacing w:val="-3"/>
        </w:rPr>
        <w:t xml:space="preserve"> </w:t>
      </w:r>
      <w:r>
        <w:t>capacity,</w:t>
      </w:r>
      <w:r>
        <w:rPr>
          <w:spacing w:val="-3"/>
        </w:rPr>
        <w:t xml:space="preserve"> </w:t>
      </w:r>
      <w:r>
        <w:t>better</w:t>
      </w:r>
      <w:r>
        <w:rPr>
          <w:spacing w:val="-3"/>
        </w:rPr>
        <w:t xml:space="preserve"> </w:t>
      </w:r>
      <w:r>
        <w:t>dividend</w:t>
      </w:r>
      <w:r>
        <w:rPr>
          <w:spacing w:val="-3"/>
        </w:rPr>
        <w:t xml:space="preserve"> </w:t>
      </w:r>
      <w:r>
        <w:t>potential,</w:t>
      </w:r>
      <w:r>
        <w:rPr>
          <w:spacing w:val="-3"/>
        </w:rPr>
        <w:t xml:space="preserve"> </w:t>
      </w:r>
      <w:r>
        <w:t>and</w:t>
      </w:r>
      <w:r>
        <w:rPr>
          <w:spacing w:val="-3"/>
        </w:rPr>
        <w:t xml:space="preserve"> </w:t>
      </w:r>
      <w:r>
        <w:t>greater</w:t>
      </w:r>
      <w:r>
        <w:rPr>
          <w:spacing w:val="-3"/>
        </w:rPr>
        <w:t xml:space="preserve"> </w:t>
      </w:r>
      <w:r>
        <w:t>ability</w:t>
      </w:r>
      <w:r>
        <w:rPr>
          <w:spacing w:val="-3"/>
        </w:rPr>
        <w:t xml:space="preserve"> </w:t>
      </w:r>
      <w:r>
        <w:t>to</w:t>
      </w:r>
      <w:r>
        <w:rPr>
          <w:spacing w:val="-3"/>
        </w:rPr>
        <w:t xml:space="preserve"> </w:t>
      </w:r>
      <w:r>
        <w:t>withstand</w:t>
      </w:r>
      <w:r>
        <w:rPr>
          <w:spacing w:val="-3"/>
        </w:rPr>
        <w:t xml:space="preserve"> </w:t>
      </w:r>
      <w:r>
        <w:t>business</w:t>
      </w:r>
      <w:r>
        <w:rPr>
          <w:spacing w:val="-4"/>
        </w:rPr>
        <w:t xml:space="preserve"> </w:t>
      </w:r>
      <w:r>
        <w:t>shocks.</w:t>
      </w:r>
      <w:r>
        <w:rPr>
          <w:spacing w:val="-3"/>
        </w:rPr>
        <w:t xml:space="preserve"> </w:t>
      </w:r>
      <w:r>
        <w:t>In</w:t>
      </w:r>
      <w:r>
        <w:rPr>
          <w:spacing w:val="-3"/>
        </w:rPr>
        <w:t xml:space="preserve"> </w:t>
      </w:r>
      <w:r>
        <w:t>consumer</w:t>
      </w:r>
      <w:r>
        <w:rPr>
          <w:spacing w:val="-4"/>
        </w:rPr>
        <w:t xml:space="preserve"> </w:t>
      </w:r>
      <w:r>
        <w:t>non-cyclicals companies, strong ROA may indicate pricing power, brand strength, supply-chain efficiency, and effective cost control. These factors are relevant because many companies in the sector operate in highly competitive markets where margins are constantly pressured by raw material costs and consumer price sensitivity.</w:t>
      </w:r>
    </w:p>
    <w:p w14:paraId="178D67C3" w14:textId="77777777" w:rsidR="00ED08FF" w:rsidRDefault="00000000">
      <w:pPr>
        <w:pStyle w:val="BodyText"/>
        <w:spacing w:before="2" w:line="297" w:lineRule="auto"/>
        <w:ind w:right="1918"/>
      </w:pPr>
      <w:r>
        <w:t>Profitability also interacts with investor expectations. Investors do not buy shares solely for past earnings; they buy claims</w:t>
      </w:r>
      <w:r>
        <w:rPr>
          <w:spacing w:val="-4"/>
        </w:rPr>
        <w:t xml:space="preserve"> </w:t>
      </w:r>
      <w:r>
        <w:t>on</w:t>
      </w:r>
      <w:r>
        <w:rPr>
          <w:spacing w:val="-3"/>
        </w:rPr>
        <w:t xml:space="preserve"> </w:t>
      </w:r>
      <w:r>
        <w:t>future</w:t>
      </w:r>
      <w:r>
        <w:rPr>
          <w:spacing w:val="-4"/>
        </w:rPr>
        <w:t xml:space="preserve"> </w:t>
      </w:r>
      <w:r>
        <w:t>economic</w:t>
      </w:r>
      <w:r>
        <w:rPr>
          <w:spacing w:val="-4"/>
        </w:rPr>
        <w:t xml:space="preserve"> </w:t>
      </w:r>
      <w:r>
        <w:t>benefits.</w:t>
      </w:r>
      <w:r>
        <w:rPr>
          <w:spacing w:val="-3"/>
        </w:rPr>
        <w:t xml:space="preserve"> </w:t>
      </w:r>
      <w:r>
        <w:t>Nevertheless,</w:t>
      </w:r>
      <w:r>
        <w:rPr>
          <w:spacing w:val="-3"/>
        </w:rPr>
        <w:t xml:space="preserve"> </w:t>
      </w:r>
      <w:r>
        <w:t>past</w:t>
      </w:r>
      <w:r>
        <w:rPr>
          <w:spacing w:val="-4"/>
        </w:rPr>
        <w:t xml:space="preserve"> </w:t>
      </w:r>
      <w:r>
        <w:t>and</w:t>
      </w:r>
      <w:r>
        <w:rPr>
          <w:spacing w:val="-3"/>
        </w:rPr>
        <w:t xml:space="preserve"> </w:t>
      </w:r>
      <w:r>
        <w:t>current</w:t>
      </w:r>
      <w:r>
        <w:rPr>
          <w:spacing w:val="-4"/>
        </w:rPr>
        <w:t xml:space="preserve"> </w:t>
      </w:r>
      <w:r>
        <w:t>ROA</w:t>
      </w:r>
      <w:r>
        <w:rPr>
          <w:spacing w:val="-4"/>
        </w:rPr>
        <w:t xml:space="preserve"> </w:t>
      </w:r>
      <w:r>
        <w:t>provide</w:t>
      </w:r>
      <w:r>
        <w:rPr>
          <w:spacing w:val="-4"/>
        </w:rPr>
        <w:t xml:space="preserve"> </w:t>
      </w:r>
      <w:r>
        <w:t>evidence</w:t>
      </w:r>
      <w:r>
        <w:rPr>
          <w:spacing w:val="-4"/>
        </w:rPr>
        <w:t xml:space="preserve"> </w:t>
      </w:r>
      <w:r>
        <w:t>of</w:t>
      </w:r>
      <w:r>
        <w:rPr>
          <w:spacing w:val="-3"/>
        </w:rPr>
        <w:t xml:space="preserve"> </w:t>
      </w:r>
      <w:r>
        <w:t>a</w:t>
      </w:r>
      <w:r>
        <w:rPr>
          <w:spacing w:val="-4"/>
        </w:rPr>
        <w:t xml:space="preserve"> </w:t>
      </w:r>
      <w:r>
        <w:t>firm's</w:t>
      </w:r>
      <w:r>
        <w:rPr>
          <w:spacing w:val="-4"/>
        </w:rPr>
        <w:t xml:space="preserve"> </w:t>
      </w:r>
      <w:r>
        <w:t>capacity</w:t>
      </w:r>
      <w:r>
        <w:rPr>
          <w:spacing w:val="-3"/>
        </w:rPr>
        <w:t xml:space="preserve"> </w:t>
      </w:r>
      <w:r>
        <w:t>to</w:t>
      </w:r>
      <w:r>
        <w:rPr>
          <w:spacing w:val="-3"/>
        </w:rPr>
        <w:t xml:space="preserve"> </w:t>
      </w:r>
      <w:r>
        <w:t>generate</w:t>
      </w:r>
    </w:p>
    <w:p w14:paraId="26D25811" w14:textId="77777777" w:rsidR="00ED08FF" w:rsidRDefault="00000000">
      <w:pPr>
        <w:pStyle w:val="BodyText"/>
        <w:spacing w:line="297" w:lineRule="auto"/>
        <w:ind w:right="1825"/>
      </w:pPr>
      <w:r>
        <w:t>those</w:t>
      </w:r>
      <w:r>
        <w:rPr>
          <w:spacing w:val="-4"/>
        </w:rPr>
        <w:t xml:space="preserve"> </w:t>
      </w:r>
      <w:r>
        <w:t>benefits.</w:t>
      </w:r>
      <w:r>
        <w:rPr>
          <w:spacing w:val="-3"/>
        </w:rPr>
        <w:t xml:space="preserve"> </w:t>
      </w:r>
      <w:r>
        <w:t>If</w:t>
      </w:r>
      <w:r>
        <w:rPr>
          <w:spacing w:val="-3"/>
        </w:rPr>
        <w:t xml:space="preserve"> </w:t>
      </w:r>
      <w:r>
        <w:t>profitability</w:t>
      </w:r>
      <w:r>
        <w:rPr>
          <w:spacing w:val="-3"/>
        </w:rPr>
        <w:t xml:space="preserve"> </w:t>
      </w:r>
      <w:r>
        <w:t>is</w:t>
      </w:r>
      <w:r>
        <w:rPr>
          <w:spacing w:val="-4"/>
        </w:rPr>
        <w:t xml:space="preserve"> </w:t>
      </w:r>
      <w:r>
        <w:t>persistent,</w:t>
      </w:r>
      <w:r>
        <w:rPr>
          <w:spacing w:val="-3"/>
        </w:rPr>
        <w:t xml:space="preserve"> </w:t>
      </w:r>
      <w:r>
        <w:t>the</w:t>
      </w:r>
      <w:r>
        <w:rPr>
          <w:spacing w:val="-4"/>
        </w:rPr>
        <w:t xml:space="preserve"> </w:t>
      </w:r>
      <w:r>
        <w:t>market</w:t>
      </w:r>
      <w:r>
        <w:rPr>
          <w:spacing w:val="-4"/>
        </w:rPr>
        <w:t xml:space="preserve"> </w:t>
      </w:r>
      <w:r>
        <w:t>may</w:t>
      </w:r>
      <w:r>
        <w:rPr>
          <w:spacing w:val="-3"/>
        </w:rPr>
        <w:t xml:space="preserve"> </w:t>
      </w:r>
      <w:r>
        <w:t>assign</w:t>
      </w:r>
      <w:r>
        <w:rPr>
          <w:spacing w:val="-3"/>
        </w:rPr>
        <w:t xml:space="preserve"> </w:t>
      </w:r>
      <w:r>
        <w:t>a</w:t>
      </w:r>
      <w:r>
        <w:rPr>
          <w:spacing w:val="-4"/>
        </w:rPr>
        <w:t xml:space="preserve"> </w:t>
      </w:r>
      <w:r>
        <w:t>higher</w:t>
      </w:r>
      <w:r>
        <w:rPr>
          <w:spacing w:val="-3"/>
        </w:rPr>
        <w:t xml:space="preserve"> </w:t>
      </w:r>
      <w:r>
        <w:t>valuation</w:t>
      </w:r>
      <w:r>
        <w:rPr>
          <w:spacing w:val="-3"/>
        </w:rPr>
        <w:t xml:space="preserve"> </w:t>
      </w:r>
      <w:r>
        <w:t>multiple.</w:t>
      </w:r>
      <w:r>
        <w:rPr>
          <w:spacing w:val="-3"/>
        </w:rPr>
        <w:t xml:space="preserve"> </w:t>
      </w:r>
      <w:r>
        <w:t>For</w:t>
      </w:r>
      <w:r>
        <w:rPr>
          <w:spacing w:val="-3"/>
        </w:rPr>
        <w:t xml:space="preserve"> </w:t>
      </w:r>
      <w:r>
        <w:t>this</w:t>
      </w:r>
      <w:r>
        <w:rPr>
          <w:spacing w:val="-4"/>
        </w:rPr>
        <w:t xml:space="preserve"> </w:t>
      </w:r>
      <w:r>
        <w:t>reason,</w:t>
      </w:r>
      <w:r>
        <w:rPr>
          <w:spacing w:val="-3"/>
        </w:rPr>
        <w:t xml:space="preserve"> </w:t>
      </w:r>
      <w:r>
        <w:t>profitability is expected to have a positive association with PBV.</w:t>
      </w:r>
    </w:p>
    <w:p w14:paraId="6E894ECD" w14:textId="77777777" w:rsidR="00ED08FF" w:rsidRDefault="00000000">
      <w:pPr>
        <w:pStyle w:val="BodyText"/>
        <w:spacing w:before="0" w:line="297" w:lineRule="auto"/>
        <w:ind w:right="1903"/>
      </w:pPr>
      <w:r>
        <w:t>Based</w:t>
      </w:r>
      <w:r>
        <w:rPr>
          <w:spacing w:val="-2"/>
        </w:rPr>
        <w:t xml:space="preserve"> </w:t>
      </w:r>
      <w:r>
        <w:t>on</w:t>
      </w:r>
      <w:r>
        <w:rPr>
          <w:spacing w:val="-2"/>
        </w:rPr>
        <w:t xml:space="preserve"> </w:t>
      </w:r>
      <w:r>
        <w:t>this</w:t>
      </w:r>
      <w:r>
        <w:rPr>
          <w:spacing w:val="-3"/>
        </w:rPr>
        <w:t xml:space="preserve"> </w:t>
      </w:r>
      <w:r>
        <w:t>logic,</w:t>
      </w:r>
      <w:r>
        <w:rPr>
          <w:spacing w:val="-2"/>
        </w:rPr>
        <w:t xml:space="preserve"> </w:t>
      </w:r>
      <w:r>
        <w:t>the</w:t>
      </w:r>
      <w:r>
        <w:rPr>
          <w:spacing w:val="-3"/>
        </w:rPr>
        <w:t xml:space="preserve"> </w:t>
      </w:r>
      <w:r>
        <w:t>first</w:t>
      </w:r>
      <w:r>
        <w:rPr>
          <w:spacing w:val="-3"/>
        </w:rPr>
        <w:t xml:space="preserve"> </w:t>
      </w:r>
      <w:r>
        <w:t>hypothesis</w:t>
      </w:r>
      <w:r>
        <w:rPr>
          <w:spacing w:val="-3"/>
        </w:rPr>
        <w:t xml:space="preserve"> </w:t>
      </w:r>
      <w:r>
        <w:t>is</w:t>
      </w:r>
      <w:r>
        <w:rPr>
          <w:spacing w:val="-3"/>
        </w:rPr>
        <w:t xml:space="preserve"> </w:t>
      </w:r>
      <w:r>
        <w:t>stated</w:t>
      </w:r>
      <w:r>
        <w:rPr>
          <w:spacing w:val="-2"/>
        </w:rPr>
        <w:t xml:space="preserve"> </w:t>
      </w:r>
      <w:r>
        <w:t>as</w:t>
      </w:r>
      <w:r>
        <w:rPr>
          <w:spacing w:val="-3"/>
        </w:rPr>
        <w:t xml:space="preserve"> </w:t>
      </w:r>
      <w:r>
        <w:t>follows:</w:t>
      </w:r>
      <w:r>
        <w:rPr>
          <w:spacing w:val="-3"/>
        </w:rPr>
        <w:t xml:space="preserve"> </w:t>
      </w:r>
      <w:r>
        <w:t>H1:</w:t>
      </w:r>
      <w:r>
        <w:rPr>
          <w:spacing w:val="-3"/>
        </w:rPr>
        <w:t xml:space="preserve"> </w:t>
      </w:r>
      <w:r>
        <w:t>Profitability</w:t>
      </w:r>
      <w:r>
        <w:rPr>
          <w:spacing w:val="-2"/>
        </w:rPr>
        <w:t xml:space="preserve"> </w:t>
      </w:r>
      <w:r>
        <w:t>has</w:t>
      </w:r>
      <w:r>
        <w:rPr>
          <w:spacing w:val="-3"/>
        </w:rPr>
        <w:t xml:space="preserve"> </w:t>
      </w:r>
      <w:r>
        <w:t>a</w:t>
      </w:r>
      <w:r>
        <w:rPr>
          <w:spacing w:val="-3"/>
        </w:rPr>
        <w:t xml:space="preserve"> </w:t>
      </w:r>
      <w:r>
        <w:t>positive</w:t>
      </w:r>
      <w:r>
        <w:rPr>
          <w:spacing w:val="-3"/>
        </w:rPr>
        <w:t xml:space="preserve"> </w:t>
      </w:r>
      <w:r>
        <w:t>effect</w:t>
      </w:r>
      <w:r>
        <w:rPr>
          <w:spacing w:val="-3"/>
        </w:rPr>
        <w:t xml:space="preserve"> </w:t>
      </w:r>
      <w:r>
        <w:t>on</w:t>
      </w:r>
      <w:r>
        <w:rPr>
          <w:spacing w:val="-2"/>
        </w:rPr>
        <w:t xml:space="preserve"> </w:t>
      </w:r>
      <w:r>
        <w:t>firm</w:t>
      </w:r>
      <w:r>
        <w:rPr>
          <w:spacing w:val="-3"/>
        </w:rPr>
        <w:t xml:space="preserve"> </w:t>
      </w:r>
      <w:r>
        <w:t>value</w:t>
      </w:r>
      <w:r>
        <w:rPr>
          <w:spacing w:val="-3"/>
        </w:rPr>
        <w:t xml:space="preserve"> </w:t>
      </w:r>
      <w:r>
        <w:t>among consumer non-cyclicals companies listed on the Indonesia Stock Exchange.</w:t>
      </w:r>
    </w:p>
    <w:p w14:paraId="24A10B61" w14:textId="77777777" w:rsidR="00ED08FF" w:rsidRDefault="00ED08FF">
      <w:pPr>
        <w:pStyle w:val="BodyText"/>
        <w:spacing w:before="51"/>
        <w:ind w:left="0"/>
      </w:pPr>
    </w:p>
    <w:p w14:paraId="513E5A49" w14:textId="77777777" w:rsidR="00ED08FF" w:rsidRDefault="00000000">
      <w:pPr>
        <w:pStyle w:val="Heading2"/>
        <w:numPr>
          <w:ilvl w:val="1"/>
          <w:numId w:val="1"/>
        </w:numPr>
        <w:tabs>
          <w:tab w:val="left" w:pos="415"/>
        </w:tabs>
        <w:ind w:left="415"/>
      </w:pPr>
      <w:r>
        <w:t>Leverage</w:t>
      </w:r>
      <w:r>
        <w:rPr>
          <w:spacing w:val="-4"/>
        </w:rPr>
        <w:t xml:space="preserve"> </w:t>
      </w:r>
      <w:r>
        <w:t>and</w:t>
      </w:r>
      <w:r>
        <w:rPr>
          <w:spacing w:val="-4"/>
        </w:rPr>
        <w:t xml:space="preserve"> </w:t>
      </w:r>
      <w:r>
        <w:t>Firm</w:t>
      </w:r>
      <w:r>
        <w:rPr>
          <w:spacing w:val="-3"/>
        </w:rPr>
        <w:t xml:space="preserve"> </w:t>
      </w:r>
      <w:r>
        <w:rPr>
          <w:spacing w:val="-2"/>
        </w:rPr>
        <w:t>Value</w:t>
      </w:r>
    </w:p>
    <w:p w14:paraId="601A7863" w14:textId="77777777" w:rsidR="00ED08FF" w:rsidRDefault="00000000">
      <w:pPr>
        <w:pStyle w:val="BodyText"/>
        <w:spacing w:before="50"/>
      </w:pPr>
      <w:r>
        <w:t>Leverage</w:t>
      </w:r>
      <w:r>
        <w:rPr>
          <w:spacing w:val="-6"/>
        </w:rPr>
        <w:t xml:space="preserve"> </w:t>
      </w:r>
      <w:r>
        <w:t>describes</w:t>
      </w:r>
      <w:r>
        <w:rPr>
          <w:spacing w:val="-4"/>
        </w:rPr>
        <w:t xml:space="preserve"> </w:t>
      </w:r>
      <w:r>
        <w:t>the</w:t>
      </w:r>
      <w:r>
        <w:rPr>
          <w:spacing w:val="-3"/>
        </w:rPr>
        <w:t xml:space="preserve"> </w:t>
      </w:r>
      <w:r>
        <w:t>extent</w:t>
      </w:r>
      <w:r>
        <w:rPr>
          <w:spacing w:val="-4"/>
        </w:rPr>
        <w:t xml:space="preserve"> </w:t>
      </w:r>
      <w:r>
        <w:t>to</w:t>
      </w:r>
      <w:r>
        <w:rPr>
          <w:spacing w:val="-3"/>
        </w:rPr>
        <w:t xml:space="preserve"> </w:t>
      </w:r>
      <w:r>
        <w:t>which</w:t>
      </w:r>
      <w:r>
        <w:rPr>
          <w:spacing w:val="-2"/>
        </w:rPr>
        <w:t xml:space="preserve"> </w:t>
      </w:r>
      <w:r>
        <w:t>a</w:t>
      </w:r>
      <w:r>
        <w:rPr>
          <w:spacing w:val="-4"/>
        </w:rPr>
        <w:t xml:space="preserve"> </w:t>
      </w:r>
      <w:r>
        <w:t>company</w:t>
      </w:r>
      <w:r>
        <w:rPr>
          <w:spacing w:val="-3"/>
        </w:rPr>
        <w:t xml:space="preserve"> </w:t>
      </w:r>
      <w:r>
        <w:t>uses</w:t>
      </w:r>
      <w:r>
        <w:rPr>
          <w:spacing w:val="-3"/>
        </w:rPr>
        <w:t xml:space="preserve"> </w:t>
      </w:r>
      <w:r>
        <w:t>debt</w:t>
      </w:r>
      <w:r>
        <w:rPr>
          <w:spacing w:val="-4"/>
        </w:rPr>
        <w:t xml:space="preserve"> </w:t>
      </w:r>
      <w:r>
        <w:t>or</w:t>
      </w:r>
      <w:r>
        <w:rPr>
          <w:spacing w:val="-3"/>
        </w:rPr>
        <w:t xml:space="preserve"> </w:t>
      </w:r>
      <w:r>
        <w:t>liabilities</w:t>
      </w:r>
      <w:r>
        <w:rPr>
          <w:spacing w:val="-3"/>
        </w:rPr>
        <w:t xml:space="preserve"> </w:t>
      </w:r>
      <w:r>
        <w:t>in</w:t>
      </w:r>
      <w:r>
        <w:rPr>
          <w:spacing w:val="-3"/>
        </w:rPr>
        <w:t xml:space="preserve"> </w:t>
      </w:r>
      <w:r>
        <w:t>its</w:t>
      </w:r>
      <w:r>
        <w:rPr>
          <w:spacing w:val="-4"/>
        </w:rPr>
        <w:t xml:space="preserve"> </w:t>
      </w:r>
      <w:r>
        <w:t>financing</w:t>
      </w:r>
      <w:r>
        <w:rPr>
          <w:spacing w:val="-2"/>
        </w:rPr>
        <w:t xml:space="preserve"> </w:t>
      </w:r>
      <w:r>
        <w:t>structure.</w:t>
      </w:r>
      <w:r>
        <w:rPr>
          <w:spacing w:val="-3"/>
        </w:rPr>
        <w:t xml:space="preserve"> </w:t>
      </w:r>
      <w:r>
        <w:t>This</w:t>
      </w:r>
      <w:r>
        <w:rPr>
          <w:spacing w:val="-4"/>
        </w:rPr>
        <w:t xml:space="preserve"> </w:t>
      </w:r>
      <w:r>
        <w:t>study</w:t>
      </w:r>
      <w:r>
        <w:rPr>
          <w:spacing w:val="-2"/>
        </w:rPr>
        <w:t xml:space="preserve"> </w:t>
      </w:r>
      <w:r>
        <w:rPr>
          <w:spacing w:val="-4"/>
        </w:rPr>
        <w:t>uses</w:t>
      </w:r>
    </w:p>
    <w:p w14:paraId="72894DF2" w14:textId="77777777" w:rsidR="00ED08FF" w:rsidRDefault="00000000">
      <w:pPr>
        <w:pStyle w:val="BodyText"/>
        <w:spacing w:before="50" w:line="297" w:lineRule="auto"/>
        <w:ind w:right="1945"/>
      </w:pPr>
      <w:r>
        <w:t>debt-to-equity ratio because</w:t>
      </w:r>
      <w:r>
        <w:rPr>
          <w:spacing w:val="-1"/>
        </w:rPr>
        <w:t xml:space="preserve"> </w:t>
      </w:r>
      <w:r>
        <w:t>it</w:t>
      </w:r>
      <w:r>
        <w:rPr>
          <w:spacing w:val="-1"/>
        </w:rPr>
        <w:t xml:space="preserve"> </w:t>
      </w:r>
      <w:r>
        <w:t>compares</w:t>
      </w:r>
      <w:r>
        <w:rPr>
          <w:spacing w:val="-1"/>
        </w:rPr>
        <w:t xml:space="preserve"> </w:t>
      </w:r>
      <w:r>
        <w:t>external</w:t>
      </w:r>
      <w:r>
        <w:rPr>
          <w:spacing w:val="-1"/>
        </w:rPr>
        <w:t xml:space="preserve"> </w:t>
      </w:r>
      <w:r>
        <w:t>financing obligations</w:t>
      </w:r>
      <w:r>
        <w:rPr>
          <w:spacing w:val="-1"/>
        </w:rPr>
        <w:t xml:space="preserve"> </w:t>
      </w:r>
      <w:r>
        <w:t>with shareholder capital. A</w:t>
      </w:r>
      <w:r>
        <w:rPr>
          <w:spacing w:val="-1"/>
        </w:rPr>
        <w:t xml:space="preserve"> </w:t>
      </w:r>
      <w:r>
        <w:t>higher DER</w:t>
      </w:r>
      <w:r>
        <w:rPr>
          <w:spacing w:val="-1"/>
        </w:rPr>
        <w:t xml:space="preserve"> </w:t>
      </w:r>
      <w:r>
        <w:t>indicates greater reliance on debt relative to equity. From a corporate finance perspective, leverage may create value through tax-</w:t>
      </w:r>
      <w:r>
        <w:rPr>
          <w:color w:val="000000"/>
          <w:highlight w:val="yellow"/>
        </w:rPr>
        <w:t>shield</w:t>
      </w:r>
      <w:r>
        <w:rPr>
          <w:color w:val="000000"/>
          <w:spacing w:val="-3"/>
          <w:highlight w:val="yellow"/>
        </w:rPr>
        <w:t xml:space="preserve"> </w:t>
      </w:r>
      <w:r>
        <w:rPr>
          <w:color w:val="000000"/>
          <w:highlight w:val="yellow"/>
        </w:rPr>
        <w:t>benefits</w:t>
      </w:r>
      <w:r>
        <w:rPr>
          <w:color w:val="000000"/>
          <w:spacing w:val="-3"/>
          <w:highlight w:val="yellow"/>
        </w:rPr>
        <w:t xml:space="preserve"> </w:t>
      </w:r>
      <w:r>
        <w:rPr>
          <w:color w:val="000000"/>
          <w:highlight w:val="yellow"/>
        </w:rPr>
        <w:t>and</w:t>
      </w:r>
      <w:r>
        <w:rPr>
          <w:color w:val="000000"/>
          <w:spacing w:val="-3"/>
          <w:highlight w:val="yellow"/>
        </w:rPr>
        <w:t xml:space="preserve"> </w:t>
      </w:r>
      <w:r>
        <w:rPr>
          <w:color w:val="000000"/>
          <w:highlight w:val="yellow"/>
        </w:rPr>
        <w:t>by</w:t>
      </w:r>
      <w:r>
        <w:rPr>
          <w:color w:val="000000"/>
          <w:spacing w:val="-3"/>
          <w:highlight w:val="yellow"/>
        </w:rPr>
        <w:t xml:space="preserve"> </w:t>
      </w:r>
      <w:r>
        <w:rPr>
          <w:color w:val="000000"/>
          <w:highlight w:val="yellow"/>
        </w:rPr>
        <w:t>allowing</w:t>
      </w:r>
      <w:r>
        <w:rPr>
          <w:color w:val="000000"/>
          <w:spacing w:val="-3"/>
          <w:highlight w:val="yellow"/>
        </w:rPr>
        <w:t xml:space="preserve"> </w:t>
      </w:r>
      <w:r>
        <w:rPr>
          <w:color w:val="000000"/>
          <w:highlight w:val="yellow"/>
        </w:rPr>
        <w:t>firms</w:t>
      </w:r>
      <w:r>
        <w:rPr>
          <w:color w:val="000000"/>
          <w:spacing w:val="-3"/>
          <w:highlight w:val="yellow"/>
        </w:rPr>
        <w:t xml:space="preserve"> </w:t>
      </w:r>
      <w:r>
        <w:rPr>
          <w:color w:val="000000"/>
          <w:highlight w:val="yellow"/>
        </w:rPr>
        <w:t>to</w:t>
      </w:r>
      <w:r>
        <w:rPr>
          <w:color w:val="000000"/>
          <w:spacing w:val="-3"/>
          <w:highlight w:val="yellow"/>
        </w:rPr>
        <w:t xml:space="preserve"> </w:t>
      </w:r>
      <w:r>
        <w:rPr>
          <w:color w:val="000000"/>
          <w:highlight w:val="yellow"/>
        </w:rPr>
        <w:t>finance</w:t>
      </w:r>
      <w:r>
        <w:rPr>
          <w:color w:val="000000"/>
          <w:spacing w:val="-3"/>
          <w:highlight w:val="yellow"/>
        </w:rPr>
        <w:t xml:space="preserve"> </w:t>
      </w:r>
      <w:r>
        <w:rPr>
          <w:color w:val="000000"/>
          <w:highlight w:val="yellow"/>
        </w:rPr>
        <w:t>profitable</w:t>
      </w:r>
      <w:r>
        <w:rPr>
          <w:color w:val="000000"/>
          <w:spacing w:val="-3"/>
          <w:highlight w:val="yellow"/>
        </w:rPr>
        <w:t xml:space="preserve"> </w:t>
      </w:r>
      <w:r>
        <w:rPr>
          <w:color w:val="000000"/>
          <w:highlight w:val="yellow"/>
        </w:rPr>
        <w:t>projects</w:t>
      </w:r>
      <w:r>
        <w:rPr>
          <w:color w:val="000000"/>
          <w:spacing w:val="-3"/>
          <w:highlight w:val="yellow"/>
        </w:rPr>
        <w:t xml:space="preserve"> </w:t>
      </w:r>
      <w:r>
        <w:rPr>
          <w:color w:val="000000"/>
          <w:highlight w:val="yellow"/>
        </w:rPr>
        <w:t>without</w:t>
      </w:r>
      <w:r>
        <w:rPr>
          <w:color w:val="000000"/>
          <w:spacing w:val="-3"/>
          <w:highlight w:val="yellow"/>
        </w:rPr>
        <w:t xml:space="preserve"> </w:t>
      </w:r>
      <w:r>
        <w:rPr>
          <w:color w:val="000000"/>
          <w:highlight w:val="yellow"/>
        </w:rPr>
        <w:t>issuing</w:t>
      </w:r>
      <w:r>
        <w:rPr>
          <w:color w:val="000000"/>
          <w:spacing w:val="-3"/>
          <w:highlight w:val="yellow"/>
        </w:rPr>
        <w:t xml:space="preserve"> </w:t>
      </w:r>
      <w:r>
        <w:rPr>
          <w:color w:val="000000"/>
          <w:highlight w:val="yellow"/>
        </w:rPr>
        <w:t>new</w:t>
      </w:r>
      <w:r>
        <w:rPr>
          <w:color w:val="000000"/>
          <w:spacing w:val="-3"/>
          <w:highlight w:val="yellow"/>
        </w:rPr>
        <w:t xml:space="preserve"> </w:t>
      </w:r>
      <w:r>
        <w:rPr>
          <w:color w:val="000000"/>
          <w:highlight w:val="yellow"/>
        </w:rPr>
        <w:t>shares</w:t>
      </w:r>
      <w:r>
        <w:rPr>
          <w:color w:val="000000"/>
          <w:spacing w:val="-3"/>
          <w:highlight w:val="yellow"/>
        </w:rPr>
        <w:t xml:space="preserve"> </w:t>
      </w:r>
      <w:r>
        <w:rPr>
          <w:color w:val="000000"/>
          <w:highlight w:val="yellow"/>
        </w:rPr>
        <w:t>(Rajan</w:t>
      </w:r>
      <w:r>
        <w:rPr>
          <w:color w:val="000000"/>
          <w:spacing w:val="-3"/>
          <w:highlight w:val="yellow"/>
        </w:rPr>
        <w:t xml:space="preserve"> </w:t>
      </w:r>
      <w:r>
        <w:rPr>
          <w:color w:val="000000"/>
          <w:highlight w:val="yellow"/>
        </w:rPr>
        <w:t>&amp;</w:t>
      </w:r>
      <w:r>
        <w:rPr>
          <w:color w:val="000000"/>
          <w:spacing w:val="-3"/>
          <w:highlight w:val="yellow"/>
        </w:rPr>
        <w:t xml:space="preserve"> </w:t>
      </w:r>
      <w:r>
        <w:rPr>
          <w:color w:val="000000"/>
          <w:highlight w:val="yellow"/>
        </w:rPr>
        <w:t>Zingales,</w:t>
      </w:r>
      <w:r>
        <w:rPr>
          <w:color w:val="000000"/>
          <w:spacing w:val="-3"/>
          <w:highlight w:val="yellow"/>
        </w:rPr>
        <w:t xml:space="preserve"> </w:t>
      </w:r>
      <w:r>
        <w:rPr>
          <w:color w:val="000000"/>
          <w:highlight w:val="yellow"/>
        </w:rPr>
        <w:t>1995).</w:t>
      </w:r>
      <w:r>
        <w:rPr>
          <w:color w:val="000000"/>
        </w:rPr>
        <w:t xml:space="preserve"> Debt can also discipline management because contractual obligations require regular payment. However, that discipline becomes</w:t>
      </w:r>
      <w:r>
        <w:rPr>
          <w:color w:val="000000"/>
          <w:spacing w:val="-3"/>
        </w:rPr>
        <w:t xml:space="preserve"> </w:t>
      </w:r>
      <w:r>
        <w:rPr>
          <w:color w:val="000000"/>
        </w:rPr>
        <w:t>harmful</w:t>
      </w:r>
      <w:r>
        <w:rPr>
          <w:color w:val="000000"/>
          <w:spacing w:val="-3"/>
        </w:rPr>
        <w:t xml:space="preserve"> </w:t>
      </w:r>
      <w:r>
        <w:rPr>
          <w:color w:val="000000"/>
        </w:rPr>
        <w:t>when</w:t>
      </w:r>
      <w:r>
        <w:rPr>
          <w:color w:val="000000"/>
          <w:spacing w:val="-2"/>
        </w:rPr>
        <w:t xml:space="preserve"> </w:t>
      </w:r>
      <w:r>
        <w:rPr>
          <w:color w:val="000000"/>
        </w:rPr>
        <w:t>debt</w:t>
      </w:r>
      <w:r>
        <w:rPr>
          <w:color w:val="000000"/>
          <w:spacing w:val="-3"/>
        </w:rPr>
        <w:t xml:space="preserve"> </w:t>
      </w:r>
      <w:r>
        <w:rPr>
          <w:color w:val="000000"/>
        </w:rPr>
        <w:t>exceeds</w:t>
      </w:r>
      <w:r>
        <w:rPr>
          <w:color w:val="000000"/>
          <w:spacing w:val="-3"/>
        </w:rPr>
        <w:t xml:space="preserve"> </w:t>
      </w:r>
      <w:r>
        <w:rPr>
          <w:color w:val="000000"/>
        </w:rPr>
        <w:t>the</w:t>
      </w:r>
      <w:r>
        <w:rPr>
          <w:color w:val="000000"/>
          <w:spacing w:val="-3"/>
        </w:rPr>
        <w:t xml:space="preserve"> </w:t>
      </w:r>
      <w:r>
        <w:rPr>
          <w:color w:val="000000"/>
        </w:rPr>
        <w:t>firm's</w:t>
      </w:r>
      <w:r>
        <w:rPr>
          <w:color w:val="000000"/>
          <w:spacing w:val="-3"/>
        </w:rPr>
        <w:t xml:space="preserve"> </w:t>
      </w:r>
      <w:r>
        <w:rPr>
          <w:color w:val="000000"/>
        </w:rPr>
        <w:t>capacity</w:t>
      </w:r>
      <w:r>
        <w:rPr>
          <w:color w:val="000000"/>
          <w:spacing w:val="-2"/>
        </w:rPr>
        <w:t xml:space="preserve"> </w:t>
      </w:r>
      <w:r>
        <w:rPr>
          <w:color w:val="000000"/>
        </w:rPr>
        <w:t>to</w:t>
      </w:r>
      <w:r>
        <w:rPr>
          <w:color w:val="000000"/>
          <w:spacing w:val="-2"/>
        </w:rPr>
        <w:t xml:space="preserve"> </w:t>
      </w:r>
      <w:r>
        <w:rPr>
          <w:color w:val="000000"/>
        </w:rPr>
        <w:t>generate</w:t>
      </w:r>
      <w:r>
        <w:rPr>
          <w:color w:val="000000"/>
          <w:spacing w:val="-3"/>
        </w:rPr>
        <w:t xml:space="preserve"> </w:t>
      </w:r>
      <w:r>
        <w:rPr>
          <w:color w:val="000000"/>
        </w:rPr>
        <w:t>stable</w:t>
      </w:r>
      <w:r>
        <w:rPr>
          <w:color w:val="000000"/>
          <w:spacing w:val="-3"/>
        </w:rPr>
        <w:t xml:space="preserve"> </w:t>
      </w:r>
      <w:r>
        <w:rPr>
          <w:color w:val="000000"/>
        </w:rPr>
        <w:t>cash</w:t>
      </w:r>
      <w:r>
        <w:rPr>
          <w:color w:val="000000"/>
          <w:spacing w:val="-2"/>
        </w:rPr>
        <w:t xml:space="preserve"> </w:t>
      </w:r>
      <w:r>
        <w:rPr>
          <w:color w:val="000000"/>
        </w:rPr>
        <w:t>flows.</w:t>
      </w:r>
      <w:r>
        <w:rPr>
          <w:color w:val="000000"/>
          <w:spacing w:val="-2"/>
        </w:rPr>
        <w:t xml:space="preserve"> </w:t>
      </w:r>
      <w:r>
        <w:rPr>
          <w:color w:val="000000"/>
        </w:rPr>
        <w:t>High</w:t>
      </w:r>
      <w:r>
        <w:rPr>
          <w:color w:val="000000"/>
          <w:spacing w:val="-2"/>
        </w:rPr>
        <w:t xml:space="preserve"> </w:t>
      </w:r>
      <w:r>
        <w:rPr>
          <w:color w:val="000000"/>
        </w:rPr>
        <w:t>leverage</w:t>
      </w:r>
      <w:r>
        <w:rPr>
          <w:color w:val="000000"/>
          <w:spacing w:val="-3"/>
        </w:rPr>
        <w:t xml:space="preserve"> </w:t>
      </w:r>
      <w:r>
        <w:rPr>
          <w:color w:val="000000"/>
        </w:rPr>
        <w:t>can</w:t>
      </w:r>
      <w:r>
        <w:rPr>
          <w:color w:val="000000"/>
          <w:spacing w:val="-2"/>
        </w:rPr>
        <w:t xml:space="preserve"> </w:t>
      </w:r>
      <w:r>
        <w:rPr>
          <w:color w:val="000000"/>
        </w:rPr>
        <w:t>increase</w:t>
      </w:r>
      <w:r>
        <w:rPr>
          <w:color w:val="000000"/>
          <w:spacing w:val="-3"/>
        </w:rPr>
        <w:t xml:space="preserve"> </w:t>
      </w:r>
      <w:r>
        <w:rPr>
          <w:color w:val="000000"/>
        </w:rPr>
        <w:t>default</w:t>
      </w:r>
    </w:p>
    <w:p w14:paraId="188030E8" w14:textId="77777777" w:rsidR="00ED08FF" w:rsidRDefault="00ED08FF">
      <w:pPr>
        <w:pStyle w:val="BodyText"/>
        <w:spacing w:before="52"/>
        <w:ind w:left="0"/>
      </w:pPr>
    </w:p>
    <w:p w14:paraId="08E0EEA7" w14:textId="77777777" w:rsidR="00ED08FF" w:rsidRDefault="00000000">
      <w:pPr>
        <w:pStyle w:val="BodyText"/>
        <w:spacing w:before="0" w:line="297" w:lineRule="auto"/>
        <w:ind w:right="1671"/>
      </w:pPr>
      <w:r>
        <w:t>risk,</w:t>
      </w:r>
      <w:r>
        <w:rPr>
          <w:spacing w:val="-3"/>
        </w:rPr>
        <w:t xml:space="preserve"> </w:t>
      </w:r>
      <w:r>
        <w:t>restrict</w:t>
      </w:r>
      <w:r>
        <w:rPr>
          <w:spacing w:val="-4"/>
        </w:rPr>
        <w:t xml:space="preserve"> </w:t>
      </w:r>
      <w:r>
        <w:t>investment</w:t>
      </w:r>
      <w:r>
        <w:rPr>
          <w:spacing w:val="-4"/>
        </w:rPr>
        <w:t xml:space="preserve"> </w:t>
      </w:r>
      <w:r>
        <w:t>flexibility,</w:t>
      </w:r>
      <w:r>
        <w:rPr>
          <w:spacing w:val="-3"/>
        </w:rPr>
        <w:t xml:space="preserve"> </w:t>
      </w:r>
      <w:r>
        <w:t>and</w:t>
      </w:r>
      <w:r>
        <w:rPr>
          <w:spacing w:val="-3"/>
        </w:rPr>
        <w:t xml:space="preserve"> </w:t>
      </w:r>
      <w:r>
        <w:t>make</w:t>
      </w:r>
      <w:r>
        <w:rPr>
          <w:spacing w:val="-4"/>
        </w:rPr>
        <w:t xml:space="preserve"> </w:t>
      </w:r>
      <w:r>
        <w:t>firms</w:t>
      </w:r>
      <w:r>
        <w:rPr>
          <w:spacing w:val="-4"/>
        </w:rPr>
        <w:t xml:space="preserve"> </w:t>
      </w:r>
      <w:r>
        <w:t>more</w:t>
      </w:r>
      <w:r>
        <w:rPr>
          <w:spacing w:val="-4"/>
        </w:rPr>
        <w:t xml:space="preserve"> </w:t>
      </w:r>
      <w:r>
        <w:t>vulnerable</w:t>
      </w:r>
      <w:r>
        <w:rPr>
          <w:spacing w:val="-4"/>
        </w:rPr>
        <w:t xml:space="preserve"> </w:t>
      </w:r>
      <w:r>
        <w:t>to</w:t>
      </w:r>
      <w:r>
        <w:rPr>
          <w:spacing w:val="-3"/>
        </w:rPr>
        <w:t xml:space="preserve"> </w:t>
      </w:r>
      <w:r>
        <w:t>interest-rate</w:t>
      </w:r>
      <w:r>
        <w:rPr>
          <w:spacing w:val="-4"/>
        </w:rPr>
        <w:t xml:space="preserve"> </w:t>
      </w:r>
      <w:r>
        <w:t>and</w:t>
      </w:r>
      <w:r>
        <w:rPr>
          <w:spacing w:val="-3"/>
        </w:rPr>
        <w:t xml:space="preserve"> </w:t>
      </w:r>
      <w:r>
        <w:t>currency</w:t>
      </w:r>
      <w:r>
        <w:rPr>
          <w:spacing w:val="-3"/>
        </w:rPr>
        <w:t xml:space="preserve"> </w:t>
      </w:r>
      <w:r>
        <w:t>movements.</w:t>
      </w:r>
      <w:r>
        <w:rPr>
          <w:spacing w:val="-3"/>
        </w:rPr>
        <w:t xml:space="preserve"> </w:t>
      </w:r>
      <w:r>
        <w:t>In</w:t>
      </w:r>
      <w:r>
        <w:rPr>
          <w:spacing w:val="-3"/>
        </w:rPr>
        <w:t xml:space="preserve"> </w:t>
      </w:r>
      <w:r>
        <w:t>emerging markets, investors may be particularly sensitive to debt because financing conditions can change quickly.</w:t>
      </w:r>
    </w:p>
    <w:p w14:paraId="38304340" w14:textId="77777777" w:rsidR="00ED08FF" w:rsidRDefault="00000000">
      <w:pPr>
        <w:pStyle w:val="BodyText"/>
        <w:spacing w:line="297" w:lineRule="auto"/>
        <w:ind w:right="1918"/>
      </w:pPr>
      <w:r>
        <w:t>The effect of leverage on firm value in consumer non-cyclicals companies is therefore not obvious. Firms with stable demand</w:t>
      </w:r>
      <w:r>
        <w:rPr>
          <w:spacing w:val="-3"/>
        </w:rPr>
        <w:t xml:space="preserve"> </w:t>
      </w:r>
      <w:r>
        <w:t>may</w:t>
      </w:r>
      <w:r>
        <w:rPr>
          <w:spacing w:val="-3"/>
        </w:rPr>
        <w:t xml:space="preserve"> </w:t>
      </w:r>
      <w:r>
        <w:t>use</w:t>
      </w:r>
      <w:r>
        <w:rPr>
          <w:spacing w:val="-4"/>
        </w:rPr>
        <w:t xml:space="preserve"> </w:t>
      </w:r>
      <w:r>
        <w:t>debt</w:t>
      </w:r>
      <w:r>
        <w:rPr>
          <w:spacing w:val="-4"/>
        </w:rPr>
        <w:t xml:space="preserve"> </w:t>
      </w:r>
      <w:r>
        <w:t>efficiently</w:t>
      </w:r>
      <w:r>
        <w:rPr>
          <w:spacing w:val="-3"/>
        </w:rPr>
        <w:t xml:space="preserve"> </w:t>
      </w:r>
      <w:r>
        <w:t>to</w:t>
      </w:r>
      <w:r>
        <w:rPr>
          <w:spacing w:val="-3"/>
        </w:rPr>
        <w:t xml:space="preserve"> </w:t>
      </w:r>
      <w:r>
        <w:t>expand</w:t>
      </w:r>
      <w:r>
        <w:rPr>
          <w:spacing w:val="-3"/>
        </w:rPr>
        <w:t xml:space="preserve"> </w:t>
      </w:r>
      <w:r>
        <w:t>stores,</w:t>
      </w:r>
      <w:r>
        <w:rPr>
          <w:spacing w:val="-3"/>
        </w:rPr>
        <w:t xml:space="preserve"> </w:t>
      </w:r>
      <w:r>
        <w:t>distribution</w:t>
      </w:r>
      <w:r>
        <w:rPr>
          <w:spacing w:val="-3"/>
        </w:rPr>
        <w:t xml:space="preserve"> </w:t>
      </w:r>
      <w:r>
        <w:t>centers,</w:t>
      </w:r>
      <w:r>
        <w:rPr>
          <w:spacing w:val="-3"/>
        </w:rPr>
        <w:t xml:space="preserve"> </w:t>
      </w:r>
      <w:r>
        <w:t>factories,</w:t>
      </w:r>
      <w:r>
        <w:rPr>
          <w:spacing w:val="-3"/>
        </w:rPr>
        <w:t xml:space="preserve"> </w:t>
      </w:r>
      <w:r>
        <w:t>or</w:t>
      </w:r>
      <w:r>
        <w:rPr>
          <w:spacing w:val="-3"/>
        </w:rPr>
        <w:t xml:space="preserve"> </w:t>
      </w:r>
      <w:r>
        <w:t>production</w:t>
      </w:r>
      <w:r>
        <w:rPr>
          <w:spacing w:val="-3"/>
        </w:rPr>
        <w:t xml:space="preserve"> </w:t>
      </w:r>
      <w:r>
        <w:t>capacity.</w:t>
      </w:r>
      <w:r>
        <w:rPr>
          <w:spacing w:val="-3"/>
        </w:rPr>
        <w:t xml:space="preserve"> </w:t>
      </w:r>
      <w:r>
        <w:t>Other</w:t>
      </w:r>
      <w:r>
        <w:rPr>
          <w:spacing w:val="-3"/>
        </w:rPr>
        <w:t xml:space="preserve"> </w:t>
      </w:r>
      <w:r>
        <w:t>firms</w:t>
      </w:r>
      <w:r>
        <w:rPr>
          <w:spacing w:val="-4"/>
        </w:rPr>
        <w:t xml:space="preserve"> </w:t>
      </w:r>
      <w:r>
        <w:t xml:space="preserve">may face pressure if debt rises while profitability weakens. The regression model tests the net effect across the selected </w:t>
      </w:r>
      <w:r>
        <w:rPr>
          <w:spacing w:val="-2"/>
        </w:rPr>
        <w:t>sample.</w:t>
      </w:r>
    </w:p>
    <w:p w14:paraId="2E90CC23" w14:textId="77777777" w:rsidR="00ED08FF" w:rsidRDefault="00000000">
      <w:pPr>
        <w:pStyle w:val="BodyText"/>
        <w:spacing w:line="297" w:lineRule="auto"/>
        <w:ind w:right="1903"/>
      </w:pPr>
      <w:r>
        <w:t>The</w:t>
      </w:r>
      <w:r>
        <w:rPr>
          <w:spacing w:val="-4"/>
        </w:rPr>
        <w:t xml:space="preserve"> </w:t>
      </w:r>
      <w:r>
        <w:t>second</w:t>
      </w:r>
      <w:r>
        <w:rPr>
          <w:spacing w:val="-3"/>
        </w:rPr>
        <w:t xml:space="preserve"> </w:t>
      </w:r>
      <w:r>
        <w:t>hypothesis</w:t>
      </w:r>
      <w:r>
        <w:rPr>
          <w:spacing w:val="-4"/>
        </w:rPr>
        <w:t xml:space="preserve"> </w:t>
      </w:r>
      <w:r>
        <w:t>is</w:t>
      </w:r>
      <w:r>
        <w:rPr>
          <w:spacing w:val="-4"/>
        </w:rPr>
        <w:t xml:space="preserve"> </w:t>
      </w:r>
      <w:r>
        <w:t>stated</w:t>
      </w:r>
      <w:r>
        <w:rPr>
          <w:spacing w:val="-3"/>
        </w:rPr>
        <w:t xml:space="preserve"> </w:t>
      </w:r>
      <w:r>
        <w:t>as</w:t>
      </w:r>
      <w:r>
        <w:rPr>
          <w:spacing w:val="-4"/>
        </w:rPr>
        <w:t xml:space="preserve"> </w:t>
      </w:r>
      <w:r>
        <w:t>follows:</w:t>
      </w:r>
      <w:r>
        <w:rPr>
          <w:spacing w:val="-4"/>
        </w:rPr>
        <w:t xml:space="preserve"> </w:t>
      </w:r>
      <w:r>
        <w:t>H2:</w:t>
      </w:r>
      <w:r>
        <w:rPr>
          <w:spacing w:val="-4"/>
        </w:rPr>
        <w:t xml:space="preserve"> </w:t>
      </w:r>
      <w:r>
        <w:t>Leverage</w:t>
      </w:r>
      <w:r>
        <w:rPr>
          <w:spacing w:val="-4"/>
        </w:rPr>
        <w:t xml:space="preserve"> </w:t>
      </w:r>
      <w:r>
        <w:t>has</w:t>
      </w:r>
      <w:r>
        <w:rPr>
          <w:spacing w:val="-4"/>
        </w:rPr>
        <w:t xml:space="preserve"> </w:t>
      </w:r>
      <w:r>
        <w:t>an</w:t>
      </w:r>
      <w:r>
        <w:rPr>
          <w:spacing w:val="-3"/>
        </w:rPr>
        <w:t xml:space="preserve"> </w:t>
      </w:r>
      <w:r>
        <w:t>effect</w:t>
      </w:r>
      <w:r>
        <w:rPr>
          <w:spacing w:val="-4"/>
        </w:rPr>
        <w:t xml:space="preserve"> </w:t>
      </w:r>
      <w:r>
        <w:t>on</w:t>
      </w:r>
      <w:r>
        <w:rPr>
          <w:spacing w:val="-3"/>
        </w:rPr>
        <w:t xml:space="preserve"> </w:t>
      </w:r>
      <w:r>
        <w:t>firm</w:t>
      </w:r>
      <w:r>
        <w:rPr>
          <w:spacing w:val="-4"/>
        </w:rPr>
        <w:t xml:space="preserve"> </w:t>
      </w:r>
      <w:r>
        <w:t>value</w:t>
      </w:r>
      <w:r>
        <w:rPr>
          <w:spacing w:val="-4"/>
        </w:rPr>
        <w:t xml:space="preserve"> </w:t>
      </w:r>
      <w:r>
        <w:t>among</w:t>
      </w:r>
      <w:r>
        <w:rPr>
          <w:spacing w:val="-3"/>
        </w:rPr>
        <w:t xml:space="preserve"> </w:t>
      </w:r>
      <w:r>
        <w:t>consumer</w:t>
      </w:r>
      <w:r>
        <w:rPr>
          <w:spacing w:val="-3"/>
        </w:rPr>
        <w:t xml:space="preserve"> </w:t>
      </w:r>
      <w:r>
        <w:t>non-cyclicals companies listed on the Indonesia Stock Exchange.</w:t>
      </w:r>
    </w:p>
    <w:p w14:paraId="03F4250C" w14:textId="77777777" w:rsidR="00ED08FF" w:rsidRDefault="00ED08FF">
      <w:pPr>
        <w:pStyle w:val="BodyText"/>
        <w:spacing w:before="51"/>
        <w:ind w:left="0"/>
      </w:pPr>
    </w:p>
    <w:p w14:paraId="483DF807" w14:textId="77777777" w:rsidR="00ED08FF" w:rsidRDefault="00000000">
      <w:pPr>
        <w:pStyle w:val="Heading2"/>
        <w:numPr>
          <w:ilvl w:val="1"/>
          <w:numId w:val="1"/>
        </w:numPr>
        <w:tabs>
          <w:tab w:val="left" w:pos="415"/>
        </w:tabs>
        <w:ind w:left="415"/>
      </w:pPr>
      <w:r>
        <w:t>Firm</w:t>
      </w:r>
      <w:r>
        <w:rPr>
          <w:spacing w:val="-4"/>
        </w:rPr>
        <w:t xml:space="preserve"> </w:t>
      </w:r>
      <w:r>
        <w:t>Size</w:t>
      </w:r>
      <w:r>
        <w:rPr>
          <w:spacing w:val="-2"/>
        </w:rPr>
        <w:t xml:space="preserve"> </w:t>
      </w:r>
      <w:r>
        <w:t>and</w:t>
      </w:r>
      <w:r>
        <w:rPr>
          <w:spacing w:val="-3"/>
        </w:rPr>
        <w:t xml:space="preserve"> </w:t>
      </w:r>
      <w:r>
        <w:t>Firm</w:t>
      </w:r>
      <w:r>
        <w:rPr>
          <w:spacing w:val="-1"/>
        </w:rPr>
        <w:t xml:space="preserve"> </w:t>
      </w:r>
      <w:r>
        <w:rPr>
          <w:spacing w:val="-2"/>
        </w:rPr>
        <w:t>Value</w:t>
      </w:r>
    </w:p>
    <w:p w14:paraId="0C610701" w14:textId="77777777" w:rsidR="00ED08FF" w:rsidRDefault="00000000">
      <w:pPr>
        <w:pStyle w:val="BodyText"/>
        <w:spacing w:before="50" w:line="297" w:lineRule="auto"/>
        <w:ind w:right="2118"/>
      </w:pPr>
      <w:r>
        <w:t>Firm size reflects the scale of company operations and the economic resources under management control. Total</w:t>
      </w:r>
      <w:r>
        <w:rPr>
          <w:spacing w:val="40"/>
        </w:rPr>
        <w:t xml:space="preserve"> </w:t>
      </w:r>
      <w:r>
        <w:t>assets are widely used as a size proxy because they represent the resources used to generate revenue and profit. This study</w:t>
      </w:r>
      <w:r>
        <w:rPr>
          <w:spacing w:val="-3"/>
        </w:rPr>
        <w:t xml:space="preserve"> </w:t>
      </w:r>
      <w:r>
        <w:t>transforms</w:t>
      </w:r>
      <w:r>
        <w:rPr>
          <w:spacing w:val="-4"/>
        </w:rPr>
        <w:t xml:space="preserve"> </w:t>
      </w:r>
      <w:r>
        <w:t>total</w:t>
      </w:r>
      <w:r>
        <w:rPr>
          <w:spacing w:val="-4"/>
        </w:rPr>
        <w:t xml:space="preserve"> </w:t>
      </w:r>
      <w:r>
        <w:t>assets</w:t>
      </w:r>
      <w:r>
        <w:rPr>
          <w:spacing w:val="-4"/>
        </w:rPr>
        <w:t xml:space="preserve"> </w:t>
      </w:r>
      <w:r>
        <w:t>into</w:t>
      </w:r>
      <w:r>
        <w:rPr>
          <w:spacing w:val="-3"/>
        </w:rPr>
        <w:t xml:space="preserve"> </w:t>
      </w:r>
      <w:r>
        <w:t>a</w:t>
      </w:r>
      <w:r>
        <w:rPr>
          <w:spacing w:val="-4"/>
        </w:rPr>
        <w:t xml:space="preserve"> </w:t>
      </w:r>
      <w:r>
        <w:t>natural</w:t>
      </w:r>
      <w:r>
        <w:rPr>
          <w:spacing w:val="-4"/>
        </w:rPr>
        <w:t xml:space="preserve"> </w:t>
      </w:r>
      <w:r>
        <w:t>logarithm</w:t>
      </w:r>
      <w:r>
        <w:rPr>
          <w:spacing w:val="-4"/>
        </w:rPr>
        <w:t xml:space="preserve"> </w:t>
      </w:r>
      <w:r>
        <w:t>to</w:t>
      </w:r>
      <w:r>
        <w:rPr>
          <w:spacing w:val="-3"/>
        </w:rPr>
        <w:t xml:space="preserve"> </w:t>
      </w:r>
      <w:r>
        <w:t>reduce</w:t>
      </w:r>
      <w:r>
        <w:rPr>
          <w:spacing w:val="-4"/>
        </w:rPr>
        <w:t xml:space="preserve"> </w:t>
      </w:r>
      <w:r>
        <w:t>extreme</w:t>
      </w:r>
      <w:r>
        <w:rPr>
          <w:spacing w:val="-4"/>
        </w:rPr>
        <w:t xml:space="preserve"> </w:t>
      </w:r>
      <w:r>
        <w:t>scale</w:t>
      </w:r>
      <w:r>
        <w:rPr>
          <w:spacing w:val="-4"/>
        </w:rPr>
        <w:t xml:space="preserve"> </w:t>
      </w:r>
      <w:r>
        <w:t>differences.</w:t>
      </w:r>
      <w:r>
        <w:rPr>
          <w:spacing w:val="-3"/>
        </w:rPr>
        <w:t xml:space="preserve"> </w:t>
      </w:r>
      <w:r>
        <w:t>Without</w:t>
      </w:r>
      <w:r>
        <w:rPr>
          <w:spacing w:val="-4"/>
        </w:rPr>
        <w:t xml:space="preserve"> </w:t>
      </w:r>
      <w:r>
        <w:t>transformation,</w:t>
      </w:r>
      <w:r>
        <w:rPr>
          <w:spacing w:val="-3"/>
        </w:rPr>
        <w:t xml:space="preserve"> </w:t>
      </w:r>
      <w:r>
        <w:t xml:space="preserve">very large firms can dominate the regression simply because their asset values are numerically much larger than those of </w:t>
      </w:r>
      <w:r>
        <w:rPr>
          <w:color w:val="000000"/>
          <w:highlight w:val="yellow"/>
        </w:rPr>
        <w:t>smaller companies (Wooldridge, 2010).</w:t>
      </w:r>
    </w:p>
    <w:p w14:paraId="01565868" w14:textId="77777777" w:rsidR="00ED08FF" w:rsidRDefault="00000000">
      <w:pPr>
        <w:pStyle w:val="BodyText"/>
        <w:spacing w:line="297" w:lineRule="auto"/>
        <w:ind w:right="1903"/>
      </w:pPr>
      <w:r>
        <w:t>Larger firms may have advantages in distribution, procurement, brand recognition, bargaining power, and access to external</w:t>
      </w:r>
      <w:r>
        <w:rPr>
          <w:spacing w:val="-4"/>
        </w:rPr>
        <w:t xml:space="preserve"> </w:t>
      </w:r>
      <w:r>
        <w:t>financing.</w:t>
      </w:r>
      <w:r>
        <w:rPr>
          <w:spacing w:val="-3"/>
        </w:rPr>
        <w:t xml:space="preserve"> </w:t>
      </w:r>
      <w:r>
        <w:t>These</w:t>
      </w:r>
      <w:r>
        <w:rPr>
          <w:spacing w:val="-4"/>
        </w:rPr>
        <w:t xml:space="preserve"> </w:t>
      </w:r>
      <w:r>
        <w:t>advantages</w:t>
      </w:r>
      <w:r>
        <w:rPr>
          <w:spacing w:val="-4"/>
        </w:rPr>
        <w:t xml:space="preserve"> </w:t>
      </w:r>
      <w:r>
        <w:t>can</w:t>
      </w:r>
      <w:r>
        <w:rPr>
          <w:spacing w:val="-3"/>
        </w:rPr>
        <w:t xml:space="preserve"> </w:t>
      </w:r>
      <w:r>
        <w:t>support</w:t>
      </w:r>
      <w:r>
        <w:rPr>
          <w:spacing w:val="-4"/>
        </w:rPr>
        <w:t xml:space="preserve"> </w:t>
      </w:r>
      <w:r>
        <w:t>firm</w:t>
      </w:r>
      <w:r>
        <w:rPr>
          <w:spacing w:val="-4"/>
        </w:rPr>
        <w:t xml:space="preserve"> </w:t>
      </w:r>
      <w:r>
        <w:t>value</w:t>
      </w:r>
      <w:r>
        <w:rPr>
          <w:spacing w:val="-4"/>
        </w:rPr>
        <w:t xml:space="preserve"> </w:t>
      </w:r>
      <w:r>
        <w:t>because</w:t>
      </w:r>
      <w:r>
        <w:rPr>
          <w:spacing w:val="-4"/>
        </w:rPr>
        <w:t xml:space="preserve"> </w:t>
      </w:r>
      <w:r>
        <w:t>they</w:t>
      </w:r>
      <w:r>
        <w:rPr>
          <w:spacing w:val="-3"/>
        </w:rPr>
        <w:t xml:space="preserve"> </w:t>
      </w:r>
      <w:r>
        <w:t>reduce</w:t>
      </w:r>
      <w:r>
        <w:rPr>
          <w:spacing w:val="-4"/>
        </w:rPr>
        <w:t xml:space="preserve"> </w:t>
      </w:r>
      <w:r>
        <w:t>business</w:t>
      </w:r>
      <w:r>
        <w:rPr>
          <w:spacing w:val="-4"/>
        </w:rPr>
        <w:t xml:space="preserve"> </w:t>
      </w:r>
      <w:r>
        <w:t>risk</w:t>
      </w:r>
      <w:r>
        <w:rPr>
          <w:spacing w:val="-3"/>
        </w:rPr>
        <w:t xml:space="preserve"> </w:t>
      </w:r>
      <w:r>
        <w:t>and</w:t>
      </w:r>
      <w:r>
        <w:rPr>
          <w:spacing w:val="-3"/>
        </w:rPr>
        <w:t xml:space="preserve"> </w:t>
      </w:r>
      <w:r>
        <w:t>improve</w:t>
      </w:r>
      <w:r>
        <w:rPr>
          <w:spacing w:val="-4"/>
        </w:rPr>
        <w:t xml:space="preserve"> </w:t>
      </w:r>
      <w:r>
        <w:t>competitive position. In consumer non-cyclicals, scale may be particularly valuable for companies that rely on broad distribution networks and high sales volume.</w:t>
      </w:r>
    </w:p>
    <w:p w14:paraId="688A333E" w14:textId="77777777" w:rsidR="00ED08FF" w:rsidRDefault="00000000">
      <w:pPr>
        <w:pStyle w:val="BodyText"/>
        <w:spacing w:before="2" w:line="297" w:lineRule="auto"/>
        <w:ind w:right="1825"/>
      </w:pPr>
      <w:r>
        <w:t>However, size is not the same as efficiency. A larger balance sheet can also indicate heavy investment, lower asset turnover,</w:t>
      </w:r>
      <w:r>
        <w:rPr>
          <w:spacing w:val="-2"/>
        </w:rPr>
        <w:t xml:space="preserve"> </w:t>
      </w:r>
      <w:r>
        <w:t>or</w:t>
      </w:r>
      <w:r>
        <w:rPr>
          <w:spacing w:val="-2"/>
        </w:rPr>
        <w:t xml:space="preserve"> </w:t>
      </w:r>
      <w:r>
        <w:t>less</w:t>
      </w:r>
      <w:r>
        <w:rPr>
          <w:spacing w:val="-3"/>
        </w:rPr>
        <w:t xml:space="preserve"> </w:t>
      </w:r>
      <w:r>
        <w:t>flexible</w:t>
      </w:r>
      <w:r>
        <w:rPr>
          <w:spacing w:val="-3"/>
        </w:rPr>
        <w:t xml:space="preserve"> </w:t>
      </w:r>
      <w:r>
        <w:t>operations.</w:t>
      </w:r>
      <w:r>
        <w:rPr>
          <w:spacing w:val="-2"/>
        </w:rPr>
        <w:t xml:space="preserve"> </w:t>
      </w:r>
      <w:r>
        <w:t>Investors</w:t>
      </w:r>
      <w:r>
        <w:rPr>
          <w:spacing w:val="-3"/>
        </w:rPr>
        <w:t xml:space="preserve"> </w:t>
      </w:r>
      <w:r>
        <w:t>may</w:t>
      </w:r>
      <w:r>
        <w:rPr>
          <w:spacing w:val="-2"/>
        </w:rPr>
        <w:t xml:space="preserve"> </w:t>
      </w:r>
      <w:r>
        <w:t>value</w:t>
      </w:r>
      <w:r>
        <w:rPr>
          <w:spacing w:val="-3"/>
        </w:rPr>
        <w:t xml:space="preserve"> </w:t>
      </w:r>
      <w:r>
        <w:t>a</w:t>
      </w:r>
      <w:r>
        <w:rPr>
          <w:spacing w:val="-3"/>
        </w:rPr>
        <w:t xml:space="preserve"> </w:t>
      </w:r>
      <w:r>
        <w:t>smaller</w:t>
      </w:r>
      <w:r>
        <w:rPr>
          <w:spacing w:val="-2"/>
        </w:rPr>
        <w:t xml:space="preserve"> </w:t>
      </w:r>
      <w:r>
        <w:t>but</w:t>
      </w:r>
      <w:r>
        <w:rPr>
          <w:spacing w:val="-3"/>
        </w:rPr>
        <w:t xml:space="preserve"> </w:t>
      </w:r>
      <w:r>
        <w:t>more</w:t>
      </w:r>
      <w:r>
        <w:rPr>
          <w:spacing w:val="-3"/>
        </w:rPr>
        <w:t xml:space="preserve"> </w:t>
      </w:r>
      <w:r>
        <w:t>profitable</w:t>
      </w:r>
      <w:r>
        <w:rPr>
          <w:spacing w:val="-3"/>
        </w:rPr>
        <w:t xml:space="preserve"> </w:t>
      </w:r>
      <w:r>
        <w:t>firm</w:t>
      </w:r>
      <w:r>
        <w:rPr>
          <w:spacing w:val="-2"/>
        </w:rPr>
        <w:t xml:space="preserve"> </w:t>
      </w:r>
      <w:r>
        <w:t>more</w:t>
      </w:r>
      <w:r>
        <w:rPr>
          <w:spacing w:val="-3"/>
        </w:rPr>
        <w:t xml:space="preserve"> </w:t>
      </w:r>
      <w:r>
        <w:t>highly</w:t>
      </w:r>
      <w:r>
        <w:rPr>
          <w:spacing w:val="-2"/>
        </w:rPr>
        <w:t xml:space="preserve"> </w:t>
      </w:r>
      <w:r>
        <w:t>than</w:t>
      </w:r>
      <w:r>
        <w:rPr>
          <w:spacing w:val="-2"/>
        </w:rPr>
        <w:t xml:space="preserve"> </w:t>
      </w:r>
      <w:r>
        <w:t>a</w:t>
      </w:r>
      <w:r>
        <w:rPr>
          <w:spacing w:val="-3"/>
        </w:rPr>
        <w:t xml:space="preserve"> </w:t>
      </w:r>
      <w:r>
        <w:t>larger</w:t>
      </w:r>
      <w:r>
        <w:rPr>
          <w:spacing w:val="-2"/>
        </w:rPr>
        <w:t xml:space="preserve"> </w:t>
      </w:r>
      <w:r>
        <w:t>firm with stagnant growth. For that reason, the size-firm value relationship should be evaluated empirically. The regression result will show whether the market rewards asset scale after controlling for profitability, leverage, and liquidity.</w:t>
      </w:r>
    </w:p>
    <w:p w14:paraId="18DCCAD6" w14:textId="77777777" w:rsidR="00ED08FF" w:rsidRDefault="00000000">
      <w:pPr>
        <w:pStyle w:val="BodyText"/>
      </w:pPr>
      <w:r>
        <w:t>The</w:t>
      </w:r>
      <w:r>
        <w:rPr>
          <w:spacing w:val="-6"/>
        </w:rPr>
        <w:t xml:space="preserve"> </w:t>
      </w:r>
      <w:r>
        <w:t>third</w:t>
      </w:r>
      <w:r>
        <w:rPr>
          <w:spacing w:val="-3"/>
        </w:rPr>
        <w:t xml:space="preserve"> </w:t>
      </w:r>
      <w:r>
        <w:t>hypothesis</w:t>
      </w:r>
      <w:r>
        <w:rPr>
          <w:spacing w:val="-3"/>
        </w:rPr>
        <w:t xml:space="preserve"> </w:t>
      </w:r>
      <w:r>
        <w:t>is</w:t>
      </w:r>
      <w:r>
        <w:rPr>
          <w:spacing w:val="-4"/>
        </w:rPr>
        <w:t xml:space="preserve"> </w:t>
      </w:r>
      <w:r>
        <w:t>stated</w:t>
      </w:r>
      <w:r>
        <w:rPr>
          <w:spacing w:val="-2"/>
        </w:rPr>
        <w:t xml:space="preserve"> </w:t>
      </w:r>
      <w:r>
        <w:t>as</w:t>
      </w:r>
      <w:r>
        <w:rPr>
          <w:spacing w:val="-4"/>
        </w:rPr>
        <w:t xml:space="preserve"> </w:t>
      </w:r>
      <w:r>
        <w:t>follows:</w:t>
      </w:r>
      <w:r>
        <w:rPr>
          <w:spacing w:val="-3"/>
        </w:rPr>
        <w:t xml:space="preserve"> </w:t>
      </w:r>
      <w:r>
        <w:t>H3:</w:t>
      </w:r>
      <w:r>
        <w:rPr>
          <w:spacing w:val="-4"/>
        </w:rPr>
        <w:t xml:space="preserve"> </w:t>
      </w:r>
      <w:r>
        <w:t>Firm</w:t>
      </w:r>
      <w:r>
        <w:rPr>
          <w:spacing w:val="-3"/>
        </w:rPr>
        <w:t xml:space="preserve"> </w:t>
      </w:r>
      <w:r>
        <w:t>size</w:t>
      </w:r>
      <w:r>
        <w:rPr>
          <w:spacing w:val="-4"/>
        </w:rPr>
        <w:t xml:space="preserve"> </w:t>
      </w:r>
      <w:r>
        <w:t>has</w:t>
      </w:r>
      <w:r>
        <w:rPr>
          <w:spacing w:val="-4"/>
        </w:rPr>
        <w:t xml:space="preserve"> </w:t>
      </w:r>
      <w:r>
        <w:t>an</w:t>
      </w:r>
      <w:r>
        <w:rPr>
          <w:spacing w:val="-2"/>
        </w:rPr>
        <w:t xml:space="preserve"> </w:t>
      </w:r>
      <w:r>
        <w:t>effect</w:t>
      </w:r>
      <w:r>
        <w:rPr>
          <w:spacing w:val="-4"/>
        </w:rPr>
        <w:t xml:space="preserve"> </w:t>
      </w:r>
      <w:r>
        <w:t>on</w:t>
      </w:r>
      <w:r>
        <w:rPr>
          <w:spacing w:val="-2"/>
        </w:rPr>
        <w:t xml:space="preserve"> </w:t>
      </w:r>
      <w:r>
        <w:t>firm</w:t>
      </w:r>
      <w:r>
        <w:rPr>
          <w:spacing w:val="-4"/>
        </w:rPr>
        <w:t xml:space="preserve"> </w:t>
      </w:r>
      <w:r>
        <w:t>value</w:t>
      </w:r>
      <w:r>
        <w:rPr>
          <w:spacing w:val="-3"/>
        </w:rPr>
        <w:t xml:space="preserve"> </w:t>
      </w:r>
      <w:r>
        <w:t>among</w:t>
      </w:r>
      <w:r>
        <w:rPr>
          <w:spacing w:val="-3"/>
        </w:rPr>
        <w:t xml:space="preserve"> </w:t>
      </w:r>
      <w:r>
        <w:t>consumer</w:t>
      </w:r>
      <w:r>
        <w:rPr>
          <w:spacing w:val="-2"/>
        </w:rPr>
        <w:t xml:space="preserve"> </w:t>
      </w:r>
      <w:r>
        <w:t>non-</w:t>
      </w:r>
      <w:r>
        <w:rPr>
          <w:spacing w:val="-2"/>
        </w:rPr>
        <w:t>cyclicals</w:t>
      </w:r>
    </w:p>
    <w:p w14:paraId="695E359A" w14:textId="77777777" w:rsidR="00ED08FF" w:rsidRDefault="00ED08FF">
      <w:pPr>
        <w:pStyle w:val="BodyText"/>
        <w:sectPr w:rsidR="00ED08FF">
          <w:pgSz w:w="12240" w:h="15840"/>
          <w:pgMar w:top="800" w:right="720" w:bottom="900" w:left="720" w:header="0" w:footer="669" w:gutter="0"/>
          <w:cols w:space="720"/>
        </w:sectPr>
      </w:pPr>
    </w:p>
    <w:p w14:paraId="5E3B482F" w14:textId="77777777" w:rsidR="00ED08FF" w:rsidRDefault="00000000">
      <w:pPr>
        <w:pStyle w:val="BodyText"/>
        <w:spacing w:before="64"/>
      </w:pPr>
      <w:r>
        <w:lastRenderedPageBreak/>
        <w:t>companies</w:t>
      </w:r>
      <w:r>
        <w:rPr>
          <w:spacing w:val="-4"/>
        </w:rPr>
        <w:t xml:space="preserve"> </w:t>
      </w:r>
      <w:r>
        <w:t>listed</w:t>
      </w:r>
      <w:r>
        <w:rPr>
          <w:spacing w:val="-3"/>
        </w:rPr>
        <w:t xml:space="preserve"> </w:t>
      </w:r>
      <w:r>
        <w:t>on</w:t>
      </w:r>
      <w:r>
        <w:rPr>
          <w:spacing w:val="-4"/>
        </w:rPr>
        <w:t xml:space="preserve"> </w:t>
      </w:r>
      <w:r>
        <w:t>the</w:t>
      </w:r>
      <w:r>
        <w:rPr>
          <w:spacing w:val="-3"/>
        </w:rPr>
        <w:t xml:space="preserve"> </w:t>
      </w:r>
      <w:r>
        <w:t>Indonesia</w:t>
      </w:r>
      <w:r>
        <w:rPr>
          <w:spacing w:val="-4"/>
        </w:rPr>
        <w:t xml:space="preserve"> </w:t>
      </w:r>
      <w:r>
        <w:t>Stock</w:t>
      </w:r>
      <w:r>
        <w:rPr>
          <w:spacing w:val="-3"/>
        </w:rPr>
        <w:t xml:space="preserve"> </w:t>
      </w:r>
      <w:r>
        <w:rPr>
          <w:spacing w:val="-2"/>
        </w:rPr>
        <w:t>Exchange.</w:t>
      </w:r>
    </w:p>
    <w:p w14:paraId="234D1ADA" w14:textId="77777777" w:rsidR="00ED08FF" w:rsidRDefault="00ED08FF">
      <w:pPr>
        <w:pStyle w:val="BodyText"/>
        <w:spacing w:before="99"/>
        <w:ind w:left="0"/>
      </w:pPr>
    </w:p>
    <w:p w14:paraId="600BE6A0" w14:textId="77777777" w:rsidR="00ED08FF" w:rsidRDefault="00000000">
      <w:pPr>
        <w:pStyle w:val="Heading2"/>
        <w:numPr>
          <w:ilvl w:val="1"/>
          <w:numId w:val="1"/>
        </w:numPr>
        <w:tabs>
          <w:tab w:val="left" w:pos="415"/>
        </w:tabs>
        <w:spacing w:before="1"/>
        <w:ind w:left="415"/>
      </w:pPr>
      <w:r>
        <w:t>Liquidity</w:t>
      </w:r>
      <w:r>
        <w:rPr>
          <w:spacing w:val="-1"/>
        </w:rPr>
        <w:t xml:space="preserve"> </w:t>
      </w:r>
      <w:r>
        <w:t>and</w:t>
      </w:r>
      <w:r>
        <w:rPr>
          <w:spacing w:val="-2"/>
        </w:rPr>
        <w:t xml:space="preserve"> </w:t>
      </w:r>
      <w:r>
        <w:t xml:space="preserve">Firm </w:t>
      </w:r>
      <w:r>
        <w:rPr>
          <w:spacing w:val="-2"/>
        </w:rPr>
        <w:t>Value</w:t>
      </w:r>
    </w:p>
    <w:p w14:paraId="439B6244" w14:textId="77777777" w:rsidR="00ED08FF" w:rsidRDefault="00000000">
      <w:pPr>
        <w:pStyle w:val="BodyText"/>
        <w:spacing w:before="50" w:line="297" w:lineRule="auto"/>
        <w:ind w:right="2043"/>
      </w:pPr>
      <w:r>
        <w:t>Liquidity refers to the capacity of a company to meet short-term obligations using current assets. The current ratio is calculated</w:t>
      </w:r>
      <w:r>
        <w:rPr>
          <w:spacing w:val="-3"/>
        </w:rPr>
        <w:t xml:space="preserve"> </w:t>
      </w:r>
      <w:r>
        <w:t>by</w:t>
      </w:r>
      <w:r>
        <w:rPr>
          <w:spacing w:val="-3"/>
        </w:rPr>
        <w:t xml:space="preserve"> </w:t>
      </w:r>
      <w:r>
        <w:t>dividing</w:t>
      </w:r>
      <w:r>
        <w:rPr>
          <w:spacing w:val="-3"/>
        </w:rPr>
        <w:t xml:space="preserve"> </w:t>
      </w:r>
      <w:r>
        <w:t>current</w:t>
      </w:r>
      <w:r>
        <w:rPr>
          <w:spacing w:val="-4"/>
        </w:rPr>
        <w:t xml:space="preserve"> </w:t>
      </w:r>
      <w:r>
        <w:t>assets</w:t>
      </w:r>
      <w:r>
        <w:rPr>
          <w:spacing w:val="-4"/>
        </w:rPr>
        <w:t xml:space="preserve"> </w:t>
      </w:r>
      <w:r>
        <w:t>by</w:t>
      </w:r>
      <w:r>
        <w:rPr>
          <w:spacing w:val="-3"/>
        </w:rPr>
        <w:t xml:space="preserve"> </w:t>
      </w:r>
      <w:r>
        <w:t>current</w:t>
      </w:r>
      <w:r>
        <w:rPr>
          <w:spacing w:val="-4"/>
        </w:rPr>
        <w:t xml:space="preserve"> </w:t>
      </w:r>
      <w:r>
        <w:t>liabilities.</w:t>
      </w:r>
      <w:r>
        <w:rPr>
          <w:spacing w:val="-3"/>
        </w:rPr>
        <w:t xml:space="preserve"> </w:t>
      </w:r>
      <w:r>
        <w:t>A</w:t>
      </w:r>
      <w:r>
        <w:rPr>
          <w:spacing w:val="-4"/>
        </w:rPr>
        <w:t xml:space="preserve"> </w:t>
      </w:r>
      <w:r>
        <w:t>ratio</w:t>
      </w:r>
      <w:r>
        <w:rPr>
          <w:spacing w:val="-3"/>
        </w:rPr>
        <w:t xml:space="preserve"> </w:t>
      </w:r>
      <w:r>
        <w:t>above</w:t>
      </w:r>
      <w:r>
        <w:rPr>
          <w:spacing w:val="-4"/>
        </w:rPr>
        <w:t xml:space="preserve"> </w:t>
      </w:r>
      <w:r>
        <w:t>one</w:t>
      </w:r>
      <w:r>
        <w:rPr>
          <w:spacing w:val="-4"/>
        </w:rPr>
        <w:t xml:space="preserve"> </w:t>
      </w:r>
      <w:r>
        <w:t>usually</w:t>
      </w:r>
      <w:r>
        <w:rPr>
          <w:spacing w:val="-3"/>
        </w:rPr>
        <w:t xml:space="preserve"> </w:t>
      </w:r>
      <w:r>
        <w:t>indicates</w:t>
      </w:r>
      <w:r>
        <w:rPr>
          <w:spacing w:val="-4"/>
        </w:rPr>
        <w:t xml:space="preserve"> </w:t>
      </w:r>
      <w:r>
        <w:t>that</w:t>
      </w:r>
      <w:r>
        <w:rPr>
          <w:spacing w:val="-4"/>
        </w:rPr>
        <w:t xml:space="preserve"> </w:t>
      </w:r>
      <w:r>
        <w:t>current</w:t>
      </w:r>
      <w:r>
        <w:rPr>
          <w:spacing w:val="-4"/>
        </w:rPr>
        <w:t xml:space="preserve"> </w:t>
      </w:r>
      <w:r>
        <w:t>assets</w:t>
      </w:r>
      <w:r>
        <w:rPr>
          <w:spacing w:val="-4"/>
        </w:rPr>
        <w:t xml:space="preserve"> </w:t>
      </w:r>
      <w:r>
        <w:t xml:space="preserve">exceed </w:t>
      </w:r>
      <w:r>
        <w:rPr>
          <w:color w:val="000000"/>
          <w:highlight w:val="yellow"/>
        </w:rPr>
        <w:t>current liabilities. From a creditor perspective, this is generally favourable because it suggests that the company has a</w:t>
      </w:r>
      <w:r>
        <w:rPr>
          <w:color w:val="000000"/>
        </w:rPr>
        <w:t xml:space="preserve"> short-term buffer.</w:t>
      </w:r>
    </w:p>
    <w:p w14:paraId="3B1591E3" w14:textId="77777777" w:rsidR="00ED08FF" w:rsidRDefault="00000000">
      <w:pPr>
        <w:pStyle w:val="BodyText"/>
        <w:spacing w:line="297" w:lineRule="auto"/>
        <w:ind w:right="1903"/>
      </w:pPr>
      <w:r>
        <w:t>In equity valuation, however, liquidity can be</w:t>
      </w:r>
      <w:r>
        <w:rPr>
          <w:spacing w:val="-1"/>
        </w:rPr>
        <w:t xml:space="preserve"> </w:t>
      </w:r>
      <w:r>
        <w:t>interpreted in two ways. Adequate</w:t>
      </w:r>
      <w:r>
        <w:rPr>
          <w:spacing w:val="-1"/>
        </w:rPr>
        <w:t xml:space="preserve"> </w:t>
      </w:r>
      <w:r>
        <w:t>liquidity reduces financial</w:t>
      </w:r>
      <w:r>
        <w:rPr>
          <w:spacing w:val="-1"/>
        </w:rPr>
        <w:t xml:space="preserve"> </w:t>
      </w:r>
      <w:r>
        <w:t>distress</w:t>
      </w:r>
      <w:r>
        <w:rPr>
          <w:spacing w:val="-1"/>
        </w:rPr>
        <w:t xml:space="preserve"> </w:t>
      </w:r>
      <w:r>
        <w:t>risk and supports operational continuity. Excessive liquidity may indicate that management is holding too much cash, inventory,</w:t>
      </w:r>
      <w:r>
        <w:rPr>
          <w:spacing w:val="-3"/>
        </w:rPr>
        <w:t xml:space="preserve"> </w:t>
      </w:r>
      <w:r>
        <w:t>or</w:t>
      </w:r>
      <w:r>
        <w:rPr>
          <w:spacing w:val="-3"/>
        </w:rPr>
        <w:t xml:space="preserve"> </w:t>
      </w:r>
      <w:r>
        <w:t>receivables</w:t>
      </w:r>
      <w:r>
        <w:rPr>
          <w:spacing w:val="-4"/>
        </w:rPr>
        <w:t xml:space="preserve"> </w:t>
      </w:r>
      <w:r>
        <w:t>instead</w:t>
      </w:r>
      <w:r>
        <w:rPr>
          <w:spacing w:val="-3"/>
        </w:rPr>
        <w:t xml:space="preserve"> </w:t>
      </w:r>
      <w:r>
        <w:t>of</w:t>
      </w:r>
      <w:r>
        <w:rPr>
          <w:spacing w:val="-3"/>
        </w:rPr>
        <w:t xml:space="preserve"> </w:t>
      </w:r>
      <w:r>
        <w:t>investing</w:t>
      </w:r>
      <w:r>
        <w:rPr>
          <w:spacing w:val="-3"/>
        </w:rPr>
        <w:t xml:space="preserve"> </w:t>
      </w:r>
      <w:r>
        <w:t>in</w:t>
      </w:r>
      <w:r>
        <w:rPr>
          <w:spacing w:val="-3"/>
        </w:rPr>
        <w:t xml:space="preserve"> </w:t>
      </w:r>
      <w:r>
        <w:t>productive</w:t>
      </w:r>
      <w:r>
        <w:rPr>
          <w:spacing w:val="-4"/>
        </w:rPr>
        <w:t xml:space="preserve"> </w:t>
      </w:r>
      <w:r>
        <w:t>assets.</w:t>
      </w:r>
      <w:r>
        <w:rPr>
          <w:spacing w:val="-3"/>
        </w:rPr>
        <w:t xml:space="preserve"> </w:t>
      </w:r>
      <w:r>
        <w:t>If</w:t>
      </w:r>
      <w:r>
        <w:rPr>
          <w:spacing w:val="-3"/>
        </w:rPr>
        <w:t xml:space="preserve"> </w:t>
      </w:r>
      <w:r>
        <w:t>liquid</w:t>
      </w:r>
      <w:r>
        <w:rPr>
          <w:spacing w:val="-3"/>
        </w:rPr>
        <w:t xml:space="preserve"> </w:t>
      </w:r>
      <w:r>
        <w:t>resources</w:t>
      </w:r>
      <w:r>
        <w:rPr>
          <w:spacing w:val="-4"/>
        </w:rPr>
        <w:t xml:space="preserve"> </w:t>
      </w:r>
      <w:r>
        <w:t>do</w:t>
      </w:r>
      <w:r>
        <w:rPr>
          <w:spacing w:val="-3"/>
        </w:rPr>
        <w:t xml:space="preserve"> </w:t>
      </w:r>
      <w:r>
        <w:t>not</w:t>
      </w:r>
      <w:r>
        <w:rPr>
          <w:spacing w:val="-4"/>
        </w:rPr>
        <w:t xml:space="preserve"> </w:t>
      </w:r>
      <w:r>
        <w:t>translate</w:t>
      </w:r>
      <w:r>
        <w:rPr>
          <w:spacing w:val="-4"/>
        </w:rPr>
        <w:t xml:space="preserve"> </w:t>
      </w:r>
      <w:r>
        <w:t>into</w:t>
      </w:r>
      <w:r>
        <w:rPr>
          <w:spacing w:val="-3"/>
        </w:rPr>
        <w:t xml:space="preserve"> </w:t>
      </w:r>
      <w:r>
        <w:t>higher</w:t>
      </w:r>
      <w:r>
        <w:rPr>
          <w:spacing w:val="-3"/>
        </w:rPr>
        <w:t xml:space="preserve"> </w:t>
      </w:r>
      <w:r>
        <w:t>sales</w:t>
      </w:r>
      <w:r>
        <w:rPr>
          <w:spacing w:val="-4"/>
        </w:rPr>
        <w:t xml:space="preserve"> </w:t>
      </w:r>
      <w:r>
        <w:t>or profit, investors may not reward liquidity with higher PBV.</w:t>
      </w:r>
    </w:p>
    <w:p w14:paraId="458A7A5F" w14:textId="77777777" w:rsidR="00ED08FF" w:rsidRDefault="00000000">
      <w:pPr>
        <w:pStyle w:val="BodyText"/>
        <w:spacing w:line="297" w:lineRule="auto"/>
        <w:ind w:right="1671"/>
      </w:pPr>
      <w:r>
        <w:t>This ambiguity is relevant to consumer non-cyclicals companies because working capital management is central to their operations.</w:t>
      </w:r>
      <w:r>
        <w:rPr>
          <w:spacing w:val="-3"/>
        </w:rPr>
        <w:t xml:space="preserve"> </w:t>
      </w:r>
      <w:r>
        <w:t>Retailers</w:t>
      </w:r>
      <w:r>
        <w:rPr>
          <w:spacing w:val="-4"/>
        </w:rPr>
        <w:t xml:space="preserve"> </w:t>
      </w:r>
      <w:r>
        <w:t>and</w:t>
      </w:r>
      <w:r>
        <w:rPr>
          <w:spacing w:val="-3"/>
        </w:rPr>
        <w:t xml:space="preserve"> </w:t>
      </w:r>
      <w:r>
        <w:t>food</w:t>
      </w:r>
      <w:r>
        <w:rPr>
          <w:spacing w:val="-3"/>
        </w:rPr>
        <w:t xml:space="preserve"> </w:t>
      </w:r>
      <w:r>
        <w:t>producers</w:t>
      </w:r>
      <w:r>
        <w:rPr>
          <w:spacing w:val="-4"/>
        </w:rPr>
        <w:t xml:space="preserve"> </w:t>
      </w:r>
      <w:r>
        <w:t>must</w:t>
      </w:r>
      <w:r>
        <w:rPr>
          <w:spacing w:val="-4"/>
        </w:rPr>
        <w:t xml:space="preserve"> </w:t>
      </w:r>
      <w:r>
        <w:t>manage</w:t>
      </w:r>
      <w:r>
        <w:rPr>
          <w:spacing w:val="-4"/>
        </w:rPr>
        <w:t xml:space="preserve"> </w:t>
      </w:r>
      <w:r>
        <w:t>inventory,</w:t>
      </w:r>
      <w:r>
        <w:rPr>
          <w:spacing w:val="-3"/>
        </w:rPr>
        <w:t xml:space="preserve"> </w:t>
      </w:r>
      <w:r>
        <w:t>receivables,</w:t>
      </w:r>
      <w:r>
        <w:rPr>
          <w:spacing w:val="-3"/>
        </w:rPr>
        <w:t xml:space="preserve"> </w:t>
      </w:r>
      <w:r>
        <w:t>and</w:t>
      </w:r>
      <w:r>
        <w:rPr>
          <w:spacing w:val="-3"/>
        </w:rPr>
        <w:t xml:space="preserve"> </w:t>
      </w:r>
      <w:r>
        <w:t>payables</w:t>
      </w:r>
      <w:r>
        <w:rPr>
          <w:spacing w:val="-4"/>
        </w:rPr>
        <w:t xml:space="preserve"> </w:t>
      </w:r>
      <w:r>
        <w:t>carefully.</w:t>
      </w:r>
      <w:r>
        <w:rPr>
          <w:spacing w:val="-3"/>
        </w:rPr>
        <w:t xml:space="preserve"> </w:t>
      </w:r>
      <w:r>
        <w:t>A</w:t>
      </w:r>
      <w:r>
        <w:rPr>
          <w:spacing w:val="-4"/>
        </w:rPr>
        <w:t xml:space="preserve"> </w:t>
      </w:r>
      <w:r>
        <w:t>high</w:t>
      </w:r>
      <w:r>
        <w:rPr>
          <w:spacing w:val="-3"/>
        </w:rPr>
        <w:t xml:space="preserve"> </w:t>
      </w:r>
      <w:r>
        <w:t>current</w:t>
      </w:r>
      <w:r>
        <w:rPr>
          <w:spacing w:val="-4"/>
        </w:rPr>
        <w:t xml:space="preserve"> </w:t>
      </w:r>
      <w:r>
        <w:t>ratio may look safe, but</w:t>
      </w:r>
      <w:r>
        <w:rPr>
          <w:spacing w:val="-1"/>
        </w:rPr>
        <w:t xml:space="preserve"> </w:t>
      </w:r>
      <w:r>
        <w:t>it</w:t>
      </w:r>
      <w:r>
        <w:rPr>
          <w:spacing w:val="-1"/>
        </w:rPr>
        <w:t xml:space="preserve"> </w:t>
      </w:r>
      <w:r>
        <w:t>can also reflect</w:t>
      </w:r>
      <w:r>
        <w:rPr>
          <w:spacing w:val="-1"/>
        </w:rPr>
        <w:t xml:space="preserve"> </w:t>
      </w:r>
      <w:r>
        <w:t>slow-moving inventory or weak working capital</w:t>
      </w:r>
      <w:r>
        <w:rPr>
          <w:spacing w:val="-1"/>
        </w:rPr>
        <w:t xml:space="preserve"> </w:t>
      </w:r>
      <w:r>
        <w:t>turnover. Consequently, liquidity is expected to affect firm value, but the sign must be tested empirically.</w:t>
      </w:r>
    </w:p>
    <w:p w14:paraId="6C855E3C" w14:textId="77777777" w:rsidR="00ED08FF" w:rsidRDefault="00000000">
      <w:pPr>
        <w:pStyle w:val="BodyText"/>
        <w:spacing w:before="2" w:line="297" w:lineRule="auto"/>
        <w:ind w:right="1903"/>
      </w:pPr>
      <w:r>
        <w:t>The</w:t>
      </w:r>
      <w:r>
        <w:rPr>
          <w:spacing w:val="-4"/>
        </w:rPr>
        <w:t xml:space="preserve"> </w:t>
      </w:r>
      <w:r>
        <w:t>fourth</w:t>
      </w:r>
      <w:r>
        <w:rPr>
          <w:spacing w:val="-3"/>
        </w:rPr>
        <w:t xml:space="preserve"> </w:t>
      </w:r>
      <w:r>
        <w:t>hypothesis</w:t>
      </w:r>
      <w:r>
        <w:rPr>
          <w:spacing w:val="-4"/>
        </w:rPr>
        <w:t xml:space="preserve"> </w:t>
      </w:r>
      <w:r>
        <w:t>is</w:t>
      </w:r>
      <w:r>
        <w:rPr>
          <w:spacing w:val="-4"/>
        </w:rPr>
        <w:t xml:space="preserve"> </w:t>
      </w:r>
      <w:r>
        <w:t>stated</w:t>
      </w:r>
      <w:r>
        <w:rPr>
          <w:spacing w:val="-3"/>
        </w:rPr>
        <w:t xml:space="preserve"> </w:t>
      </w:r>
      <w:r>
        <w:t>as</w:t>
      </w:r>
      <w:r>
        <w:rPr>
          <w:spacing w:val="-4"/>
        </w:rPr>
        <w:t xml:space="preserve"> </w:t>
      </w:r>
      <w:r>
        <w:t>follows:</w:t>
      </w:r>
      <w:r>
        <w:rPr>
          <w:spacing w:val="-4"/>
        </w:rPr>
        <w:t xml:space="preserve"> </w:t>
      </w:r>
      <w:r>
        <w:t>H4:</w:t>
      </w:r>
      <w:r>
        <w:rPr>
          <w:spacing w:val="-4"/>
        </w:rPr>
        <w:t xml:space="preserve"> </w:t>
      </w:r>
      <w:r>
        <w:t>Liquidity</w:t>
      </w:r>
      <w:r>
        <w:rPr>
          <w:spacing w:val="-3"/>
        </w:rPr>
        <w:t xml:space="preserve"> </w:t>
      </w:r>
      <w:r>
        <w:t>has</w:t>
      </w:r>
      <w:r>
        <w:rPr>
          <w:spacing w:val="-4"/>
        </w:rPr>
        <w:t xml:space="preserve"> </w:t>
      </w:r>
      <w:r>
        <w:t>an</w:t>
      </w:r>
      <w:r>
        <w:rPr>
          <w:spacing w:val="-3"/>
        </w:rPr>
        <w:t xml:space="preserve"> </w:t>
      </w:r>
      <w:r>
        <w:t>effect</w:t>
      </w:r>
      <w:r>
        <w:rPr>
          <w:spacing w:val="-3"/>
        </w:rPr>
        <w:t xml:space="preserve"> </w:t>
      </w:r>
      <w:r>
        <w:t>on</w:t>
      </w:r>
      <w:r>
        <w:rPr>
          <w:spacing w:val="-3"/>
        </w:rPr>
        <w:t xml:space="preserve"> </w:t>
      </w:r>
      <w:r>
        <w:t>firm</w:t>
      </w:r>
      <w:r>
        <w:rPr>
          <w:spacing w:val="-4"/>
        </w:rPr>
        <w:t xml:space="preserve"> </w:t>
      </w:r>
      <w:r>
        <w:t>value</w:t>
      </w:r>
      <w:r>
        <w:rPr>
          <w:spacing w:val="-4"/>
        </w:rPr>
        <w:t xml:space="preserve"> </w:t>
      </w:r>
      <w:r>
        <w:t>among</w:t>
      </w:r>
      <w:r>
        <w:rPr>
          <w:spacing w:val="-3"/>
        </w:rPr>
        <w:t xml:space="preserve"> </w:t>
      </w:r>
      <w:r>
        <w:t>consumer</w:t>
      </w:r>
      <w:r>
        <w:rPr>
          <w:spacing w:val="-3"/>
        </w:rPr>
        <w:t xml:space="preserve"> </w:t>
      </w:r>
      <w:r>
        <w:t>non-cyclicals companies listed on the Indonesia Stock Exchange.</w:t>
      </w:r>
    </w:p>
    <w:p w14:paraId="537D07D3" w14:textId="77777777" w:rsidR="00ED08FF" w:rsidRDefault="00ED08FF">
      <w:pPr>
        <w:pStyle w:val="BodyText"/>
        <w:spacing w:before="50"/>
        <w:ind w:left="0"/>
      </w:pPr>
    </w:p>
    <w:p w14:paraId="7EA2165F" w14:textId="77777777" w:rsidR="00ED08FF" w:rsidRDefault="00000000">
      <w:pPr>
        <w:pStyle w:val="Heading2"/>
        <w:numPr>
          <w:ilvl w:val="1"/>
          <w:numId w:val="1"/>
        </w:numPr>
        <w:tabs>
          <w:tab w:val="left" w:pos="415"/>
        </w:tabs>
        <w:spacing w:before="1"/>
        <w:ind w:left="415"/>
      </w:pPr>
      <w:r>
        <w:t>Previous</w:t>
      </w:r>
      <w:r>
        <w:rPr>
          <w:spacing w:val="-8"/>
        </w:rPr>
        <w:t xml:space="preserve"> </w:t>
      </w:r>
      <w:r>
        <w:t>Empirical</w:t>
      </w:r>
      <w:r>
        <w:rPr>
          <w:spacing w:val="-8"/>
        </w:rPr>
        <w:t xml:space="preserve"> </w:t>
      </w:r>
      <w:r>
        <w:rPr>
          <w:spacing w:val="-2"/>
        </w:rPr>
        <w:t>Findings</w:t>
      </w:r>
    </w:p>
    <w:p w14:paraId="2B4129DB" w14:textId="77777777" w:rsidR="00ED08FF" w:rsidRDefault="00000000">
      <w:pPr>
        <w:pStyle w:val="BodyText"/>
        <w:spacing w:before="50" w:line="297" w:lineRule="auto"/>
        <w:ind w:right="2542"/>
      </w:pPr>
      <w:r>
        <w:t>Prior</w:t>
      </w:r>
      <w:r>
        <w:rPr>
          <w:spacing w:val="-3"/>
        </w:rPr>
        <w:t xml:space="preserve"> </w:t>
      </w:r>
      <w:r>
        <w:t>empirical</w:t>
      </w:r>
      <w:r>
        <w:rPr>
          <w:spacing w:val="-4"/>
        </w:rPr>
        <w:t xml:space="preserve"> </w:t>
      </w:r>
      <w:r>
        <w:t>studies</w:t>
      </w:r>
      <w:r>
        <w:rPr>
          <w:spacing w:val="-4"/>
        </w:rPr>
        <w:t xml:space="preserve"> </w:t>
      </w:r>
      <w:r>
        <w:t>in</w:t>
      </w:r>
      <w:r>
        <w:rPr>
          <w:spacing w:val="-3"/>
        </w:rPr>
        <w:t xml:space="preserve"> </w:t>
      </w:r>
      <w:r>
        <w:t>accounting</w:t>
      </w:r>
      <w:r>
        <w:rPr>
          <w:spacing w:val="-3"/>
        </w:rPr>
        <w:t xml:space="preserve"> </w:t>
      </w:r>
      <w:r>
        <w:t>and</w:t>
      </w:r>
      <w:r>
        <w:rPr>
          <w:spacing w:val="-3"/>
        </w:rPr>
        <w:t xml:space="preserve"> </w:t>
      </w:r>
      <w:r>
        <w:t>corporate</w:t>
      </w:r>
      <w:r>
        <w:rPr>
          <w:spacing w:val="-4"/>
        </w:rPr>
        <w:t xml:space="preserve"> </w:t>
      </w:r>
      <w:r>
        <w:t>finance</w:t>
      </w:r>
      <w:r>
        <w:rPr>
          <w:spacing w:val="-4"/>
        </w:rPr>
        <w:t xml:space="preserve"> </w:t>
      </w:r>
      <w:r>
        <w:t>commonly</w:t>
      </w:r>
      <w:r>
        <w:rPr>
          <w:spacing w:val="-3"/>
        </w:rPr>
        <w:t xml:space="preserve"> </w:t>
      </w:r>
      <w:r>
        <w:t>report</w:t>
      </w:r>
      <w:r>
        <w:rPr>
          <w:spacing w:val="-4"/>
        </w:rPr>
        <w:t xml:space="preserve"> </w:t>
      </w:r>
      <w:r>
        <w:t>that</w:t>
      </w:r>
      <w:r>
        <w:rPr>
          <w:spacing w:val="-4"/>
        </w:rPr>
        <w:t xml:space="preserve"> </w:t>
      </w:r>
      <w:r>
        <w:t>profitability</w:t>
      </w:r>
      <w:r>
        <w:rPr>
          <w:spacing w:val="-3"/>
        </w:rPr>
        <w:t xml:space="preserve"> </w:t>
      </w:r>
      <w:r>
        <w:t>is</w:t>
      </w:r>
      <w:r>
        <w:rPr>
          <w:spacing w:val="-4"/>
        </w:rPr>
        <w:t xml:space="preserve"> </w:t>
      </w:r>
      <w:r>
        <w:t>one</w:t>
      </w:r>
      <w:r>
        <w:rPr>
          <w:spacing w:val="-4"/>
        </w:rPr>
        <w:t xml:space="preserve"> </w:t>
      </w:r>
      <w:r>
        <w:t>of</w:t>
      </w:r>
      <w:r>
        <w:rPr>
          <w:spacing w:val="-3"/>
        </w:rPr>
        <w:t xml:space="preserve"> </w:t>
      </w:r>
      <w:r>
        <w:t>the</w:t>
      </w:r>
      <w:r>
        <w:rPr>
          <w:spacing w:val="-4"/>
        </w:rPr>
        <w:t xml:space="preserve"> </w:t>
      </w:r>
      <w:r>
        <w:t xml:space="preserve">most </w:t>
      </w:r>
      <w:r>
        <w:rPr>
          <w:color w:val="000000"/>
          <w:highlight w:val="yellow"/>
        </w:rPr>
        <w:t>This pattern is theoretically plausible.</w:t>
      </w:r>
    </w:p>
    <w:p w14:paraId="7DEF8D66" w14:textId="77777777" w:rsidR="00ED08FF" w:rsidRDefault="00000000">
      <w:pPr>
        <w:pStyle w:val="BodyText"/>
        <w:spacing w:before="0" w:line="297" w:lineRule="auto"/>
        <w:ind w:right="1873"/>
      </w:pPr>
      <w:r>
        <w:rPr>
          <w:color w:val="000000"/>
          <w:highlight w:val="yellow"/>
        </w:rPr>
        <w:t>business model, cost structure, and asset utilisation. When profitability improves, investors have stronger grounds to</w:t>
      </w:r>
      <w:r>
        <w:rPr>
          <w:color w:val="000000"/>
        </w:rPr>
        <w:t xml:space="preserve"> expect</w:t>
      </w:r>
      <w:r>
        <w:rPr>
          <w:color w:val="000000"/>
          <w:spacing w:val="-5"/>
        </w:rPr>
        <w:t xml:space="preserve"> </w:t>
      </w:r>
      <w:r>
        <w:rPr>
          <w:color w:val="000000"/>
        </w:rPr>
        <w:t>future</w:t>
      </w:r>
      <w:r>
        <w:rPr>
          <w:color w:val="000000"/>
          <w:spacing w:val="-5"/>
        </w:rPr>
        <w:t xml:space="preserve"> </w:t>
      </w:r>
      <w:r>
        <w:rPr>
          <w:color w:val="000000"/>
        </w:rPr>
        <w:t>dividends,</w:t>
      </w:r>
      <w:r>
        <w:rPr>
          <w:color w:val="000000"/>
          <w:spacing w:val="-4"/>
        </w:rPr>
        <w:t xml:space="preserve"> </w:t>
      </w:r>
      <w:r>
        <w:rPr>
          <w:color w:val="000000"/>
        </w:rPr>
        <w:t>retained</w:t>
      </w:r>
      <w:r>
        <w:rPr>
          <w:color w:val="000000"/>
          <w:spacing w:val="-4"/>
        </w:rPr>
        <w:t xml:space="preserve"> </w:t>
      </w:r>
      <w:r>
        <w:rPr>
          <w:color w:val="000000"/>
        </w:rPr>
        <w:t>earnings,</w:t>
      </w:r>
      <w:r>
        <w:rPr>
          <w:color w:val="000000"/>
          <w:spacing w:val="-4"/>
        </w:rPr>
        <w:t xml:space="preserve"> </w:t>
      </w:r>
      <w:r>
        <w:rPr>
          <w:color w:val="000000"/>
        </w:rPr>
        <w:t>and</w:t>
      </w:r>
      <w:r>
        <w:rPr>
          <w:color w:val="000000"/>
          <w:spacing w:val="-4"/>
        </w:rPr>
        <w:t xml:space="preserve"> </w:t>
      </w:r>
      <w:r>
        <w:rPr>
          <w:color w:val="000000"/>
        </w:rPr>
        <w:t>reinvestment</w:t>
      </w:r>
      <w:r>
        <w:rPr>
          <w:color w:val="000000"/>
          <w:spacing w:val="-5"/>
        </w:rPr>
        <w:t xml:space="preserve"> </w:t>
      </w:r>
      <w:r>
        <w:rPr>
          <w:color w:val="000000"/>
        </w:rPr>
        <w:t>capacity.</w:t>
      </w:r>
      <w:r>
        <w:rPr>
          <w:color w:val="000000"/>
          <w:spacing w:val="-4"/>
        </w:rPr>
        <w:t xml:space="preserve"> </w:t>
      </w:r>
      <w:r>
        <w:rPr>
          <w:color w:val="000000"/>
        </w:rPr>
        <w:t>In</w:t>
      </w:r>
      <w:r>
        <w:rPr>
          <w:color w:val="000000"/>
          <w:spacing w:val="-4"/>
        </w:rPr>
        <w:t xml:space="preserve"> </w:t>
      </w:r>
      <w:r>
        <w:rPr>
          <w:color w:val="000000"/>
        </w:rPr>
        <w:t>valuation</w:t>
      </w:r>
      <w:r>
        <w:rPr>
          <w:color w:val="000000"/>
          <w:spacing w:val="-4"/>
        </w:rPr>
        <w:t xml:space="preserve"> </w:t>
      </w:r>
      <w:r>
        <w:rPr>
          <w:color w:val="000000"/>
        </w:rPr>
        <w:t>terms,</w:t>
      </w:r>
      <w:r>
        <w:rPr>
          <w:color w:val="000000"/>
          <w:spacing w:val="-4"/>
        </w:rPr>
        <w:t xml:space="preserve"> </w:t>
      </w:r>
      <w:r>
        <w:rPr>
          <w:color w:val="000000"/>
        </w:rPr>
        <w:t>profitability</w:t>
      </w:r>
      <w:r>
        <w:rPr>
          <w:color w:val="000000"/>
          <w:spacing w:val="-4"/>
        </w:rPr>
        <w:t xml:space="preserve"> </w:t>
      </w:r>
      <w:r>
        <w:rPr>
          <w:color w:val="000000"/>
        </w:rPr>
        <w:t>reduces</w:t>
      </w:r>
      <w:r>
        <w:rPr>
          <w:color w:val="000000"/>
          <w:spacing w:val="-5"/>
        </w:rPr>
        <w:t xml:space="preserve"> </w:t>
      </w:r>
      <w:r>
        <w:rPr>
          <w:color w:val="000000"/>
        </w:rPr>
        <w:t>uncertainty about the company's ability to generate future economic benefits.</w:t>
      </w:r>
    </w:p>
    <w:p w14:paraId="6A106FE6" w14:textId="77777777" w:rsidR="00ED08FF" w:rsidRDefault="00000000">
      <w:pPr>
        <w:pStyle w:val="BodyText"/>
      </w:pPr>
      <w:r>
        <w:t>Studies</w:t>
      </w:r>
      <w:r>
        <w:rPr>
          <w:spacing w:val="-7"/>
        </w:rPr>
        <w:t xml:space="preserve"> </w:t>
      </w:r>
      <w:r>
        <w:t>on</w:t>
      </w:r>
      <w:r>
        <w:rPr>
          <w:spacing w:val="-4"/>
        </w:rPr>
        <w:t xml:space="preserve"> </w:t>
      </w:r>
      <w:r>
        <w:t>leverage</w:t>
      </w:r>
      <w:r>
        <w:rPr>
          <w:spacing w:val="-4"/>
        </w:rPr>
        <w:t xml:space="preserve"> </w:t>
      </w:r>
      <w:r>
        <w:t>produce</w:t>
      </w:r>
      <w:r>
        <w:rPr>
          <w:spacing w:val="-5"/>
        </w:rPr>
        <w:t xml:space="preserve"> </w:t>
      </w:r>
      <w:r>
        <w:t>more</w:t>
      </w:r>
      <w:r>
        <w:rPr>
          <w:spacing w:val="-5"/>
        </w:rPr>
        <w:t xml:space="preserve"> </w:t>
      </w:r>
      <w:r>
        <w:t>mixed</w:t>
      </w:r>
      <w:r>
        <w:rPr>
          <w:spacing w:val="-3"/>
        </w:rPr>
        <w:t xml:space="preserve"> </w:t>
      </w:r>
      <w:r>
        <w:t>results.</w:t>
      </w:r>
      <w:r>
        <w:rPr>
          <w:spacing w:val="-4"/>
        </w:rPr>
        <w:t xml:space="preserve"> </w:t>
      </w:r>
      <w:r>
        <w:t>Some</w:t>
      </w:r>
      <w:r>
        <w:rPr>
          <w:spacing w:val="-5"/>
        </w:rPr>
        <w:t xml:space="preserve"> </w:t>
      </w:r>
      <w:r>
        <w:t>research</w:t>
      </w:r>
      <w:r>
        <w:rPr>
          <w:spacing w:val="-4"/>
        </w:rPr>
        <w:t xml:space="preserve"> </w:t>
      </w:r>
      <w:r>
        <w:t>finds</w:t>
      </w:r>
      <w:r>
        <w:rPr>
          <w:spacing w:val="-4"/>
        </w:rPr>
        <w:t xml:space="preserve"> </w:t>
      </w:r>
      <w:r>
        <w:t>a</w:t>
      </w:r>
      <w:r>
        <w:rPr>
          <w:spacing w:val="-5"/>
        </w:rPr>
        <w:t xml:space="preserve"> </w:t>
      </w:r>
      <w:r>
        <w:t>positive</w:t>
      </w:r>
      <w:r>
        <w:rPr>
          <w:spacing w:val="-4"/>
        </w:rPr>
        <w:t xml:space="preserve"> </w:t>
      </w:r>
      <w:r>
        <w:t>relationship</w:t>
      </w:r>
      <w:r>
        <w:rPr>
          <w:spacing w:val="-4"/>
        </w:rPr>
        <w:t xml:space="preserve"> </w:t>
      </w:r>
      <w:r>
        <w:t>between</w:t>
      </w:r>
      <w:r>
        <w:rPr>
          <w:spacing w:val="-4"/>
        </w:rPr>
        <w:t xml:space="preserve"> </w:t>
      </w:r>
      <w:r>
        <w:t>leverage</w:t>
      </w:r>
      <w:r>
        <w:rPr>
          <w:spacing w:val="-4"/>
        </w:rPr>
        <w:t xml:space="preserve"> </w:t>
      </w:r>
      <w:r>
        <w:rPr>
          <w:spacing w:val="-5"/>
        </w:rPr>
        <w:t>and</w:t>
      </w:r>
    </w:p>
    <w:p w14:paraId="13A1AF7C" w14:textId="77777777" w:rsidR="00ED08FF" w:rsidRDefault="00000000">
      <w:pPr>
        <w:pStyle w:val="BodyText"/>
        <w:spacing w:before="50" w:line="297" w:lineRule="auto"/>
        <w:ind w:right="1903"/>
      </w:pPr>
      <w:r>
        <w:t>firm</w:t>
      </w:r>
      <w:r>
        <w:rPr>
          <w:spacing w:val="-4"/>
        </w:rPr>
        <w:t xml:space="preserve"> </w:t>
      </w:r>
      <w:r>
        <w:t>value</w:t>
      </w:r>
      <w:r>
        <w:rPr>
          <w:spacing w:val="-4"/>
        </w:rPr>
        <w:t xml:space="preserve"> </w:t>
      </w:r>
      <w:r>
        <w:t>because</w:t>
      </w:r>
      <w:r>
        <w:rPr>
          <w:spacing w:val="-4"/>
        </w:rPr>
        <w:t xml:space="preserve"> </w:t>
      </w:r>
      <w:r>
        <w:t>debt</w:t>
      </w:r>
      <w:r>
        <w:rPr>
          <w:spacing w:val="-4"/>
        </w:rPr>
        <w:t xml:space="preserve"> </w:t>
      </w:r>
      <w:r>
        <w:t>can</w:t>
      </w:r>
      <w:r>
        <w:rPr>
          <w:spacing w:val="-3"/>
        </w:rPr>
        <w:t xml:space="preserve"> </w:t>
      </w:r>
      <w:r>
        <w:t>create</w:t>
      </w:r>
      <w:r>
        <w:rPr>
          <w:spacing w:val="-4"/>
        </w:rPr>
        <w:t xml:space="preserve"> </w:t>
      </w:r>
      <w:r>
        <w:t>tax</w:t>
      </w:r>
      <w:r>
        <w:rPr>
          <w:spacing w:val="-3"/>
        </w:rPr>
        <w:t xml:space="preserve"> </w:t>
      </w:r>
      <w:r>
        <w:t>benefits</w:t>
      </w:r>
      <w:r>
        <w:rPr>
          <w:spacing w:val="-4"/>
        </w:rPr>
        <w:t xml:space="preserve"> </w:t>
      </w:r>
      <w:r>
        <w:t>and</w:t>
      </w:r>
      <w:r>
        <w:rPr>
          <w:spacing w:val="-3"/>
        </w:rPr>
        <w:t xml:space="preserve"> </w:t>
      </w:r>
      <w:r>
        <w:t>pressure</w:t>
      </w:r>
      <w:r>
        <w:rPr>
          <w:spacing w:val="-4"/>
        </w:rPr>
        <w:t xml:space="preserve"> </w:t>
      </w:r>
      <w:r>
        <w:t>management</w:t>
      </w:r>
      <w:r>
        <w:rPr>
          <w:spacing w:val="-4"/>
        </w:rPr>
        <w:t xml:space="preserve"> </w:t>
      </w:r>
      <w:r>
        <w:t>to</w:t>
      </w:r>
      <w:r>
        <w:rPr>
          <w:spacing w:val="-3"/>
        </w:rPr>
        <w:t xml:space="preserve"> </w:t>
      </w:r>
      <w:r>
        <w:t>use</w:t>
      </w:r>
      <w:r>
        <w:rPr>
          <w:spacing w:val="-4"/>
        </w:rPr>
        <w:t xml:space="preserve"> </w:t>
      </w:r>
      <w:r>
        <w:t>capital</w:t>
      </w:r>
      <w:r>
        <w:rPr>
          <w:spacing w:val="-4"/>
        </w:rPr>
        <w:t xml:space="preserve"> </w:t>
      </w:r>
      <w:r>
        <w:t>more</w:t>
      </w:r>
      <w:r>
        <w:rPr>
          <w:spacing w:val="-4"/>
        </w:rPr>
        <w:t xml:space="preserve"> </w:t>
      </w:r>
      <w:r>
        <w:t>efficiently.</w:t>
      </w:r>
      <w:r>
        <w:rPr>
          <w:spacing w:val="-3"/>
        </w:rPr>
        <w:t xml:space="preserve"> </w:t>
      </w:r>
      <w:r>
        <w:t>Other</w:t>
      </w:r>
      <w:r>
        <w:rPr>
          <w:spacing w:val="-3"/>
        </w:rPr>
        <w:t xml:space="preserve"> </w:t>
      </w:r>
      <w:r>
        <w:t>research finds a negative relationship because debt increases financial distress risk and reduces flexibility. The mixed findings</w:t>
      </w:r>
    </w:p>
    <w:p w14:paraId="3CD5F539" w14:textId="77777777" w:rsidR="00ED08FF" w:rsidRDefault="00ED08FF">
      <w:pPr>
        <w:pStyle w:val="BodyText"/>
        <w:spacing w:before="51"/>
        <w:ind w:left="0"/>
      </w:pPr>
    </w:p>
    <w:p w14:paraId="772D68FD" w14:textId="77777777" w:rsidR="00ED08FF" w:rsidRDefault="00000000">
      <w:pPr>
        <w:pStyle w:val="BodyText"/>
        <w:spacing w:before="0" w:line="297" w:lineRule="auto"/>
        <w:ind w:right="1903"/>
      </w:pPr>
      <w:r>
        <w:t>suggest</w:t>
      </w:r>
      <w:r>
        <w:rPr>
          <w:spacing w:val="-3"/>
        </w:rPr>
        <w:t xml:space="preserve"> </w:t>
      </w:r>
      <w:r>
        <w:t>that</w:t>
      </w:r>
      <w:r>
        <w:rPr>
          <w:spacing w:val="-4"/>
        </w:rPr>
        <w:t xml:space="preserve"> </w:t>
      </w:r>
      <w:r>
        <w:t>leverage</w:t>
      </w:r>
      <w:r>
        <w:rPr>
          <w:spacing w:val="-4"/>
        </w:rPr>
        <w:t xml:space="preserve"> </w:t>
      </w:r>
      <w:r>
        <w:t>is</w:t>
      </w:r>
      <w:r>
        <w:rPr>
          <w:spacing w:val="-4"/>
        </w:rPr>
        <w:t xml:space="preserve"> </w:t>
      </w:r>
      <w:r>
        <w:t>highly</w:t>
      </w:r>
      <w:r>
        <w:rPr>
          <w:spacing w:val="-3"/>
        </w:rPr>
        <w:t xml:space="preserve"> </w:t>
      </w:r>
      <w:r>
        <w:t>contextual.</w:t>
      </w:r>
      <w:r>
        <w:rPr>
          <w:spacing w:val="-3"/>
        </w:rPr>
        <w:t xml:space="preserve"> </w:t>
      </w:r>
      <w:r>
        <w:t>The</w:t>
      </w:r>
      <w:r>
        <w:rPr>
          <w:spacing w:val="-4"/>
        </w:rPr>
        <w:t xml:space="preserve"> </w:t>
      </w:r>
      <w:r>
        <w:t>same</w:t>
      </w:r>
      <w:r>
        <w:rPr>
          <w:spacing w:val="-4"/>
        </w:rPr>
        <w:t xml:space="preserve"> </w:t>
      </w:r>
      <w:r>
        <w:t>DER</w:t>
      </w:r>
      <w:r>
        <w:rPr>
          <w:spacing w:val="-4"/>
        </w:rPr>
        <w:t xml:space="preserve"> </w:t>
      </w:r>
      <w:r>
        <w:t>can</w:t>
      </w:r>
      <w:r>
        <w:rPr>
          <w:spacing w:val="-3"/>
        </w:rPr>
        <w:t xml:space="preserve"> </w:t>
      </w:r>
      <w:r>
        <w:t>be</w:t>
      </w:r>
      <w:r>
        <w:rPr>
          <w:spacing w:val="-4"/>
        </w:rPr>
        <w:t xml:space="preserve"> </w:t>
      </w:r>
      <w:r>
        <w:t>viewed</w:t>
      </w:r>
      <w:r>
        <w:rPr>
          <w:spacing w:val="-3"/>
        </w:rPr>
        <w:t xml:space="preserve"> </w:t>
      </w:r>
      <w:r>
        <w:t>differently</w:t>
      </w:r>
      <w:r>
        <w:rPr>
          <w:spacing w:val="-3"/>
        </w:rPr>
        <w:t xml:space="preserve"> </w:t>
      </w:r>
      <w:r>
        <w:t>depending</w:t>
      </w:r>
      <w:r>
        <w:rPr>
          <w:spacing w:val="-3"/>
        </w:rPr>
        <w:t xml:space="preserve"> </w:t>
      </w:r>
      <w:r>
        <w:t>on</w:t>
      </w:r>
      <w:r>
        <w:rPr>
          <w:spacing w:val="-3"/>
        </w:rPr>
        <w:t xml:space="preserve"> </w:t>
      </w:r>
      <w:r>
        <w:t>cash-flow</w:t>
      </w:r>
      <w:r>
        <w:rPr>
          <w:spacing w:val="-4"/>
        </w:rPr>
        <w:t xml:space="preserve"> </w:t>
      </w:r>
      <w:r>
        <w:t>stability, interest coverage, growth opportunity, and sector characteristics.</w:t>
      </w:r>
    </w:p>
    <w:p w14:paraId="2421B796" w14:textId="77777777" w:rsidR="00ED08FF" w:rsidRDefault="00000000">
      <w:pPr>
        <w:pStyle w:val="BodyText"/>
        <w:spacing w:line="297" w:lineRule="auto"/>
        <w:ind w:right="1903"/>
      </w:pPr>
      <w:r>
        <w:t>Firm size is also debated. Large companies can enjoy economies of scale, stronger access to financing, and wider recognition in the capital market. However, large size may be associated with lower growth rates and bureaucratic inefficiency. In mature consumer-goods companies, large assets often reflect established production capacity and distribution</w:t>
      </w:r>
      <w:r>
        <w:rPr>
          <w:spacing w:val="-2"/>
        </w:rPr>
        <w:t xml:space="preserve"> </w:t>
      </w:r>
      <w:r>
        <w:t>networks,</w:t>
      </w:r>
      <w:r>
        <w:rPr>
          <w:spacing w:val="-2"/>
        </w:rPr>
        <w:t xml:space="preserve"> </w:t>
      </w:r>
      <w:r>
        <w:t>but</w:t>
      </w:r>
      <w:r>
        <w:rPr>
          <w:spacing w:val="-3"/>
        </w:rPr>
        <w:t xml:space="preserve"> </w:t>
      </w:r>
      <w:r>
        <w:t>the</w:t>
      </w:r>
      <w:r>
        <w:rPr>
          <w:spacing w:val="-3"/>
        </w:rPr>
        <w:t xml:space="preserve"> </w:t>
      </w:r>
      <w:r>
        <w:t>market</w:t>
      </w:r>
      <w:r>
        <w:rPr>
          <w:spacing w:val="-3"/>
        </w:rPr>
        <w:t xml:space="preserve"> </w:t>
      </w:r>
      <w:r>
        <w:t>may</w:t>
      </w:r>
      <w:r>
        <w:rPr>
          <w:spacing w:val="-2"/>
        </w:rPr>
        <w:t xml:space="preserve"> </w:t>
      </w:r>
      <w:r>
        <w:t>not</w:t>
      </w:r>
      <w:r>
        <w:rPr>
          <w:spacing w:val="-3"/>
        </w:rPr>
        <w:t xml:space="preserve"> </w:t>
      </w:r>
      <w:r>
        <w:t>reward</w:t>
      </w:r>
      <w:r>
        <w:rPr>
          <w:spacing w:val="-2"/>
        </w:rPr>
        <w:t xml:space="preserve"> </w:t>
      </w:r>
      <w:r>
        <w:t>that</w:t>
      </w:r>
      <w:r>
        <w:rPr>
          <w:spacing w:val="-3"/>
        </w:rPr>
        <w:t xml:space="preserve"> </w:t>
      </w:r>
      <w:r>
        <w:t>scale</w:t>
      </w:r>
      <w:r>
        <w:rPr>
          <w:spacing w:val="-3"/>
        </w:rPr>
        <w:t xml:space="preserve"> </w:t>
      </w:r>
      <w:r>
        <w:t>unless</w:t>
      </w:r>
      <w:r>
        <w:rPr>
          <w:spacing w:val="-3"/>
        </w:rPr>
        <w:t xml:space="preserve"> </w:t>
      </w:r>
      <w:r>
        <w:t>it</w:t>
      </w:r>
      <w:r>
        <w:rPr>
          <w:spacing w:val="-3"/>
        </w:rPr>
        <w:t xml:space="preserve"> </w:t>
      </w:r>
      <w:r>
        <w:t>is</w:t>
      </w:r>
      <w:r>
        <w:rPr>
          <w:spacing w:val="-3"/>
        </w:rPr>
        <w:t xml:space="preserve"> </w:t>
      </w:r>
      <w:r>
        <w:t>accompanied</w:t>
      </w:r>
      <w:r>
        <w:rPr>
          <w:spacing w:val="-2"/>
        </w:rPr>
        <w:t xml:space="preserve"> </w:t>
      </w:r>
      <w:r>
        <w:t>by</w:t>
      </w:r>
      <w:r>
        <w:rPr>
          <w:spacing w:val="-2"/>
        </w:rPr>
        <w:t xml:space="preserve"> </w:t>
      </w:r>
      <w:r>
        <w:t>improving</w:t>
      </w:r>
      <w:r>
        <w:rPr>
          <w:spacing w:val="-2"/>
        </w:rPr>
        <w:t xml:space="preserve"> </w:t>
      </w:r>
      <w:r>
        <w:t>margins</w:t>
      </w:r>
      <w:r>
        <w:rPr>
          <w:spacing w:val="-3"/>
        </w:rPr>
        <w:t xml:space="preserve"> </w:t>
      </w:r>
      <w:r>
        <w:t>or</w:t>
      </w:r>
      <w:r>
        <w:rPr>
          <w:spacing w:val="-2"/>
        </w:rPr>
        <w:t xml:space="preserve"> </w:t>
      </w:r>
      <w:r>
        <w:t>sales growth. This is why size is often included as a control variable rather than treated as the main driver of value.</w:t>
      </w:r>
    </w:p>
    <w:p w14:paraId="3C8CAAC4" w14:textId="77777777" w:rsidR="00ED08FF" w:rsidRDefault="00000000">
      <w:pPr>
        <w:pStyle w:val="BodyText"/>
        <w:spacing w:line="297" w:lineRule="auto"/>
        <w:ind w:right="1903"/>
      </w:pPr>
      <w:r>
        <w:rPr>
          <w:color w:val="000000"/>
          <w:highlight w:val="yellow"/>
        </w:rPr>
        <w:t>Liquidity findings are similarly inconsistent. In creditor-oriented analysis, liquidity is normally favourable because it</w:t>
      </w:r>
      <w:r>
        <w:rPr>
          <w:color w:val="000000"/>
        </w:rPr>
        <w:t xml:space="preserve"> indicates short-term solvency. In shareholder-oriented analysis, liquidity is more ambiguous. A company with excessive current assets may be safe but inefficient. A company with a very low current ratio may be risky but operationally aggressive.</w:t>
      </w:r>
      <w:r>
        <w:rPr>
          <w:color w:val="000000"/>
          <w:spacing w:val="-4"/>
        </w:rPr>
        <w:t xml:space="preserve"> </w:t>
      </w:r>
      <w:r>
        <w:rPr>
          <w:color w:val="000000"/>
        </w:rPr>
        <w:t>The</w:t>
      </w:r>
      <w:r>
        <w:rPr>
          <w:color w:val="000000"/>
          <w:spacing w:val="-5"/>
        </w:rPr>
        <w:t xml:space="preserve"> </w:t>
      </w:r>
      <w:r>
        <w:rPr>
          <w:color w:val="000000"/>
        </w:rPr>
        <w:t>market</w:t>
      </w:r>
      <w:r>
        <w:rPr>
          <w:color w:val="000000"/>
          <w:spacing w:val="-5"/>
        </w:rPr>
        <w:t xml:space="preserve"> </w:t>
      </w:r>
      <w:r>
        <w:rPr>
          <w:color w:val="000000"/>
        </w:rPr>
        <w:t>reaction</w:t>
      </w:r>
      <w:r>
        <w:rPr>
          <w:color w:val="000000"/>
          <w:spacing w:val="-4"/>
        </w:rPr>
        <w:t xml:space="preserve"> </w:t>
      </w:r>
      <w:r>
        <w:rPr>
          <w:color w:val="000000"/>
        </w:rPr>
        <w:t>depends</w:t>
      </w:r>
      <w:r>
        <w:rPr>
          <w:color w:val="000000"/>
          <w:spacing w:val="-5"/>
        </w:rPr>
        <w:t xml:space="preserve"> </w:t>
      </w:r>
      <w:r>
        <w:rPr>
          <w:color w:val="000000"/>
        </w:rPr>
        <w:t>on</w:t>
      </w:r>
      <w:r>
        <w:rPr>
          <w:color w:val="000000"/>
          <w:spacing w:val="-4"/>
        </w:rPr>
        <w:t xml:space="preserve"> </w:t>
      </w:r>
      <w:r>
        <w:rPr>
          <w:color w:val="000000"/>
        </w:rPr>
        <w:t>whether</w:t>
      </w:r>
      <w:r>
        <w:rPr>
          <w:color w:val="000000"/>
          <w:spacing w:val="-4"/>
        </w:rPr>
        <w:t xml:space="preserve"> </w:t>
      </w:r>
      <w:r>
        <w:rPr>
          <w:color w:val="000000"/>
        </w:rPr>
        <w:t>liquidity</w:t>
      </w:r>
      <w:r>
        <w:rPr>
          <w:color w:val="000000"/>
          <w:spacing w:val="-4"/>
        </w:rPr>
        <w:t xml:space="preserve"> </w:t>
      </w:r>
      <w:r>
        <w:rPr>
          <w:color w:val="000000"/>
        </w:rPr>
        <w:t>supports</w:t>
      </w:r>
      <w:r>
        <w:rPr>
          <w:color w:val="000000"/>
          <w:spacing w:val="-5"/>
        </w:rPr>
        <w:t xml:space="preserve"> </w:t>
      </w:r>
      <w:r>
        <w:rPr>
          <w:color w:val="000000"/>
        </w:rPr>
        <w:t>profitable</w:t>
      </w:r>
      <w:r>
        <w:rPr>
          <w:color w:val="000000"/>
          <w:spacing w:val="-5"/>
        </w:rPr>
        <w:t xml:space="preserve"> </w:t>
      </w:r>
      <w:r>
        <w:rPr>
          <w:color w:val="000000"/>
        </w:rPr>
        <w:t>operations.</w:t>
      </w:r>
      <w:r>
        <w:rPr>
          <w:color w:val="000000"/>
          <w:spacing w:val="-4"/>
        </w:rPr>
        <w:t xml:space="preserve"> </w:t>
      </w:r>
      <w:r>
        <w:rPr>
          <w:color w:val="000000"/>
        </w:rPr>
        <w:t>For</w:t>
      </w:r>
      <w:r>
        <w:rPr>
          <w:color w:val="000000"/>
          <w:spacing w:val="-4"/>
        </w:rPr>
        <w:t xml:space="preserve"> </w:t>
      </w:r>
      <w:r>
        <w:rPr>
          <w:color w:val="000000"/>
        </w:rPr>
        <w:t>consumer</w:t>
      </w:r>
      <w:r>
        <w:rPr>
          <w:color w:val="000000"/>
          <w:spacing w:val="-4"/>
        </w:rPr>
        <w:t xml:space="preserve"> </w:t>
      </w:r>
      <w:r>
        <w:rPr>
          <w:color w:val="000000"/>
        </w:rPr>
        <w:t>non-cyclicals issuers, inventory and receivables management can influence both liquidity and margins.</w:t>
      </w:r>
    </w:p>
    <w:p w14:paraId="7B8000A9" w14:textId="77777777" w:rsidR="00ED08FF" w:rsidRDefault="00000000">
      <w:pPr>
        <w:pStyle w:val="BodyText"/>
        <w:spacing w:before="2" w:line="297" w:lineRule="auto"/>
        <w:ind w:right="1777"/>
      </w:pPr>
      <w:r>
        <w:t>The empirical literature also shows that sector selection matters. Manufacturing firms, banks, property companies,</w:t>
      </w:r>
      <w:r>
        <w:rPr>
          <w:spacing w:val="40"/>
        </w:rPr>
        <w:t xml:space="preserve"> </w:t>
      </w:r>
      <w:r>
        <w:t>retailers, and consumer-goods producers have different balance sheet structures. Banking studies cannot use the same interpretation</w:t>
      </w:r>
      <w:r>
        <w:rPr>
          <w:spacing w:val="-3"/>
        </w:rPr>
        <w:t xml:space="preserve"> </w:t>
      </w:r>
      <w:r>
        <w:t>of</w:t>
      </w:r>
      <w:r>
        <w:rPr>
          <w:spacing w:val="-3"/>
        </w:rPr>
        <w:t xml:space="preserve"> </w:t>
      </w:r>
      <w:r>
        <w:t>leverage</w:t>
      </w:r>
      <w:r>
        <w:rPr>
          <w:spacing w:val="-4"/>
        </w:rPr>
        <w:t xml:space="preserve"> </w:t>
      </w:r>
      <w:r>
        <w:t>and</w:t>
      </w:r>
      <w:r>
        <w:rPr>
          <w:spacing w:val="-3"/>
        </w:rPr>
        <w:t xml:space="preserve"> </w:t>
      </w:r>
      <w:r>
        <w:t>liquidity</w:t>
      </w:r>
      <w:r>
        <w:rPr>
          <w:spacing w:val="-3"/>
        </w:rPr>
        <w:t xml:space="preserve"> </w:t>
      </w:r>
      <w:r>
        <w:t>as</w:t>
      </w:r>
      <w:r>
        <w:rPr>
          <w:spacing w:val="-4"/>
        </w:rPr>
        <w:t xml:space="preserve"> </w:t>
      </w:r>
      <w:r>
        <w:t>non-financial</w:t>
      </w:r>
      <w:r>
        <w:rPr>
          <w:spacing w:val="-4"/>
        </w:rPr>
        <w:t xml:space="preserve"> </w:t>
      </w:r>
      <w:r>
        <w:t>firms.</w:t>
      </w:r>
      <w:r>
        <w:rPr>
          <w:spacing w:val="-3"/>
        </w:rPr>
        <w:t xml:space="preserve"> </w:t>
      </w:r>
      <w:r>
        <w:t>A</w:t>
      </w:r>
      <w:r>
        <w:rPr>
          <w:spacing w:val="-4"/>
        </w:rPr>
        <w:t xml:space="preserve"> </w:t>
      </w:r>
      <w:r>
        <w:t>retail</w:t>
      </w:r>
      <w:r>
        <w:rPr>
          <w:spacing w:val="-4"/>
        </w:rPr>
        <w:t xml:space="preserve"> </w:t>
      </w:r>
      <w:r>
        <w:t>issuer</w:t>
      </w:r>
      <w:r>
        <w:rPr>
          <w:spacing w:val="-3"/>
        </w:rPr>
        <w:t xml:space="preserve"> </w:t>
      </w:r>
      <w:r>
        <w:t>also</w:t>
      </w:r>
      <w:r>
        <w:rPr>
          <w:spacing w:val="-3"/>
        </w:rPr>
        <w:t xml:space="preserve"> </w:t>
      </w:r>
      <w:r>
        <w:t>has</w:t>
      </w:r>
      <w:r>
        <w:rPr>
          <w:spacing w:val="-4"/>
        </w:rPr>
        <w:t xml:space="preserve"> </w:t>
      </w:r>
      <w:r>
        <w:t>a</w:t>
      </w:r>
      <w:r>
        <w:rPr>
          <w:spacing w:val="-4"/>
        </w:rPr>
        <w:t xml:space="preserve"> </w:t>
      </w:r>
      <w:r>
        <w:t>different</w:t>
      </w:r>
      <w:r>
        <w:rPr>
          <w:spacing w:val="-4"/>
        </w:rPr>
        <w:t xml:space="preserve"> </w:t>
      </w:r>
      <w:r>
        <w:t>working</w:t>
      </w:r>
      <w:r>
        <w:rPr>
          <w:spacing w:val="-3"/>
        </w:rPr>
        <w:t xml:space="preserve"> </w:t>
      </w:r>
      <w:r>
        <w:t>capital</w:t>
      </w:r>
      <w:r>
        <w:rPr>
          <w:spacing w:val="-4"/>
        </w:rPr>
        <w:t xml:space="preserve"> </w:t>
      </w:r>
      <w:r>
        <w:t>cycle</w:t>
      </w:r>
      <w:r>
        <w:rPr>
          <w:spacing w:val="-4"/>
        </w:rPr>
        <w:t xml:space="preserve"> </w:t>
      </w:r>
      <w:r>
        <w:t>from a food manufacturer. This paper focuses on consumer non-cyclicals to reduce cross-sector distortion while still allowing variation within the sector.</w:t>
      </w:r>
    </w:p>
    <w:p w14:paraId="78A63CF7" w14:textId="77777777" w:rsidR="00ED08FF" w:rsidRDefault="00000000">
      <w:pPr>
        <w:pStyle w:val="BodyText"/>
        <w:spacing w:before="2" w:line="297" w:lineRule="auto"/>
        <w:ind w:right="1762"/>
      </w:pPr>
      <w:r>
        <w:t>Another lesson from prior research is the importance of measurement consistency. Some papers use PBV, others use Tobin's Q, market capitalization, or stock return. Some use ROA, others use ROE or net profit margin. These choices can produce different results. This paper uses PBV and ROA because the relationship between book value and asset productivity</w:t>
      </w:r>
      <w:r>
        <w:rPr>
          <w:spacing w:val="-2"/>
        </w:rPr>
        <w:t xml:space="preserve"> </w:t>
      </w:r>
      <w:r>
        <w:t>is</w:t>
      </w:r>
      <w:r>
        <w:rPr>
          <w:spacing w:val="-3"/>
        </w:rPr>
        <w:t xml:space="preserve"> </w:t>
      </w:r>
      <w:r>
        <w:t>clear.</w:t>
      </w:r>
      <w:r>
        <w:rPr>
          <w:spacing w:val="-2"/>
        </w:rPr>
        <w:t xml:space="preserve"> </w:t>
      </w:r>
      <w:r>
        <w:t>PBV</w:t>
      </w:r>
      <w:r>
        <w:rPr>
          <w:spacing w:val="-3"/>
        </w:rPr>
        <w:t xml:space="preserve"> </w:t>
      </w:r>
      <w:r>
        <w:t>captures</w:t>
      </w:r>
      <w:r>
        <w:rPr>
          <w:spacing w:val="-3"/>
        </w:rPr>
        <w:t xml:space="preserve"> </w:t>
      </w:r>
      <w:r>
        <w:t>market</w:t>
      </w:r>
      <w:r>
        <w:rPr>
          <w:spacing w:val="-3"/>
        </w:rPr>
        <w:t xml:space="preserve"> </w:t>
      </w:r>
      <w:r>
        <w:t>premium</w:t>
      </w:r>
      <w:r>
        <w:rPr>
          <w:spacing w:val="-2"/>
        </w:rPr>
        <w:t xml:space="preserve"> </w:t>
      </w:r>
      <w:r>
        <w:t>over</w:t>
      </w:r>
      <w:r>
        <w:rPr>
          <w:spacing w:val="-2"/>
        </w:rPr>
        <w:t xml:space="preserve"> </w:t>
      </w:r>
      <w:r>
        <w:t>book</w:t>
      </w:r>
      <w:r>
        <w:rPr>
          <w:spacing w:val="-2"/>
        </w:rPr>
        <w:t xml:space="preserve"> </w:t>
      </w:r>
      <w:r>
        <w:t>equity,</w:t>
      </w:r>
      <w:r>
        <w:rPr>
          <w:spacing w:val="-2"/>
        </w:rPr>
        <w:t xml:space="preserve"> </w:t>
      </w:r>
      <w:r>
        <w:t>while</w:t>
      </w:r>
      <w:r>
        <w:rPr>
          <w:spacing w:val="-3"/>
        </w:rPr>
        <w:t xml:space="preserve"> </w:t>
      </w:r>
      <w:r>
        <w:t>ROA</w:t>
      </w:r>
      <w:r>
        <w:rPr>
          <w:spacing w:val="-3"/>
        </w:rPr>
        <w:t xml:space="preserve"> </w:t>
      </w:r>
      <w:r>
        <w:t>captures</w:t>
      </w:r>
      <w:r>
        <w:rPr>
          <w:spacing w:val="-3"/>
        </w:rPr>
        <w:t xml:space="preserve"> </w:t>
      </w:r>
      <w:r>
        <w:t>the</w:t>
      </w:r>
      <w:r>
        <w:rPr>
          <w:spacing w:val="-3"/>
        </w:rPr>
        <w:t xml:space="preserve"> </w:t>
      </w:r>
      <w:r>
        <w:t>ability</w:t>
      </w:r>
      <w:r>
        <w:rPr>
          <w:spacing w:val="-2"/>
        </w:rPr>
        <w:t xml:space="preserve"> </w:t>
      </w:r>
      <w:r>
        <w:t>of</w:t>
      </w:r>
      <w:r>
        <w:rPr>
          <w:spacing w:val="-2"/>
        </w:rPr>
        <w:t xml:space="preserve"> </w:t>
      </w:r>
      <w:r>
        <w:t>assets</w:t>
      </w:r>
      <w:r>
        <w:rPr>
          <w:spacing w:val="-3"/>
        </w:rPr>
        <w:t xml:space="preserve"> </w:t>
      </w:r>
      <w:r>
        <w:t>to</w:t>
      </w:r>
      <w:r>
        <w:rPr>
          <w:spacing w:val="-2"/>
        </w:rPr>
        <w:t xml:space="preserve"> </w:t>
      </w:r>
      <w:r>
        <w:t xml:space="preserve">produce </w:t>
      </w:r>
      <w:r>
        <w:rPr>
          <w:spacing w:val="-2"/>
        </w:rPr>
        <w:t>income.</w:t>
      </w:r>
    </w:p>
    <w:p w14:paraId="1C7DCD63" w14:textId="77777777" w:rsidR="00ED08FF" w:rsidRDefault="00000000">
      <w:pPr>
        <w:pStyle w:val="BodyText"/>
        <w:spacing w:line="297" w:lineRule="auto"/>
        <w:ind w:right="2118"/>
      </w:pPr>
      <w:r>
        <w:t>Many empirical papers also suffer from unclear data treatment. Researchers sometimes state that data come from annual</w:t>
      </w:r>
      <w:r>
        <w:rPr>
          <w:spacing w:val="-4"/>
        </w:rPr>
        <w:t xml:space="preserve"> </w:t>
      </w:r>
      <w:r>
        <w:t>reports</w:t>
      </w:r>
      <w:r>
        <w:rPr>
          <w:spacing w:val="-4"/>
        </w:rPr>
        <w:t xml:space="preserve"> </w:t>
      </w:r>
      <w:r>
        <w:t>but</w:t>
      </w:r>
      <w:r>
        <w:rPr>
          <w:spacing w:val="-4"/>
        </w:rPr>
        <w:t xml:space="preserve"> </w:t>
      </w:r>
      <w:r>
        <w:t>do</w:t>
      </w:r>
      <w:r>
        <w:rPr>
          <w:spacing w:val="-3"/>
        </w:rPr>
        <w:t xml:space="preserve"> </w:t>
      </w:r>
      <w:r>
        <w:t>not</w:t>
      </w:r>
      <w:r>
        <w:rPr>
          <w:spacing w:val="-4"/>
        </w:rPr>
        <w:t xml:space="preserve"> </w:t>
      </w:r>
      <w:r>
        <w:t>show</w:t>
      </w:r>
      <w:r>
        <w:rPr>
          <w:spacing w:val="-4"/>
        </w:rPr>
        <w:t xml:space="preserve"> </w:t>
      </w:r>
      <w:r>
        <w:t>the</w:t>
      </w:r>
      <w:r>
        <w:rPr>
          <w:spacing w:val="-4"/>
        </w:rPr>
        <w:t xml:space="preserve"> </w:t>
      </w:r>
      <w:r>
        <w:t>extracted</w:t>
      </w:r>
      <w:r>
        <w:rPr>
          <w:spacing w:val="-3"/>
        </w:rPr>
        <w:t xml:space="preserve"> </w:t>
      </w:r>
      <w:r>
        <w:t>numbers.</w:t>
      </w:r>
      <w:r>
        <w:rPr>
          <w:spacing w:val="-3"/>
        </w:rPr>
        <w:t xml:space="preserve"> </w:t>
      </w:r>
      <w:r>
        <w:t>This</w:t>
      </w:r>
      <w:r>
        <w:rPr>
          <w:spacing w:val="-3"/>
        </w:rPr>
        <w:t xml:space="preserve"> </w:t>
      </w:r>
      <w:r>
        <w:t>weakens</w:t>
      </w:r>
      <w:r>
        <w:rPr>
          <w:spacing w:val="-4"/>
        </w:rPr>
        <w:t xml:space="preserve"> </w:t>
      </w:r>
      <w:r>
        <w:t>replicability.</w:t>
      </w:r>
      <w:r>
        <w:rPr>
          <w:spacing w:val="-3"/>
        </w:rPr>
        <w:t xml:space="preserve"> </w:t>
      </w:r>
      <w:r>
        <w:t>The</w:t>
      </w:r>
      <w:r>
        <w:rPr>
          <w:spacing w:val="-4"/>
        </w:rPr>
        <w:t xml:space="preserve"> </w:t>
      </w:r>
      <w:r>
        <w:t>present</w:t>
      </w:r>
      <w:r>
        <w:rPr>
          <w:spacing w:val="-4"/>
        </w:rPr>
        <w:t xml:space="preserve"> </w:t>
      </w:r>
      <w:r>
        <w:t>study</w:t>
      </w:r>
      <w:r>
        <w:rPr>
          <w:spacing w:val="-3"/>
        </w:rPr>
        <w:t xml:space="preserve"> </w:t>
      </w:r>
      <w:r>
        <w:t>includes</w:t>
      </w:r>
      <w:r>
        <w:rPr>
          <w:spacing w:val="-4"/>
        </w:rPr>
        <w:t xml:space="preserve"> </w:t>
      </w:r>
      <w:r>
        <w:t>the</w:t>
      </w:r>
      <w:r>
        <w:rPr>
          <w:spacing w:val="-4"/>
        </w:rPr>
        <w:t xml:space="preserve"> </w:t>
      </w:r>
      <w:r>
        <w:t>firm-year dataset in Table 12 so that readers can see exactly what values enter the regression. This is a basic but important standard. Without visible data, a regression table becomes difficult to audit.</w:t>
      </w:r>
    </w:p>
    <w:p w14:paraId="213D19F8" w14:textId="77777777" w:rsidR="00ED08FF" w:rsidRDefault="00ED08FF">
      <w:pPr>
        <w:pStyle w:val="BodyText"/>
        <w:spacing w:line="297" w:lineRule="auto"/>
        <w:sectPr w:rsidR="00ED08FF">
          <w:pgSz w:w="12240" w:h="15840"/>
          <w:pgMar w:top="800" w:right="720" w:bottom="900" w:left="720" w:header="0" w:footer="669" w:gutter="0"/>
          <w:cols w:space="720"/>
        </w:sectPr>
      </w:pPr>
    </w:p>
    <w:p w14:paraId="401A121D" w14:textId="77777777" w:rsidR="00ED08FF" w:rsidRDefault="00000000">
      <w:pPr>
        <w:pStyle w:val="BodyText"/>
        <w:spacing w:before="64" w:line="297" w:lineRule="auto"/>
        <w:ind w:right="1903"/>
      </w:pPr>
      <w:r>
        <w:lastRenderedPageBreak/>
        <w:t xml:space="preserve">The use of a recent period also matters. Results from 2015-2019 may not fully represent post-pandemic market </w:t>
      </w:r>
      <w:r>
        <w:rPr>
          <w:color w:val="000000"/>
          <w:highlight w:val="yellow"/>
        </w:rPr>
        <w:t>conditions.</w:t>
      </w:r>
      <w:r>
        <w:rPr>
          <w:color w:val="000000"/>
          <w:spacing w:val="-4"/>
          <w:highlight w:val="yellow"/>
        </w:rPr>
        <w:t xml:space="preserve"> </w:t>
      </w:r>
      <w:r>
        <w:rPr>
          <w:color w:val="000000"/>
          <w:highlight w:val="yellow"/>
        </w:rPr>
        <w:t>Consumer</w:t>
      </w:r>
      <w:r>
        <w:rPr>
          <w:color w:val="000000"/>
          <w:spacing w:val="-4"/>
          <w:highlight w:val="yellow"/>
        </w:rPr>
        <w:t xml:space="preserve"> </w:t>
      </w:r>
      <w:r>
        <w:rPr>
          <w:color w:val="000000"/>
          <w:highlight w:val="yellow"/>
        </w:rPr>
        <w:t>behaviour,</w:t>
      </w:r>
      <w:r>
        <w:rPr>
          <w:color w:val="000000"/>
          <w:spacing w:val="-4"/>
          <w:highlight w:val="yellow"/>
        </w:rPr>
        <w:t xml:space="preserve"> </w:t>
      </w:r>
      <w:r>
        <w:rPr>
          <w:color w:val="000000"/>
          <w:highlight w:val="yellow"/>
        </w:rPr>
        <w:t>inflation</w:t>
      </w:r>
      <w:r>
        <w:rPr>
          <w:color w:val="000000"/>
          <w:spacing w:val="-4"/>
          <w:highlight w:val="yellow"/>
        </w:rPr>
        <w:t xml:space="preserve"> </w:t>
      </w:r>
      <w:r>
        <w:rPr>
          <w:color w:val="000000"/>
          <w:highlight w:val="yellow"/>
        </w:rPr>
        <w:t>pressure,</w:t>
      </w:r>
      <w:r>
        <w:rPr>
          <w:color w:val="000000"/>
          <w:spacing w:val="-4"/>
          <w:highlight w:val="yellow"/>
        </w:rPr>
        <w:t xml:space="preserve"> </w:t>
      </w:r>
      <w:r>
        <w:rPr>
          <w:color w:val="000000"/>
          <w:highlight w:val="yellow"/>
        </w:rPr>
        <w:t>supply-chain</w:t>
      </w:r>
      <w:r>
        <w:rPr>
          <w:color w:val="000000"/>
          <w:spacing w:val="-4"/>
          <w:highlight w:val="yellow"/>
        </w:rPr>
        <w:t xml:space="preserve"> </w:t>
      </w:r>
      <w:r>
        <w:rPr>
          <w:color w:val="000000"/>
          <w:highlight w:val="yellow"/>
        </w:rPr>
        <w:t>risk,</w:t>
      </w:r>
      <w:r>
        <w:rPr>
          <w:color w:val="000000"/>
          <w:spacing w:val="-4"/>
          <w:highlight w:val="yellow"/>
        </w:rPr>
        <w:t xml:space="preserve"> </w:t>
      </w:r>
      <w:r>
        <w:rPr>
          <w:color w:val="000000"/>
          <w:highlight w:val="yellow"/>
        </w:rPr>
        <w:t>and</w:t>
      </w:r>
      <w:r>
        <w:rPr>
          <w:color w:val="000000"/>
          <w:spacing w:val="-4"/>
          <w:highlight w:val="yellow"/>
        </w:rPr>
        <w:t xml:space="preserve"> </w:t>
      </w:r>
      <w:r>
        <w:rPr>
          <w:color w:val="000000"/>
          <w:highlight w:val="yellow"/>
        </w:rPr>
        <w:t>valuation</w:t>
      </w:r>
      <w:r>
        <w:rPr>
          <w:color w:val="000000"/>
          <w:spacing w:val="-4"/>
          <w:highlight w:val="yellow"/>
        </w:rPr>
        <w:t xml:space="preserve"> </w:t>
      </w:r>
      <w:r>
        <w:rPr>
          <w:color w:val="000000"/>
          <w:highlight w:val="yellow"/>
        </w:rPr>
        <w:t>sentiment</w:t>
      </w:r>
      <w:r>
        <w:rPr>
          <w:color w:val="000000"/>
          <w:spacing w:val="-4"/>
          <w:highlight w:val="yellow"/>
        </w:rPr>
        <w:t xml:space="preserve"> </w:t>
      </w:r>
      <w:r>
        <w:rPr>
          <w:color w:val="000000"/>
          <w:highlight w:val="yellow"/>
        </w:rPr>
        <w:t>changed</w:t>
      </w:r>
      <w:r>
        <w:rPr>
          <w:color w:val="000000"/>
          <w:spacing w:val="-4"/>
          <w:highlight w:val="yellow"/>
        </w:rPr>
        <w:t xml:space="preserve"> </w:t>
      </w:r>
      <w:r>
        <w:rPr>
          <w:color w:val="000000"/>
          <w:highlight w:val="yellow"/>
        </w:rPr>
        <w:t>after</w:t>
      </w:r>
      <w:r>
        <w:rPr>
          <w:color w:val="000000"/>
          <w:spacing w:val="-4"/>
          <w:highlight w:val="yellow"/>
        </w:rPr>
        <w:t xml:space="preserve"> </w:t>
      </w:r>
      <w:r>
        <w:rPr>
          <w:color w:val="000000"/>
          <w:highlight w:val="yellow"/>
        </w:rPr>
        <w:t>2020.</w:t>
      </w:r>
      <w:r>
        <w:rPr>
          <w:color w:val="000000"/>
          <w:spacing w:val="-4"/>
          <w:highlight w:val="yellow"/>
        </w:rPr>
        <w:t xml:space="preserve"> </w:t>
      </w:r>
      <w:r>
        <w:rPr>
          <w:color w:val="000000"/>
          <w:highlight w:val="yellow"/>
        </w:rPr>
        <w:t>By</w:t>
      </w:r>
      <w:r>
        <w:rPr>
          <w:color w:val="000000"/>
        </w:rPr>
        <w:t xml:space="preserve"> using 2021-2025 data, the</w:t>
      </w:r>
      <w:r>
        <w:rPr>
          <w:color w:val="000000"/>
          <w:spacing w:val="-1"/>
        </w:rPr>
        <w:t xml:space="preserve"> </w:t>
      </w:r>
      <w:r>
        <w:rPr>
          <w:color w:val="000000"/>
        </w:rPr>
        <w:t>paper captures</w:t>
      </w:r>
      <w:r>
        <w:rPr>
          <w:color w:val="000000"/>
          <w:spacing w:val="-1"/>
        </w:rPr>
        <w:t xml:space="preserve"> </w:t>
      </w:r>
      <w:r>
        <w:rPr>
          <w:color w:val="000000"/>
        </w:rPr>
        <w:t>a</w:t>
      </w:r>
      <w:r>
        <w:rPr>
          <w:color w:val="000000"/>
          <w:spacing w:val="-1"/>
        </w:rPr>
        <w:t xml:space="preserve"> </w:t>
      </w:r>
      <w:r>
        <w:rPr>
          <w:color w:val="000000"/>
        </w:rPr>
        <w:t>more</w:t>
      </w:r>
      <w:r>
        <w:rPr>
          <w:color w:val="000000"/>
          <w:spacing w:val="-1"/>
        </w:rPr>
        <w:t xml:space="preserve"> </w:t>
      </w:r>
      <w:r>
        <w:rPr>
          <w:color w:val="000000"/>
        </w:rPr>
        <w:t>recent</w:t>
      </w:r>
      <w:r>
        <w:rPr>
          <w:color w:val="000000"/>
          <w:spacing w:val="-1"/>
        </w:rPr>
        <w:t xml:space="preserve"> </w:t>
      </w:r>
      <w:r>
        <w:rPr>
          <w:color w:val="000000"/>
        </w:rPr>
        <w:t>market</w:t>
      </w:r>
      <w:r>
        <w:rPr>
          <w:color w:val="000000"/>
          <w:spacing w:val="-1"/>
        </w:rPr>
        <w:t xml:space="preserve"> </w:t>
      </w:r>
      <w:r>
        <w:rPr>
          <w:color w:val="000000"/>
        </w:rPr>
        <w:t>setting. This</w:t>
      </w:r>
      <w:r>
        <w:rPr>
          <w:color w:val="000000"/>
          <w:spacing w:val="-1"/>
        </w:rPr>
        <w:t xml:space="preserve"> </w:t>
      </w:r>
      <w:r>
        <w:rPr>
          <w:color w:val="000000"/>
        </w:rPr>
        <w:t>does</w:t>
      </w:r>
      <w:r>
        <w:rPr>
          <w:color w:val="000000"/>
          <w:spacing w:val="-1"/>
        </w:rPr>
        <w:t xml:space="preserve"> </w:t>
      </w:r>
      <w:r>
        <w:rPr>
          <w:color w:val="000000"/>
        </w:rPr>
        <w:t>not</w:t>
      </w:r>
      <w:r>
        <w:rPr>
          <w:color w:val="000000"/>
          <w:spacing w:val="-1"/>
        </w:rPr>
        <w:t xml:space="preserve"> </w:t>
      </w:r>
      <w:r>
        <w:rPr>
          <w:color w:val="000000"/>
        </w:rPr>
        <w:t>make</w:t>
      </w:r>
      <w:r>
        <w:rPr>
          <w:color w:val="000000"/>
          <w:spacing w:val="-1"/>
        </w:rPr>
        <w:t xml:space="preserve"> </w:t>
      </w:r>
      <w:r>
        <w:rPr>
          <w:color w:val="000000"/>
        </w:rPr>
        <w:t>the</w:t>
      </w:r>
      <w:r>
        <w:rPr>
          <w:color w:val="000000"/>
          <w:spacing w:val="-1"/>
        </w:rPr>
        <w:t xml:space="preserve"> </w:t>
      </w:r>
      <w:r>
        <w:rPr>
          <w:color w:val="000000"/>
        </w:rPr>
        <w:t>result</w:t>
      </w:r>
      <w:r>
        <w:rPr>
          <w:color w:val="000000"/>
          <w:spacing w:val="-1"/>
        </w:rPr>
        <w:t xml:space="preserve"> </w:t>
      </w:r>
      <w:r>
        <w:rPr>
          <w:color w:val="000000"/>
        </w:rPr>
        <w:t>permanent, but</w:t>
      </w:r>
      <w:r>
        <w:rPr>
          <w:color w:val="000000"/>
          <w:spacing w:val="-1"/>
        </w:rPr>
        <w:t xml:space="preserve"> </w:t>
      </w:r>
      <w:r>
        <w:rPr>
          <w:color w:val="000000"/>
        </w:rPr>
        <w:t>it makes it relevant for current discussion.</w:t>
      </w:r>
    </w:p>
    <w:p w14:paraId="4335C644" w14:textId="77777777" w:rsidR="00ED08FF" w:rsidRDefault="00000000">
      <w:pPr>
        <w:pStyle w:val="BodyText"/>
        <w:spacing w:line="297" w:lineRule="auto"/>
        <w:ind w:right="1825"/>
      </w:pPr>
      <w:r>
        <w:t>The study does not claim that four variables can fully explain firm value. Valuation is affected by many factors outside financial ratios, such as management reputation, brand strength, macroeconomic policy, interest rates, corporate actions, and</w:t>
      </w:r>
      <w:r>
        <w:rPr>
          <w:spacing w:val="-3"/>
        </w:rPr>
        <w:t xml:space="preserve"> </w:t>
      </w:r>
      <w:r>
        <w:t>investor</w:t>
      </w:r>
      <w:r>
        <w:rPr>
          <w:spacing w:val="-3"/>
        </w:rPr>
        <w:t xml:space="preserve"> </w:t>
      </w:r>
      <w:r>
        <w:t>psychology.</w:t>
      </w:r>
      <w:r>
        <w:rPr>
          <w:spacing w:val="-3"/>
        </w:rPr>
        <w:t xml:space="preserve"> </w:t>
      </w:r>
      <w:r>
        <w:t>The</w:t>
      </w:r>
      <w:r>
        <w:rPr>
          <w:spacing w:val="-4"/>
        </w:rPr>
        <w:t xml:space="preserve"> </w:t>
      </w:r>
      <w:r>
        <w:t>purpose</w:t>
      </w:r>
      <w:r>
        <w:rPr>
          <w:spacing w:val="-4"/>
        </w:rPr>
        <w:t xml:space="preserve"> </w:t>
      </w:r>
      <w:r>
        <w:t>is</w:t>
      </w:r>
      <w:r>
        <w:rPr>
          <w:spacing w:val="-4"/>
        </w:rPr>
        <w:t xml:space="preserve"> </w:t>
      </w:r>
      <w:r>
        <w:t>narrower:</w:t>
      </w:r>
      <w:r>
        <w:rPr>
          <w:spacing w:val="-4"/>
        </w:rPr>
        <w:t xml:space="preserve"> </w:t>
      </w:r>
      <w:r>
        <w:t>to</w:t>
      </w:r>
      <w:r>
        <w:rPr>
          <w:spacing w:val="-3"/>
        </w:rPr>
        <w:t xml:space="preserve"> </w:t>
      </w:r>
      <w:r>
        <w:t>test</w:t>
      </w:r>
      <w:r>
        <w:rPr>
          <w:spacing w:val="-4"/>
        </w:rPr>
        <w:t xml:space="preserve"> </w:t>
      </w:r>
      <w:r>
        <w:t>whether</w:t>
      </w:r>
      <w:r>
        <w:rPr>
          <w:spacing w:val="-3"/>
        </w:rPr>
        <w:t xml:space="preserve"> </w:t>
      </w:r>
      <w:r>
        <w:t>core</w:t>
      </w:r>
      <w:r>
        <w:rPr>
          <w:spacing w:val="-4"/>
        </w:rPr>
        <w:t xml:space="preserve"> </w:t>
      </w:r>
      <w:r>
        <w:t>accounting</w:t>
      </w:r>
      <w:r>
        <w:rPr>
          <w:spacing w:val="-3"/>
        </w:rPr>
        <w:t xml:space="preserve"> </w:t>
      </w:r>
      <w:r>
        <w:t>indicators</w:t>
      </w:r>
      <w:r>
        <w:rPr>
          <w:spacing w:val="-4"/>
        </w:rPr>
        <w:t xml:space="preserve"> </w:t>
      </w:r>
      <w:r>
        <w:t>still</w:t>
      </w:r>
      <w:r>
        <w:rPr>
          <w:spacing w:val="-4"/>
        </w:rPr>
        <w:t xml:space="preserve"> </w:t>
      </w:r>
      <w:r>
        <w:t>have</w:t>
      </w:r>
      <w:r>
        <w:rPr>
          <w:spacing w:val="-4"/>
        </w:rPr>
        <w:t xml:space="preserve"> </w:t>
      </w:r>
      <w:r>
        <w:t>explanatory</w:t>
      </w:r>
      <w:r>
        <w:rPr>
          <w:spacing w:val="-3"/>
        </w:rPr>
        <w:t xml:space="preserve"> </w:t>
      </w:r>
      <w:r>
        <w:t xml:space="preserve">value. </w:t>
      </w:r>
      <w:r>
        <w:rPr>
          <w:color w:val="000000"/>
          <w:highlight w:val="yellow"/>
        </w:rPr>
        <w:t>A focused purpose produces a more coherent empirical paper than an overextended model.</w:t>
      </w:r>
    </w:p>
    <w:p w14:paraId="0103EF7B" w14:textId="77777777" w:rsidR="00ED08FF" w:rsidRDefault="00000000">
      <w:pPr>
        <w:pStyle w:val="BodyText"/>
        <w:spacing w:line="297" w:lineRule="auto"/>
        <w:ind w:right="1825"/>
      </w:pPr>
      <w:r>
        <w:t>On balance, prior theory and empirical evidence justify the use of profitability, leverage, size, and liquidity as predictors. Profitability</w:t>
      </w:r>
      <w:r>
        <w:rPr>
          <w:spacing w:val="-3"/>
        </w:rPr>
        <w:t xml:space="preserve"> </w:t>
      </w:r>
      <w:r>
        <w:t>is</w:t>
      </w:r>
      <w:r>
        <w:rPr>
          <w:spacing w:val="-3"/>
        </w:rPr>
        <w:t xml:space="preserve"> </w:t>
      </w:r>
      <w:r>
        <w:t>expected</w:t>
      </w:r>
      <w:r>
        <w:rPr>
          <w:spacing w:val="-3"/>
        </w:rPr>
        <w:t xml:space="preserve"> </w:t>
      </w:r>
      <w:r>
        <w:t>to</w:t>
      </w:r>
      <w:r>
        <w:rPr>
          <w:spacing w:val="-3"/>
        </w:rPr>
        <w:t xml:space="preserve"> </w:t>
      </w:r>
      <w:r>
        <w:t>be</w:t>
      </w:r>
      <w:r>
        <w:rPr>
          <w:spacing w:val="-4"/>
        </w:rPr>
        <w:t xml:space="preserve"> </w:t>
      </w:r>
      <w:r>
        <w:t>the</w:t>
      </w:r>
      <w:r>
        <w:rPr>
          <w:spacing w:val="-4"/>
        </w:rPr>
        <w:t xml:space="preserve"> </w:t>
      </w:r>
      <w:r>
        <w:t>strongest</w:t>
      </w:r>
      <w:r>
        <w:rPr>
          <w:spacing w:val="-4"/>
        </w:rPr>
        <w:t xml:space="preserve"> </w:t>
      </w:r>
      <w:r>
        <w:t>positive</w:t>
      </w:r>
      <w:r>
        <w:rPr>
          <w:spacing w:val="-4"/>
        </w:rPr>
        <w:t xml:space="preserve"> </w:t>
      </w:r>
      <w:r>
        <w:t>variable,</w:t>
      </w:r>
      <w:r>
        <w:rPr>
          <w:spacing w:val="-3"/>
        </w:rPr>
        <w:t xml:space="preserve"> </w:t>
      </w:r>
      <w:r>
        <w:t>leverage</w:t>
      </w:r>
      <w:r>
        <w:rPr>
          <w:spacing w:val="-4"/>
        </w:rPr>
        <w:t xml:space="preserve"> </w:t>
      </w:r>
      <w:r>
        <w:t>and</w:t>
      </w:r>
      <w:r>
        <w:rPr>
          <w:spacing w:val="-3"/>
        </w:rPr>
        <w:t xml:space="preserve"> </w:t>
      </w:r>
      <w:r>
        <w:t>size</w:t>
      </w:r>
      <w:r>
        <w:rPr>
          <w:spacing w:val="-4"/>
        </w:rPr>
        <w:t xml:space="preserve"> </w:t>
      </w:r>
      <w:r>
        <w:t>are</w:t>
      </w:r>
      <w:r>
        <w:rPr>
          <w:spacing w:val="-4"/>
        </w:rPr>
        <w:t xml:space="preserve"> </w:t>
      </w:r>
      <w:r>
        <w:t>expected</w:t>
      </w:r>
      <w:r>
        <w:rPr>
          <w:spacing w:val="-3"/>
        </w:rPr>
        <w:t xml:space="preserve"> </w:t>
      </w:r>
      <w:r>
        <w:t>to</w:t>
      </w:r>
      <w:r>
        <w:rPr>
          <w:spacing w:val="-3"/>
        </w:rPr>
        <w:t xml:space="preserve"> </w:t>
      </w:r>
      <w:r>
        <w:t>be</w:t>
      </w:r>
      <w:r>
        <w:rPr>
          <w:spacing w:val="-4"/>
        </w:rPr>
        <w:t xml:space="preserve"> </w:t>
      </w:r>
      <w:r>
        <w:t>contextual,</w:t>
      </w:r>
      <w:r>
        <w:rPr>
          <w:spacing w:val="-3"/>
        </w:rPr>
        <w:t xml:space="preserve"> </w:t>
      </w:r>
      <w:r>
        <w:t>and</w:t>
      </w:r>
      <w:r>
        <w:rPr>
          <w:spacing w:val="-3"/>
        </w:rPr>
        <w:t xml:space="preserve"> </w:t>
      </w:r>
      <w:r>
        <w:t>liquidity is expected to be ambiguous. These expectations guide the interpretation of the regression results in Section 4.</w:t>
      </w:r>
    </w:p>
    <w:p w14:paraId="0F06EDD2" w14:textId="77777777" w:rsidR="00ED08FF" w:rsidRDefault="00ED08FF">
      <w:pPr>
        <w:pStyle w:val="BodyText"/>
        <w:spacing w:before="51"/>
        <w:ind w:left="0"/>
      </w:pPr>
    </w:p>
    <w:p w14:paraId="17DE443F" w14:textId="77777777" w:rsidR="00ED08FF" w:rsidRDefault="00000000">
      <w:pPr>
        <w:pStyle w:val="Heading2"/>
        <w:numPr>
          <w:ilvl w:val="1"/>
          <w:numId w:val="1"/>
        </w:numPr>
        <w:tabs>
          <w:tab w:val="left" w:pos="415"/>
        </w:tabs>
        <w:ind w:left="415"/>
      </w:pPr>
      <w:r>
        <w:t>Research</w:t>
      </w:r>
      <w:r>
        <w:rPr>
          <w:spacing w:val="-5"/>
        </w:rPr>
        <w:t xml:space="preserve"> </w:t>
      </w:r>
      <w:r>
        <w:t>Gap</w:t>
      </w:r>
      <w:r>
        <w:rPr>
          <w:spacing w:val="-4"/>
        </w:rPr>
        <w:t xml:space="preserve"> </w:t>
      </w:r>
      <w:r>
        <w:t>and</w:t>
      </w:r>
      <w:r>
        <w:rPr>
          <w:spacing w:val="-3"/>
        </w:rPr>
        <w:t xml:space="preserve"> </w:t>
      </w:r>
      <w:r>
        <w:t>Position</w:t>
      </w:r>
      <w:r>
        <w:rPr>
          <w:spacing w:val="-5"/>
        </w:rPr>
        <w:t xml:space="preserve"> </w:t>
      </w:r>
      <w:r>
        <w:t>of</w:t>
      </w:r>
      <w:r>
        <w:rPr>
          <w:spacing w:val="-3"/>
        </w:rPr>
        <w:t xml:space="preserve"> </w:t>
      </w:r>
      <w:r>
        <w:t>the</w:t>
      </w:r>
      <w:r>
        <w:rPr>
          <w:spacing w:val="-4"/>
        </w:rPr>
        <w:t xml:space="preserve"> </w:t>
      </w:r>
      <w:r>
        <w:rPr>
          <w:spacing w:val="-2"/>
        </w:rPr>
        <w:t>Study</w:t>
      </w:r>
    </w:p>
    <w:p w14:paraId="44ECD148" w14:textId="77777777" w:rsidR="00ED08FF" w:rsidRDefault="00000000">
      <w:pPr>
        <w:pStyle w:val="BodyText"/>
        <w:spacing w:before="50"/>
      </w:pPr>
      <w:r>
        <w:t>The</w:t>
      </w:r>
      <w:r>
        <w:rPr>
          <w:spacing w:val="-6"/>
        </w:rPr>
        <w:t xml:space="preserve"> </w:t>
      </w:r>
      <w:r>
        <w:t>first</w:t>
      </w:r>
      <w:r>
        <w:rPr>
          <w:spacing w:val="-4"/>
        </w:rPr>
        <w:t xml:space="preserve"> </w:t>
      </w:r>
      <w:r>
        <w:t>research</w:t>
      </w:r>
      <w:r>
        <w:rPr>
          <w:spacing w:val="-3"/>
        </w:rPr>
        <w:t xml:space="preserve"> </w:t>
      </w:r>
      <w:r>
        <w:t>gap</w:t>
      </w:r>
      <w:r>
        <w:rPr>
          <w:spacing w:val="-4"/>
        </w:rPr>
        <w:t xml:space="preserve"> </w:t>
      </w:r>
      <w:r>
        <w:t>concerns</w:t>
      </w:r>
      <w:r>
        <w:rPr>
          <w:spacing w:val="-3"/>
        </w:rPr>
        <w:t xml:space="preserve"> </w:t>
      </w:r>
      <w:r>
        <w:t>the</w:t>
      </w:r>
      <w:r>
        <w:rPr>
          <w:spacing w:val="-4"/>
        </w:rPr>
        <w:t xml:space="preserve"> </w:t>
      </w:r>
      <w:r>
        <w:t>need</w:t>
      </w:r>
      <w:r>
        <w:rPr>
          <w:spacing w:val="-3"/>
        </w:rPr>
        <w:t xml:space="preserve"> </w:t>
      </w:r>
      <w:r>
        <w:t>for</w:t>
      </w:r>
      <w:r>
        <w:rPr>
          <w:spacing w:val="-4"/>
        </w:rPr>
        <w:t xml:space="preserve"> </w:t>
      </w:r>
      <w:r>
        <w:t>recent</w:t>
      </w:r>
      <w:r>
        <w:rPr>
          <w:spacing w:val="-3"/>
        </w:rPr>
        <w:t xml:space="preserve"> </w:t>
      </w:r>
      <w:r>
        <w:t>evidence</w:t>
      </w:r>
      <w:r>
        <w:rPr>
          <w:spacing w:val="-4"/>
        </w:rPr>
        <w:t xml:space="preserve"> </w:t>
      </w:r>
      <w:r>
        <w:t>from</w:t>
      </w:r>
      <w:r>
        <w:rPr>
          <w:spacing w:val="-4"/>
        </w:rPr>
        <w:t xml:space="preserve"> </w:t>
      </w:r>
      <w:r>
        <w:t>Indonesian</w:t>
      </w:r>
      <w:r>
        <w:rPr>
          <w:spacing w:val="-3"/>
        </w:rPr>
        <w:t xml:space="preserve"> </w:t>
      </w:r>
      <w:r>
        <w:t>consumer</w:t>
      </w:r>
      <w:r>
        <w:rPr>
          <w:spacing w:val="-4"/>
        </w:rPr>
        <w:t xml:space="preserve"> </w:t>
      </w:r>
      <w:r>
        <w:t>non-cyclicals</w:t>
      </w:r>
      <w:r>
        <w:rPr>
          <w:spacing w:val="-3"/>
        </w:rPr>
        <w:t xml:space="preserve"> </w:t>
      </w:r>
      <w:r>
        <w:rPr>
          <w:spacing w:val="-2"/>
        </w:rPr>
        <w:t>companies.</w:t>
      </w:r>
    </w:p>
    <w:p w14:paraId="4C2595AE" w14:textId="77777777" w:rsidR="00ED08FF" w:rsidRDefault="00000000">
      <w:pPr>
        <w:pStyle w:val="BodyText"/>
        <w:spacing w:before="50" w:line="297" w:lineRule="auto"/>
        <w:ind w:right="1671"/>
      </w:pPr>
      <w:r>
        <w:rPr>
          <w:color w:val="000000"/>
          <w:highlight w:val="yellow"/>
        </w:rPr>
        <w:t>Much</w:t>
      </w:r>
      <w:r>
        <w:rPr>
          <w:color w:val="000000"/>
          <w:spacing w:val="-3"/>
          <w:highlight w:val="yellow"/>
        </w:rPr>
        <w:t xml:space="preserve"> </w:t>
      </w:r>
      <w:r>
        <w:rPr>
          <w:color w:val="000000"/>
          <w:highlight w:val="yellow"/>
        </w:rPr>
        <w:t>of</w:t>
      </w:r>
      <w:r>
        <w:rPr>
          <w:color w:val="000000"/>
          <w:spacing w:val="-3"/>
          <w:highlight w:val="yellow"/>
        </w:rPr>
        <w:t xml:space="preserve"> </w:t>
      </w:r>
      <w:r>
        <w:rPr>
          <w:color w:val="000000"/>
          <w:highlight w:val="yellow"/>
        </w:rPr>
        <w:t>the</w:t>
      </w:r>
      <w:r>
        <w:rPr>
          <w:color w:val="000000"/>
          <w:spacing w:val="-4"/>
          <w:highlight w:val="yellow"/>
        </w:rPr>
        <w:t xml:space="preserve"> </w:t>
      </w:r>
      <w:r>
        <w:rPr>
          <w:color w:val="000000"/>
          <w:highlight w:val="yellow"/>
        </w:rPr>
        <w:t>available</w:t>
      </w:r>
      <w:r>
        <w:rPr>
          <w:color w:val="000000"/>
          <w:spacing w:val="-4"/>
          <w:highlight w:val="yellow"/>
        </w:rPr>
        <w:t xml:space="preserve"> </w:t>
      </w:r>
      <w:r>
        <w:rPr>
          <w:color w:val="000000"/>
          <w:highlight w:val="yellow"/>
        </w:rPr>
        <w:t>student-oriented</w:t>
      </w:r>
      <w:r>
        <w:rPr>
          <w:color w:val="000000"/>
          <w:spacing w:val="-3"/>
          <w:highlight w:val="yellow"/>
        </w:rPr>
        <w:t xml:space="preserve"> </w:t>
      </w:r>
      <w:r>
        <w:rPr>
          <w:color w:val="000000"/>
          <w:highlight w:val="yellow"/>
        </w:rPr>
        <w:t>literature</w:t>
      </w:r>
      <w:r>
        <w:rPr>
          <w:color w:val="000000"/>
          <w:spacing w:val="-4"/>
          <w:highlight w:val="yellow"/>
        </w:rPr>
        <w:t xml:space="preserve"> </w:t>
      </w:r>
      <w:r>
        <w:rPr>
          <w:color w:val="000000"/>
          <w:highlight w:val="yellow"/>
        </w:rPr>
        <w:t>uses</w:t>
      </w:r>
      <w:r>
        <w:rPr>
          <w:color w:val="000000"/>
          <w:spacing w:val="-4"/>
          <w:highlight w:val="yellow"/>
        </w:rPr>
        <w:t xml:space="preserve"> </w:t>
      </w:r>
      <w:r>
        <w:rPr>
          <w:color w:val="000000"/>
          <w:highlight w:val="yellow"/>
        </w:rPr>
        <w:t>older</w:t>
      </w:r>
      <w:r>
        <w:rPr>
          <w:color w:val="000000"/>
          <w:spacing w:val="-3"/>
          <w:highlight w:val="yellow"/>
        </w:rPr>
        <w:t xml:space="preserve"> </w:t>
      </w:r>
      <w:r>
        <w:rPr>
          <w:color w:val="000000"/>
          <w:highlight w:val="yellow"/>
        </w:rPr>
        <w:t>periods,</w:t>
      </w:r>
      <w:r>
        <w:rPr>
          <w:color w:val="000000"/>
          <w:spacing w:val="-3"/>
          <w:highlight w:val="yellow"/>
        </w:rPr>
        <w:t xml:space="preserve"> </w:t>
      </w:r>
      <w:r>
        <w:rPr>
          <w:color w:val="000000"/>
          <w:highlight w:val="yellow"/>
        </w:rPr>
        <w:t>broad</w:t>
      </w:r>
      <w:r>
        <w:rPr>
          <w:color w:val="000000"/>
          <w:spacing w:val="-3"/>
          <w:highlight w:val="yellow"/>
        </w:rPr>
        <w:t xml:space="preserve"> </w:t>
      </w:r>
      <w:r>
        <w:rPr>
          <w:color w:val="000000"/>
          <w:highlight w:val="yellow"/>
        </w:rPr>
        <w:t>manufacturing</w:t>
      </w:r>
      <w:r>
        <w:rPr>
          <w:color w:val="000000"/>
          <w:spacing w:val="-3"/>
          <w:highlight w:val="yellow"/>
        </w:rPr>
        <w:t xml:space="preserve"> </w:t>
      </w:r>
      <w:r>
        <w:rPr>
          <w:color w:val="000000"/>
          <w:highlight w:val="yellow"/>
        </w:rPr>
        <w:t>samples,</w:t>
      </w:r>
      <w:r>
        <w:rPr>
          <w:color w:val="000000"/>
          <w:spacing w:val="-3"/>
          <w:highlight w:val="yellow"/>
        </w:rPr>
        <w:t xml:space="preserve"> </w:t>
      </w:r>
      <w:r>
        <w:rPr>
          <w:color w:val="000000"/>
          <w:highlight w:val="yellow"/>
        </w:rPr>
        <w:t>or</w:t>
      </w:r>
      <w:r>
        <w:rPr>
          <w:color w:val="000000"/>
          <w:spacing w:val="-3"/>
          <w:highlight w:val="yellow"/>
        </w:rPr>
        <w:t xml:space="preserve"> </w:t>
      </w:r>
      <w:r>
        <w:rPr>
          <w:color w:val="000000"/>
          <w:highlight w:val="yellow"/>
        </w:rPr>
        <w:t>mixed-sector</w:t>
      </w:r>
      <w:r>
        <w:rPr>
          <w:color w:val="000000"/>
          <w:spacing w:val="-3"/>
          <w:highlight w:val="yellow"/>
        </w:rPr>
        <w:t xml:space="preserve"> </w:t>
      </w:r>
      <w:r>
        <w:rPr>
          <w:color w:val="000000"/>
          <w:highlight w:val="yellow"/>
        </w:rPr>
        <w:t>samples.</w:t>
      </w:r>
      <w:r>
        <w:rPr>
          <w:color w:val="000000"/>
        </w:rPr>
        <w:t xml:space="preserve"> Mixed samples can be convenient, but they may create interpretation problems because financial ratios have different meanings across sectors. A focused consumer non-cyclicals sample gives a clearer business context.</w:t>
      </w:r>
    </w:p>
    <w:p w14:paraId="58EC0030" w14:textId="77777777" w:rsidR="00ED08FF" w:rsidRDefault="00000000">
      <w:pPr>
        <w:pStyle w:val="BodyText"/>
        <w:spacing w:line="297" w:lineRule="auto"/>
        <w:ind w:right="2145"/>
      </w:pPr>
      <w:r>
        <w:t>The</w:t>
      </w:r>
      <w:r>
        <w:rPr>
          <w:spacing w:val="-4"/>
        </w:rPr>
        <w:t xml:space="preserve"> </w:t>
      </w:r>
      <w:r>
        <w:t>second</w:t>
      </w:r>
      <w:r>
        <w:rPr>
          <w:spacing w:val="-3"/>
        </w:rPr>
        <w:t xml:space="preserve"> </w:t>
      </w:r>
      <w:r>
        <w:t>gap</w:t>
      </w:r>
      <w:r>
        <w:rPr>
          <w:spacing w:val="-3"/>
        </w:rPr>
        <w:t xml:space="preserve"> </w:t>
      </w:r>
      <w:r>
        <w:t>concerns</w:t>
      </w:r>
      <w:r>
        <w:rPr>
          <w:spacing w:val="-4"/>
        </w:rPr>
        <w:t xml:space="preserve"> </w:t>
      </w:r>
      <w:r>
        <w:t>transparency.</w:t>
      </w:r>
      <w:r>
        <w:rPr>
          <w:spacing w:val="-3"/>
        </w:rPr>
        <w:t xml:space="preserve"> </w:t>
      </w:r>
      <w:r>
        <w:t>Many</w:t>
      </w:r>
      <w:r>
        <w:rPr>
          <w:spacing w:val="-3"/>
        </w:rPr>
        <w:t xml:space="preserve"> </w:t>
      </w:r>
      <w:r>
        <w:t>papers</w:t>
      </w:r>
      <w:r>
        <w:rPr>
          <w:spacing w:val="-4"/>
        </w:rPr>
        <w:t xml:space="preserve"> </w:t>
      </w:r>
      <w:r>
        <w:t>discuss</w:t>
      </w:r>
      <w:r>
        <w:rPr>
          <w:spacing w:val="-4"/>
        </w:rPr>
        <w:t xml:space="preserve"> </w:t>
      </w:r>
      <w:r>
        <w:t>variables</w:t>
      </w:r>
      <w:r>
        <w:rPr>
          <w:spacing w:val="-4"/>
        </w:rPr>
        <w:t xml:space="preserve"> </w:t>
      </w:r>
      <w:r>
        <w:t>but</w:t>
      </w:r>
      <w:r>
        <w:rPr>
          <w:spacing w:val="-4"/>
        </w:rPr>
        <w:t xml:space="preserve"> </w:t>
      </w:r>
      <w:r>
        <w:t>do</w:t>
      </w:r>
      <w:r>
        <w:rPr>
          <w:spacing w:val="-3"/>
        </w:rPr>
        <w:t xml:space="preserve"> </w:t>
      </w:r>
      <w:r>
        <w:t>not</w:t>
      </w:r>
      <w:r>
        <w:rPr>
          <w:spacing w:val="-4"/>
        </w:rPr>
        <w:t xml:space="preserve"> </w:t>
      </w:r>
      <w:r>
        <w:t>provide</w:t>
      </w:r>
      <w:r>
        <w:rPr>
          <w:spacing w:val="-4"/>
        </w:rPr>
        <w:t xml:space="preserve"> </w:t>
      </w:r>
      <w:r>
        <w:t>enough</w:t>
      </w:r>
      <w:r>
        <w:rPr>
          <w:spacing w:val="-3"/>
        </w:rPr>
        <w:t xml:space="preserve"> </w:t>
      </w:r>
      <w:r>
        <w:t>detail</w:t>
      </w:r>
      <w:r>
        <w:rPr>
          <w:spacing w:val="-4"/>
        </w:rPr>
        <w:t xml:space="preserve"> </w:t>
      </w:r>
      <w:r>
        <w:t>on</w:t>
      </w:r>
      <w:r>
        <w:rPr>
          <w:spacing w:val="-3"/>
        </w:rPr>
        <w:t xml:space="preserve"> </w:t>
      </w:r>
      <w:r>
        <w:t>the</w:t>
      </w:r>
      <w:r>
        <w:rPr>
          <w:spacing w:val="-4"/>
        </w:rPr>
        <w:t xml:space="preserve"> </w:t>
      </w:r>
      <w:r>
        <w:t xml:space="preserve">dataset used for estimation. This paper positions itself as a replicable empirical article. The data table, descriptive statistics, correlation matrix, model equation, and robustness comparison are included so that the calculation can be reviewed </w:t>
      </w:r>
      <w:r>
        <w:rPr>
          <w:color w:val="000000"/>
          <w:highlight w:val="yellow"/>
        </w:rPr>
        <w:t>rather than accepted without review.</w:t>
      </w:r>
    </w:p>
    <w:p w14:paraId="70D01251" w14:textId="77777777" w:rsidR="00ED08FF" w:rsidRDefault="00000000">
      <w:pPr>
        <w:pStyle w:val="BodyText"/>
        <w:spacing w:before="2" w:line="297" w:lineRule="auto"/>
        <w:ind w:right="1762"/>
      </w:pPr>
      <w:r>
        <w:t>The third gap concerns liquidity interpretation. Liquidity is often treated too mechanically as a positive indicator. This study does not assume that high current ratio always increases firm value. It tests the relationship and interprets the result through</w:t>
      </w:r>
      <w:r>
        <w:rPr>
          <w:spacing w:val="-3"/>
        </w:rPr>
        <w:t xml:space="preserve"> </w:t>
      </w:r>
      <w:r>
        <w:t>working</w:t>
      </w:r>
      <w:r>
        <w:rPr>
          <w:spacing w:val="-3"/>
        </w:rPr>
        <w:t xml:space="preserve"> </w:t>
      </w:r>
      <w:r>
        <w:t>capital</w:t>
      </w:r>
      <w:r>
        <w:rPr>
          <w:spacing w:val="-4"/>
        </w:rPr>
        <w:t xml:space="preserve"> </w:t>
      </w:r>
      <w:r>
        <w:t>efficiency.</w:t>
      </w:r>
      <w:r>
        <w:rPr>
          <w:spacing w:val="-3"/>
        </w:rPr>
        <w:t xml:space="preserve"> </w:t>
      </w:r>
      <w:r>
        <w:t>This</w:t>
      </w:r>
      <w:r>
        <w:rPr>
          <w:spacing w:val="-4"/>
        </w:rPr>
        <w:t xml:space="preserve"> </w:t>
      </w:r>
      <w:r>
        <w:t>is</w:t>
      </w:r>
      <w:r>
        <w:rPr>
          <w:spacing w:val="-4"/>
        </w:rPr>
        <w:t xml:space="preserve"> </w:t>
      </w:r>
      <w:r>
        <w:t>important</w:t>
      </w:r>
      <w:r>
        <w:rPr>
          <w:spacing w:val="-4"/>
        </w:rPr>
        <w:t xml:space="preserve"> </w:t>
      </w:r>
      <w:r>
        <w:t>because</w:t>
      </w:r>
      <w:r>
        <w:rPr>
          <w:spacing w:val="-4"/>
        </w:rPr>
        <w:t xml:space="preserve"> </w:t>
      </w:r>
      <w:r>
        <w:t>consumer</w:t>
      </w:r>
      <w:r>
        <w:rPr>
          <w:spacing w:val="-3"/>
        </w:rPr>
        <w:t xml:space="preserve"> </w:t>
      </w:r>
      <w:r>
        <w:t>non-cyclicals</w:t>
      </w:r>
      <w:r>
        <w:rPr>
          <w:spacing w:val="-3"/>
        </w:rPr>
        <w:t xml:space="preserve"> </w:t>
      </w:r>
      <w:r>
        <w:t>companies</w:t>
      </w:r>
      <w:r>
        <w:rPr>
          <w:spacing w:val="-4"/>
        </w:rPr>
        <w:t xml:space="preserve"> </w:t>
      </w:r>
      <w:r>
        <w:t>rely</w:t>
      </w:r>
      <w:r>
        <w:rPr>
          <w:spacing w:val="-3"/>
        </w:rPr>
        <w:t xml:space="preserve"> </w:t>
      </w:r>
      <w:r>
        <w:t>heavily</w:t>
      </w:r>
      <w:r>
        <w:rPr>
          <w:spacing w:val="-3"/>
        </w:rPr>
        <w:t xml:space="preserve"> </w:t>
      </w:r>
      <w:r>
        <w:t>on</w:t>
      </w:r>
      <w:r>
        <w:rPr>
          <w:spacing w:val="-3"/>
        </w:rPr>
        <w:t xml:space="preserve"> </w:t>
      </w:r>
      <w:r>
        <w:t>inventory, receivables, payables, and cash conversion.</w:t>
      </w:r>
    </w:p>
    <w:p w14:paraId="795BA84E" w14:textId="77777777" w:rsidR="00ED08FF" w:rsidRDefault="00ED08FF">
      <w:pPr>
        <w:pStyle w:val="BodyText"/>
        <w:spacing w:before="51"/>
        <w:ind w:left="0"/>
      </w:pPr>
    </w:p>
    <w:p w14:paraId="4C54B458" w14:textId="77777777" w:rsidR="00ED08FF" w:rsidRDefault="00000000">
      <w:pPr>
        <w:pStyle w:val="BodyText"/>
        <w:spacing w:before="0" w:line="297" w:lineRule="auto"/>
        <w:ind w:right="1903"/>
      </w:pPr>
      <w:r>
        <w:t>The</w:t>
      </w:r>
      <w:r>
        <w:rPr>
          <w:spacing w:val="-4"/>
        </w:rPr>
        <w:t xml:space="preserve"> </w:t>
      </w:r>
      <w:r>
        <w:t>fourth</w:t>
      </w:r>
      <w:r>
        <w:rPr>
          <w:spacing w:val="-3"/>
        </w:rPr>
        <w:t xml:space="preserve"> </w:t>
      </w:r>
      <w:r>
        <w:t>gap</w:t>
      </w:r>
      <w:r>
        <w:rPr>
          <w:spacing w:val="-3"/>
        </w:rPr>
        <w:t xml:space="preserve"> </w:t>
      </w:r>
      <w:r>
        <w:t>concerns</w:t>
      </w:r>
      <w:r>
        <w:rPr>
          <w:spacing w:val="-4"/>
        </w:rPr>
        <w:t xml:space="preserve"> </w:t>
      </w:r>
      <w:r>
        <w:t>the</w:t>
      </w:r>
      <w:r>
        <w:rPr>
          <w:spacing w:val="-4"/>
        </w:rPr>
        <w:t xml:space="preserve"> </w:t>
      </w:r>
      <w:r>
        <w:t>difference</w:t>
      </w:r>
      <w:r>
        <w:rPr>
          <w:spacing w:val="-4"/>
        </w:rPr>
        <w:t xml:space="preserve"> </w:t>
      </w:r>
      <w:r>
        <w:t>between</w:t>
      </w:r>
      <w:r>
        <w:rPr>
          <w:spacing w:val="-3"/>
        </w:rPr>
        <w:t xml:space="preserve"> </w:t>
      </w:r>
      <w:r>
        <w:t>accounting</w:t>
      </w:r>
      <w:r>
        <w:rPr>
          <w:spacing w:val="-3"/>
        </w:rPr>
        <w:t xml:space="preserve"> </w:t>
      </w:r>
      <w:r>
        <w:t>strength</w:t>
      </w:r>
      <w:r>
        <w:rPr>
          <w:spacing w:val="-3"/>
        </w:rPr>
        <w:t xml:space="preserve"> </w:t>
      </w:r>
      <w:r>
        <w:t>and</w:t>
      </w:r>
      <w:r>
        <w:rPr>
          <w:spacing w:val="-3"/>
        </w:rPr>
        <w:t xml:space="preserve"> </w:t>
      </w:r>
      <w:r>
        <w:t>market</w:t>
      </w:r>
      <w:r>
        <w:rPr>
          <w:spacing w:val="-4"/>
        </w:rPr>
        <w:t xml:space="preserve"> </w:t>
      </w:r>
      <w:r>
        <w:t>perception.</w:t>
      </w:r>
      <w:r>
        <w:rPr>
          <w:spacing w:val="-3"/>
        </w:rPr>
        <w:t xml:space="preserve"> </w:t>
      </w:r>
      <w:r>
        <w:t>A</w:t>
      </w:r>
      <w:r>
        <w:rPr>
          <w:spacing w:val="-4"/>
        </w:rPr>
        <w:t xml:space="preserve"> </w:t>
      </w:r>
      <w:r>
        <w:t>firm</w:t>
      </w:r>
      <w:r>
        <w:rPr>
          <w:spacing w:val="-4"/>
        </w:rPr>
        <w:t xml:space="preserve"> </w:t>
      </w:r>
      <w:r>
        <w:t>can</w:t>
      </w:r>
      <w:r>
        <w:rPr>
          <w:spacing w:val="-3"/>
        </w:rPr>
        <w:t xml:space="preserve"> </w:t>
      </w:r>
      <w:r>
        <w:t>be</w:t>
      </w:r>
      <w:r>
        <w:rPr>
          <w:spacing w:val="-4"/>
        </w:rPr>
        <w:t xml:space="preserve"> </w:t>
      </w:r>
      <w:r>
        <w:t>profitable</w:t>
      </w:r>
      <w:r>
        <w:rPr>
          <w:spacing w:val="-4"/>
        </w:rPr>
        <w:t xml:space="preserve"> </w:t>
      </w:r>
      <w:r>
        <w:t>but still experience valuation pressure if investors expect slower growth. A firm can be large but not highly valued if asset productivity is weak. This paper explicitly separates profitability, scale, and liquidity so that the discussion does not collapse all financial strength into one broad concept.</w:t>
      </w:r>
    </w:p>
    <w:p w14:paraId="68975F1F" w14:textId="77777777" w:rsidR="00ED08FF" w:rsidRDefault="00000000">
      <w:pPr>
        <w:pStyle w:val="BodyText"/>
        <w:spacing w:before="2" w:line="297" w:lineRule="auto"/>
        <w:ind w:right="1903"/>
      </w:pPr>
      <w:r>
        <w:t>The position of this study is therefore modest but useful. It does not try to produce a universal valuation theory. It provides</w:t>
      </w:r>
      <w:r>
        <w:rPr>
          <w:spacing w:val="-4"/>
        </w:rPr>
        <w:t xml:space="preserve"> </w:t>
      </w:r>
      <w:r>
        <w:t>a</w:t>
      </w:r>
      <w:r>
        <w:rPr>
          <w:spacing w:val="-4"/>
        </w:rPr>
        <w:t xml:space="preserve"> </w:t>
      </w:r>
      <w:r>
        <w:t>clear</w:t>
      </w:r>
      <w:r>
        <w:rPr>
          <w:spacing w:val="-3"/>
        </w:rPr>
        <w:t xml:space="preserve"> </w:t>
      </w:r>
      <w:r>
        <w:t>empirical</w:t>
      </w:r>
      <w:r>
        <w:rPr>
          <w:spacing w:val="-4"/>
        </w:rPr>
        <w:t xml:space="preserve"> </w:t>
      </w:r>
      <w:r>
        <w:t>test</w:t>
      </w:r>
      <w:r>
        <w:rPr>
          <w:spacing w:val="-4"/>
        </w:rPr>
        <w:t xml:space="preserve"> </w:t>
      </w:r>
      <w:r>
        <w:t>using</w:t>
      </w:r>
      <w:r>
        <w:rPr>
          <w:spacing w:val="-3"/>
        </w:rPr>
        <w:t xml:space="preserve"> </w:t>
      </w:r>
      <w:r>
        <w:t>accessible</w:t>
      </w:r>
      <w:r>
        <w:rPr>
          <w:spacing w:val="-4"/>
        </w:rPr>
        <w:t xml:space="preserve"> </w:t>
      </w:r>
      <w:r>
        <w:t>data,</w:t>
      </w:r>
      <w:r>
        <w:rPr>
          <w:spacing w:val="-3"/>
        </w:rPr>
        <w:t xml:space="preserve"> </w:t>
      </w:r>
      <w:r>
        <w:t>recent</w:t>
      </w:r>
      <w:r>
        <w:rPr>
          <w:spacing w:val="-4"/>
        </w:rPr>
        <w:t xml:space="preserve"> </w:t>
      </w:r>
      <w:r>
        <w:t>years,</w:t>
      </w:r>
      <w:r>
        <w:rPr>
          <w:spacing w:val="-3"/>
        </w:rPr>
        <w:t xml:space="preserve"> </w:t>
      </w:r>
      <w:r>
        <w:t>and</w:t>
      </w:r>
      <w:r>
        <w:rPr>
          <w:spacing w:val="-3"/>
        </w:rPr>
        <w:t xml:space="preserve"> </w:t>
      </w:r>
      <w:r>
        <w:t>a</w:t>
      </w:r>
      <w:r>
        <w:rPr>
          <w:spacing w:val="-4"/>
        </w:rPr>
        <w:t xml:space="preserve"> </w:t>
      </w:r>
      <w:r>
        <w:t>sectorally</w:t>
      </w:r>
      <w:r>
        <w:rPr>
          <w:spacing w:val="-3"/>
        </w:rPr>
        <w:t xml:space="preserve"> </w:t>
      </w:r>
      <w:r>
        <w:t>coherent</w:t>
      </w:r>
      <w:r>
        <w:rPr>
          <w:spacing w:val="-4"/>
        </w:rPr>
        <w:t xml:space="preserve"> </w:t>
      </w:r>
      <w:r>
        <w:t>sample.</w:t>
      </w:r>
      <w:r>
        <w:rPr>
          <w:spacing w:val="-3"/>
        </w:rPr>
        <w:t xml:space="preserve"> </w:t>
      </w:r>
      <w:r>
        <w:t>This</w:t>
      </w:r>
      <w:r>
        <w:rPr>
          <w:spacing w:val="-4"/>
        </w:rPr>
        <w:t xml:space="preserve"> </w:t>
      </w:r>
      <w:r>
        <w:t>makes</w:t>
      </w:r>
      <w:r>
        <w:rPr>
          <w:spacing w:val="-4"/>
        </w:rPr>
        <w:t xml:space="preserve"> </w:t>
      </w:r>
      <w:r>
        <w:t>the</w:t>
      </w:r>
    </w:p>
    <w:p w14:paraId="12290939" w14:textId="77777777" w:rsidR="00ED08FF" w:rsidRDefault="00000000">
      <w:pPr>
        <w:pStyle w:val="BodyText"/>
        <w:spacing w:before="0"/>
      </w:pPr>
      <w:r>
        <w:t>paper</w:t>
      </w:r>
      <w:r>
        <w:rPr>
          <w:spacing w:val="-6"/>
        </w:rPr>
        <w:t xml:space="preserve"> </w:t>
      </w:r>
      <w:r>
        <w:t>suitable</w:t>
      </w:r>
      <w:r>
        <w:rPr>
          <w:spacing w:val="-4"/>
        </w:rPr>
        <w:t xml:space="preserve"> </w:t>
      </w:r>
      <w:r>
        <w:t>for</w:t>
      </w:r>
      <w:r>
        <w:rPr>
          <w:spacing w:val="-3"/>
        </w:rPr>
        <w:t xml:space="preserve"> </w:t>
      </w:r>
      <w:r>
        <w:t>accounting</w:t>
      </w:r>
      <w:r>
        <w:rPr>
          <w:spacing w:val="-3"/>
        </w:rPr>
        <w:t xml:space="preserve"> </w:t>
      </w:r>
      <w:r>
        <w:t>coursework,</w:t>
      </w:r>
      <w:r>
        <w:rPr>
          <w:spacing w:val="-4"/>
        </w:rPr>
        <w:t xml:space="preserve"> </w:t>
      </w:r>
      <w:r>
        <w:t>journal-style</w:t>
      </w:r>
      <w:r>
        <w:rPr>
          <w:spacing w:val="-4"/>
        </w:rPr>
        <w:t xml:space="preserve"> </w:t>
      </w:r>
      <w:r>
        <w:t>article</w:t>
      </w:r>
      <w:r>
        <w:rPr>
          <w:spacing w:val="-4"/>
        </w:rPr>
        <w:t xml:space="preserve"> </w:t>
      </w:r>
      <w:r>
        <w:t>drafting,</w:t>
      </w:r>
      <w:r>
        <w:rPr>
          <w:spacing w:val="-3"/>
        </w:rPr>
        <w:t xml:space="preserve"> </w:t>
      </w:r>
      <w:r>
        <w:t>and</w:t>
      </w:r>
      <w:r>
        <w:rPr>
          <w:spacing w:val="-3"/>
        </w:rPr>
        <w:t xml:space="preserve"> </w:t>
      </w:r>
      <w:r>
        <w:t>further</w:t>
      </w:r>
      <w:r>
        <w:rPr>
          <w:spacing w:val="-4"/>
        </w:rPr>
        <w:t xml:space="preserve"> </w:t>
      </w:r>
      <w:r>
        <w:t>development</w:t>
      </w:r>
      <w:r>
        <w:rPr>
          <w:spacing w:val="-4"/>
        </w:rPr>
        <w:t xml:space="preserve"> </w:t>
      </w:r>
      <w:r>
        <w:t>into</w:t>
      </w:r>
      <w:r>
        <w:rPr>
          <w:spacing w:val="-3"/>
        </w:rPr>
        <w:t xml:space="preserve"> </w:t>
      </w:r>
      <w:r>
        <w:t>a</w:t>
      </w:r>
      <w:r>
        <w:rPr>
          <w:spacing w:val="-4"/>
        </w:rPr>
        <w:t xml:space="preserve"> </w:t>
      </w:r>
      <w:r>
        <w:t>larger</w:t>
      </w:r>
      <w:r>
        <w:rPr>
          <w:spacing w:val="-4"/>
        </w:rPr>
        <w:t xml:space="preserve"> </w:t>
      </w:r>
      <w:r>
        <w:t>panel</w:t>
      </w:r>
      <w:r>
        <w:rPr>
          <w:spacing w:val="-4"/>
        </w:rPr>
        <w:t xml:space="preserve"> </w:t>
      </w:r>
      <w:r>
        <w:rPr>
          <w:spacing w:val="-2"/>
        </w:rPr>
        <w:t>study.</w:t>
      </w:r>
    </w:p>
    <w:p w14:paraId="4B5384D5" w14:textId="77777777" w:rsidR="00ED08FF" w:rsidRDefault="00000000">
      <w:pPr>
        <w:pStyle w:val="Heading2"/>
        <w:spacing w:before="50"/>
        <w:ind w:left="4195"/>
      </w:pPr>
      <w:r>
        <w:t>Figure</w:t>
      </w:r>
      <w:r>
        <w:rPr>
          <w:spacing w:val="-5"/>
        </w:rPr>
        <w:t xml:space="preserve"> </w:t>
      </w:r>
      <w:r>
        <w:t>1:</w:t>
      </w:r>
      <w:r>
        <w:rPr>
          <w:spacing w:val="-4"/>
        </w:rPr>
        <w:t xml:space="preserve"> </w:t>
      </w:r>
      <w:r>
        <w:t>Research</w:t>
      </w:r>
      <w:r>
        <w:rPr>
          <w:spacing w:val="-4"/>
        </w:rPr>
        <w:t xml:space="preserve"> </w:t>
      </w:r>
      <w:r>
        <w:rPr>
          <w:spacing w:val="-2"/>
        </w:rPr>
        <w:t>Framework</w:t>
      </w:r>
    </w:p>
    <w:p w14:paraId="5E1BB0E6" w14:textId="77777777" w:rsidR="00ED08FF" w:rsidRDefault="00000000">
      <w:pPr>
        <w:pStyle w:val="BodyText"/>
        <w:spacing w:before="86"/>
        <w:ind w:left="0"/>
        <w:rPr>
          <w:b/>
          <w:sz w:val="20"/>
        </w:rPr>
      </w:pPr>
      <w:r>
        <w:rPr>
          <w:b/>
          <w:noProof/>
          <w:sz w:val="20"/>
        </w:rPr>
        <w:drawing>
          <wp:anchor distT="0" distB="0" distL="0" distR="0" simplePos="0" relativeHeight="487587840" behindDoc="1" locked="0" layoutInCell="1" allowOverlap="1" wp14:anchorId="0DDCA7AA" wp14:editId="6518D4A3">
            <wp:simplePos x="0" y="0"/>
            <wp:positionH relativeFrom="page">
              <wp:posOffset>1569719</wp:posOffset>
            </wp:positionH>
            <wp:positionV relativeFrom="paragraph">
              <wp:posOffset>216410</wp:posOffset>
            </wp:positionV>
            <wp:extent cx="4695108" cy="2160270"/>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4695108" cy="2160270"/>
                    </a:xfrm>
                    <a:prstGeom prst="rect">
                      <a:avLst/>
                    </a:prstGeom>
                  </pic:spPr>
                </pic:pic>
              </a:graphicData>
            </a:graphic>
          </wp:anchor>
        </w:drawing>
      </w:r>
    </w:p>
    <w:p w14:paraId="675E595E" w14:textId="77777777" w:rsidR="00ED08FF" w:rsidRDefault="00ED08FF">
      <w:pPr>
        <w:pStyle w:val="BodyText"/>
        <w:spacing w:before="0"/>
        <w:ind w:left="0"/>
        <w:rPr>
          <w:b/>
        </w:rPr>
      </w:pPr>
    </w:p>
    <w:p w14:paraId="299767FB" w14:textId="77777777" w:rsidR="00ED08FF" w:rsidRDefault="00ED08FF">
      <w:pPr>
        <w:pStyle w:val="BodyText"/>
        <w:spacing w:before="190"/>
        <w:ind w:left="0"/>
        <w:rPr>
          <w:b/>
        </w:rPr>
      </w:pPr>
    </w:p>
    <w:p w14:paraId="307CD330" w14:textId="77777777" w:rsidR="00ED08FF" w:rsidRDefault="00000000">
      <w:pPr>
        <w:pStyle w:val="Heading2"/>
        <w:spacing w:before="1"/>
        <w:ind w:left="4245"/>
      </w:pPr>
      <w:r>
        <w:t>Table</w:t>
      </w:r>
      <w:r>
        <w:rPr>
          <w:spacing w:val="-5"/>
        </w:rPr>
        <w:t xml:space="preserve"> </w:t>
      </w:r>
      <w:r>
        <w:t>1:</w:t>
      </w:r>
      <w:r>
        <w:rPr>
          <w:spacing w:val="-4"/>
        </w:rPr>
        <w:t xml:space="preserve"> </w:t>
      </w:r>
      <w:r>
        <w:t>Research</w:t>
      </w:r>
      <w:r>
        <w:rPr>
          <w:spacing w:val="-4"/>
        </w:rPr>
        <w:t xml:space="preserve"> </w:t>
      </w:r>
      <w:r>
        <w:rPr>
          <w:spacing w:val="-2"/>
        </w:rPr>
        <w:t>Hypotheses</w:t>
      </w:r>
    </w:p>
    <w:p w14:paraId="3FBEAB75" w14:textId="77777777" w:rsidR="00ED08FF" w:rsidRDefault="00000000">
      <w:pPr>
        <w:tabs>
          <w:tab w:val="left" w:pos="2407"/>
          <w:tab w:val="left" w:pos="5137"/>
          <w:tab w:val="left" w:pos="7868"/>
          <w:tab w:val="left" w:pos="8258"/>
        </w:tabs>
        <w:spacing w:before="49"/>
        <w:ind w:left="1940" w:right="1525" w:hanging="78"/>
        <w:rPr>
          <w:rFonts w:ascii="Courier New"/>
          <w:sz w:val="13"/>
        </w:rPr>
      </w:pPr>
      <w:r>
        <w:rPr>
          <w:rFonts w:ascii="Courier New"/>
          <w:spacing w:val="-4"/>
          <w:sz w:val="13"/>
        </w:rPr>
        <w:t>Code</w:t>
      </w:r>
      <w:r>
        <w:rPr>
          <w:rFonts w:ascii="Courier New"/>
          <w:sz w:val="13"/>
        </w:rPr>
        <w:tab/>
      </w:r>
      <w:r>
        <w:rPr>
          <w:rFonts w:ascii="Courier New"/>
          <w:sz w:val="13"/>
        </w:rPr>
        <w:tab/>
        <w:t>Hypothesis Statement</w:t>
      </w:r>
      <w:r>
        <w:rPr>
          <w:rFonts w:ascii="Courier New"/>
          <w:sz w:val="13"/>
        </w:rPr>
        <w:tab/>
        <w:t>Expected</w:t>
      </w:r>
      <w:r>
        <w:rPr>
          <w:rFonts w:ascii="Courier New"/>
          <w:spacing w:val="-20"/>
          <w:sz w:val="13"/>
        </w:rPr>
        <w:t xml:space="preserve"> </w:t>
      </w:r>
      <w:r>
        <w:rPr>
          <w:rFonts w:ascii="Courier New"/>
          <w:sz w:val="13"/>
        </w:rPr>
        <w:t xml:space="preserve">Direction </w:t>
      </w:r>
      <w:r>
        <w:rPr>
          <w:rFonts w:ascii="Courier New"/>
          <w:spacing w:val="-6"/>
          <w:sz w:val="13"/>
        </w:rPr>
        <w:t>H1</w:t>
      </w:r>
      <w:r>
        <w:rPr>
          <w:rFonts w:ascii="Courier New"/>
          <w:sz w:val="13"/>
        </w:rPr>
        <w:tab/>
        <w:t>Profitability has a positive effect on firm value.</w:t>
      </w:r>
      <w:r>
        <w:rPr>
          <w:rFonts w:ascii="Courier New"/>
          <w:sz w:val="13"/>
        </w:rPr>
        <w:tab/>
      </w:r>
      <w:r>
        <w:rPr>
          <w:rFonts w:ascii="Courier New"/>
          <w:sz w:val="13"/>
        </w:rPr>
        <w:tab/>
      </w:r>
      <w:r>
        <w:rPr>
          <w:rFonts w:ascii="Courier New"/>
          <w:spacing w:val="-2"/>
          <w:sz w:val="13"/>
        </w:rPr>
        <w:t>Positive</w:t>
      </w:r>
    </w:p>
    <w:p w14:paraId="10C48B3D" w14:textId="77777777" w:rsidR="00ED08FF" w:rsidRDefault="00000000">
      <w:pPr>
        <w:tabs>
          <w:tab w:val="left" w:pos="724"/>
          <w:tab w:val="left" w:pos="6341"/>
        </w:tabs>
        <w:spacing w:line="147" w:lineRule="exact"/>
        <w:ind w:left="256"/>
        <w:jc w:val="center"/>
        <w:rPr>
          <w:rFonts w:ascii="Courier New"/>
          <w:sz w:val="13"/>
        </w:rPr>
      </w:pPr>
      <w:r>
        <w:rPr>
          <w:rFonts w:ascii="Courier New"/>
          <w:spacing w:val="-5"/>
          <w:sz w:val="13"/>
        </w:rPr>
        <w:t>H2</w:t>
      </w:r>
      <w:r>
        <w:rPr>
          <w:rFonts w:ascii="Courier New"/>
          <w:sz w:val="13"/>
        </w:rPr>
        <w:tab/>
        <w:t>Leverage</w:t>
      </w:r>
      <w:r>
        <w:rPr>
          <w:rFonts w:ascii="Courier New"/>
          <w:spacing w:val="-5"/>
          <w:sz w:val="13"/>
        </w:rPr>
        <w:t xml:space="preserve"> </w:t>
      </w:r>
      <w:r>
        <w:rPr>
          <w:rFonts w:ascii="Courier New"/>
          <w:sz w:val="13"/>
        </w:rPr>
        <w:t>has</w:t>
      </w:r>
      <w:r>
        <w:rPr>
          <w:rFonts w:ascii="Courier New"/>
          <w:spacing w:val="-4"/>
          <w:sz w:val="13"/>
        </w:rPr>
        <w:t xml:space="preserve"> </w:t>
      </w:r>
      <w:r>
        <w:rPr>
          <w:rFonts w:ascii="Courier New"/>
          <w:sz w:val="13"/>
        </w:rPr>
        <w:t>an</w:t>
      </w:r>
      <w:r>
        <w:rPr>
          <w:rFonts w:ascii="Courier New"/>
          <w:spacing w:val="-4"/>
          <w:sz w:val="13"/>
        </w:rPr>
        <w:t xml:space="preserve"> </w:t>
      </w:r>
      <w:r>
        <w:rPr>
          <w:rFonts w:ascii="Courier New"/>
          <w:sz w:val="13"/>
        </w:rPr>
        <w:t>effect</w:t>
      </w:r>
      <w:r>
        <w:rPr>
          <w:rFonts w:ascii="Courier New"/>
          <w:spacing w:val="-4"/>
          <w:sz w:val="13"/>
        </w:rPr>
        <w:t xml:space="preserve"> </w:t>
      </w:r>
      <w:r>
        <w:rPr>
          <w:rFonts w:ascii="Courier New"/>
          <w:sz w:val="13"/>
        </w:rPr>
        <w:t>on</w:t>
      </w:r>
      <w:r>
        <w:rPr>
          <w:rFonts w:ascii="Courier New"/>
          <w:spacing w:val="-4"/>
          <w:sz w:val="13"/>
        </w:rPr>
        <w:t xml:space="preserve"> </w:t>
      </w:r>
      <w:r>
        <w:rPr>
          <w:rFonts w:ascii="Courier New"/>
          <w:sz w:val="13"/>
        </w:rPr>
        <w:t>firm</w:t>
      </w:r>
      <w:r>
        <w:rPr>
          <w:rFonts w:ascii="Courier New"/>
          <w:spacing w:val="-4"/>
          <w:sz w:val="13"/>
        </w:rPr>
        <w:t xml:space="preserve"> </w:t>
      </w:r>
      <w:r>
        <w:rPr>
          <w:rFonts w:ascii="Courier New"/>
          <w:spacing w:val="-2"/>
          <w:sz w:val="13"/>
        </w:rPr>
        <w:t>value.</w:t>
      </w:r>
      <w:r>
        <w:rPr>
          <w:rFonts w:ascii="Courier New"/>
          <w:sz w:val="13"/>
        </w:rPr>
        <w:tab/>
        <w:t>Open</w:t>
      </w:r>
      <w:r>
        <w:rPr>
          <w:rFonts w:ascii="Courier New"/>
          <w:spacing w:val="-4"/>
          <w:sz w:val="13"/>
        </w:rPr>
        <w:t xml:space="preserve"> </w:t>
      </w:r>
      <w:r>
        <w:rPr>
          <w:rFonts w:ascii="Courier New"/>
          <w:spacing w:val="-2"/>
          <w:sz w:val="13"/>
        </w:rPr>
        <w:t>direction</w:t>
      </w:r>
    </w:p>
    <w:p w14:paraId="5F1E4D91" w14:textId="77777777" w:rsidR="00ED08FF" w:rsidRDefault="00000000">
      <w:pPr>
        <w:tabs>
          <w:tab w:val="left" w:pos="724"/>
          <w:tab w:val="left" w:pos="6341"/>
        </w:tabs>
        <w:spacing w:line="147" w:lineRule="exact"/>
        <w:ind w:left="256"/>
        <w:jc w:val="center"/>
        <w:rPr>
          <w:rFonts w:ascii="Courier New"/>
          <w:sz w:val="13"/>
        </w:rPr>
      </w:pPr>
      <w:r>
        <w:rPr>
          <w:rFonts w:ascii="Courier New"/>
          <w:spacing w:val="-5"/>
          <w:sz w:val="13"/>
        </w:rPr>
        <w:t>H3</w:t>
      </w:r>
      <w:r>
        <w:rPr>
          <w:rFonts w:ascii="Courier New"/>
          <w:sz w:val="13"/>
        </w:rPr>
        <w:tab/>
        <w:t>Firm</w:t>
      </w:r>
      <w:r>
        <w:rPr>
          <w:rFonts w:ascii="Courier New"/>
          <w:spacing w:val="-4"/>
          <w:sz w:val="13"/>
        </w:rPr>
        <w:t xml:space="preserve"> </w:t>
      </w:r>
      <w:r>
        <w:rPr>
          <w:rFonts w:ascii="Courier New"/>
          <w:sz w:val="13"/>
        </w:rPr>
        <w:t>size</w:t>
      </w:r>
      <w:r>
        <w:rPr>
          <w:rFonts w:ascii="Courier New"/>
          <w:spacing w:val="-4"/>
          <w:sz w:val="13"/>
        </w:rPr>
        <w:t xml:space="preserve"> </w:t>
      </w:r>
      <w:r>
        <w:rPr>
          <w:rFonts w:ascii="Courier New"/>
          <w:sz w:val="13"/>
        </w:rPr>
        <w:t>has</w:t>
      </w:r>
      <w:r>
        <w:rPr>
          <w:rFonts w:ascii="Courier New"/>
          <w:spacing w:val="-3"/>
          <w:sz w:val="13"/>
        </w:rPr>
        <w:t xml:space="preserve"> </w:t>
      </w:r>
      <w:r>
        <w:rPr>
          <w:rFonts w:ascii="Courier New"/>
          <w:sz w:val="13"/>
        </w:rPr>
        <w:t>an</w:t>
      </w:r>
      <w:r>
        <w:rPr>
          <w:rFonts w:ascii="Courier New"/>
          <w:spacing w:val="-4"/>
          <w:sz w:val="13"/>
        </w:rPr>
        <w:t xml:space="preserve"> </w:t>
      </w:r>
      <w:r>
        <w:rPr>
          <w:rFonts w:ascii="Courier New"/>
          <w:sz w:val="13"/>
        </w:rPr>
        <w:t>effect</w:t>
      </w:r>
      <w:r>
        <w:rPr>
          <w:rFonts w:ascii="Courier New"/>
          <w:spacing w:val="-3"/>
          <w:sz w:val="13"/>
        </w:rPr>
        <w:t xml:space="preserve"> </w:t>
      </w:r>
      <w:r>
        <w:rPr>
          <w:rFonts w:ascii="Courier New"/>
          <w:sz w:val="13"/>
        </w:rPr>
        <w:t>on</w:t>
      </w:r>
      <w:r>
        <w:rPr>
          <w:rFonts w:ascii="Courier New"/>
          <w:spacing w:val="-4"/>
          <w:sz w:val="13"/>
        </w:rPr>
        <w:t xml:space="preserve"> </w:t>
      </w:r>
      <w:r>
        <w:rPr>
          <w:rFonts w:ascii="Courier New"/>
          <w:sz w:val="13"/>
        </w:rPr>
        <w:t>firm</w:t>
      </w:r>
      <w:r>
        <w:rPr>
          <w:rFonts w:ascii="Courier New"/>
          <w:spacing w:val="-3"/>
          <w:sz w:val="13"/>
        </w:rPr>
        <w:t xml:space="preserve"> </w:t>
      </w:r>
      <w:r>
        <w:rPr>
          <w:rFonts w:ascii="Courier New"/>
          <w:spacing w:val="-2"/>
          <w:sz w:val="13"/>
        </w:rPr>
        <w:t>value.</w:t>
      </w:r>
      <w:r>
        <w:rPr>
          <w:rFonts w:ascii="Courier New"/>
          <w:sz w:val="13"/>
        </w:rPr>
        <w:tab/>
        <w:t>Open</w:t>
      </w:r>
      <w:r>
        <w:rPr>
          <w:rFonts w:ascii="Courier New"/>
          <w:spacing w:val="-4"/>
          <w:sz w:val="13"/>
        </w:rPr>
        <w:t xml:space="preserve"> </w:t>
      </w:r>
      <w:r>
        <w:rPr>
          <w:rFonts w:ascii="Courier New"/>
          <w:spacing w:val="-2"/>
          <w:sz w:val="13"/>
        </w:rPr>
        <w:t>direction</w:t>
      </w:r>
    </w:p>
    <w:p w14:paraId="2892AC89" w14:textId="77777777" w:rsidR="00ED08FF" w:rsidRDefault="00000000">
      <w:pPr>
        <w:tabs>
          <w:tab w:val="left" w:pos="724"/>
          <w:tab w:val="left" w:pos="6341"/>
        </w:tabs>
        <w:ind w:left="256"/>
        <w:jc w:val="center"/>
        <w:rPr>
          <w:rFonts w:ascii="Courier New"/>
          <w:sz w:val="13"/>
        </w:rPr>
      </w:pPr>
      <w:r>
        <w:rPr>
          <w:rFonts w:ascii="Courier New"/>
          <w:spacing w:val="-5"/>
          <w:sz w:val="13"/>
        </w:rPr>
        <w:t>H4</w:t>
      </w:r>
      <w:r>
        <w:rPr>
          <w:rFonts w:ascii="Courier New"/>
          <w:sz w:val="13"/>
        </w:rPr>
        <w:tab/>
        <w:t>Liquidity</w:t>
      </w:r>
      <w:r>
        <w:rPr>
          <w:rFonts w:ascii="Courier New"/>
          <w:spacing w:val="-5"/>
          <w:sz w:val="13"/>
        </w:rPr>
        <w:t xml:space="preserve"> </w:t>
      </w:r>
      <w:r>
        <w:rPr>
          <w:rFonts w:ascii="Courier New"/>
          <w:sz w:val="13"/>
        </w:rPr>
        <w:t>has</w:t>
      </w:r>
      <w:r>
        <w:rPr>
          <w:rFonts w:ascii="Courier New"/>
          <w:spacing w:val="-4"/>
          <w:sz w:val="13"/>
        </w:rPr>
        <w:t xml:space="preserve"> </w:t>
      </w:r>
      <w:r>
        <w:rPr>
          <w:rFonts w:ascii="Courier New"/>
          <w:sz w:val="13"/>
        </w:rPr>
        <w:t>an</w:t>
      </w:r>
      <w:r>
        <w:rPr>
          <w:rFonts w:ascii="Courier New"/>
          <w:spacing w:val="-4"/>
          <w:sz w:val="13"/>
        </w:rPr>
        <w:t xml:space="preserve"> </w:t>
      </w:r>
      <w:r>
        <w:rPr>
          <w:rFonts w:ascii="Courier New"/>
          <w:sz w:val="13"/>
        </w:rPr>
        <w:t>effect</w:t>
      </w:r>
      <w:r>
        <w:rPr>
          <w:rFonts w:ascii="Courier New"/>
          <w:spacing w:val="-5"/>
          <w:sz w:val="13"/>
        </w:rPr>
        <w:t xml:space="preserve"> </w:t>
      </w:r>
      <w:r>
        <w:rPr>
          <w:rFonts w:ascii="Courier New"/>
          <w:sz w:val="13"/>
        </w:rPr>
        <w:t>on</w:t>
      </w:r>
      <w:r>
        <w:rPr>
          <w:rFonts w:ascii="Courier New"/>
          <w:spacing w:val="-4"/>
          <w:sz w:val="13"/>
        </w:rPr>
        <w:t xml:space="preserve"> </w:t>
      </w:r>
      <w:r>
        <w:rPr>
          <w:rFonts w:ascii="Courier New"/>
          <w:sz w:val="13"/>
        </w:rPr>
        <w:t>firm</w:t>
      </w:r>
      <w:r>
        <w:rPr>
          <w:rFonts w:ascii="Courier New"/>
          <w:spacing w:val="-4"/>
          <w:sz w:val="13"/>
        </w:rPr>
        <w:t xml:space="preserve"> </w:t>
      </w:r>
      <w:r>
        <w:rPr>
          <w:rFonts w:ascii="Courier New"/>
          <w:spacing w:val="-2"/>
          <w:sz w:val="13"/>
        </w:rPr>
        <w:t>value.</w:t>
      </w:r>
      <w:r>
        <w:rPr>
          <w:rFonts w:ascii="Courier New"/>
          <w:sz w:val="13"/>
        </w:rPr>
        <w:tab/>
        <w:t>Open</w:t>
      </w:r>
      <w:r>
        <w:rPr>
          <w:rFonts w:ascii="Courier New"/>
          <w:spacing w:val="-4"/>
          <w:sz w:val="13"/>
        </w:rPr>
        <w:t xml:space="preserve"> </w:t>
      </w:r>
      <w:r>
        <w:rPr>
          <w:rFonts w:ascii="Courier New"/>
          <w:spacing w:val="-2"/>
          <w:sz w:val="13"/>
        </w:rPr>
        <w:t>direction</w:t>
      </w:r>
    </w:p>
    <w:p w14:paraId="1DF1DD16" w14:textId="77777777" w:rsidR="00ED08FF" w:rsidRDefault="00ED08FF">
      <w:pPr>
        <w:jc w:val="center"/>
        <w:rPr>
          <w:rFonts w:ascii="Courier New"/>
          <w:sz w:val="13"/>
        </w:rPr>
        <w:sectPr w:rsidR="00ED08FF">
          <w:pgSz w:w="12240" w:h="15840"/>
          <w:pgMar w:top="800" w:right="720" w:bottom="860" w:left="720" w:header="0" w:footer="669" w:gutter="0"/>
          <w:cols w:space="720"/>
        </w:sectPr>
      </w:pPr>
    </w:p>
    <w:p w14:paraId="62BB5C3F" w14:textId="77777777" w:rsidR="00ED08FF" w:rsidRDefault="00000000">
      <w:pPr>
        <w:pStyle w:val="Heading1"/>
        <w:numPr>
          <w:ilvl w:val="0"/>
          <w:numId w:val="1"/>
        </w:numPr>
        <w:tabs>
          <w:tab w:val="left" w:pos="415"/>
        </w:tabs>
        <w:spacing w:before="81"/>
        <w:ind w:left="415"/>
      </w:pPr>
      <w:r>
        <w:lastRenderedPageBreak/>
        <w:t>RESEARCH</w:t>
      </w:r>
      <w:r>
        <w:rPr>
          <w:spacing w:val="-7"/>
        </w:rPr>
        <w:t xml:space="preserve"> </w:t>
      </w:r>
      <w:r>
        <w:rPr>
          <w:spacing w:val="-2"/>
        </w:rPr>
        <w:t>METHOD</w:t>
      </w:r>
    </w:p>
    <w:p w14:paraId="48CED320" w14:textId="77777777" w:rsidR="00ED08FF" w:rsidRDefault="00000000">
      <w:pPr>
        <w:pStyle w:val="Heading2"/>
        <w:numPr>
          <w:ilvl w:val="1"/>
          <w:numId w:val="1"/>
        </w:numPr>
        <w:tabs>
          <w:tab w:val="left" w:pos="415"/>
        </w:tabs>
        <w:spacing w:before="50"/>
        <w:ind w:left="415"/>
      </w:pPr>
      <w:r>
        <w:t>Research</w:t>
      </w:r>
      <w:r>
        <w:rPr>
          <w:spacing w:val="-8"/>
        </w:rPr>
        <w:t xml:space="preserve"> </w:t>
      </w:r>
      <w:r>
        <w:rPr>
          <w:spacing w:val="-2"/>
        </w:rPr>
        <w:t>Design</w:t>
      </w:r>
    </w:p>
    <w:p w14:paraId="41863E3A" w14:textId="77777777" w:rsidR="00ED08FF" w:rsidRDefault="00000000">
      <w:pPr>
        <w:pStyle w:val="BodyText"/>
        <w:spacing w:before="50" w:line="297" w:lineRule="auto"/>
        <w:ind w:right="2072"/>
      </w:pPr>
      <w:r>
        <w:t>This study uses a quantitative explanatory design. Quantitative design is appropriate because the study tests</w:t>
      </w:r>
      <w:r>
        <w:rPr>
          <w:spacing w:val="40"/>
        </w:rPr>
        <w:t xml:space="preserve"> </w:t>
      </w:r>
      <w:r>
        <w:t>measurable</w:t>
      </w:r>
      <w:r>
        <w:rPr>
          <w:spacing w:val="-4"/>
        </w:rPr>
        <w:t xml:space="preserve"> </w:t>
      </w:r>
      <w:r>
        <w:t>relationships</w:t>
      </w:r>
      <w:r>
        <w:rPr>
          <w:spacing w:val="-4"/>
        </w:rPr>
        <w:t xml:space="preserve"> </w:t>
      </w:r>
      <w:r>
        <w:t>among</w:t>
      </w:r>
      <w:r>
        <w:rPr>
          <w:spacing w:val="-3"/>
        </w:rPr>
        <w:t xml:space="preserve"> </w:t>
      </w:r>
      <w:r>
        <w:t>variables</w:t>
      </w:r>
      <w:r>
        <w:rPr>
          <w:spacing w:val="-3"/>
        </w:rPr>
        <w:t xml:space="preserve"> </w:t>
      </w:r>
      <w:r>
        <w:t>using</w:t>
      </w:r>
      <w:r>
        <w:rPr>
          <w:spacing w:val="-3"/>
        </w:rPr>
        <w:t xml:space="preserve"> </w:t>
      </w:r>
      <w:r>
        <w:t>numerical</w:t>
      </w:r>
      <w:r>
        <w:rPr>
          <w:spacing w:val="-4"/>
        </w:rPr>
        <w:t xml:space="preserve"> </w:t>
      </w:r>
      <w:r>
        <w:t>data.</w:t>
      </w:r>
      <w:r>
        <w:rPr>
          <w:spacing w:val="-3"/>
        </w:rPr>
        <w:t xml:space="preserve"> </w:t>
      </w:r>
      <w:r>
        <w:t>The</w:t>
      </w:r>
      <w:r>
        <w:rPr>
          <w:spacing w:val="-4"/>
        </w:rPr>
        <w:t xml:space="preserve"> </w:t>
      </w:r>
      <w:r>
        <w:t>explanatory</w:t>
      </w:r>
      <w:r>
        <w:rPr>
          <w:spacing w:val="-3"/>
        </w:rPr>
        <w:t xml:space="preserve"> </w:t>
      </w:r>
      <w:r>
        <w:t>character</w:t>
      </w:r>
      <w:r>
        <w:rPr>
          <w:spacing w:val="-3"/>
        </w:rPr>
        <w:t xml:space="preserve"> </w:t>
      </w:r>
      <w:r>
        <w:t>lies</w:t>
      </w:r>
      <w:r>
        <w:rPr>
          <w:spacing w:val="-4"/>
        </w:rPr>
        <w:t xml:space="preserve"> </w:t>
      </w:r>
      <w:r>
        <w:t>in</w:t>
      </w:r>
      <w:r>
        <w:rPr>
          <w:spacing w:val="-3"/>
        </w:rPr>
        <w:t xml:space="preserve"> </w:t>
      </w:r>
      <w:r>
        <w:t>the</w:t>
      </w:r>
      <w:r>
        <w:rPr>
          <w:spacing w:val="-4"/>
        </w:rPr>
        <w:t xml:space="preserve"> </w:t>
      </w:r>
      <w:r>
        <w:t>regression</w:t>
      </w:r>
      <w:r>
        <w:rPr>
          <w:spacing w:val="-3"/>
        </w:rPr>
        <w:t xml:space="preserve"> </w:t>
      </w:r>
      <w:r>
        <w:t>model, which estimates whether profitability, leverage, firm size, and liquidity explain firm value. The study does not rely on interviews, perception surveys, or subjective scoring. Every variable is constructed from public financial data.</w:t>
      </w:r>
    </w:p>
    <w:p w14:paraId="560E1B79" w14:textId="77777777" w:rsidR="00ED08FF" w:rsidRDefault="00000000">
      <w:pPr>
        <w:pStyle w:val="BodyText"/>
        <w:spacing w:line="297" w:lineRule="auto"/>
        <w:ind w:right="1903"/>
      </w:pPr>
      <w:r>
        <w:t>The research uses secondary data. Secondary data are suitable because listed companies publish financial information</w:t>
      </w:r>
      <w:r>
        <w:rPr>
          <w:spacing w:val="40"/>
        </w:rPr>
        <w:t xml:space="preserve"> </w:t>
      </w:r>
      <w:r>
        <w:t>and market-based indicators that can be accessed by external researchers. The unit of analysis is firm-year observation. Each</w:t>
      </w:r>
      <w:r>
        <w:rPr>
          <w:spacing w:val="-2"/>
        </w:rPr>
        <w:t xml:space="preserve"> </w:t>
      </w:r>
      <w:r>
        <w:t>observation</w:t>
      </w:r>
      <w:r>
        <w:rPr>
          <w:spacing w:val="-2"/>
        </w:rPr>
        <w:t xml:space="preserve"> </w:t>
      </w:r>
      <w:r>
        <w:t>consists</w:t>
      </w:r>
      <w:r>
        <w:rPr>
          <w:spacing w:val="-3"/>
        </w:rPr>
        <w:t xml:space="preserve"> </w:t>
      </w:r>
      <w:r>
        <w:t>of</w:t>
      </w:r>
      <w:r>
        <w:rPr>
          <w:spacing w:val="-2"/>
        </w:rPr>
        <w:t xml:space="preserve"> </w:t>
      </w:r>
      <w:r>
        <w:t>one</w:t>
      </w:r>
      <w:r>
        <w:rPr>
          <w:spacing w:val="-3"/>
        </w:rPr>
        <w:t xml:space="preserve"> </w:t>
      </w:r>
      <w:r>
        <w:t>company</w:t>
      </w:r>
      <w:r>
        <w:rPr>
          <w:spacing w:val="-2"/>
        </w:rPr>
        <w:t xml:space="preserve"> </w:t>
      </w:r>
      <w:r>
        <w:t>in</w:t>
      </w:r>
      <w:r>
        <w:rPr>
          <w:spacing w:val="-2"/>
        </w:rPr>
        <w:t xml:space="preserve"> </w:t>
      </w:r>
      <w:r>
        <w:t>one</w:t>
      </w:r>
      <w:r>
        <w:rPr>
          <w:spacing w:val="-3"/>
        </w:rPr>
        <w:t xml:space="preserve"> </w:t>
      </w:r>
      <w:r>
        <w:t>fiscal</w:t>
      </w:r>
      <w:r>
        <w:rPr>
          <w:spacing w:val="-3"/>
        </w:rPr>
        <w:t xml:space="preserve"> </w:t>
      </w:r>
      <w:r>
        <w:t>year.</w:t>
      </w:r>
      <w:r>
        <w:rPr>
          <w:spacing w:val="-2"/>
        </w:rPr>
        <w:t xml:space="preserve"> </w:t>
      </w:r>
      <w:r>
        <w:t>The</w:t>
      </w:r>
      <w:r>
        <w:rPr>
          <w:spacing w:val="-3"/>
        </w:rPr>
        <w:t xml:space="preserve"> </w:t>
      </w:r>
      <w:r>
        <w:t>final</w:t>
      </w:r>
      <w:r>
        <w:rPr>
          <w:spacing w:val="-3"/>
        </w:rPr>
        <w:t xml:space="preserve"> </w:t>
      </w:r>
      <w:r>
        <w:t>dataset</w:t>
      </w:r>
      <w:r>
        <w:rPr>
          <w:spacing w:val="-3"/>
        </w:rPr>
        <w:t xml:space="preserve"> </w:t>
      </w:r>
      <w:r>
        <w:t>contains</w:t>
      </w:r>
      <w:r>
        <w:rPr>
          <w:spacing w:val="-3"/>
        </w:rPr>
        <w:t xml:space="preserve"> </w:t>
      </w:r>
      <w:r>
        <w:t>eight</w:t>
      </w:r>
      <w:r>
        <w:rPr>
          <w:spacing w:val="-3"/>
        </w:rPr>
        <w:t xml:space="preserve"> </w:t>
      </w:r>
      <w:r>
        <w:t>companies</w:t>
      </w:r>
      <w:r>
        <w:rPr>
          <w:spacing w:val="-3"/>
        </w:rPr>
        <w:t xml:space="preserve"> </w:t>
      </w:r>
      <w:r>
        <w:t>observed</w:t>
      </w:r>
      <w:r>
        <w:rPr>
          <w:spacing w:val="-2"/>
        </w:rPr>
        <w:t xml:space="preserve"> </w:t>
      </w:r>
      <w:r>
        <w:t>for</w:t>
      </w:r>
      <w:r>
        <w:rPr>
          <w:spacing w:val="-2"/>
        </w:rPr>
        <w:t xml:space="preserve"> </w:t>
      </w:r>
      <w:r>
        <w:t>five years, producing 40 firm-year observations. The balanced structure is useful because every company contributes the</w:t>
      </w:r>
    </w:p>
    <w:p w14:paraId="7640DA14" w14:textId="77777777" w:rsidR="00ED08FF" w:rsidRDefault="00000000">
      <w:pPr>
        <w:pStyle w:val="BodyText"/>
      </w:pPr>
      <w:r>
        <w:t>same</w:t>
      </w:r>
      <w:r>
        <w:rPr>
          <w:spacing w:val="-3"/>
        </w:rPr>
        <w:t xml:space="preserve"> </w:t>
      </w:r>
      <w:r>
        <w:t>number</w:t>
      </w:r>
      <w:r>
        <w:rPr>
          <w:spacing w:val="-2"/>
        </w:rPr>
        <w:t xml:space="preserve"> </w:t>
      </w:r>
      <w:r>
        <w:t>of</w:t>
      </w:r>
      <w:r>
        <w:rPr>
          <w:spacing w:val="-3"/>
        </w:rPr>
        <w:t xml:space="preserve"> </w:t>
      </w:r>
      <w:r>
        <w:t>annual</w:t>
      </w:r>
      <w:r>
        <w:rPr>
          <w:spacing w:val="-2"/>
        </w:rPr>
        <w:t xml:space="preserve"> observations.</w:t>
      </w:r>
    </w:p>
    <w:p w14:paraId="30FB2B66" w14:textId="77777777" w:rsidR="00ED08FF" w:rsidRDefault="00000000">
      <w:pPr>
        <w:pStyle w:val="BodyText"/>
        <w:spacing w:before="50" w:line="297" w:lineRule="auto"/>
        <w:ind w:right="1903"/>
      </w:pPr>
      <w:r>
        <w:t>A pooled ordinary least squares model is used as the main estimation technique. A pooled model treats all firm-year observations as one combined sample. Although a larger dataset could support fixed-effects or random-effects panel models,</w:t>
      </w:r>
      <w:r>
        <w:rPr>
          <w:spacing w:val="-3"/>
        </w:rPr>
        <w:t xml:space="preserve"> </w:t>
      </w:r>
      <w:r>
        <w:t>the</w:t>
      </w:r>
      <w:r>
        <w:rPr>
          <w:spacing w:val="-3"/>
        </w:rPr>
        <w:t xml:space="preserve"> </w:t>
      </w:r>
      <w:r>
        <w:t>sample</w:t>
      </w:r>
      <w:r>
        <w:rPr>
          <w:spacing w:val="-3"/>
        </w:rPr>
        <w:t xml:space="preserve"> </w:t>
      </w:r>
      <w:r>
        <w:t>size</w:t>
      </w:r>
      <w:r>
        <w:rPr>
          <w:spacing w:val="-3"/>
        </w:rPr>
        <w:t xml:space="preserve"> </w:t>
      </w:r>
      <w:r>
        <w:t>in</w:t>
      </w:r>
      <w:r>
        <w:rPr>
          <w:spacing w:val="-3"/>
        </w:rPr>
        <w:t xml:space="preserve"> </w:t>
      </w:r>
      <w:r>
        <w:t>this</w:t>
      </w:r>
      <w:r>
        <w:rPr>
          <w:spacing w:val="-3"/>
        </w:rPr>
        <w:t xml:space="preserve"> </w:t>
      </w:r>
      <w:r>
        <w:t>study</w:t>
      </w:r>
      <w:r>
        <w:rPr>
          <w:spacing w:val="-3"/>
        </w:rPr>
        <w:t xml:space="preserve"> </w:t>
      </w:r>
      <w:r>
        <w:t>is</w:t>
      </w:r>
      <w:r>
        <w:rPr>
          <w:spacing w:val="-3"/>
        </w:rPr>
        <w:t xml:space="preserve"> </w:t>
      </w:r>
      <w:r>
        <w:t>intentionally</w:t>
      </w:r>
      <w:r>
        <w:rPr>
          <w:spacing w:val="-3"/>
        </w:rPr>
        <w:t xml:space="preserve"> </w:t>
      </w:r>
      <w:r>
        <w:t>modest</w:t>
      </w:r>
      <w:r>
        <w:rPr>
          <w:spacing w:val="-3"/>
        </w:rPr>
        <w:t xml:space="preserve"> </w:t>
      </w:r>
      <w:r>
        <w:t>because</w:t>
      </w:r>
      <w:r>
        <w:rPr>
          <w:spacing w:val="-3"/>
        </w:rPr>
        <w:t xml:space="preserve"> </w:t>
      </w:r>
      <w:r>
        <w:t>the</w:t>
      </w:r>
      <w:r>
        <w:rPr>
          <w:spacing w:val="-3"/>
        </w:rPr>
        <w:t xml:space="preserve"> </w:t>
      </w:r>
      <w:r>
        <w:t>purpose</w:t>
      </w:r>
      <w:r>
        <w:rPr>
          <w:spacing w:val="-3"/>
        </w:rPr>
        <w:t xml:space="preserve"> </w:t>
      </w:r>
      <w:r>
        <w:t>is</w:t>
      </w:r>
      <w:r>
        <w:rPr>
          <w:spacing w:val="-3"/>
        </w:rPr>
        <w:t xml:space="preserve"> </w:t>
      </w:r>
      <w:r>
        <w:t>to</w:t>
      </w:r>
      <w:r>
        <w:rPr>
          <w:spacing w:val="-3"/>
        </w:rPr>
        <w:t xml:space="preserve"> </w:t>
      </w:r>
      <w:r>
        <w:t>create</w:t>
      </w:r>
      <w:r>
        <w:rPr>
          <w:spacing w:val="-3"/>
        </w:rPr>
        <w:t xml:space="preserve"> </w:t>
      </w:r>
      <w:r>
        <w:t>a</w:t>
      </w:r>
      <w:r>
        <w:rPr>
          <w:spacing w:val="-3"/>
        </w:rPr>
        <w:t xml:space="preserve"> </w:t>
      </w:r>
      <w:r>
        <w:t>transparent</w:t>
      </w:r>
      <w:r>
        <w:rPr>
          <w:spacing w:val="-3"/>
        </w:rPr>
        <w:t xml:space="preserve"> </w:t>
      </w:r>
      <w:r>
        <w:t>and</w:t>
      </w:r>
      <w:r>
        <w:rPr>
          <w:spacing w:val="-3"/>
        </w:rPr>
        <w:t xml:space="preserve"> </w:t>
      </w:r>
      <w:r>
        <w:t xml:space="preserve">replicable accounting article. Robust standard errors are used to reduce the risk that heteroskedasticity distorts statistical inference </w:t>
      </w:r>
      <w:r>
        <w:rPr>
          <w:color w:val="000000"/>
          <w:highlight w:val="yellow"/>
        </w:rPr>
        <w:t>(Wooldridge, 2010; Gujarati &amp; Porter, 2009).</w:t>
      </w:r>
    </w:p>
    <w:p w14:paraId="2EBCC4E4" w14:textId="77777777" w:rsidR="00ED08FF" w:rsidRDefault="00ED08FF">
      <w:pPr>
        <w:pStyle w:val="BodyText"/>
        <w:spacing w:before="52"/>
        <w:ind w:left="0"/>
      </w:pPr>
    </w:p>
    <w:p w14:paraId="1ADA3AB1" w14:textId="77777777" w:rsidR="00ED08FF" w:rsidRDefault="00000000">
      <w:pPr>
        <w:pStyle w:val="Heading2"/>
        <w:numPr>
          <w:ilvl w:val="1"/>
          <w:numId w:val="1"/>
        </w:numPr>
        <w:tabs>
          <w:tab w:val="left" w:pos="415"/>
        </w:tabs>
        <w:ind w:left="415"/>
      </w:pPr>
      <w:r>
        <w:t>Population,</w:t>
      </w:r>
      <w:r>
        <w:rPr>
          <w:spacing w:val="-1"/>
        </w:rPr>
        <w:t xml:space="preserve"> </w:t>
      </w:r>
      <w:r>
        <w:t>Sample,</w:t>
      </w:r>
      <w:r>
        <w:rPr>
          <w:spacing w:val="-2"/>
        </w:rPr>
        <w:t xml:space="preserve"> </w:t>
      </w:r>
      <w:r>
        <w:t>and</w:t>
      </w:r>
      <w:r>
        <w:rPr>
          <w:spacing w:val="-1"/>
        </w:rPr>
        <w:t xml:space="preserve"> </w:t>
      </w:r>
      <w:r>
        <w:t>Data</w:t>
      </w:r>
      <w:r>
        <w:rPr>
          <w:spacing w:val="-1"/>
        </w:rPr>
        <w:t xml:space="preserve"> </w:t>
      </w:r>
      <w:r>
        <w:rPr>
          <w:spacing w:val="-2"/>
        </w:rPr>
        <w:t>Source</w:t>
      </w:r>
    </w:p>
    <w:p w14:paraId="410A664D" w14:textId="77777777" w:rsidR="00ED08FF" w:rsidRDefault="00000000">
      <w:pPr>
        <w:pStyle w:val="BodyText"/>
        <w:spacing w:before="50" w:line="297" w:lineRule="auto"/>
        <w:ind w:right="2086"/>
      </w:pPr>
      <w:r>
        <w:t>The population consists of consumer non-cyclicals companies listed on the Indonesia Stock Exchange. The sample</w:t>
      </w:r>
      <w:r>
        <w:rPr>
          <w:spacing w:val="40"/>
        </w:rPr>
        <w:t xml:space="preserve"> </w:t>
      </w:r>
      <w:r>
        <w:t>was</w:t>
      </w:r>
      <w:r>
        <w:rPr>
          <w:spacing w:val="-4"/>
        </w:rPr>
        <w:t xml:space="preserve"> </w:t>
      </w:r>
      <w:r>
        <w:t>selected</w:t>
      </w:r>
      <w:r>
        <w:rPr>
          <w:spacing w:val="-3"/>
        </w:rPr>
        <w:t xml:space="preserve"> </w:t>
      </w:r>
      <w:r>
        <w:t>purposively</w:t>
      </w:r>
      <w:r>
        <w:rPr>
          <w:spacing w:val="-3"/>
        </w:rPr>
        <w:t xml:space="preserve"> </w:t>
      </w:r>
      <w:r>
        <w:t>based</w:t>
      </w:r>
      <w:r>
        <w:rPr>
          <w:spacing w:val="-3"/>
        </w:rPr>
        <w:t xml:space="preserve"> </w:t>
      </w:r>
      <w:r>
        <w:t>on</w:t>
      </w:r>
      <w:r>
        <w:rPr>
          <w:spacing w:val="-3"/>
        </w:rPr>
        <w:t xml:space="preserve"> </w:t>
      </w:r>
      <w:r>
        <w:t>three</w:t>
      </w:r>
      <w:r>
        <w:rPr>
          <w:spacing w:val="-4"/>
        </w:rPr>
        <w:t xml:space="preserve"> </w:t>
      </w:r>
      <w:r>
        <w:t>criteria.</w:t>
      </w:r>
      <w:r>
        <w:rPr>
          <w:spacing w:val="-3"/>
        </w:rPr>
        <w:t xml:space="preserve"> </w:t>
      </w:r>
      <w:r>
        <w:t>First,</w:t>
      </w:r>
      <w:r>
        <w:rPr>
          <w:spacing w:val="-3"/>
        </w:rPr>
        <w:t xml:space="preserve"> </w:t>
      </w:r>
      <w:r>
        <w:t>the</w:t>
      </w:r>
      <w:r>
        <w:rPr>
          <w:spacing w:val="-4"/>
        </w:rPr>
        <w:t xml:space="preserve"> </w:t>
      </w:r>
      <w:r>
        <w:t>issuer</w:t>
      </w:r>
      <w:r>
        <w:rPr>
          <w:spacing w:val="-3"/>
        </w:rPr>
        <w:t xml:space="preserve"> </w:t>
      </w:r>
      <w:r>
        <w:t>belongs</w:t>
      </w:r>
      <w:r>
        <w:rPr>
          <w:spacing w:val="-4"/>
        </w:rPr>
        <w:t xml:space="preserve"> </w:t>
      </w:r>
      <w:r>
        <w:t>to</w:t>
      </w:r>
      <w:r>
        <w:rPr>
          <w:spacing w:val="-3"/>
        </w:rPr>
        <w:t xml:space="preserve"> </w:t>
      </w:r>
      <w:r>
        <w:t>the</w:t>
      </w:r>
      <w:r>
        <w:rPr>
          <w:spacing w:val="-4"/>
        </w:rPr>
        <w:t xml:space="preserve"> </w:t>
      </w:r>
      <w:r>
        <w:t>consumer</w:t>
      </w:r>
      <w:r>
        <w:rPr>
          <w:spacing w:val="-3"/>
        </w:rPr>
        <w:t xml:space="preserve"> </w:t>
      </w:r>
      <w:r>
        <w:t>non-cyclicals</w:t>
      </w:r>
      <w:r>
        <w:rPr>
          <w:spacing w:val="-4"/>
        </w:rPr>
        <w:t xml:space="preserve"> </w:t>
      </w:r>
      <w:r>
        <w:t>universe</w:t>
      </w:r>
      <w:r>
        <w:rPr>
          <w:spacing w:val="-4"/>
        </w:rPr>
        <w:t xml:space="preserve"> </w:t>
      </w:r>
      <w:r>
        <w:t>or</w:t>
      </w:r>
      <w:r>
        <w:rPr>
          <w:spacing w:val="-3"/>
        </w:rPr>
        <w:t xml:space="preserve"> </w:t>
      </w:r>
      <w:r>
        <w:t>has business</w:t>
      </w:r>
      <w:r>
        <w:rPr>
          <w:spacing w:val="-4"/>
        </w:rPr>
        <w:t xml:space="preserve"> </w:t>
      </w:r>
      <w:r>
        <w:t>activity</w:t>
      </w:r>
      <w:r>
        <w:rPr>
          <w:spacing w:val="-3"/>
        </w:rPr>
        <w:t xml:space="preserve"> </w:t>
      </w:r>
      <w:r>
        <w:t>closely</w:t>
      </w:r>
      <w:r>
        <w:rPr>
          <w:spacing w:val="-3"/>
        </w:rPr>
        <w:t xml:space="preserve"> </w:t>
      </w:r>
      <w:r>
        <w:t>related</w:t>
      </w:r>
      <w:r>
        <w:rPr>
          <w:spacing w:val="-3"/>
        </w:rPr>
        <w:t xml:space="preserve"> </w:t>
      </w:r>
      <w:r>
        <w:t>to</w:t>
      </w:r>
      <w:r>
        <w:rPr>
          <w:spacing w:val="-3"/>
        </w:rPr>
        <w:t xml:space="preserve"> </w:t>
      </w:r>
      <w:r>
        <w:t>food,</w:t>
      </w:r>
      <w:r>
        <w:rPr>
          <w:spacing w:val="-3"/>
        </w:rPr>
        <w:t xml:space="preserve"> </w:t>
      </w:r>
      <w:r>
        <w:t>staples</w:t>
      </w:r>
      <w:r>
        <w:rPr>
          <w:spacing w:val="-4"/>
        </w:rPr>
        <w:t xml:space="preserve"> </w:t>
      </w:r>
      <w:r>
        <w:t>retail,</w:t>
      </w:r>
      <w:r>
        <w:rPr>
          <w:spacing w:val="-3"/>
        </w:rPr>
        <w:t xml:space="preserve"> </w:t>
      </w:r>
      <w:r>
        <w:t>beverages,</w:t>
      </w:r>
      <w:r>
        <w:rPr>
          <w:spacing w:val="-3"/>
        </w:rPr>
        <w:t xml:space="preserve"> </w:t>
      </w:r>
      <w:r>
        <w:t>household</w:t>
      </w:r>
      <w:r>
        <w:rPr>
          <w:spacing w:val="-3"/>
        </w:rPr>
        <w:t xml:space="preserve"> </w:t>
      </w:r>
      <w:r>
        <w:t>products,</w:t>
      </w:r>
      <w:r>
        <w:rPr>
          <w:spacing w:val="-3"/>
        </w:rPr>
        <w:t xml:space="preserve"> </w:t>
      </w:r>
      <w:r>
        <w:t>or</w:t>
      </w:r>
      <w:r>
        <w:rPr>
          <w:spacing w:val="-3"/>
        </w:rPr>
        <w:t xml:space="preserve"> </w:t>
      </w:r>
      <w:r>
        <w:t>fast-moving</w:t>
      </w:r>
      <w:r>
        <w:rPr>
          <w:spacing w:val="-3"/>
        </w:rPr>
        <w:t xml:space="preserve"> </w:t>
      </w:r>
      <w:r>
        <w:t>consumer</w:t>
      </w:r>
      <w:r>
        <w:rPr>
          <w:spacing w:val="-4"/>
        </w:rPr>
        <w:t xml:space="preserve"> </w:t>
      </w:r>
      <w:r>
        <w:t>goods. Second, the issuer has complete annual data for PBV, ROA, DER, current ratio, and total assets for fiscal years 2021-</w:t>
      </w:r>
    </w:p>
    <w:p w14:paraId="4703752F" w14:textId="77777777" w:rsidR="00ED08FF" w:rsidRDefault="00ED08FF">
      <w:pPr>
        <w:pStyle w:val="BodyText"/>
        <w:spacing w:before="51"/>
        <w:ind w:left="0"/>
      </w:pPr>
    </w:p>
    <w:p w14:paraId="6AB3646A" w14:textId="77777777" w:rsidR="00ED08FF" w:rsidRDefault="00000000">
      <w:pPr>
        <w:pStyle w:val="BodyText"/>
        <w:spacing w:line="297" w:lineRule="auto"/>
        <w:ind w:right="2145"/>
      </w:pPr>
      <w:r>
        <w:t>2025.</w:t>
      </w:r>
      <w:r>
        <w:rPr>
          <w:spacing w:val="-3"/>
        </w:rPr>
        <w:t xml:space="preserve"> </w:t>
      </w:r>
      <w:r>
        <w:t>Third,</w:t>
      </w:r>
      <w:r>
        <w:rPr>
          <w:spacing w:val="-3"/>
        </w:rPr>
        <w:t xml:space="preserve"> </w:t>
      </w:r>
      <w:r>
        <w:t>the</w:t>
      </w:r>
      <w:r>
        <w:rPr>
          <w:spacing w:val="-4"/>
        </w:rPr>
        <w:t xml:space="preserve"> </w:t>
      </w:r>
      <w:r>
        <w:t>issuer</w:t>
      </w:r>
      <w:r>
        <w:rPr>
          <w:spacing w:val="-3"/>
        </w:rPr>
        <w:t xml:space="preserve"> </w:t>
      </w:r>
      <w:r>
        <w:t>has</w:t>
      </w:r>
      <w:r>
        <w:rPr>
          <w:spacing w:val="-4"/>
        </w:rPr>
        <w:t xml:space="preserve"> </w:t>
      </w:r>
      <w:r>
        <w:t>publicly</w:t>
      </w:r>
      <w:r>
        <w:rPr>
          <w:spacing w:val="-3"/>
        </w:rPr>
        <w:t xml:space="preserve"> </w:t>
      </w:r>
      <w:r>
        <w:t>accessible</w:t>
      </w:r>
      <w:r>
        <w:rPr>
          <w:spacing w:val="-4"/>
        </w:rPr>
        <w:t xml:space="preserve"> </w:t>
      </w:r>
      <w:r>
        <w:t>data</w:t>
      </w:r>
      <w:r>
        <w:rPr>
          <w:spacing w:val="-4"/>
        </w:rPr>
        <w:t xml:space="preserve"> </w:t>
      </w:r>
      <w:r>
        <w:t>from</w:t>
      </w:r>
      <w:r>
        <w:rPr>
          <w:spacing w:val="-4"/>
        </w:rPr>
        <w:t xml:space="preserve"> </w:t>
      </w:r>
      <w:r>
        <w:t>the</w:t>
      </w:r>
      <w:r>
        <w:rPr>
          <w:spacing w:val="-4"/>
        </w:rPr>
        <w:t xml:space="preserve"> </w:t>
      </w:r>
      <w:r>
        <w:t>same</w:t>
      </w:r>
      <w:r>
        <w:rPr>
          <w:spacing w:val="-4"/>
        </w:rPr>
        <w:t xml:space="preserve"> </w:t>
      </w:r>
      <w:r>
        <w:t>financial</w:t>
      </w:r>
      <w:r>
        <w:rPr>
          <w:spacing w:val="-4"/>
        </w:rPr>
        <w:t xml:space="preserve"> </w:t>
      </w:r>
      <w:r>
        <w:t>database</w:t>
      </w:r>
      <w:r>
        <w:rPr>
          <w:spacing w:val="-4"/>
        </w:rPr>
        <w:t xml:space="preserve"> </w:t>
      </w:r>
      <w:r>
        <w:t>so</w:t>
      </w:r>
      <w:r>
        <w:rPr>
          <w:spacing w:val="-3"/>
        </w:rPr>
        <w:t xml:space="preserve"> </w:t>
      </w:r>
      <w:r>
        <w:t>that</w:t>
      </w:r>
      <w:r>
        <w:rPr>
          <w:spacing w:val="-4"/>
        </w:rPr>
        <w:t xml:space="preserve"> </w:t>
      </w:r>
      <w:r>
        <w:t>variable</w:t>
      </w:r>
      <w:r>
        <w:rPr>
          <w:spacing w:val="-4"/>
        </w:rPr>
        <w:t xml:space="preserve"> </w:t>
      </w:r>
      <w:r>
        <w:t>construction remains consistent.</w:t>
      </w:r>
    </w:p>
    <w:p w14:paraId="7F201643" w14:textId="77777777" w:rsidR="00ED08FF" w:rsidRDefault="00000000">
      <w:pPr>
        <w:pStyle w:val="BodyText"/>
        <w:spacing w:before="0" w:line="297" w:lineRule="auto"/>
        <w:ind w:right="1945"/>
      </w:pPr>
      <w:r>
        <w:t>The selected companies are ICBP, INDF, UNVR, AMRT, CMRY, ULTJ, ROTI, and GOOD. The sample deliberately includes companies with different business models inside the consumer non-cyclicals scope. ICBP and INDF represent large integrated food groups; UNVR represents household and personal care products; AMRT represents staples retailing;</w:t>
      </w:r>
      <w:r>
        <w:rPr>
          <w:spacing w:val="-4"/>
        </w:rPr>
        <w:t xml:space="preserve"> </w:t>
      </w:r>
      <w:r>
        <w:t>CMRY,</w:t>
      </w:r>
      <w:r>
        <w:rPr>
          <w:spacing w:val="-3"/>
        </w:rPr>
        <w:t xml:space="preserve"> </w:t>
      </w:r>
      <w:r>
        <w:t>ULTJ,</w:t>
      </w:r>
      <w:r>
        <w:rPr>
          <w:spacing w:val="-3"/>
        </w:rPr>
        <w:t xml:space="preserve"> </w:t>
      </w:r>
      <w:r>
        <w:t>ROTI,</w:t>
      </w:r>
      <w:r>
        <w:rPr>
          <w:spacing w:val="-3"/>
        </w:rPr>
        <w:t xml:space="preserve"> </w:t>
      </w:r>
      <w:r>
        <w:t>and</w:t>
      </w:r>
      <w:r>
        <w:rPr>
          <w:spacing w:val="-3"/>
        </w:rPr>
        <w:t xml:space="preserve"> </w:t>
      </w:r>
      <w:r>
        <w:t>GOOD</w:t>
      </w:r>
      <w:r>
        <w:rPr>
          <w:spacing w:val="-4"/>
        </w:rPr>
        <w:t xml:space="preserve"> </w:t>
      </w:r>
      <w:r>
        <w:t>represent</w:t>
      </w:r>
      <w:r>
        <w:rPr>
          <w:spacing w:val="-4"/>
        </w:rPr>
        <w:t xml:space="preserve"> </w:t>
      </w:r>
      <w:r>
        <w:t>food</w:t>
      </w:r>
      <w:r>
        <w:rPr>
          <w:spacing w:val="-3"/>
        </w:rPr>
        <w:t xml:space="preserve"> </w:t>
      </w:r>
      <w:r>
        <w:t>and</w:t>
      </w:r>
      <w:r>
        <w:rPr>
          <w:spacing w:val="-3"/>
        </w:rPr>
        <w:t xml:space="preserve"> </w:t>
      </w:r>
      <w:r>
        <w:t>beverage</w:t>
      </w:r>
      <w:r>
        <w:rPr>
          <w:spacing w:val="-4"/>
        </w:rPr>
        <w:t xml:space="preserve"> </w:t>
      </w:r>
      <w:r>
        <w:t>producers</w:t>
      </w:r>
      <w:r>
        <w:rPr>
          <w:spacing w:val="-4"/>
        </w:rPr>
        <w:t xml:space="preserve"> </w:t>
      </w:r>
      <w:r>
        <w:t>of</w:t>
      </w:r>
      <w:r>
        <w:rPr>
          <w:spacing w:val="-3"/>
        </w:rPr>
        <w:t xml:space="preserve"> </w:t>
      </w:r>
      <w:r>
        <w:t>different</w:t>
      </w:r>
      <w:r>
        <w:rPr>
          <w:spacing w:val="-4"/>
        </w:rPr>
        <w:t xml:space="preserve"> </w:t>
      </w:r>
      <w:r>
        <w:t>scales.</w:t>
      </w:r>
      <w:r>
        <w:rPr>
          <w:spacing w:val="-3"/>
        </w:rPr>
        <w:t xml:space="preserve"> </w:t>
      </w:r>
      <w:r>
        <w:t>This</w:t>
      </w:r>
      <w:r>
        <w:rPr>
          <w:spacing w:val="-4"/>
        </w:rPr>
        <w:t xml:space="preserve"> </w:t>
      </w:r>
      <w:r>
        <w:t>composition creates cross-sectional variation in valuation, profitability, liquidity, and size.</w:t>
      </w:r>
    </w:p>
    <w:p w14:paraId="0D030DCA" w14:textId="77777777" w:rsidR="00ED08FF" w:rsidRDefault="00000000">
      <w:pPr>
        <w:pStyle w:val="BodyText"/>
        <w:spacing w:before="2"/>
      </w:pPr>
      <w:r>
        <w:t>The</w:t>
      </w:r>
      <w:r>
        <w:rPr>
          <w:spacing w:val="-7"/>
        </w:rPr>
        <w:t xml:space="preserve"> </w:t>
      </w:r>
      <w:r>
        <w:t>main</w:t>
      </w:r>
      <w:r>
        <w:rPr>
          <w:spacing w:val="-3"/>
        </w:rPr>
        <w:t xml:space="preserve"> </w:t>
      </w:r>
      <w:r>
        <w:t>data</w:t>
      </w:r>
      <w:r>
        <w:rPr>
          <w:spacing w:val="-4"/>
        </w:rPr>
        <w:t xml:space="preserve"> </w:t>
      </w:r>
      <w:r>
        <w:t>source</w:t>
      </w:r>
      <w:r>
        <w:rPr>
          <w:spacing w:val="-4"/>
        </w:rPr>
        <w:t xml:space="preserve"> </w:t>
      </w:r>
      <w:r>
        <w:t>is</w:t>
      </w:r>
      <w:r>
        <w:rPr>
          <w:spacing w:val="-4"/>
        </w:rPr>
        <w:t xml:space="preserve"> </w:t>
      </w:r>
      <w:r>
        <w:t>StockAnalysis.com,</w:t>
      </w:r>
      <w:r>
        <w:rPr>
          <w:spacing w:val="-3"/>
        </w:rPr>
        <w:t xml:space="preserve"> </w:t>
      </w:r>
      <w:r>
        <w:t>which</w:t>
      </w:r>
      <w:r>
        <w:rPr>
          <w:spacing w:val="-3"/>
        </w:rPr>
        <w:t xml:space="preserve"> </w:t>
      </w:r>
      <w:r>
        <w:t>provides</w:t>
      </w:r>
      <w:r>
        <w:rPr>
          <w:spacing w:val="-4"/>
        </w:rPr>
        <w:t xml:space="preserve"> </w:t>
      </w:r>
      <w:r>
        <w:t>annual</w:t>
      </w:r>
      <w:r>
        <w:rPr>
          <w:spacing w:val="-4"/>
        </w:rPr>
        <w:t xml:space="preserve"> </w:t>
      </w:r>
      <w:r>
        <w:t>financial</w:t>
      </w:r>
      <w:r>
        <w:rPr>
          <w:spacing w:val="-4"/>
        </w:rPr>
        <w:t xml:space="preserve"> </w:t>
      </w:r>
      <w:r>
        <w:t>ratios</w:t>
      </w:r>
      <w:r>
        <w:rPr>
          <w:spacing w:val="-4"/>
        </w:rPr>
        <w:t xml:space="preserve"> </w:t>
      </w:r>
      <w:r>
        <w:t>and</w:t>
      </w:r>
      <w:r>
        <w:rPr>
          <w:spacing w:val="-3"/>
        </w:rPr>
        <w:t xml:space="preserve"> </w:t>
      </w:r>
      <w:r>
        <w:t>balance</w:t>
      </w:r>
      <w:r>
        <w:rPr>
          <w:spacing w:val="-4"/>
        </w:rPr>
        <w:t xml:space="preserve"> </w:t>
      </w:r>
      <w:r>
        <w:t>sheet</w:t>
      </w:r>
      <w:r>
        <w:rPr>
          <w:spacing w:val="-4"/>
        </w:rPr>
        <w:t xml:space="preserve"> </w:t>
      </w:r>
      <w:r>
        <w:t>data</w:t>
      </w:r>
      <w:r>
        <w:rPr>
          <w:spacing w:val="-4"/>
        </w:rPr>
        <w:t xml:space="preserve"> </w:t>
      </w:r>
      <w:r>
        <w:t>for</w:t>
      </w:r>
      <w:r>
        <w:rPr>
          <w:spacing w:val="-3"/>
        </w:rPr>
        <w:t xml:space="preserve"> </w:t>
      </w:r>
      <w:r>
        <w:rPr>
          <w:spacing w:val="-5"/>
        </w:rPr>
        <w:t>IDX</w:t>
      </w:r>
    </w:p>
    <w:p w14:paraId="4934C531" w14:textId="77777777" w:rsidR="00ED08FF" w:rsidRDefault="00000000">
      <w:pPr>
        <w:pStyle w:val="BodyText"/>
        <w:spacing w:before="50" w:line="252" w:lineRule="auto"/>
        <w:ind w:right="309"/>
      </w:pPr>
      <w:r>
        <w:rPr>
          <w:color w:val="000000"/>
          <w:highlight w:val="yellow"/>
        </w:rPr>
        <w:t>The</w:t>
      </w:r>
      <w:r>
        <w:rPr>
          <w:color w:val="000000"/>
          <w:spacing w:val="-3"/>
          <w:highlight w:val="yellow"/>
        </w:rPr>
        <w:t xml:space="preserve"> </w:t>
      </w:r>
      <w:r>
        <w:rPr>
          <w:color w:val="000000"/>
          <w:highlight w:val="yellow"/>
        </w:rPr>
        <w:t>selected</w:t>
      </w:r>
      <w:r>
        <w:rPr>
          <w:color w:val="000000"/>
          <w:spacing w:val="-2"/>
          <w:highlight w:val="yellow"/>
        </w:rPr>
        <w:t xml:space="preserve"> </w:t>
      </w:r>
      <w:r>
        <w:rPr>
          <w:color w:val="000000"/>
          <w:highlight w:val="yellow"/>
        </w:rPr>
        <w:t>company</w:t>
      </w:r>
      <w:r>
        <w:rPr>
          <w:color w:val="000000"/>
          <w:spacing w:val="-2"/>
          <w:highlight w:val="yellow"/>
        </w:rPr>
        <w:t xml:space="preserve"> </w:t>
      </w:r>
      <w:r>
        <w:rPr>
          <w:color w:val="000000"/>
          <w:highlight w:val="yellow"/>
        </w:rPr>
        <w:t>pages</w:t>
      </w:r>
      <w:r>
        <w:rPr>
          <w:color w:val="000000"/>
          <w:spacing w:val="-3"/>
          <w:highlight w:val="yellow"/>
        </w:rPr>
        <w:t xml:space="preserve"> </w:t>
      </w:r>
      <w:r>
        <w:rPr>
          <w:color w:val="000000"/>
          <w:highlight w:val="yellow"/>
        </w:rPr>
        <w:t>are</w:t>
      </w:r>
      <w:r>
        <w:rPr>
          <w:color w:val="000000"/>
          <w:spacing w:val="-3"/>
          <w:highlight w:val="yellow"/>
        </w:rPr>
        <w:t xml:space="preserve"> </w:t>
      </w:r>
      <w:r>
        <w:rPr>
          <w:color w:val="000000"/>
          <w:highlight w:val="yellow"/>
        </w:rPr>
        <w:t>cited</w:t>
      </w:r>
      <w:r>
        <w:rPr>
          <w:color w:val="000000"/>
          <w:spacing w:val="-2"/>
          <w:highlight w:val="yellow"/>
        </w:rPr>
        <w:t xml:space="preserve"> </w:t>
      </w:r>
      <w:r>
        <w:rPr>
          <w:color w:val="000000"/>
          <w:highlight w:val="yellow"/>
        </w:rPr>
        <w:t>in</w:t>
      </w:r>
      <w:r>
        <w:rPr>
          <w:color w:val="000000"/>
          <w:spacing w:val="-2"/>
          <w:highlight w:val="yellow"/>
        </w:rPr>
        <w:t xml:space="preserve"> </w:t>
      </w:r>
      <w:r>
        <w:rPr>
          <w:color w:val="000000"/>
          <w:highlight w:val="yellow"/>
        </w:rPr>
        <w:t>the</w:t>
      </w:r>
      <w:r>
        <w:rPr>
          <w:color w:val="000000"/>
          <w:spacing w:val="-3"/>
          <w:highlight w:val="yellow"/>
        </w:rPr>
        <w:t xml:space="preserve"> </w:t>
      </w:r>
      <w:r>
        <w:rPr>
          <w:color w:val="000000"/>
          <w:highlight w:val="yellow"/>
        </w:rPr>
        <w:t>reference</w:t>
      </w:r>
      <w:r>
        <w:rPr>
          <w:color w:val="000000"/>
          <w:spacing w:val="-3"/>
          <w:highlight w:val="yellow"/>
        </w:rPr>
        <w:t xml:space="preserve"> </w:t>
      </w:r>
      <w:r>
        <w:rPr>
          <w:color w:val="000000"/>
          <w:highlight w:val="yellow"/>
        </w:rPr>
        <w:t>list</w:t>
      </w:r>
      <w:r>
        <w:rPr>
          <w:color w:val="000000"/>
          <w:spacing w:val="-3"/>
          <w:highlight w:val="yellow"/>
        </w:rPr>
        <w:t xml:space="preserve"> </w:t>
      </w:r>
      <w:r>
        <w:rPr>
          <w:color w:val="000000"/>
          <w:highlight w:val="yellow"/>
        </w:rPr>
        <w:t>for</w:t>
      </w:r>
      <w:r>
        <w:rPr>
          <w:color w:val="000000"/>
          <w:spacing w:val="-2"/>
          <w:highlight w:val="yellow"/>
        </w:rPr>
        <w:t xml:space="preserve"> </w:t>
      </w:r>
      <w:r>
        <w:rPr>
          <w:color w:val="000000"/>
          <w:highlight w:val="yellow"/>
        </w:rPr>
        <w:t>ICBP,</w:t>
      </w:r>
      <w:r>
        <w:rPr>
          <w:color w:val="000000"/>
          <w:spacing w:val="-2"/>
          <w:highlight w:val="yellow"/>
        </w:rPr>
        <w:t xml:space="preserve"> </w:t>
      </w:r>
      <w:r>
        <w:rPr>
          <w:color w:val="000000"/>
          <w:highlight w:val="yellow"/>
        </w:rPr>
        <w:t>INDF,</w:t>
      </w:r>
      <w:r>
        <w:rPr>
          <w:color w:val="000000"/>
          <w:spacing w:val="-2"/>
          <w:highlight w:val="yellow"/>
        </w:rPr>
        <w:t xml:space="preserve"> </w:t>
      </w:r>
      <w:r>
        <w:rPr>
          <w:color w:val="000000"/>
          <w:highlight w:val="yellow"/>
        </w:rPr>
        <w:t>UNVR,</w:t>
      </w:r>
      <w:r>
        <w:rPr>
          <w:color w:val="000000"/>
          <w:spacing w:val="-2"/>
          <w:highlight w:val="yellow"/>
        </w:rPr>
        <w:t xml:space="preserve"> </w:t>
      </w:r>
      <w:r>
        <w:rPr>
          <w:color w:val="000000"/>
          <w:highlight w:val="yellow"/>
        </w:rPr>
        <w:t>AMRT,</w:t>
      </w:r>
      <w:r>
        <w:rPr>
          <w:color w:val="000000"/>
          <w:spacing w:val="-2"/>
          <w:highlight w:val="yellow"/>
        </w:rPr>
        <w:t xml:space="preserve"> </w:t>
      </w:r>
      <w:r>
        <w:rPr>
          <w:color w:val="000000"/>
          <w:highlight w:val="yellow"/>
        </w:rPr>
        <w:t>CMRY,</w:t>
      </w:r>
      <w:r>
        <w:rPr>
          <w:color w:val="000000"/>
          <w:spacing w:val="-2"/>
          <w:highlight w:val="yellow"/>
        </w:rPr>
        <w:t xml:space="preserve"> </w:t>
      </w:r>
      <w:r>
        <w:rPr>
          <w:color w:val="000000"/>
          <w:highlight w:val="yellow"/>
        </w:rPr>
        <w:t>ULTJ,</w:t>
      </w:r>
      <w:r>
        <w:rPr>
          <w:color w:val="000000"/>
          <w:spacing w:val="-2"/>
          <w:highlight w:val="yellow"/>
        </w:rPr>
        <w:t xml:space="preserve"> </w:t>
      </w:r>
      <w:r>
        <w:rPr>
          <w:color w:val="000000"/>
          <w:highlight w:val="yellow"/>
        </w:rPr>
        <w:t>ROTI,</w:t>
      </w:r>
      <w:r>
        <w:rPr>
          <w:color w:val="000000"/>
          <w:spacing w:val="-2"/>
          <w:highlight w:val="yellow"/>
        </w:rPr>
        <w:t xml:space="preserve"> </w:t>
      </w:r>
      <w:r>
        <w:rPr>
          <w:color w:val="000000"/>
          <w:highlight w:val="yellow"/>
        </w:rPr>
        <w:t>and</w:t>
      </w:r>
      <w:r>
        <w:rPr>
          <w:color w:val="000000"/>
          <w:spacing w:val="-2"/>
          <w:highlight w:val="yellow"/>
        </w:rPr>
        <w:t xml:space="preserve"> </w:t>
      </w:r>
      <w:r>
        <w:rPr>
          <w:color w:val="000000"/>
          <w:highlight w:val="yellow"/>
        </w:rPr>
        <w:t>GOOD</w:t>
      </w:r>
      <w:r>
        <w:rPr>
          <w:color w:val="000000"/>
        </w:rPr>
        <w:t xml:space="preserve"> </w:t>
      </w:r>
      <w:r>
        <w:rPr>
          <w:color w:val="000000"/>
          <w:highlight w:val="yellow"/>
        </w:rPr>
        <w:t>(StockAnalysis.com, n.d.-c, n.d.-d, n.d.-h, n.d.-f, n.d.-a, n.d.-g, n.d.-e, n.d.-b).</w:t>
      </w:r>
    </w:p>
    <w:p w14:paraId="087DB53B" w14:textId="77777777" w:rsidR="00ED08FF" w:rsidRDefault="00000000">
      <w:pPr>
        <w:pStyle w:val="BodyText"/>
        <w:spacing w:before="39"/>
      </w:pPr>
      <w:r>
        <w:rPr>
          <w:color w:val="000000"/>
          <w:highlight w:val="yellow"/>
        </w:rPr>
        <w:t>issuers.</w:t>
      </w:r>
      <w:r>
        <w:rPr>
          <w:color w:val="000000"/>
          <w:spacing w:val="-6"/>
          <w:highlight w:val="yellow"/>
        </w:rPr>
        <w:t xml:space="preserve"> </w:t>
      </w:r>
      <w:r>
        <w:rPr>
          <w:color w:val="000000"/>
          <w:highlight w:val="yellow"/>
        </w:rPr>
        <w:t>The</w:t>
      </w:r>
      <w:r>
        <w:rPr>
          <w:color w:val="000000"/>
          <w:spacing w:val="-5"/>
          <w:highlight w:val="yellow"/>
        </w:rPr>
        <w:t xml:space="preserve"> </w:t>
      </w:r>
      <w:r>
        <w:rPr>
          <w:color w:val="000000"/>
          <w:highlight w:val="yellow"/>
        </w:rPr>
        <w:t>database</w:t>
      </w:r>
      <w:r>
        <w:rPr>
          <w:color w:val="000000"/>
          <w:spacing w:val="-4"/>
          <w:highlight w:val="yellow"/>
        </w:rPr>
        <w:t xml:space="preserve"> </w:t>
      </w:r>
      <w:r>
        <w:rPr>
          <w:color w:val="000000"/>
          <w:highlight w:val="yellow"/>
        </w:rPr>
        <w:t>reports</w:t>
      </w:r>
      <w:r>
        <w:rPr>
          <w:color w:val="000000"/>
          <w:spacing w:val="-5"/>
          <w:highlight w:val="yellow"/>
        </w:rPr>
        <w:t xml:space="preserve"> </w:t>
      </w:r>
      <w:r>
        <w:rPr>
          <w:color w:val="000000"/>
          <w:highlight w:val="yellow"/>
        </w:rPr>
        <w:t>financial</w:t>
      </w:r>
      <w:r>
        <w:rPr>
          <w:color w:val="000000"/>
          <w:spacing w:val="-5"/>
          <w:highlight w:val="yellow"/>
        </w:rPr>
        <w:t xml:space="preserve"> </w:t>
      </w:r>
      <w:r>
        <w:rPr>
          <w:color w:val="000000"/>
          <w:highlight w:val="yellow"/>
        </w:rPr>
        <w:t>statements</w:t>
      </w:r>
      <w:r>
        <w:rPr>
          <w:color w:val="000000"/>
          <w:spacing w:val="-4"/>
          <w:highlight w:val="yellow"/>
        </w:rPr>
        <w:t xml:space="preserve"> </w:t>
      </w:r>
      <w:r>
        <w:rPr>
          <w:color w:val="000000"/>
          <w:highlight w:val="yellow"/>
        </w:rPr>
        <w:t>in</w:t>
      </w:r>
      <w:r>
        <w:rPr>
          <w:color w:val="000000"/>
          <w:spacing w:val="-4"/>
          <w:highlight w:val="yellow"/>
        </w:rPr>
        <w:t xml:space="preserve"> </w:t>
      </w:r>
      <w:r>
        <w:rPr>
          <w:color w:val="000000"/>
          <w:highlight w:val="yellow"/>
        </w:rPr>
        <w:t>millions</w:t>
      </w:r>
      <w:r>
        <w:rPr>
          <w:color w:val="000000"/>
          <w:spacing w:val="-5"/>
          <w:highlight w:val="yellow"/>
        </w:rPr>
        <w:t xml:space="preserve"> </w:t>
      </w:r>
      <w:r>
        <w:rPr>
          <w:color w:val="000000"/>
          <w:highlight w:val="yellow"/>
        </w:rPr>
        <w:t>of</w:t>
      </w:r>
      <w:r>
        <w:rPr>
          <w:color w:val="000000"/>
          <w:spacing w:val="-3"/>
          <w:highlight w:val="yellow"/>
        </w:rPr>
        <w:t xml:space="preserve"> </w:t>
      </w:r>
      <w:r>
        <w:rPr>
          <w:color w:val="000000"/>
          <w:highlight w:val="yellow"/>
        </w:rPr>
        <w:t>Indonesian</w:t>
      </w:r>
      <w:r>
        <w:rPr>
          <w:color w:val="000000"/>
          <w:spacing w:val="-4"/>
          <w:highlight w:val="yellow"/>
        </w:rPr>
        <w:t xml:space="preserve"> </w:t>
      </w:r>
      <w:r>
        <w:rPr>
          <w:color w:val="000000"/>
          <w:highlight w:val="yellow"/>
        </w:rPr>
        <w:t>rupiah</w:t>
      </w:r>
      <w:r>
        <w:rPr>
          <w:color w:val="000000"/>
          <w:spacing w:val="-4"/>
          <w:highlight w:val="yellow"/>
        </w:rPr>
        <w:t xml:space="preserve"> </w:t>
      </w:r>
      <w:r>
        <w:rPr>
          <w:color w:val="000000"/>
          <w:highlight w:val="yellow"/>
        </w:rPr>
        <w:t>and</w:t>
      </w:r>
      <w:r>
        <w:rPr>
          <w:color w:val="000000"/>
          <w:spacing w:val="-4"/>
          <w:highlight w:val="yellow"/>
        </w:rPr>
        <w:t xml:space="preserve"> </w:t>
      </w:r>
      <w:r>
        <w:rPr>
          <w:color w:val="000000"/>
          <w:highlight w:val="yellow"/>
        </w:rPr>
        <w:t>identifies</w:t>
      </w:r>
      <w:r>
        <w:rPr>
          <w:color w:val="000000"/>
          <w:spacing w:val="-4"/>
          <w:highlight w:val="yellow"/>
        </w:rPr>
        <w:t xml:space="preserve"> </w:t>
      </w:r>
      <w:r>
        <w:rPr>
          <w:color w:val="000000"/>
          <w:highlight w:val="yellow"/>
        </w:rPr>
        <w:t>S&amp;P</w:t>
      </w:r>
      <w:r>
        <w:rPr>
          <w:color w:val="000000"/>
          <w:spacing w:val="-5"/>
          <w:highlight w:val="yellow"/>
        </w:rPr>
        <w:t xml:space="preserve"> </w:t>
      </w:r>
      <w:r>
        <w:rPr>
          <w:color w:val="000000"/>
          <w:highlight w:val="yellow"/>
        </w:rPr>
        <w:t>Global</w:t>
      </w:r>
      <w:r>
        <w:rPr>
          <w:color w:val="000000"/>
          <w:spacing w:val="-4"/>
          <w:highlight w:val="yellow"/>
        </w:rPr>
        <w:t xml:space="preserve"> </w:t>
      </w:r>
      <w:r>
        <w:rPr>
          <w:color w:val="000000"/>
          <w:spacing w:val="-2"/>
          <w:highlight w:val="yellow"/>
        </w:rPr>
        <w:t>Market</w:t>
      </w:r>
    </w:p>
    <w:p w14:paraId="599E5666" w14:textId="77777777" w:rsidR="00ED08FF" w:rsidRDefault="00000000">
      <w:pPr>
        <w:pStyle w:val="BodyText"/>
        <w:spacing w:before="50" w:line="252" w:lineRule="auto"/>
        <w:ind w:right="309"/>
      </w:pPr>
      <w:r>
        <w:rPr>
          <w:color w:val="000000"/>
          <w:highlight w:val="yellow"/>
        </w:rPr>
        <w:t>Intelligence</w:t>
      </w:r>
      <w:r>
        <w:rPr>
          <w:color w:val="000000"/>
          <w:spacing w:val="-3"/>
          <w:highlight w:val="yellow"/>
        </w:rPr>
        <w:t xml:space="preserve"> </w:t>
      </w:r>
      <w:r>
        <w:rPr>
          <w:color w:val="000000"/>
          <w:highlight w:val="yellow"/>
        </w:rPr>
        <w:t>as</w:t>
      </w:r>
      <w:r>
        <w:rPr>
          <w:color w:val="000000"/>
          <w:spacing w:val="-3"/>
          <w:highlight w:val="yellow"/>
        </w:rPr>
        <w:t xml:space="preserve"> </w:t>
      </w:r>
      <w:r>
        <w:rPr>
          <w:color w:val="000000"/>
          <w:highlight w:val="yellow"/>
        </w:rPr>
        <w:t>the</w:t>
      </w:r>
      <w:r>
        <w:rPr>
          <w:color w:val="000000"/>
          <w:spacing w:val="-3"/>
          <w:highlight w:val="yellow"/>
        </w:rPr>
        <w:t xml:space="preserve"> </w:t>
      </w:r>
      <w:r>
        <w:rPr>
          <w:color w:val="000000"/>
          <w:highlight w:val="yellow"/>
        </w:rPr>
        <w:t>data</w:t>
      </w:r>
      <w:r>
        <w:rPr>
          <w:color w:val="000000"/>
          <w:spacing w:val="-3"/>
          <w:highlight w:val="yellow"/>
        </w:rPr>
        <w:t xml:space="preserve"> </w:t>
      </w:r>
      <w:r>
        <w:rPr>
          <w:color w:val="000000"/>
          <w:highlight w:val="yellow"/>
        </w:rPr>
        <w:t>source</w:t>
      </w:r>
      <w:r>
        <w:rPr>
          <w:color w:val="000000"/>
          <w:spacing w:val="-3"/>
          <w:highlight w:val="yellow"/>
        </w:rPr>
        <w:t xml:space="preserve"> </w:t>
      </w:r>
      <w:r>
        <w:rPr>
          <w:color w:val="000000"/>
          <w:highlight w:val="yellow"/>
        </w:rPr>
        <w:t>(S&amp;P</w:t>
      </w:r>
      <w:r>
        <w:rPr>
          <w:color w:val="000000"/>
          <w:spacing w:val="-3"/>
          <w:highlight w:val="yellow"/>
        </w:rPr>
        <w:t xml:space="preserve"> </w:t>
      </w:r>
      <w:r>
        <w:rPr>
          <w:color w:val="000000"/>
          <w:highlight w:val="yellow"/>
        </w:rPr>
        <w:t>Global</w:t>
      </w:r>
      <w:r>
        <w:rPr>
          <w:color w:val="000000"/>
          <w:spacing w:val="-3"/>
          <w:highlight w:val="yellow"/>
        </w:rPr>
        <w:t xml:space="preserve"> </w:t>
      </w:r>
      <w:r>
        <w:rPr>
          <w:color w:val="000000"/>
          <w:highlight w:val="yellow"/>
        </w:rPr>
        <w:t>Market</w:t>
      </w:r>
      <w:r>
        <w:rPr>
          <w:color w:val="000000"/>
          <w:spacing w:val="-3"/>
          <w:highlight w:val="yellow"/>
        </w:rPr>
        <w:t xml:space="preserve"> </w:t>
      </w:r>
      <w:r>
        <w:rPr>
          <w:color w:val="000000"/>
          <w:highlight w:val="yellow"/>
        </w:rPr>
        <w:t>Intelligence,</w:t>
      </w:r>
      <w:r>
        <w:rPr>
          <w:color w:val="000000"/>
          <w:spacing w:val="-2"/>
          <w:highlight w:val="yellow"/>
        </w:rPr>
        <w:t xml:space="preserve"> </w:t>
      </w:r>
      <w:r>
        <w:rPr>
          <w:color w:val="000000"/>
          <w:highlight w:val="yellow"/>
        </w:rPr>
        <w:t>n.d.).</w:t>
      </w:r>
      <w:r>
        <w:rPr>
          <w:color w:val="000000"/>
          <w:spacing w:val="-2"/>
          <w:highlight w:val="yellow"/>
        </w:rPr>
        <w:t xml:space="preserve"> </w:t>
      </w:r>
      <w:r>
        <w:rPr>
          <w:color w:val="000000"/>
          <w:highlight w:val="yellow"/>
        </w:rPr>
        <w:t>The</w:t>
      </w:r>
      <w:r>
        <w:rPr>
          <w:color w:val="000000"/>
          <w:spacing w:val="-3"/>
          <w:highlight w:val="yellow"/>
        </w:rPr>
        <w:t xml:space="preserve"> </w:t>
      </w:r>
      <w:r>
        <w:rPr>
          <w:color w:val="000000"/>
          <w:highlight w:val="yellow"/>
        </w:rPr>
        <w:t>use</w:t>
      </w:r>
      <w:r>
        <w:rPr>
          <w:color w:val="000000"/>
          <w:spacing w:val="-3"/>
          <w:highlight w:val="yellow"/>
        </w:rPr>
        <w:t xml:space="preserve"> </w:t>
      </w:r>
      <w:r>
        <w:rPr>
          <w:color w:val="000000"/>
          <w:highlight w:val="yellow"/>
        </w:rPr>
        <w:t>of</w:t>
      </w:r>
      <w:r>
        <w:rPr>
          <w:color w:val="000000"/>
          <w:spacing w:val="-2"/>
          <w:highlight w:val="yellow"/>
        </w:rPr>
        <w:t xml:space="preserve"> </w:t>
      </w:r>
      <w:r>
        <w:rPr>
          <w:color w:val="000000"/>
          <w:highlight w:val="yellow"/>
        </w:rPr>
        <w:t>a</w:t>
      </w:r>
      <w:r>
        <w:rPr>
          <w:color w:val="000000"/>
          <w:spacing w:val="-3"/>
          <w:highlight w:val="yellow"/>
        </w:rPr>
        <w:t xml:space="preserve"> </w:t>
      </w:r>
      <w:r>
        <w:rPr>
          <w:color w:val="000000"/>
          <w:highlight w:val="yellow"/>
        </w:rPr>
        <w:t>public</w:t>
      </w:r>
      <w:r>
        <w:rPr>
          <w:color w:val="000000"/>
          <w:spacing w:val="-3"/>
          <w:highlight w:val="yellow"/>
        </w:rPr>
        <w:t xml:space="preserve"> </w:t>
      </w:r>
      <w:r>
        <w:rPr>
          <w:color w:val="000000"/>
          <w:highlight w:val="yellow"/>
        </w:rPr>
        <w:t>database</w:t>
      </w:r>
      <w:r>
        <w:rPr>
          <w:color w:val="000000"/>
          <w:spacing w:val="-3"/>
          <w:highlight w:val="yellow"/>
        </w:rPr>
        <w:t xml:space="preserve"> </w:t>
      </w:r>
      <w:r>
        <w:rPr>
          <w:color w:val="000000"/>
          <w:highlight w:val="yellow"/>
        </w:rPr>
        <w:t>improves</w:t>
      </w:r>
      <w:r>
        <w:rPr>
          <w:color w:val="000000"/>
          <w:spacing w:val="-3"/>
          <w:highlight w:val="yellow"/>
        </w:rPr>
        <w:t xml:space="preserve"> </w:t>
      </w:r>
      <w:r>
        <w:rPr>
          <w:color w:val="000000"/>
          <w:highlight w:val="yellow"/>
        </w:rPr>
        <w:t>replicability</w:t>
      </w:r>
      <w:r>
        <w:rPr>
          <w:color w:val="000000"/>
          <w:spacing w:val="-2"/>
          <w:highlight w:val="yellow"/>
        </w:rPr>
        <w:t xml:space="preserve"> </w:t>
      </w:r>
      <w:r>
        <w:rPr>
          <w:color w:val="000000"/>
          <w:highlight w:val="yellow"/>
        </w:rPr>
        <w:t>because</w:t>
      </w:r>
      <w:r>
        <w:rPr>
          <w:color w:val="000000"/>
          <w:spacing w:val="-3"/>
          <w:highlight w:val="yellow"/>
        </w:rPr>
        <w:t xml:space="preserve"> </w:t>
      </w:r>
      <w:r>
        <w:rPr>
          <w:color w:val="000000"/>
          <w:highlight w:val="yellow"/>
        </w:rPr>
        <w:t>readers</w:t>
      </w:r>
      <w:r>
        <w:rPr>
          <w:color w:val="000000"/>
          <w:spacing w:val="-3"/>
          <w:highlight w:val="yellow"/>
        </w:rPr>
        <w:t xml:space="preserve"> </w:t>
      </w:r>
      <w:r>
        <w:rPr>
          <w:color w:val="000000"/>
          <w:highlight w:val="yellow"/>
        </w:rPr>
        <w:t>can</w:t>
      </w:r>
      <w:r>
        <w:rPr>
          <w:color w:val="000000"/>
        </w:rPr>
        <w:t xml:space="preserve"> </w:t>
      </w:r>
      <w:r>
        <w:rPr>
          <w:color w:val="000000"/>
          <w:highlight w:val="yellow"/>
        </w:rPr>
        <w:t>re-check the</w:t>
      </w:r>
    </w:p>
    <w:p w14:paraId="2A656936" w14:textId="77777777" w:rsidR="00ED08FF" w:rsidRDefault="00000000">
      <w:pPr>
        <w:pStyle w:val="BodyText"/>
        <w:spacing w:before="40" w:line="252" w:lineRule="auto"/>
        <w:ind w:right="309"/>
      </w:pPr>
      <w:r>
        <w:rPr>
          <w:color w:val="000000"/>
          <w:highlight w:val="yellow"/>
        </w:rPr>
        <w:t>values</w:t>
      </w:r>
      <w:r>
        <w:rPr>
          <w:color w:val="000000"/>
          <w:spacing w:val="-4"/>
          <w:highlight w:val="yellow"/>
        </w:rPr>
        <w:t xml:space="preserve"> </w:t>
      </w:r>
      <w:r>
        <w:rPr>
          <w:color w:val="000000"/>
          <w:highlight w:val="yellow"/>
        </w:rPr>
        <w:t>through</w:t>
      </w:r>
      <w:r>
        <w:rPr>
          <w:color w:val="000000"/>
          <w:spacing w:val="-3"/>
          <w:highlight w:val="yellow"/>
        </w:rPr>
        <w:t xml:space="preserve"> </w:t>
      </w:r>
      <w:r>
        <w:rPr>
          <w:color w:val="000000"/>
          <w:highlight w:val="yellow"/>
        </w:rPr>
        <w:t>the</w:t>
      </w:r>
      <w:r>
        <w:rPr>
          <w:color w:val="000000"/>
          <w:spacing w:val="-4"/>
          <w:highlight w:val="yellow"/>
        </w:rPr>
        <w:t xml:space="preserve"> </w:t>
      </w:r>
      <w:r>
        <w:rPr>
          <w:color w:val="000000"/>
          <w:highlight w:val="yellow"/>
        </w:rPr>
        <w:t>same</w:t>
      </w:r>
      <w:r>
        <w:rPr>
          <w:color w:val="000000"/>
          <w:spacing w:val="-4"/>
          <w:highlight w:val="yellow"/>
        </w:rPr>
        <w:t xml:space="preserve"> </w:t>
      </w:r>
      <w:r>
        <w:rPr>
          <w:color w:val="000000"/>
          <w:highlight w:val="yellow"/>
        </w:rPr>
        <w:t>company</w:t>
      </w:r>
      <w:r>
        <w:rPr>
          <w:color w:val="000000"/>
          <w:spacing w:val="-3"/>
          <w:highlight w:val="yellow"/>
        </w:rPr>
        <w:t xml:space="preserve"> </w:t>
      </w:r>
      <w:r>
        <w:rPr>
          <w:color w:val="000000"/>
          <w:highlight w:val="yellow"/>
        </w:rPr>
        <w:t>pages.</w:t>
      </w:r>
      <w:r>
        <w:rPr>
          <w:color w:val="000000"/>
          <w:spacing w:val="-3"/>
          <w:highlight w:val="yellow"/>
        </w:rPr>
        <w:t xml:space="preserve"> </w:t>
      </w:r>
      <w:r>
        <w:rPr>
          <w:color w:val="000000"/>
          <w:highlight w:val="yellow"/>
        </w:rPr>
        <w:t>For</w:t>
      </w:r>
      <w:r>
        <w:rPr>
          <w:color w:val="000000"/>
          <w:spacing w:val="-3"/>
          <w:highlight w:val="yellow"/>
        </w:rPr>
        <w:t xml:space="preserve"> </w:t>
      </w:r>
      <w:r>
        <w:rPr>
          <w:color w:val="000000"/>
          <w:highlight w:val="yellow"/>
        </w:rPr>
        <w:t>final</w:t>
      </w:r>
      <w:r>
        <w:rPr>
          <w:color w:val="000000"/>
          <w:spacing w:val="-4"/>
          <w:highlight w:val="yellow"/>
        </w:rPr>
        <w:t xml:space="preserve"> </w:t>
      </w:r>
      <w:r>
        <w:rPr>
          <w:color w:val="000000"/>
          <w:highlight w:val="yellow"/>
        </w:rPr>
        <w:t>publication,</w:t>
      </w:r>
      <w:r>
        <w:rPr>
          <w:color w:val="000000"/>
          <w:spacing w:val="-3"/>
          <w:highlight w:val="yellow"/>
        </w:rPr>
        <w:t xml:space="preserve"> </w:t>
      </w:r>
      <w:r>
        <w:rPr>
          <w:color w:val="000000"/>
          <w:highlight w:val="yellow"/>
        </w:rPr>
        <w:t>researchers</w:t>
      </w:r>
      <w:r>
        <w:rPr>
          <w:color w:val="000000"/>
          <w:spacing w:val="-4"/>
          <w:highlight w:val="yellow"/>
        </w:rPr>
        <w:t xml:space="preserve"> </w:t>
      </w:r>
      <w:r>
        <w:rPr>
          <w:color w:val="000000"/>
          <w:highlight w:val="yellow"/>
        </w:rPr>
        <w:t>should</w:t>
      </w:r>
      <w:r>
        <w:rPr>
          <w:color w:val="000000"/>
          <w:spacing w:val="-3"/>
          <w:highlight w:val="yellow"/>
        </w:rPr>
        <w:t xml:space="preserve"> </w:t>
      </w:r>
      <w:r>
        <w:rPr>
          <w:color w:val="000000"/>
          <w:highlight w:val="yellow"/>
        </w:rPr>
        <w:t>still</w:t>
      </w:r>
      <w:r>
        <w:rPr>
          <w:color w:val="000000"/>
          <w:spacing w:val="-4"/>
          <w:highlight w:val="yellow"/>
        </w:rPr>
        <w:t xml:space="preserve"> </w:t>
      </w:r>
      <w:r>
        <w:rPr>
          <w:color w:val="000000"/>
          <w:highlight w:val="yellow"/>
        </w:rPr>
        <w:t>reconcile</w:t>
      </w:r>
      <w:r>
        <w:rPr>
          <w:color w:val="000000"/>
          <w:spacing w:val="-4"/>
          <w:highlight w:val="yellow"/>
        </w:rPr>
        <w:t xml:space="preserve"> </w:t>
      </w:r>
      <w:r>
        <w:rPr>
          <w:color w:val="000000"/>
          <w:highlight w:val="yellow"/>
        </w:rPr>
        <w:t>the</w:t>
      </w:r>
      <w:r>
        <w:rPr>
          <w:color w:val="000000"/>
          <w:spacing w:val="-4"/>
          <w:highlight w:val="yellow"/>
        </w:rPr>
        <w:t xml:space="preserve"> </w:t>
      </w:r>
      <w:r>
        <w:rPr>
          <w:color w:val="000000"/>
          <w:highlight w:val="yellow"/>
        </w:rPr>
        <w:t>dataset</w:t>
      </w:r>
      <w:r>
        <w:rPr>
          <w:color w:val="000000"/>
          <w:spacing w:val="-4"/>
          <w:highlight w:val="yellow"/>
        </w:rPr>
        <w:t xml:space="preserve"> </w:t>
      </w:r>
      <w:r>
        <w:rPr>
          <w:color w:val="000000"/>
          <w:highlight w:val="yellow"/>
        </w:rPr>
        <w:t>with</w:t>
      </w:r>
      <w:r>
        <w:rPr>
          <w:color w:val="000000"/>
          <w:spacing w:val="-3"/>
          <w:highlight w:val="yellow"/>
        </w:rPr>
        <w:t xml:space="preserve"> </w:t>
      </w:r>
      <w:r>
        <w:rPr>
          <w:color w:val="000000"/>
          <w:highlight w:val="yellow"/>
        </w:rPr>
        <w:t>annual</w:t>
      </w:r>
      <w:r>
        <w:rPr>
          <w:color w:val="000000"/>
          <w:spacing w:val="-4"/>
          <w:highlight w:val="yellow"/>
        </w:rPr>
        <w:t xml:space="preserve"> </w:t>
      </w:r>
      <w:r>
        <w:rPr>
          <w:color w:val="000000"/>
          <w:highlight w:val="yellow"/>
        </w:rPr>
        <w:t>(Indonesia</w:t>
      </w:r>
      <w:r>
        <w:rPr>
          <w:color w:val="000000"/>
          <w:spacing w:val="-4"/>
          <w:highlight w:val="yellow"/>
        </w:rPr>
        <w:t xml:space="preserve"> </w:t>
      </w:r>
      <w:r>
        <w:rPr>
          <w:color w:val="000000"/>
          <w:highlight w:val="yellow"/>
        </w:rPr>
        <w:t>Stock</w:t>
      </w:r>
      <w:r>
        <w:rPr>
          <w:color w:val="000000"/>
        </w:rPr>
        <w:t xml:space="preserve"> </w:t>
      </w:r>
      <w:r>
        <w:rPr>
          <w:color w:val="000000"/>
          <w:highlight w:val="yellow"/>
        </w:rPr>
        <w:t>Exchange, n.d.).</w:t>
      </w:r>
    </w:p>
    <w:p w14:paraId="0F821483" w14:textId="77777777" w:rsidR="00ED08FF" w:rsidRDefault="00000000">
      <w:pPr>
        <w:pStyle w:val="BodyText"/>
        <w:spacing w:before="39"/>
        <w:ind w:left="0" w:right="4256"/>
        <w:jc w:val="right"/>
      </w:pPr>
      <w:r>
        <w:t>reports</w:t>
      </w:r>
      <w:r>
        <w:rPr>
          <w:spacing w:val="-4"/>
        </w:rPr>
        <w:t xml:space="preserve"> </w:t>
      </w:r>
      <w:r>
        <w:t>from</w:t>
      </w:r>
      <w:r>
        <w:rPr>
          <w:spacing w:val="-4"/>
        </w:rPr>
        <w:t xml:space="preserve"> </w:t>
      </w:r>
      <w:r>
        <w:t>the</w:t>
      </w:r>
      <w:r>
        <w:rPr>
          <w:spacing w:val="-4"/>
        </w:rPr>
        <w:t xml:space="preserve"> </w:t>
      </w:r>
      <w:r>
        <w:t>issuer</w:t>
      </w:r>
      <w:r>
        <w:rPr>
          <w:spacing w:val="-3"/>
        </w:rPr>
        <w:t xml:space="preserve"> </w:t>
      </w:r>
      <w:r>
        <w:t>or</w:t>
      </w:r>
      <w:r>
        <w:rPr>
          <w:spacing w:val="-3"/>
        </w:rPr>
        <w:t xml:space="preserve"> </w:t>
      </w:r>
      <w:r>
        <w:t>the</w:t>
      </w:r>
      <w:r>
        <w:rPr>
          <w:spacing w:val="-4"/>
        </w:rPr>
        <w:t xml:space="preserve"> </w:t>
      </w:r>
      <w:r>
        <w:t>Indonesia</w:t>
      </w:r>
      <w:r>
        <w:rPr>
          <w:spacing w:val="-4"/>
        </w:rPr>
        <w:t xml:space="preserve"> </w:t>
      </w:r>
      <w:r>
        <w:t>Stock</w:t>
      </w:r>
      <w:r>
        <w:rPr>
          <w:spacing w:val="-3"/>
        </w:rPr>
        <w:t xml:space="preserve"> </w:t>
      </w:r>
      <w:r>
        <w:t>Exchange</w:t>
      </w:r>
      <w:r>
        <w:rPr>
          <w:spacing w:val="-4"/>
        </w:rPr>
        <w:t xml:space="preserve"> </w:t>
      </w:r>
      <w:r>
        <w:t>to</w:t>
      </w:r>
      <w:r>
        <w:rPr>
          <w:spacing w:val="-3"/>
        </w:rPr>
        <w:t xml:space="preserve"> </w:t>
      </w:r>
      <w:r>
        <w:t>eliminate</w:t>
      </w:r>
      <w:r>
        <w:rPr>
          <w:spacing w:val="-4"/>
        </w:rPr>
        <w:t xml:space="preserve"> </w:t>
      </w:r>
      <w:r>
        <w:t>transcription</w:t>
      </w:r>
      <w:r>
        <w:rPr>
          <w:spacing w:val="-3"/>
        </w:rPr>
        <w:t xml:space="preserve"> </w:t>
      </w:r>
      <w:r>
        <w:rPr>
          <w:spacing w:val="-2"/>
        </w:rPr>
        <w:t>errors.</w:t>
      </w:r>
    </w:p>
    <w:p w14:paraId="0C599B8B" w14:textId="77777777" w:rsidR="00ED08FF" w:rsidRDefault="00000000">
      <w:pPr>
        <w:pStyle w:val="Heading2"/>
        <w:spacing w:before="50"/>
        <w:ind w:left="0" w:right="4319"/>
        <w:jc w:val="right"/>
      </w:pPr>
      <w:r>
        <w:t>Table</w:t>
      </w:r>
      <w:r>
        <w:rPr>
          <w:spacing w:val="-4"/>
        </w:rPr>
        <w:t xml:space="preserve"> </w:t>
      </w:r>
      <w:r>
        <w:t>2:</w:t>
      </w:r>
      <w:r>
        <w:rPr>
          <w:spacing w:val="-4"/>
        </w:rPr>
        <w:t xml:space="preserve"> </w:t>
      </w:r>
      <w:r>
        <w:t>Sample</w:t>
      </w:r>
      <w:r>
        <w:rPr>
          <w:spacing w:val="-3"/>
        </w:rPr>
        <w:t xml:space="preserve"> </w:t>
      </w:r>
      <w:r>
        <w:rPr>
          <w:spacing w:val="-2"/>
        </w:rPr>
        <w:t>Companies</w:t>
      </w:r>
    </w:p>
    <w:p w14:paraId="64B0CE94" w14:textId="77777777" w:rsidR="00ED08FF" w:rsidRDefault="00000000">
      <w:pPr>
        <w:pStyle w:val="BodyText"/>
        <w:spacing w:before="50"/>
        <w:ind w:left="2700"/>
        <w:jc w:val="center"/>
      </w:pPr>
      <w:r>
        <w:rPr>
          <w:spacing w:val="-2"/>
        </w:rPr>
        <w:t>Observation</w:t>
      </w:r>
    </w:p>
    <w:p w14:paraId="6DF1EE9C" w14:textId="77777777" w:rsidR="00ED08FF" w:rsidRDefault="00000000">
      <w:pPr>
        <w:tabs>
          <w:tab w:val="left" w:pos="2105"/>
          <w:tab w:val="left" w:pos="5772"/>
        </w:tabs>
        <w:spacing w:before="50"/>
        <w:ind w:right="209"/>
        <w:jc w:val="center"/>
        <w:rPr>
          <w:rFonts w:ascii="Courier New"/>
          <w:sz w:val="13"/>
        </w:rPr>
      </w:pPr>
      <w:r>
        <w:rPr>
          <w:rFonts w:ascii="Courier New"/>
          <w:spacing w:val="-2"/>
          <w:sz w:val="13"/>
        </w:rPr>
        <w:t>Ticker</w:t>
      </w:r>
      <w:r>
        <w:rPr>
          <w:rFonts w:ascii="Courier New"/>
          <w:sz w:val="13"/>
        </w:rPr>
        <w:tab/>
      </w:r>
      <w:r>
        <w:rPr>
          <w:rFonts w:ascii="Courier New"/>
          <w:spacing w:val="-2"/>
          <w:sz w:val="13"/>
        </w:rPr>
        <w:t>Company</w:t>
      </w:r>
      <w:r>
        <w:rPr>
          <w:rFonts w:ascii="Courier New"/>
          <w:sz w:val="13"/>
        </w:rPr>
        <w:tab/>
        <w:t>Business</w:t>
      </w:r>
      <w:r>
        <w:rPr>
          <w:rFonts w:ascii="Courier New"/>
          <w:spacing w:val="-10"/>
          <w:sz w:val="13"/>
        </w:rPr>
        <w:t xml:space="preserve"> </w:t>
      </w:r>
      <w:r>
        <w:rPr>
          <w:rFonts w:ascii="Courier New"/>
          <w:spacing w:val="-2"/>
          <w:sz w:val="13"/>
        </w:rPr>
        <w:t>Focus</w:t>
      </w:r>
    </w:p>
    <w:p w14:paraId="755BD79F" w14:textId="77777777" w:rsidR="00ED08FF" w:rsidRDefault="00000000">
      <w:pPr>
        <w:pStyle w:val="BodyText"/>
        <w:spacing w:before="0"/>
        <w:ind w:left="2510"/>
        <w:jc w:val="center"/>
      </w:pPr>
      <w:r>
        <w:rPr>
          <w:spacing w:val="-2"/>
        </w:rPr>
        <w:t>Years</w:t>
      </w:r>
    </w:p>
    <w:p w14:paraId="5F6BDFD4" w14:textId="77777777" w:rsidR="00ED08FF" w:rsidRDefault="00000000">
      <w:pPr>
        <w:tabs>
          <w:tab w:val="left" w:pos="935"/>
          <w:tab w:val="left" w:pos="4446"/>
        </w:tabs>
        <w:spacing w:before="50" w:line="147" w:lineRule="exact"/>
        <w:ind w:right="131"/>
        <w:jc w:val="center"/>
        <w:rPr>
          <w:rFonts w:ascii="Courier New"/>
          <w:sz w:val="13"/>
        </w:rPr>
      </w:pPr>
      <w:r>
        <w:rPr>
          <w:rFonts w:ascii="Courier New"/>
          <w:spacing w:val="-4"/>
          <w:sz w:val="13"/>
        </w:rPr>
        <w:t>ICBP</w:t>
      </w:r>
      <w:r>
        <w:rPr>
          <w:rFonts w:ascii="Courier New"/>
          <w:sz w:val="13"/>
        </w:rPr>
        <w:tab/>
        <w:t>PT</w:t>
      </w:r>
      <w:r>
        <w:rPr>
          <w:rFonts w:ascii="Courier New"/>
          <w:spacing w:val="-5"/>
          <w:sz w:val="13"/>
        </w:rPr>
        <w:t xml:space="preserve"> </w:t>
      </w:r>
      <w:r>
        <w:rPr>
          <w:rFonts w:ascii="Courier New"/>
          <w:sz w:val="13"/>
        </w:rPr>
        <w:t>Indofood</w:t>
      </w:r>
      <w:r>
        <w:rPr>
          <w:rFonts w:ascii="Courier New"/>
          <w:spacing w:val="-5"/>
          <w:sz w:val="13"/>
        </w:rPr>
        <w:t xml:space="preserve"> </w:t>
      </w:r>
      <w:r>
        <w:rPr>
          <w:rFonts w:ascii="Courier New"/>
          <w:sz w:val="13"/>
        </w:rPr>
        <w:t>CBP</w:t>
      </w:r>
      <w:r>
        <w:rPr>
          <w:rFonts w:ascii="Courier New"/>
          <w:spacing w:val="-5"/>
          <w:sz w:val="13"/>
        </w:rPr>
        <w:t xml:space="preserve"> </w:t>
      </w:r>
      <w:r>
        <w:rPr>
          <w:rFonts w:ascii="Courier New"/>
          <w:sz w:val="13"/>
        </w:rPr>
        <w:t>Sukses</w:t>
      </w:r>
      <w:r>
        <w:rPr>
          <w:rFonts w:ascii="Courier New"/>
          <w:spacing w:val="-5"/>
          <w:sz w:val="13"/>
        </w:rPr>
        <w:t xml:space="preserve"> </w:t>
      </w:r>
      <w:r>
        <w:rPr>
          <w:rFonts w:ascii="Courier New"/>
          <w:sz w:val="13"/>
        </w:rPr>
        <w:t>Makmur</w:t>
      </w:r>
      <w:r>
        <w:rPr>
          <w:rFonts w:ascii="Courier New"/>
          <w:spacing w:val="-5"/>
          <w:sz w:val="13"/>
        </w:rPr>
        <w:t xml:space="preserve"> Tbk</w:t>
      </w:r>
      <w:r>
        <w:rPr>
          <w:rFonts w:ascii="Courier New"/>
          <w:sz w:val="13"/>
        </w:rPr>
        <w:tab/>
        <w:t>Packaged</w:t>
      </w:r>
      <w:r>
        <w:rPr>
          <w:rFonts w:ascii="Courier New"/>
          <w:spacing w:val="-8"/>
          <w:sz w:val="13"/>
        </w:rPr>
        <w:t xml:space="preserve"> </w:t>
      </w:r>
      <w:r>
        <w:rPr>
          <w:rFonts w:ascii="Courier New"/>
          <w:sz w:val="13"/>
        </w:rPr>
        <w:t>food</w:t>
      </w:r>
      <w:r>
        <w:rPr>
          <w:rFonts w:ascii="Courier New"/>
          <w:spacing w:val="-6"/>
          <w:sz w:val="13"/>
        </w:rPr>
        <w:t xml:space="preserve"> </w:t>
      </w:r>
      <w:r>
        <w:rPr>
          <w:rFonts w:ascii="Courier New"/>
          <w:sz w:val="13"/>
        </w:rPr>
        <w:t>and</w:t>
      </w:r>
      <w:r>
        <w:rPr>
          <w:rFonts w:ascii="Courier New"/>
          <w:spacing w:val="-6"/>
          <w:sz w:val="13"/>
        </w:rPr>
        <w:t xml:space="preserve"> </w:t>
      </w:r>
      <w:r>
        <w:rPr>
          <w:rFonts w:ascii="Courier New"/>
          <w:sz w:val="13"/>
        </w:rPr>
        <w:t>consumer</w:t>
      </w:r>
      <w:r>
        <w:rPr>
          <w:rFonts w:ascii="Courier New"/>
          <w:spacing w:val="-5"/>
          <w:sz w:val="13"/>
        </w:rPr>
        <w:t xml:space="preserve"> </w:t>
      </w:r>
      <w:r>
        <w:rPr>
          <w:rFonts w:ascii="Courier New"/>
          <w:spacing w:val="-2"/>
          <w:sz w:val="13"/>
        </w:rPr>
        <w:t>goods</w:t>
      </w:r>
    </w:p>
    <w:p w14:paraId="4876A59A" w14:textId="77777777" w:rsidR="00ED08FF" w:rsidRDefault="00ED08FF">
      <w:pPr>
        <w:spacing w:line="147" w:lineRule="exact"/>
        <w:jc w:val="center"/>
        <w:rPr>
          <w:rFonts w:ascii="Courier New"/>
          <w:sz w:val="13"/>
        </w:rPr>
        <w:sectPr w:rsidR="00ED08FF">
          <w:pgSz w:w="12240" w:h="15840"/>
          <w:pgMar w:top="1040" w:right="720" w:bottom="900" w:left="720" w:header="0" w:footer="669" w:gutter="0"/>
          <w:cols w:space="720"/>
        </w:sectPr>
      </w:pPr>
    </w:p>
    <w:p w14:paraId="0ABBD9C5" w14:textId="77777777" w:rsidR="00ED08FF" w:rsidRDefault="00000000">
      <w:pPr>
        <w:ind w:left="145"/>
        <w:rPr>
          <w:rFonts w:ascii="Courier New"/>
          <w:sz w:val="13"/>
        </w:rPr>
      </w:pPr>
      <w:r>
        <w:rPr>
          <w:rFonts w:ascii="Courier New"/>
          <w:spacing w:val="-2"/>
          <w:sz w:val="13"/>
        </w:rPr>
        <w:t>2021-</w:t>
      </w:r>
      <w:r>
        <w:rPr>
          <w:rFonts w:ascii="Courier New"/>
          <w:spacing w:val="-4"/>
          <w:sz w:val="13"/>
        </w:rPr>
        <w:t>2025</w:t>
      </w:r>
    </w:p>
    <w:p w14:paraId="639DFF5B" w14:textId="77777777" w:rsidR="00ED08FF" w:rsidRDefault="00000000">
      <w:pPr>
        <w:spacing w:before="146"/>
        <w:ind w:left="145"/>
        <w:rPr>
          <w:rFonts w:ascii="Courier New"/>
          <w:sz w:val="13"/>
        </w:rPr>
      </w:pPr>
      <w:r>
        <w:rPr>
          <w:rFonts w:ascii="Courier New"/>
          <w:spacing w:val="-2"/>
          <w:sz w:val="13"/>
        </w:rPr>
        <w:t>2021-</w:t>
      </w:r>
      <w:r>
        <w:rPr>
          <w:rFonts w:ascii="Courier New"/>
          <w:spacing w:val="-4"/>
          <w:sz w:val="13"/>
        </w:rPr>
        <w:t>2025</w:t>
      </w:r>
    </w:p>
    <w:p w14:paraId="3F5A2704" w14:textId="77777777" w:rsidR="00ED08FF" w:rsidRDefault="00ED08FF">
      <w:pPr>
        <w:pStyle w:val="BodyText"/>
        <w:spacing w:before="0"/>
        <w:ind w:left="0"/>
        <w:rPr>
          <w:rFonts w:ascii="Courier New"/>
          <w:sz w:val="13"/>
        </w:rPr>
      </w:pPr>
    </w:p>
    <w:p w14:paraId="00979FF2" w14:textId="77777777" w:rsidR="00ED08FF" w:rsidRDefault="00000000">
      <w:pPr>
        <w:ind w:left="145"/>
        <w:rPr>
          <w:rFonts w:ascii="Courier New"/>
          <w:sz w:val="13"/>
        </w:rPr>
      </w:pPr>
      <w:r>
        <w:rPr>
          <w:rFonts w:ascii="Courier New"/>
          <w:spacing w:val="-2"/>
          <w:sz w:val="13"/>
        </w:rPr>
        <w:t>2021-</w:t>
      </w:r>
      <w:r>
        <w:rPr>
          <w:rFonts w:ascii="Courier New"/>
          <w:spacing w:val="-4"/>
          <w:sz w:val="13"/>
        </w:rPr>
        <w:t>2025</w:t>
      </w:r>
    </w:p>
    <w:p w14:paraId="53DFB212" w14:textId="77777777" w:rsidR="00ED08FF" w:rsidRDefault="00000000">
      <w:pPr>
        <w:spacing w:before="147"/>
        <w:ind w:left="145"/>
        <w:rPr>
          <w:rFonts w:ascii="Courier New"/>
          <w:sz w:val="13"/>
        </w:rPr>
      </w:pPr>
      <w:r>
        <w:rPr>
          <w:rFonts w:ascii="Courier New"/>
          <w:spacing w:val="-2"/>
          <w:sz w:val="13"/>
        </w:rPr>
        <w:t>2021-</w:t>
      </w:r>
      <w:r>
        <w:rPr>
          <w:rFonts w:ascii="Courier New"/>
          <w:spacing w:val="-4"/>
          <w:sz w:val="13"/>
        </w:rPr>
        <w:t>2025</w:t>
      </w:r>
    </w:p>
    <w:p w14:paraId="47BF4E5B" w14:textId="77777777" w:rsidR="00ED08FF" w:rsidRDefault="00000000">
      <w:pPr>
        <w:spacing w:before="146"/>
        <w:ind w:left="145"/>
        <w:rPr>
          <w:rFonts w:ascii="Courier New"/>
          <w:sz w:val="13"/>
        </w:rPr>
      </w:pPr>
      <w:r>
        <w:rPr>
          <w:rFonts w:ascii="Courier New"/>
          <w:spacing w:val="-2"/>
          <w:sz w:val="13"/>
        </w:rPr>
        <w:t>2021-</w:t>
      </w:r>
      <w:r>
        <w:rPr>
          <w:rFonts w:ascii="Courier New"/>
          <w:spacing w:val="-4"/>
          <w:sz w:val="13"/>
        </w:rPr>
        <w:t>2025</w:t>
      </w:r>
    </w:p>
    <w:p w14:paraId="112DDAFE" w14:textId="77777777" w:rsidR="00ED08FF" w:rsidRDefault="00ED08FF">
      <w:pPr>
        <w:pStyle w:val="BodyText"/>
        <w:spacing w:before="0"/>
        <w:ind w:left="0"/>
        <w:rPr>
          <w:rFonts w:ascii="Courier New"/>
          <w:sz w:val="13"/>
        </w:rPr>
      </w:pPr>
    </w:p>
    <w:p w14:paraId="27370543" w14:textId="77777777" w:rsidR="00ED08FF" w:rsidRDefault="00ED08FF">
      <w:pPr>
        <w:pStyle w:val="BodyText"/>
        <w:spacing w:before="109"/>
        <w:ind w:left="0"/>
        <w:rPr>
          <w:rFonts w:ascii="Courier New"/>
          <w:sz w:val="13"/>
        </w:rPr>
      </w:pPr>
    </w:p>
    <w:p w14:paraId="04D19DA8" w14:textId="77777777" w:rsidR="00ED08FF" w:rsidRDefault="00000000">
      <w:pPr>
        <w:spacing w:before="1"/>
        <w:ind w:left="145"/>
        <w:rPr>
          <w:rFonts w:ascii="Courier New"/>
          <w:sz w:val="13"/>
        </w:rPr>
      </w:pPr>
      <w:r>
        <w:rPr>
          <w:rFonts w:ascii="Courier New"/>
          <w:spacing w:val="-2"/>
          <w:sz w:val="13"/>
        </w:rPr>
        <w:t>2021-</w:t>
      </w:r>
      <w:r>
        <w:rPr>
          <w:rFonts w:ascii="Courier New"/>
          <w:spacing w:val="-4"/>
          <w:sz w:val="13"/>
        </w:rPr>
        <w:t>2025</w:t>
      </w:r>
    </w:p>
    <w:p w14:paraId="7899DFFD" w14:textId="77777777" w:rsidR="00ED08FF" w:rsidRDefault="00ED08FF">
      <w:pPr>
        <w:pStyle w:val="BodyText"/>
        <w:spacing w:before="0"/>
        <w:ind w:left="0"/>
        <w:rPr>
          <w:rFonts w:ascii="Courier New"/>
          <w:sz w:val="13"/>
        </w:rPr>
      </w:pPr>
    </w:p>
    <w:p w14:paraId="4232E253" w14:textId="77777777" w:rsidR="00ED08FF" w:rsidRDefault="00ED08FF">
      <w:pPr>
        <w:pStyle w:val="BodyText"/>
        <w:spacing w:before="109"/>
        <w:ind w:left="0"/>
        <w:rPr>
          <w:rFonts w:ascii="Courier New"/>
          <w:sz w:val="13"/>
        </w:rPr>
      </w:pPr>
    </w:p>
    <w:p w14:paraId="352155E8" w14:textId="77777777" w:rsidR="00ED08FF" w:rsidRDefault="00000000">
      <w:pPr>
        <w:ind w:left="145"/>
        <w:rPr>
          <w:rFonts w:ascii="Courier New"/>
          <w:sz w:val="13"/>
        </w:rPr>
      </w:pPr>
      <w:r>
        <w:rPr>
          <w:rFonts w:ascii="Courier New"/>
          <w:spacing w:val="-2"/>
          <w:sz w:val="13"/>
        </w:rPr>
        <w:t>2021-</w:t>
      </w:r>
      <w:r>
        <w:rPr>
          <w:rFonts w:ascii="Courier New"/>
          <w:spacing w:val="-4"/>
          <w:sz w:val="13"/>
        </w:rPr>
        <w:t>2025</w:t>
      </w:r>
    </w:p>
    <w:p w14:paraId="5AE97142" w14:textId="77777777" w:rsidR="00ED08FF" w:rsidRDefault="00000000">
      <w:pPr>
        <w:spacing w:before="146"/>
        <w:ind w:left="145"/>
        <w:rPr>
          <w:rFonts w:ascii="Courier New"/>
          <w:sz w:val="13"/>
        </w:rPr>
      </w:pPr>
      <w:r>
        <w:rPr>
          <w:rFonts w:ascii="Courier New"/>
          <w:spacing w:val="-2"/>
          <w:sz w:val="13"/>
        </w:rPr>
        <w:t>2021-</w:t>
      </w:r>
      <w:r>
        <w:rPr>
          <w:rFonts w:ascii="Courier New"/>
          <w:spacing w:val="-4"/>
          <w:sz w:val="13"/>
        </w:rPr>
        <w:t>2025</w:t>
      </w:r>
    </w:p>
    <w:p w14:paraId="48AAD1DC" w14:textId="77777777" w:rsidR="00ED08FF" w:rsidRDefault="00000000">
      <w:pPr>
        <w:tabs>
          <w:tab w:val="left" w:pos="1267"/>
          <w:tab w:val="left" w:pos="4778"/>
        </w:tabs>
        <w:spacing w:before="147" w:line="480" w:lineRule="auto"/>
        <w:ind w:left="332" w:right="667"/>
        <w:rPr>
          <w:rFonts w:ascii="Courier New"/>
          <w:sz w:val="13"/>
        </w:rPr>
      </w:pPr>
      <w:r>
        <w:br w:type="column"/>
      </w:r>
      <w:r>
        <w:rPr>
          <w:rFonts w:ascii="Courier New"/>
          <w:spacing w:val="-4"/>
          <w:sz w:val="13"/>
        </w:rPr>
        <w:t>INDF</w:t>
      </w:r>
      <w:r>
        <w:rPr>
          <w:rFonts w:ascii="Courier New"/>
          <w:sz w:val="13"/>
        </w:rPr>
        <w:tab/>
        <w:t>PT Indofood Sukses Makmur Tbk</w:t>
      </w:r>
      <w:r>
        <w:rPr>
          <w:rFonts w:ascii="Courier New"/>
          <w:sz w:val="13"/>
        </w:rPr>
        <w:tab/>
        <w:t>Integrated</w:t>
      </w:r>
      <w:r>
        <w:rPr>
          <w:rFonts w:ascii="Courier New"/>
          <w:spacing w:val="-8"/>
          <w:sz w:val="13"/>
        </w:rPr>
        <w:t xml:space="preserve"> </w:t>
      </w:r>
      <w:r>
        <w:rPr>
          <w:rFonts w:ascii="Courier New"/>
          <w:sz w:val="13"/>
        </w:rPr>
        <w:t>food,</w:t>
      </w:r>
      <w:r>
        <w:rPr>
          <w:rFonts w:ascii="Courier New"/>
          <w:spacing w:val="-8"/>
          <w:sz w:val="13"/>
        </w:rPr>
        <w:t xml:space="preserve"> </w:t>
      </w:r>
      <w:r>
        <w:rPr>
          <w:rFonts w:ascii="Courier New"/>
          <w:sz w:val="13"/>
        </w:rPr>
        <w:t>agribusiness,</w:t>
      </w:r>
      <w:r>
        <w:rPr>
          <w:rFonts w:ascii="Courier New"/>
          <w:spacing w:val="-8"/>
          <w:sz w:val="13"/>
        </w:rPr>
        <w:t xml:space="preserve"> </w:t>
      </w:r>
      <w:r>
        <w:rPr>
          <w:rFonts w:ascii="Courier New"/>
          <w:sz w:val="13"/>
        </w:rPr>
        <w:t>and</w:t>
      </w:r>
      <w:r>
        <w:rPr>
          <w:rFonts w:ascii="Courier New"/>
          <w:spacing w:val="-8"/>
          <w:sz w:val="13"/>
        </w:rPr>
        <w:t xml:space="preserve"> </w:t>
      </w:r>
      <w:r>
        <w:rPr>
          <w:rFonts w:ascii="Courier New"/>
          <w:sz w:val="13"/>
        </w:rPr>
        <w:t>consumer</w:t>
      </w:r>
      <w:r>
        <w:rPr>
          <w:rFonts w:ascii="Courier New"/>
          <w:spacing w:val="-8"/>
          <w:sz w:val="13"/>
        </w:rPr>
        <w:t xml:space="preserve"> </w:t>
      </w:r>
      <w:r>
        <w:rPr>
          <w:rFonts w:ascii="Courier New"/>
          <w:sz w:val="13"/>
        </w:rPr>
        <w:t xml:space="preserve">goods </w:t>
      </w:r>
      <w:r>
        <w:rPr>
          <w:rFonts w:ascii="Courier New"/>
          <w:spacing w:val="-4"/>
          <w:sz w:val="13"/>
        </w:rPr>
        <w:t>UNVR</w:t>
      </w:r>
      <w:r>
        <w:rPr>
          <w:rFonts w:ascii="Courier New"/>
          <w:sz w:val="13"/>
        </w:rPr>
        <w:tab/>
        <w:t>PT Unilever Indonesia Tbk</w:t>
      </w:r>
      <w:r>
        <w:rPr>
          <w:rFonts w:ascii="Courier New"/>
          <w:sz w:val="13"/>
        </w:rPr>
        <w:tab/>
        <w:t>Household and personal care products</w:t>
      </w:r>
    </w:p>
    <w:p w14:paraId="5C41B971" w14:textId="77777777" w:rsidR="00ED08FF" w:rsidRDefault="00000000">
      <w:pPr>
        <w:tabs>
          <w:tab w:val="left" w:pos="1267"/>
          <w:tab w:val="left" w:pos="4778"/>
        </w:tabs>
        <w:spacing w:line="480" w:lineRule="auto"/>
        <w:ind w:left="332" w:right="2461"/>
        <w:rPr>
          <w:rFonts w:ascii="Courier New"/>
          <w:sz w:val="13"/>
        </w:rPr>
      </w:pPr>
      <w:r>
        <w:rPr>
          <w:rFonts w:ascii="Courier New"/>
          <w:spacing w:val="-4"/>
          <w:sz w:val="13"/>
        </w:rPr>
        <w:t>AMRT</w:t>
      </w:r>
      <w:r>
        <w:rPr>
          <w:rFonts w:ascii="Courier New"/>
          <w:sz w:val="13"/>
        </w:rPr>
        <w:tab/>
        <w:t>PT Sumber Alfaria Trijaya Tbk</w:t>
      </w:r>
      <w:r>
        <w:rPr>
          <w:rFonts w:ascii="Courier New"/>
          <w:sz w:val="13"/>
        </w:rPr>
        <w:tab/>
        <w:t>Food</w:t>
      </w:r>
      <w:r>
        <w:rPr>
          <w:rFonts w:ascii="Courier New"/>
          <w:spacing w:val="-13"/>
          <w:sz w:val="13"/>
        </w:rPr>
        <w:t xml:space="preserve"> </w:t>
      </w:r>
      <w:r>
        <w:rPr>
          <w:rFonts w:ascii="Courier New"/>
          <w:sz w:val="13"/>
        </w:rPr>
        <w:t>and</w:t>
      </w:r>
      <w:r>
        <w:rPr>
          <w:rFonts w:ascii="Courier New"/>
          <w:spacing w:val="-13"/>
          <w:sz w:val="13"/>
        </w:rPr>
        <w:t xml:space="preserve"> </w:t>
      </w:r>
      <w:r>
        <w:rPr>
          <w:rFonts w:ascii="Courier New"/>
          <w:sz w:val="13"/>
        </w:rPr>
        <w:t>staples</w:t>
      </w:r>
      <w:r>
        <w:rPr>
          <w:rFonts w:ascii="Courier New"/>
          <w:spacing w:val="-13"/>
          <w:sz w:val="13"/>
        </w:rPr>
        <w:t xml:space="preserve"> </w:t>
      </w:r>
      <w:r>
        <w:rPr>
          <w:rFonts w:ascii="Courier New"/>
          <w:sz w:val="13"/>
        </w:rPr>
        <w:t xml:space="preserve">retailing </w:t>
      </w:r>
      <w:r>
        <w:rPr>
          <w:rFonts w:ascii="Courier New"/>
          <w:spacing w:val="-4"/>
          <w:sz w:val="13"/>
        </w:rPr>
        <w:t>CMRY</w:t>
      </w:r>
      <w:r>
        <w:rPr>
          <w:rFonts w:ascii="Courier New"/>
          <w:sz w:val="13"/>
        </w:rPr>
        <w:tab/>
        <w:t>PT Cisarua Mountain Dairy Tbk</w:t>
      </w:r>
      <w:r>
        <w:rPr>
          <w:rFonts w:ascii="Courier New"/>
          <w:sz w:val="13"/>
        </w:rPr>
        <w:tab/>
        <w:t>Dairy and processed food</w:t>
      </w:r>
    </w:p>
    <w:p w14:paraId="6073F9B1" w14:textId="77777777" w:rsidR="00ED08FF" w:rsidRDefault="00000000">
      <w:pPr>
        <w:pStyle w:val="BodyText"/>
        <w:spacing w:before="0" w:line="206" w:lineRule="exact"/>
      </w:pPr>
      <w:r>
        <w:t>PT</w:t>
      </w:r>
      <w:r>
        <w:rPr>
          <w:spacing w:val="-3"/>
        </w:rPr>
        <w:t xml:space="preserve"> </w:t>
      </w:r>
      <w:r>
        <w:t>Ultrajaya</w:t>
      </w:r>
      <w:r>
        <w:rPr>
          <w:spacing w:val="-3"/>
        </w:rPr>
        <w:t xml:space="preserve"> </w:t>
      </w:r>
      <w:r>
        <w:t>Milk</w:t>
      </w:r>
      <w:r>
        <w:rPr>
          <w:spacing w:val="-2"/>
        </w:rPr>
        <w:t xml:space="preserve"> </w:t>
      </w:r>
      <w:r>
        <w:t>Industry</w:t>
      </w:r>
      <w:r>
        <w:rPr>
          <w:spacing w:val="-2"/>
        </w:rPr>
        <w:t xml:space="preserve"> </w:t>
      </w:r>
      <w:r>
        <w:t>&amp;</w:t>
      </w:r>
      <w:r>
        <w:rPr>
          <w:spacing w:val="-2"/>
        </w:rPr>
        <w:t xml:space="preserve"> Trading</w:t>
      </w:r>
    </w:p>
    <w:p w14:paraId="5C3EECBE" w14:textId="77777777" w:rsidR="00ED08FF" w:rsidRDefault="00000000">
      <w:pPr>
        <w:tabs>
          <w:tab w:val="left" w:pos="4778"/>
        </w:tabs>
        <w:spacing w:before="48"/>
        <w:ind w:left="410"/>
        <w:rPr>
          <w:rFonts w:ascii="Courier New"/>
          <w:sz w:val="13"/>
        </w:rPr>
      </w:pPr>
      <w:r>
        <w:rPr>
          <w:rFonts w:ascii="Courier New"/>
          <w:spacing w:val="-4"/>
          <w:sz w:val="13"/>
        </w:rPr>
        <w:t>ULTJ</w:t>
      </w:r>
      <w:r>
        <w:rPr>
          <w:rFonts w:ascii="Courier New"/>
          <w:sz w:val="13"/>
        </w:rPr>
        <w:tab/>
        <w:t>Dairy,</w:t>
      </w:r>
      <w:r>
        <w:rPr>
          <w:rFonts w:ascii="Courier New"/>
          <w:spacing w:val="-9"/>
          <w:sz w:val="13"/>
        </w:rPr>
        <w:t xml:space="preserve"> </w:t>
      </w:r>
      <w:r>
        <w:rPr>
          <w:rFonts w:ascii="Courier New"/>
          <w:sz w:val="13"/>
        </w:rPr>
        <w:t>beverages,</w:t>
      </w:r>
      <w:r>
        <w:rPr>
          <w:rFonts w:ascii="Courier New"/>
          <w:spacing w:val="-7"/>
          <w:sz w:val="13"/>
        </w:rPr>
        <w:t xml:space="preserve"> </w:t>
      </w:r>
      <w:r>
        <w:rPr>
          <w:rFonts w:ascii="Courier New"/>
          <w:sz w:val="13"/>
        </w:rPr>
        <w:t>and</w:t>
      </w:r>
      <w:r>
        <w:rPr>
          <w:rFonts w:ascii="Courier New"/>
          <w:spacing w:val="-7"/>
          <w:sz w:val="13"/>
        </w:rPr>
        <w:t xml:space="preserve"> </w:t>
      </w:r>
      <w:r>
        <w:rPr>
          <w:rFonts w:ascii="Courier New"/>
          <w:sz w:val="13"/>
        </w:rPr>
        <w:t>packaged</w:t>
      </w:r>
      <w:r>
        <w:rPr>
          <w:rFonts w:ascii="Courier New"/>
          <w:spacing w:val="-6"/>
          <w:sz w:val="13"/>
        </w:rPr>
        <w:t xml:space="preserve"> </w:t>
      </w:r>
      <w:r>
        <w:rPr>
          <w:rFonts w:ascii="Courier New"/>
          <w:spacing w:val="-4"/>
          <w:sz w:val="13"/>
        </w:rPr>
        <w:t>food</w:t>
      </w:r>
    </w:p>
    <w:p w14:paraId="750D0F02" w14:textId="77777777" w:rsidR="00ED08FF" w:rsidRDefault="00ED08FF">
      <w:pPr>
        <w:pStyle w:val="BodyText"/>
        <w:spacing w:before="0"/>
        <w:ind w:left="0"/>
        <w:rPr>
          <w:rFonts w:ascii="Courier New"/>
          <w:sz w:val="13"/>
        </w:rPr>
      </w:pPr>
    </w:p>
    <w:p w14:paraId="1105C5B4" w14:textId="77777777" w:rsidR="00ED08FF" w:rsidRDefault="00000000">
      <w:pPr>
        <w:pStyle w:val="BodyText"/>
        <w:spacing w:before="0"/>
      </w:pPr>
      <w:r>
        <w:t>Company</w:t>
      </w:r>
      <w:r>
        <w:rPr>
          <w:spacing w:val="-5"/>
        </w:rPr>
        <w:t xml:space="preserve"> Tbk</w:t>
      </w:r>
    </w:p>
    <w:p w14:paraId="257E352D" w14:textId="77777777" w:rsidR="00ED08FF" w:rsidRDefault="00000000">
      <w:pPr>
        <w:tabs>
          <w:tab w:val="left" w:pos="1267"/>
          <w:tab w:val="left" w:pos="4778"/>
        </w:tabs>
        <w:spacing w:before="50" w:line="480" w:lineRule="auto"/>
        <w:ind w:left="332" w:right="2383"/>
        <w:rPr>
          <w:rFonts w:ascii="Courier New"/>
          <w:sz w:val="13"/>
        </w:rPr>
      </w:pPr>
      <w:r>
        <w:rPr>
          <w:rFonts w:ascii="Courier New"/>
          <w:spacing w:val="-4"/>
          <w:sz w:val="13"/>
        </w:rPr>
        <w:t>ROTI</w:t>
      </w:r>
      <w:r>
        <w:rPr>
          <w:rFonts w:ascii="Courier New"/>
          <w:sz w:val="13"/>
        </w:rPr>
        <w:tab/>
        <w:t>PT Nippon Indosari Corpindo Tbk</w:t>
      </w:r>
      <w:r>
        <w:rPr>
          <w:rFonts w:ascii="Courier New"/>
          <w:sz w:val="13"/>
        </w:rPr>
        <w:tab/>
        <w:t xml:space="preserve">Bread and bakery products </w:t>
      </w:r>
      <w:r>
        <w:rPr>
          <w:rFonts w:ascii="Courier New"/>
          <w:spacing w:val="-4"/>
          <w:sz w:val="13"/>
        </w:rPr>
        <w:t>GOOD</w:t>
      </w:r>
      <w:r>
        <w:rPr>
          <w:rFonts w:ascii="Courier New"/>
          <w:sz w:val="13"/>
        </w:rPr>
        <w:tab/>
        <w:t>PT Garudafood Putra Putri Jaya Tbk</w:t>
      </w:r>
      <w:r>
        <w:rPr>
          <w:rFonts w:ascii="Courier New"/>
          <w:sz w:val="13"/>
        </w:rPr>
        <w:tab/>
        <w:t>Packaged</w:t>
      </w:r>
      <w:r>
        <w:rPr>
          <w:rFonts w:ascii="Courier New"/>
          <w:spacing w:val="-13"/>
          <w:sz w:val="13"/>
        </w:rPr>
        <w:t xml:space="preserve"> </w:t>
      </w:r>
      <w:r>
        <w:rPr>
          <w:rFonts w:ascii="Courier New"/>
          <w:sz w:val="13"/>
        </w:rPr>
        <w:t>food</w:t>
      </w:r>
      <w:r>
        <w:rPr>
          <w:rFonts w:ascii="Courier New"/>
          <w:spacing w:val="-13"/>
          <w:sz w:val="13"/>
        </w:rPr>
        <w:t xml:space="preserve"> </w:t>
      </w:r>
      <w:r>
        <w:rPr>
          <w:rFonts w:ascii="Courier New"/>
          <w:sz w:val="13"/>
        </w:rPr>
        <w:t>and</w:t>
      </w:r>
      <w:r>
        <w:rPr>
          <w:rFonts w:ascii="Courier New"/>
          <w:spacing w:val="-13"/>
          <w:sz w:val="13"/>
        </w:rPr>
        <w:t xml:space="preserve"> </w:t>
      </w:r>
      <w:r>
        <w:rPr>
          <w:rFonts w:ascii="Courier New"/>
          <w:sz w:val="13"/>
        </w:rPr>
        <w:t>beverages</w:t>
      </w:r>
    </w:p>
    <w:p w14:paraId="75CACE52" w14:textId="77777777" w:rsidR="00ED08FF" w:rsidRDefault="00ED08FF">
      <w:pPr>
        <w:spacing w:line="480" w:lineRule="auto"/>
        <w:rPr>
          <w:rFonts w:ascii="Courier New"/>
          <w:sz w:val="13"/>
        </w:rPr>
        <w:sectPr w:rsidR="00ED08FF">
          <w:type w:val="continuous"/>
          <w:pgSz w:w="12240" w:h="15840"/>
          <w:pgMar w:top="1040" w:right="720" w:bottom="860" w:left="720" w:header="0" w:footer="669" w:gutter="0"/>
          <w:cols w:num="2" w:space="720" w:equalWidth="0">
            <w:col w:w="889" w:space="642"/>
            <w:col w:w="9269"/>
          </w:cols>
        </w:sectPr>
      </w:pPr>
    </w:p>
    <w:p w14:paraId="005A0ADE" w14:textId="77777777" w:rsidR="00ED08FF" w:rsidRDefault="00000000">
      <w:pPr>
        <w:pStyle w:val="Heading2"/>
        <w:numPr>
          <w:ilvl w:val="1"/>
          <w:numId w:val="1"/>
        </w:numPr>
        <w:tabs>
          <w:tab w:val="left" w:pos="415"/>
        </w:tabs>
        <w:spacing w:before="81"/>
        <w:ind w:left="415"/>
      </w:pPr>
      <w:r>
        <w:lastRenderedPageBreak/>
        <w:t>Operational</w:t>
      </w:r>
      <w:r>
        <w:rPr>
          <w:spacing w:val="-8"/>
        </w:rPr>
        <w:t xml:space="preserve"> </w:t>
      </w:r>
      <w:r>
        <w:t>Definition</w:t>
      </w:r>
      <w:r>
        <w:rPr>
          <w:spacing w:val="-7"/>
        </w:rPr>
        <w:t xml:space="preserve"> </w:t>
      </w:r>
      <w:r>
        <w:t>of</w:t>
      </w:r>
      <w:r>
        <w:rPr>
          <w:spacing w:val="-6"/>
        </w:rPr>
        <w:t xml:space="preserve"> </w:t>
      </w:r>
      <w:r>
        <w:rPr>
          <w:spacing w:val="-2"/>
        </w:rPr>
        <w:t>Variables</w:t>
      </w:r>
    </w:p>
    <w:p w14:paraId="195F897E" w14:textId="77777777" w:rsidR="00ED08FF" w:rsidRDefault="00000000">
      <w:pPr>
        <w:spacing w:before="50"/>
        <w:ind w:left="3700"/>
        <w:rPr>
          <w:b/>
          <w:sz w:val="18"/>
        </w:rPr>
      </w:pPr>
      <w:r>
        <w:rPr>
          <w:b/>
          <w:sz w:val="18"/>
        </w:rPr>
        <w:t>Table</w:t>
      </w:r>
      <w:r>
        <w:rPr>
          <w:b/>
          <w:spacing w:val="-8"/>
          <w:sz w:val="18"/>
        </w:rPr>
        <w:t xml:space="preserve"> </w:t>
      </w:r>
      <w:r>
        <w:rPr>
          <w:b/>
          <w:sz w:val="18"/>
        </w:rPr>
        <w:t>3:</w:t>
      </w:r>
      <w:r>
        <w:rPr>
          <w:b/>
          <w:spacing w:val="-5"/>
          <w:sz w:val="18"/>
        </w:rPr>
        <w:t xml:space="preserve"> </w:t>
      </w:r>
      <w:r>
        <w:rPr>
          <w:b/>
          <w:sz w:val="18"/>
        </w:rPr>
        <w:t>Operational</w:t>
      </w:r>
      <w:r>
        <w:rPr>
          <w:b/>
          <w:spacing w:val="-5"/>
          <w:sz w:val="18"/>
        </w:rPr>
        <w:t xml:space="preserve"> </w:t>
      </w:r>
      <w:r>
        <w:rPr>
          <w:b/>
          <w:sz w:val="18"/>
        </w:rPr>
        <w:t>Definition</w:t>
      </w:r>
      <w:r>
        <w:rPr>
          <w:b/>
          <w:spacing w:val="-6"/>
          <w:sz w:val="18"/>
        </w:rPr>
        <w:t xml:space="preserve"> </w:t>
      </w:r>
      <w:r>
        <w:rPr>
          <w:b/>
          <w:sz w:val="18"/>
        </w:rPr>
        <w:t>of</w:t>
      </w:r>
      <w:r>
        <w:rPr>
          <w:b/>
          <w:spacing w:val="-4"/>
          <w:sz w:val="18"/>
        </w:rPr>
        <w:t xml:space="preserve"> </w:t>
      </w:r>
      <w:r>
        <w:rPr>
          <w:b/>
          <w:spacing w:val="-2"/>
          <w:sz w:val="18"/>
        </w:rPr>
        <w:t>Variables</w:t>
      </w:r>
    </w:p>
    <w:p w14:paraId="012A6C03" w14:textId="77777777" w:rsidR="00ED08FF" w:rsidRDefault="00ED08FF">
      <w:pPr>
        <w:rPr>
          <w:b/>
          <w:sz w:val="18"/>
        </w:rPr>
        <w:sectPr w:rsidR="00ED08FF">
          <w:pgSz w:w="12240" w:h="15840"/>
          <w:pgMar w:top="1040" w:right="720" w:bottom="900" w:left="720" w:header="0" w:footer="669" w:gutter="0"/>
          <w:cols w:space="720"/>
        </w:sectPr>
      </w:pPr>
    </w:p>
    <w:p w14:paraId="537E6AA3" w14:textId="77777777" w:rsidR="00ED08FF" w:rsidRDefault="00000000">
      <w:pPr>
        <w:spacing w:before="54" w:line="290" w:lineRule="atLeast"/>
        <w:ind w:left="145" w:right="38"/>
        <w:rPr>
          <w:rFonts w:ascii="Courier New"/>
          <w:sz w:val="13"/>
        </w:rPr>
      </w:pPr>
      <w:r>
        <w:rPr>
          <w:rFonts w:ascii="Courier New"/>
          <w:sz w:val="13"/>
        </w:rPr>
        <w:t>Expected Role Dependent variable Independent</w:t>
      </w:r>
      <w:r>
        <w:rPr>
          <w:rFonts w:ascii="Courier New"/>
          <w:spacing w:val="-20"/>
          <w:sz w:val="13"/>
        </w:rPr>
        <w:t xml:space="preserve"> </w:t>
      </w:r>
      <w:r>
        <w:rPr>
          <w:rFonts w:ascii="Courier New"/>
          <w:sz w:val="13"/>
        </w:rPr>
        <w:t>variable Independent</w:t>
      </w:r>
      <w:r>
        <w:rPr>
          <w:rFonts w:ascii="Courier New"/>
          <w:spacing w:val="-20"/>
          <w:sz w:val="13"/>
        </w:rPr>
        <w:t xml:space="preserve"> </w:t>
      </w:r>
      <w:r>
        <w:rPr>
          <w:rFonts w:ascii="Courier New"/>
          <w:sz w:val="13"/>
        </w:rPr>
        <w:t>variable Independent</w:t>
      </w:r>
      <w:r>
        <w:rPr>
          <w:rFonts w:ascii="Courier New"/>
          <w:spacing w:val="-20"/>
          <w:sz w:val="13"/>
        </w:rPr>
        <w:t xml:space="preserve"> </w:t>
      </w:r>
      <w:r>
        <w:rPr>
          <w:rFonts w:ascii="Courier New"/>
          <w:sz w:val="13"/>
        </w:rPr>
        <w:t>variable Independent</w:t>
      </w:r>
      <w:r>
        <w:rPr>
          <w:rFonts w:ascii="Courier New"/>
          <w:spacing w:val="-13"/>
          <w:sz w:val="13"/>
        </w:rPr>
        <w:t xml:space="preserve"> </w:t>
      </w:r>
      <w:r>
        <w:rPr>
          <w:rFonts w:ascii="Courier New"/>
          <w:spacing w:val="-2"/>
          <w:sz w:val="13"/>
        </w:rPr>
        <w:t>variable</w:t>
      </w:r>
    </w:p>
    <w:p w14:paraId="33CDE06A" w14:textId="77777777" w:rsidR="00ED08FF" w:rsidRDefault="00000000">
      <w:pPr>
        <w:tabs>
          <w:tab w:val="left" w:pos="1939"/>
          <w:tab w:val="left" w:pos="5138"/>
        </w:tabs>
        <w:spacing w:before="50"/>
        <w:ind w:left="224"/>
        <w:rPr>
          <w:rFonts w:ascii="Courier New"/>
          <w:sz w:val="13"/>
        </w:rPr>
      </w:pPr>
      <w:r>
        <w:br w:type="column"/>
      </w:r>
      <w:r>
        <w:rPr>
          <w:rFonts w:ascii="Courier New"/>
          <w:spacing w:val="-2"/>
          <w:sz w:val="13"/>
        </w:rPr>
        <w:t>Variable</w:t>
      </w:r>
      <w:r>
        <w:rPr>
          <w:rFonts w:ascii="Courier New"/>
          <w:sz w:val="13"/>
        </w:rPr>
        <w:tab/>
      </w:r>
      <w:r>
        <w:rPr>
          <w:rFonts w:ascii="Courier New"/>
          <w:spacing w:val="-2"/>
          <w:sz w:val="13"/>
        </w:rPr>
        <w:t>Proxy</w:t>
      </w:r>
      <w:r>
        <w:rPr>
          <w:rFonts w:ascii="Courier New"/>
          <w:sz w:val="13"/>
        </w:rPr>
        <w:tab/>
      </w:r>
      <w:r>
        <w:rPr>
          <w:rFonts w:ascii="Courier New"/>
          <w:spacing w:val="-2"/>
          <w:sz w:val="13"/>
        </w:rPr>
        <w:t>Measurement</w:t>
      </w:r>
    </w:p>
    <w:p w14:paraId="7C271AEB" w14:textId="77777777" w:rsidR="00ED08FF" w:rsidRDefault="00000000">
      <w:pPr>
        <w:tabs>
          <w:tab w:val="left" w:pos="1939"/>
          <w:tab w:val="left" w:pos="2017"/>
          <w:tab w:val="left" w:pos="2797"/>
        </w:tabs>
        <w:spacing w:before="146" w:line="480" w:lineRule="auto"/>
        <w:ind w:left="145" w:right="2539"/>
        <w:rPr>
          <w:rFonts w:ascii="Courier New"/>
          <w:sz w:val="13"/>
        </w:rPr>
      </w:pPr>
      <w:r>
        <w:rPr>
          <w:rFonts w:ascii="Courier New"/>
          <w:sz w:val="13"/>
        </w:rPr>
        <w:t>Firm Value</w:t>
      </w:r>
      <w:r>
        <w:rPr>
          <w:rFonts w:ascii="Courier New"/>
          <w:sz w:val="13"/>
        </w:rPr>
        <w:tab/>
      </w:r>
      <w:r>
        <w:rPr>
          <w:rFonts w:ascii="Courier New"/>
          <w:sz w:val="13"/>
        </w:rPr>
        <w:tab/>
      </w:r>
      <w:r>
        <w:rPr>
          <w:rFonts w:ascii="Courier New"/>
          <w:spacing w:val="-4"/>
          <w:sz w:val="13"/>
        </w:rPr>
        <w:t>PBV</w:t>
      </w:r>
      <w:r>
        <w:rPr>
          <w:rFonts w:ascii="Courier New"/>
          <w:sz w:val="13"/>
        </w:rPr>
        <w:tab/>
        <w:t>Price</w:t>
      </w:r>
      <w:r>
        <w:rPr>
          <w:rFonts w:ascii="Courier New"/>
          <w:spacing w:val="-5"/>
          <w:sz w:val="13"/>
        </w:rPr>
        <w:t xml:space="preserve"> </w:t>
      </w:r>
      <w:r>
        <w:rPr>
          <w:rFonts w:ascii="Courier New"/>
          <w:sz w:val="13"/>
        </w:rPr>
        <w:t>per</w:t>
      </w:r>
      <w:r>
        <w:rPr>
          <w:rFonts w:ascii="Courier New"/>
          <w:spacing w:val="-5"/>
          <w:sz w:val="13"/>
        </w:rPr>
        <w:t xml:space="preserve"> </w:t>
      </w:r>
      <w:r>
        <w:rPr>
          <w:rFonts w:ascii="Courier New"/>
          <w:sz w:val="13"/>
        </w:rPr>
        <w:t>share</w:t>
      </w:r>
      <w:r>
        <w:rPr>
          <w:rFonts w:ascii="Courier New"/>
          <w:spacing w:val="-5"/>
          <w:sz w:val="13"/>
        </w:rPr>
        <w:t xml:space="preserve"> </w:t>
      </w:r>
      <w:r>
        <w:rPr>
          <w:rFonts w:ascii="Courier New"/>
          <w:sz w:val="13"/>
        </w:rPr>
        <w:t>divided</w:t>
      </w:r>
      <w:r>
        <w:rPr>
          <w:rFonts w:ascii="Courier New"/>
          <w:spacing w:val="-5"/>
          <w:sz w:val="13"/>
        </w:rPr>
        <w:t xml:space="preserve"> </w:t>
      </w:r>
      <w:r>
        <w:rPr>
          <w:rFonts w:ascii="Courier New"/>
          <w:sz w:val="13"/>
        </w:rPr>
        <w:t>by</w:t>
      </w:r>
      <w:r>
        <w:rPr>
          <w:rFonts w:ascii="Courier New"/>
          <w:spacing w:val="-5"/>
          <w:sz w:val="13"/>
        </w:rPr>
        <w:t xml:space="preserve"> </w:t>
      </w:r>
      <w:r>
        <w:rPr>
          <w:rFonts w:ascii="Courier New"/>
          <w:sz w:val="13"/>
        </w:rPr>
        <w:t>book</w:t>
      </w:r>
      <w:r>
        <w:rPr>
          <w:rFonts w:ascii="Courier New"/>
          <w:spacing w:val="-5"/>
          <w:sz w:val="13"/>
        </w:rPr>
        <w:t xml:space="preserve"> </w:t>
      </w:r>
      <w:r>
        <w:rPr>
          <w:rFonts w:ascii="Courier New"/>
          <w:sz w:val="13"/>
        </w:rPr>
        <w:t>value</w:t>
      </w:r>
      <w:r>
        <w:rPr>
          <w:rFonts w:ascii="Courier New"/>
          <w:spacing w:val="-5"/>
          <w:sz w:val="13"/>
        </w:rPr>
        <w:t xml:space="preserve"> </w:t>
      </w:r>
      <w:r>
        <w:rPr>
          <w:rFonts w:ascii="Courier New"/>
          <w:sz w:val="13"/>
        </w:rPr>
        <w:t>per</w:t>
      </w:r>
      <w:r>
        <w:rPr>
          <w:rFonts w:ascii="Courier New"/>
          <w:spacing w:val="-5"/>
          <w:sz w:val="13"/>
        </w:rPr>
        <w:t xml:space="preserve"> </w:t>
      </w:r>
      <w:r>
        <w:rPr>
          <w:rFonts w:ascii="Courier New"/>
          <w:sz w:val="13"/>
        </w:rPr>
        <w:t xml:space="preserve">share </w:t>
      </w:r>
      <w:r>
        <w:rPr>
          <w:rFonts w:ascii="Courier New"/>
          <w:spacing w:val="-2"/>
          <w:sz w:val="13"/>
        </w:rPr>
        <w:t>Profitability</w:t>
      </w:r>
      <w:r>
        <w:rPr>
          <w:rFonts w:ascii="Courier New"/>
          <w:sz w:val="13"/>
        </w:rPr>
        <w:tab/>
      </w:r>
      <w:r>
        <w:rPr>
          <w:rFonts w:ascii="Courier New"/>
          <w:spacing w:val="-4"/>
          <w:sz w:val="13"/>
        </w:rPr>
        <w:t>ROA</w:t>
      </w:r>
      <w:r>
        <w:rPr>
          <w:rFonts w:ascii="Courier New"/>
          <w:sz w:val="13"/>
        </w:rPr>
        <w:tab/>
        <w:t>Net income divided by total assets</w:t>
      </w:r>
    </w:p>
    <w:p w14:paraId="0340B677" w14:textId="77777777" w:rsidR="00ED08FF" w:rsidRDefault="00000000">
      <w:pPr>
        <w:tabs>
          <w:tab w:val="left" w:pos="1939"/>
          <w:tab w:val="left" w:pos="2797"/>
        </w:tabs>
        <w:spacing w:line="480" w:lineRule="auto"/>
        <w:ind w:left="224" w:right="3319"/>
        <w:rPr>
          <w:rFonts w:ascii="Courier New"/>
          <w:sz w:val="13"/>
        </w:rPr>
      </w:pPr>
      <w:r>
        <w:rPr>
          <w:rFonts w:ascii="Courier New"/>
          <w:spacing w:val="-2"/>
          <w:sz w:val="13"/>
        </w:rPr>
        <w:t>Leverage</w:t>
      </w:r>
      <w:r>
        <w:rPr>
          <w:rFonts w:ascii="Courier New"/>
          <w:sz w:val="13"/>
        </w:rPr>
        <w:tab/>
      </w:r>
      <w:r>
        <w:rPr>
          <w:rFonts w:ascii="Courier New"/>
          <w:spacing w:val="-4"/>
          <w:sz w:val="13"/>
        </w:rPr>
        <w:t>DER</w:t>
      </w:r>
      <w:r>
        <w:rPr>
          <w:rFonts w:ascii="Courier New"/>
          <w:sz w:val="13"/>
        </w:rPr>
        <w:tab/>
        <w:t>Debt</w:t>
      </w:r>
      <w:r>
        <w:rPr>
          <w:rFonts w:ascii="Courier New"/>
          <w:spacing w:val="-8"/>
          <w:sz w:val="13"/>
        </w:rPr>
        <w:t xml:space="preserve"> </w:t>
      </w:r>
      <w:r>
        <w:rPr>
          <w:rFonts w:ascii="Courier New"/>
          <w:sz w:val="13"/>
        </w:rPr>
        <w:t>or</w:t>
      </w:r>
      <w:r>
        <w:rPr>
          <w:rFonts w:ascii="Courier New"/>
          <w:spacing w:val="-8"/>
          <w:sz w:val="13"/>
        </w:rPr>
        <w:t xml:space="preserve"> </w:t>
      </w:r>
      <w:r>
        <w:rPr>
          <w:rFonts w:ascii="Courier New"/>
          <w:sz w:val="13"/>
        </w:rPr>
        <w:t>liabilities</w:t>
      </w:r>
      <w:r>
        <w:rPr>
          <w:rFonts w:ascii="Courier New"/>
          <w:spacing w:val="-8"/>
          <w:sz w:val="13"/>
        </w:rPr>
        <w:t xml:space="preserve"> </w:t>
      </w:r>
      <w:r>
        <w:rPr>
          <w:rFonts w:ascii="Courier New"/>
          <w:sz w:val="13"/>
        </w:rPr>
        <w:t>divided</w:t>
      </w:r>
      <w:r>
        <w:rPr>
          <w:rFonts w:ascii="Courier New"/>
          <w:spacing w:val="-8"/>
          <w:sz w:val="13"/>
        </w:rPr>
        <w:t xml:space="preserve"> </w:t>
      </w:r>
      <w:r>
        <w:rPr>
          <w:rFonts w:ascii="Courier New"/>
          <w:sz w:val="13"/>
        </w:rPr>
        <w:t>by</w:t>
      </w:r>
      <w:r>
        <w:rPr>
          <w:rFonts w:ascii="Courier New"/>
          <w:spacing w:val="-8"/>
          <w:sz w:val="13"/>
        </w:rPr>
        <w:t xml:space="preserve"> </w:t>
      </w:r>
      <w:r>
        <w:rPr>
          <w:rFonts w:ascii="Courier New"/>
          <w:sz w:val="13"/>
        </w:rPr>
        <w:t>equity Firm Size</w:t>
      </w:r>
      <w:r>
        <w:rPr>
          <w:rFonts w:ascii="Courier New"/>
          <w:sz w:val="13"/>
        </w:rPr>
        <w:tab/>
      </w:r>
      <w:r>
        <w:rPr>
          <w:rFonts w:ascii="Courier New"/>
          <w:spacing w:val="-4"/>
          <w:sz w:val="13"/>
        </w:rPr>
        <w:t>SIZE</w:t>
      </w:r>
      <w:r>
        <w:rPr>
          <w:rFonts w:ascii="Courier New"/>
          <w:sz w:val="13"/>
        </w:rPr>
        <w:tab/>
        <w:t>Natural logarithm of total assets</w:t>
      </w:r>
    </w:p>
    <w:p w14:paraId="64A4A7E7" w14:textId="77777777" w:rsidR="00ED08FF" w:rsidRDefault="00000000">
      <w:pPr>
        <w:tabs>
          <w:tab w:val="left" w:pos="2017"/>
          <w:tab w:val="left" w:pos="2797"/>
        </w:tabs>
        <w:spacing w:line="146" w:lineRule="exact"/>
        <w:ind w:left="224"/>
        <w:rPr>
          <w:rFonts w:ascii="Courier New"/>
          <w:sz w:val="13"/>
        </w:rPr>
      </w:pPr>
      <w:r>
        <w:rPr>
          <w:rFonts w:ascii="Courier New"/>
          <w:spacing w:val="-2"/>
          <w:sz w:val="13"/>
        </w:rPr>
        <w:t>Liquidity</w:t>
      </w:r>
      <w:r>
        <w:rPr>
          <w:rFonts w:ascii="Courier New"/>
          <w:sz w:val="13"/>
        </w:rPr>
        <w:tab/>
      </w:r>
      <w:r>
        <w:rPr>
          <w:rFonts w:ascii="Courier New"/>
          <w:spacing w:val="-5"/>
          <w:sz w:val="13"/>
        </w:rPr>
        <w:t>CR</w:t>
      </w:r>
      <w:r>
        <w:rPr>
          <w:rFonts w:ascii="Courier New"/>
          <w:sz w:val="13"/>
        </w:rPr>
        <w:tab/>
        <w:t>Current</w:t>
      </w:r>
      <w:r>
        <w:rPr>
          <w:rFonts w:ascii="Courier New"/>
          <w:spacing w:val="-8"/>
          <w:sz w:val="13"/>
        </w:rPr>
        <w:t xml:space="preserve"> </w:t>
      </w:r>
      <w:r>
        <w:rPr>
          <w:rFonts w:ascii="Courier New"/>
          <w:sz w:val="13"/>
        </w:rPr>
        <w:t>assets</w:t>
      </w:r>
      <w:r>
        <w:rPr>
          <w:rFonts w:ascii="Courier New"/>
          <w:spacing w:val="-6"/>
          <w:sz w:val="13"/>
        </w:rPr>
        <w:t xml:space="preserve"> </w:t>
      </w:r>
      <w:r>
        <w:rPr>
          <w:rFonts w:ascii="Courier New"/>
          <w:sz w:val="13"/>
        </w:rPr>
        <w:t>divided</w:t>
      </w:r>
      <w:r>
        <w:rPr>
          <w:rFonts w:ascii="Courier New"/>
          <w:spacing w:val="-5"/>
          <w:sz w:val="13"/>
        </w:rPr>
        <w:t xml:space="preserve"> </w:t>
      </w:r>
      <w:r>
        <w:rPr>
          <w:rFonts w:ascii="Courier New"/>
          <w:sz w:val="13"/>
        </w:rPr>
        <w:t>by</w:t>
      </w:r>
      <w:r>
        <w:rPr>
          <w:rFonts w:ascii="Courier New"/>
          <w:spacing w:val="-6"/>
          <w:sz w:val="13"/>
        </w:rPr>
        <w:t xml:space="preserve"> </w:t>
      </w:r>
      <w:r>
        <w:rPr>
          <w:rFonts w:ascii="Courier New"/>
          <w:sz w:val="13"/>
        </w:rPr>
        <w:t>current</w:t>
      </w:r>
      <w:r>
        <w:rPr>
          <w:rFonts w:ascii="Courier New"/>
          <w:spacing w:val="-5"/>
          <w:sz w:val="13"/>
        </w:rPr>
        <w:t xml:space="preserve"> </w:t>
      </w:r>
      <w:r>
        <w:rPr>
          <w:rFonts w:ascii="Courier New"/>
          <w:spacing w:val="-2"/>
          <w:sz w:val="13"/>
        </w:rPr>
        <w:t>liabilities</w:t>
      </w:r>
    </w:p>
    <w:p w14:paraId="1BCA3D5D" w14:textId="77777777" w:rsidR="00ED08FF" w:rsidRDefault="00ED08FF">
      <w:pPr>
        <w:spacing w:line="146" w:lineRule="exact"/>
        <w:rPr>
          <w:rFonts w:ascii="Courier New"/>
          <w:sz w:val="13"/>
        </w:rPr>
        <w:sectPr w:rsidR="00ED08FF">
          <w:type w:val="continuous"/>
          <w:pgSz w:w="12240" w:h="15840"/>
          <w:pgMar w:top="1040" w:right="720" w:bottom="860" w:left="720" w:header="0" w:footer="669" w:gutter="0"/>
          <w:cols w:num="2" w:space="720" w:equalWidth="0">
            <w:col w:w="1747" w:space="48"/>
            <w:col w:w="9005"/>
          </w:cols>
        </w:sectPr>
      </w:pPr>
    </w:p>
    <w:p w14:paraId="38A0C73E" w14:textId="77777777" w:rsidR="00ED08FF" w:rsidRDefault="00000000">
      <w:pPr>
        <w:pStyle w:val="BodyText"/>
        <w:spacing w:before="20" w:line="297" w:lineRule="auto"/>
        <w:ind w:right="2145"/>
      </w:pPr>
      <w:r>
        <w:t>PBV</w:t>
      </w:r>
      <w:r>
        <w:rPr>
          <w:spacing w:val="-3"/>
        </w:rPr>
        <w:t xml:space="preserve"> </w:t>
      </w:r>
      <w:r>
        <w:t>is</w:t>
      </w:r>
      <w:r>
        <w:rPr>
          <w:spacing w:val="-3"/>
        </w:rPr>
        <w:t xml:space="preserve"> </w:t>
      </w:r>
      <w:r>
        <w:t>used</w:t>
      </w:r>
      <w:r>
        <w:rPr>
          <w:spacing w:val="-2"/>
        </w:rPr>
        <w:t xml:space="preserve"> </w:t>
      </w:r>
      <w:r>
        <w:t>as</w:t>
      </w:r>
      <w:r>
        <w:rPr>
          <w:spacing w:val="-3"/>
        </w:rPr>
        <w:t xml:space="preserve"> </w:t>
      </w:r>
      <w:r>
        <w:t>a</w:t>
      </w:r>
      <w:r>
        <w:rPr>
          <w:spacing w:val="-3"/>
        </w:rPr>
        <w:t xml:space="preserve"> </w:t>
      </w:r>
      <w:r>
        <w:t>market-based</w:t>
      </w:r>
      <w:r>
        <w:rPr>
          <w:spacing w:val="-2"/>
        </w:rPr>
        <w:t xml:space="preserve"> </w:t>
      </w:r>
      <w:r>
        <w:t>proxy</w:t>
      </w:r>
      <w:r>
        <w:rPr>
          <w:spacing w:val="-2"/>
        </w:rPr>
        <w:t xml:space="preserve"> </w:t>
      </w:r>
      <w:r>
        <w:t>because</w:t>
      </w:r>
      <w:r>
        <w:rPr>
          <w:spacing w:val="-3"/>
        </w:rPr>
        <w:t xml:space="preserve"> </w:t>
      </w:r>
      <w:r>
        <w:t>the</w:t>
      </w:r>
      <w:r>
        <w:rPr>
          <w:spacing w:val="-3"/>
        </w:rPr>
        <w:t xml:space="preserve"> </w:t>
      </w:r>
      <w:r>
        <w:t>study</w:t>
      </w:r>
      <w:r>
        <w:rPr>
          <w:spacing w:val="-2"/>
        </w:rPr>
        <w:t xml:space="preserve"> </w:t>
      </w:r>
      <w:r>
        <w:t>focuses</w:t>
      </w:r>
      <w:r>
        <w:rPr>
          <w:spacing w:val="-3"/>
        </w:rPr>
        <w:t xml:space="preserve"> </w:t>
      </w:r>
      <w:r>
        <w:t>on</w:t>
      </w:r>
      <w:r>
        <w:rPr>
          <w:spacing w:val="-2"/>
        </w:rPr>
        <w:t xml:space="preserve"> </w:t>
      </w:r>
      <w:r>
        <w:t>firm</w:t>
      </w:r>
      <w:r>
        <w:rPr>
          <w:spacing w:val="-3"/>
        </w:rPr>
        <w:t xml:space="preserve"> </w:t>
      </w:r>
      <w:r>
        <w:t>value</w:t>
      </w:r>
      <w:r>
        <w:rPr>
          <w:spacing w:val="-3"/>
        </w:rPr>
        <w:t xml:space="preserve"> </w:t>
      </w:r>
      <w:r>
        <w:t>from</w:t>
      </w:r>
      <w:r>
        <w:rPr>
          <w:spacing w:val="-3"/>
        </w:rPr>
        <w:t xml:space="preserve"> </w:t>
      </w:r>
      <w:r>
        <w:t>the</w:t>
      </w:r>
      <w:r>
        <w:rPr>
          <w:spacing w:val="-3"/>
        </w:rPr>
        <w:t xml:space="preserve"> </w:t>
      </w:r>
      <w:r>
        <w:t>perspective</w:t>
      </w:r>
      <w:r>
        <w:rPr>
          <w:spacing w:val="-3"/>
        </w:rPr>
        <w:t xml:space="preserve"> </w:t>
      </w:r>
      <w:r>
        <w:t>of</w:t>
      </w:r>
      <w:r>
        <w:rPr>
          <w:spacing w:val="-2"/>
        </w:rPr>
        <w:t xml:space="preserve"> </w:t>
      </w:r>
      <w:r>
        <w:t>investors.</w:t>
      </w:r>
      <w:r>
        <w:rPr>
          <w:spacing w:val="-2"/>
        </w:rPr>
        <w:t xml:space="preserve"> </w:t>
      </w:r>
      <w:r>
        <w:t>ROA is used because it captures profit relative to asset base. DER is selected because it captures debt pressure relative to shareholder capital. SIZE is measured by the natural logarithm of total assets to reduce scale bias. CR is selected as a liquidity proxy because it directly compares current assets with current liabilities.</w:t>
      </w:r>
    </w:p>
    <w:p w14:paraId="0B0860AE" w14:textId="77777777" w:rsidR="00ED08FF" w:rsidRDefault="00000000">
      <w:pPr>
        <w:pStyle w:val="BodyText"/>
        <w:spacing w:line="297" w:lineRule="auto"/>
        <w:ind w:right="1903"/>
      </w:pPr>
      <w:r>
        <w:t>The operational definitions are intentionally simple. More complex models can add sales growth, dividend policy, corporate governance, audit quality, or ESG disclosure. However, adding too many variables without sufficient observations</w:t>
      </w:r>
      <w:r>
        <w:rPr>
          <w:spacing w:val="-4"/>
        </w:rPr>
        <w:t xml:space="preserve"> </w:t>
      </w:r>
      <w:r>
        <w:t>can</w:t>
      </w:r>
      <w:r>
        <w:rPr>
          <w:spacing w:val="-3"/>
        </w:rPr>
        <w:t xml:space="preserve"> </w:t>
      </w:r>
      <w:r>
        <w:t>weaken</w:t>
      </w:r>
      <w:r>
        <w:rPr>
          <w:spacing w:val="-3"/>
        </w:rPr>
        <w:t xml:space="preserve"> </w:t>
      </w:r>
      <w:r>
        <w:t>the</w:t>
      </w:r>
      <w:r>
        <w:rPr>
          <w:spacing w:val="-4"/>
        </w:rPr>
        <w:t xml:space="preserve"> </w:t>
      </w:r>
      <w:r>
        <w:t>model.</w:t>
      </w:r>
      <w:r>
        <w:rPr>
          <w:spacing w:val="-3"/>
        </w:rPr>
        <w:t xml:space="preserve"> </w:t>
      </w:r>
      <w:r>
        <w:t>In</w:t>
      </w:r>
      <w:r>
        <w:rPr>
          <w:spacing w:val="-3"/>
        </w:rPr>
        <w:t xml:space="preserve"> </w:t>
      </w:r>
      <w:r>
        <w:t>small-sample</w:t>
      </w:r>
      <w:r>
        <w:rPr>
          <w:spacing w:val="-4"/>
        </w:rPr>
        <w:t xml:space="preserve"> </w:t>
      </w:r>
      <w:r>
        <w:t>empirical</w:t>
      </w:r>
      <w:r>
        <w:rPr>
          <w:spacing w:val="-4"/>
        </w:rPr>
        <w:t xml:space="preserve"> </w:t>
      </w:r>
      <w:r>
        <w:t>accounting</w:t>
      </w:r>
      <w:r>
        <w:rPr>
          <w:spacing w:val="-3"/>
        </w:rPr>
        <w:t xml:space="preserve"> </w:t>
      </w:r>
      <w:r>
        <w:t>papers,</w:t>
      </w:r>
      <w:r>
        <w:rPr>
          <w:spacing w:val="-3"/>
        </w:rPr>
        <w:t xml:space="preserve"> </w:t>
      </w:r>
      <w:r>
        <w:t>clarity</w:t>
      </w:r>
      <w:r>
        <w:rPr>
          <w:spacing w:val="-3"/>
        </w:rPr>
        <w:t xml:space="preserve"> </w:t>
      </w:r>
      <w:r>
        <w:t>and</w:t>
      </w:r>
      <w:r>
        <w:rPr>
          <w:spacing w:val="-3"/>
        </w:rPr>
        <w:t xml:space="preserve"> </w:t>
      </w:r>
      <w:r>
        <w:t>consistency</w:t>
      </w:r>
      <w:r>
        <w:rPr>
          <w:spacing w:val="-3"/>
        </w:rPr>
        <w:t xml:space="preserve"> </w:t>
      </w:r>
      <w:r>
        <w:t>are</w:t>
      </w:r>
      <w:r>
        <w:rPr>
          <w:spacing w:val="-4"/>
        </w:rPr>
        <w:t xml:space="preserve"> </w:t>
      </w:r>
      <w:r>
        <w:t>more important than forcing many variables into one regression.</w:t>
      </w:r>
    </w:p>
    <w:p w14:paraId="5B71ADCE" w14:textId="77777777" w:rsidR="00ED08FF" w:rsidRDefault="00ED08FF">
      <w:pPr>
        <w:pStyle w:val="BodyText"/>
        <w:spacing w:before="51"/>
        <w:ind w:left="0"/>
      </w:pPr>
    </w:p>
    <w:p w14:paraId="33259353" w14:textId="77777777" w:rsidR="00ED08FF" w:rsidRDefault="00000000">
      <w:pPr>
        <w:pStyle w:val="Heading2"/>
        <w:numPr>
          <w:ilvl w:val="1"/>
          <w:numId w:val="1"/>
        </w:numPr>
        <w:tabs>
          <w:tab w:val="left" w:pos="415"/>
        </w:tabs>
        <w:ind w:left="415"/>
      </w:pPr>
      <w:r>
        <w:t>Empirical</w:t>
      </w:r>
      <w:r>
        <w:rPr>
          <w:spacing w:val="-9"/>
        </w:rPr>
        <w:t xml:space="preserve"> </w:t>
      </w:r>
      <w:r>
        <w:rPr>
          <w:spacing w:val="-2"/>
        </w:rPr>
        <w:t>Model</w:t>
      </w:r>
    </w:p>
    <w:p w14:paraId="4391A8AD" w14:textId="77777777" w:rsidR="00ED08FF" w:rsidRDefault="00000000">
      <w:pPr>
        <w:pStyle w:val="BodyText"/>
        <w:spacing w:before="50" w:line="297" w:lineRule="auto"/>
        <w:ind w:right="1903"/>
      </w:pPr>
      <w:r>
        <w:t>The</w:t>
      </w:r>
      <w:r>
        <w:rPr>
          <w:spacing w:val="-3"/>
        </w:rPr>
        <w:t xml:space="preserve"> </w:t>
      </w:r>
      <w:r>
        <w:t>empirical</w:t>
      </w:r>
      <w:r>
        <w:rPr>
          <w:spacing w:val="-3"/>
        </w:rPr>
        <w:t xml:space="preserve"> </w:t>
      </w:r>
      <w:r>
        <w:t>model</w:t>
      </w:r>
      <w:r>
        <w:rPr>
          <w:spacing w:val="-3"/>
        </w:rPr>
        <w:t xml:space="preserve"> </w:t>
      </w:r>
      <w:r>
        <w:t>estimates</w:t>
      </w:r>
      <w:r>
        <w:rPr>
          <w:spacing w:val="-3"/>
        </w:rPr>
        <w:t xml:space="preserve"> </w:t>
      </w:r>
      <w:r>
        <w:t>firm</w:t>
      </w:r>
      <w:r>
        <w:rPr>
          <w:spacing w:val="-3"/>
        </w:rPr>
        <w:t xml:space="preserve"> </w:t>
      </w:r>
      <w:r>
        <w:t>value</w:t>
      </w:r>
      <w:r>
        <w:rPr>
          <w:spacing w:val="-3"/>
        </w:rPr>
        <w:t xml:space="preserve"> </w:t>
      </w:r>
      <w:r>
        <w:t>as</w:t>
      </w:r>
      <w:r>
        <w:rPr>
          <w:spacing w:val="-3"/>
        </w:rPr>
        <w:t xml:space="preserve"> </w:t>
      </w:r>
      <w:r>
        <w:t>a</w:t>
      </w:r>
      <w:r>
        <w:rPr>
          <w:spacing w:val="-3"/>
        </w:rPr>
        <w:t xml:space="preserve"> </w:t>
      </w:r>
      <w:r>
        <w:t>function</w:t>
      </w:r>
      <w:r>
        <w:rPr>
          <w:spacing w:val="-2"/>
        </w:rPr>
        <w:t xml:space="preserve"> </w:t>
      </w:r>
      <w:r>
        <w:t>of</w:t>
      </w:r>
      <w:r>
        <w:rPr>
          <w:spacing w:val="-3"/>
        </w:rPr>
        <w:t xml:space="preserve"> </w:t>
      </w:r>
      <w:r>
        <w:t>profitability,</w:t>
      </w:r>
      <w:r>
        <w:rPr>
          <w:spacing w:val="-2"/>
        </w:rPr>
        <w:t xml:space="preserve"> </w:t>
      </w:r>
      <w:r>
        <w:t>leverage,</w:t>
      </w:r>
      <w:r>
        <w:rPr>
          <w:spacing w:val="-3"/>
        </w:rPr>
        <w:t xml:space="preserve"> </w:t>
      </w:r>
      <w:r>
        <w:t>firm</w:t>
      </w:r>
      <w:r>
        <w:rPr>
          <w:spacing w:val="-3"/>
        </w:rPr>
        <w:t xml:space="preserve"> </w:t>
      </w:r>
      <w:r>
        <w:t>size,</w:t>
      </w:r>
      <w:r>
        <w:rPr>
          <w:spacing w:val="-2"/>
        </w:rPr>
        <w:t xml:space="preserve"> </w:t>
      </w:r>
      <w:r>
        <w:t>and</w:t>
      </w:r>
      <w:r>
        <w:rPr>
          <w:spacing w:val="-3"/>
        </w:rPr>
        <w:t xml:space="preserve"> </w:t>
      </w:r>
      <w:r>
        <w:t>liquidity.</w:t>
      </w:r>
      <w:r>
        <w:rPr>
          <w:spacing w:val="-2"/>
        </w:rPr>
        <w:t xml:space="preserve"> </w:t>
      </w:r>
      <w:r>
        <w:t>The</w:t>
      </w:r>
      <w:r>
        <w:rPr>
          <w:spacing w:val="-3"/>
        </w:rPr>
        <w:t xml:space="preserve"> </w:t>
      </w:r>
      <w:r>
        <w:t>model</w:t>
      </w:r>
      <w:r>
        <w:rPr>
          <w:spacing w:val="-3"/>
        </w:rPr>
        <w:t xml:space="preserve"> </w:t>
      </w:r>
      <w:r>
        <w:t>is expressed as follows:</w:t>
      </w:r>
    </w:p>
    <w:p w14:paraId="4600C04D" w14:textId="77777777" w:rsidR="00ED08FF" w:rsidRDefault="00000000">
      <w:pPr>
        <w:tabs>
          <w:tab w:val="left" w:pos="7634"/>
        </w:tabs>
        <w:spacing w:before="1"/>
        <w:ind w:left="145"/>
        <w:rPr>
          <w:rFonts w:ascii="Courier New" w:hAnsi="Courier New"/>
          <w:sz w:val="13"/>
        </w:rPr>
      </w:pPr>
      <w:r>
        <w:rPr>
          <w:rFonts w:ascii="Courier New" w:hAnsi="Courier New"/>
          <w:sz w:val="13"/>
        </w:rPr>
        <w:t>PBV_it</w:t>
      </w:r>
      <w:r>
        <w:rPr>
          <w:rFonts w:ascii="Courier New" w:hAnsi="Courier New"/>
          <w:spacing w:val="-6"/>
          <w:sz w:val="13"/>
        </w:rPr>
        <w:t xml:space="preserve"> </w:t>
      </w:r>
      <w:r>
        <w:rPr>
          <w:rFonts w:ascii="Courier New" w:hAnsi="Courier New"/>
          <w:sz w:val="13"/>
        </w:rPr>
        <w:t>=</w:t>
      </w:r>
      <w:r>
        <w:rPr>
          <w:rFonts w:ascii="Courier New" w:hAnsi="Courier New"/>
          <w:spacing w:val="-4"/>
          <w:sz w:val="13"/>
        </w:rPr>
        <w:t xml:space="preserve"> </w:t>
      </w:r>
      <w:r>
        <w:rPr>
          <w:rFonts w:ascii="Courier New" w:hAnsi="Courier New"/>
          <w:sz w:val="13"/>
        </w:rPr>
        <w:t>α</w:t>
      </w:r>
      <w:r>
        <w:rPr>
          <w:rFonts w:ascii="Courier New" w:hAnsi="Courier New"/>
          <w:spacing w:val="-4"/>
          <w:sz w:val="13"/>
        </w:rPr>
        <w:t xml:space="preserve"> </w:t>
      </w:r>
      <w:r>
        <w:rPr>
          <w:rFonts w:ascii="Courier New" w:hAnsi="Courier New"/>
          <w:sz w:val="13"/>
        </w:rPr>
        <w:t>+</w:t>
      </w:r>
      <w:r>
        <w:rPr>
          <w:rFonts w:ascii="Courier New" w:hAnsi="Courier New"/>
          <w:spacing w:val="-3"/>
          <w:sz w:val="13"/>
        </w:rPr>
        <w:t xml:space="preserve"> </w:t>
      </w:r>
      <w:r>
        <w:rPr>
          <w:rFonts w:ascii="Courier New" w:hAnsi="Courier New"/>
          <w:sz w:val="13"/>
        </w:rPr>
        <w:t>β1ROA_it</w:t>
      </w:r>
      <w:r>
        <w:rPr>
          <w:rFonts w:ascii="Courier New" w:hAnsi="Courier New"/>
          <w:spacing w:val="-4"/>
          <w:sz w:val="13"/>
        </w:rPr>
        <w:t xml:space="preserve"> </w:t>
      </w:r>
      <w:r>
        <w:rPr>
          <w:rFonts w:ascii="Courier New" w:hAnsi="Courier New"/>
          <w:sz w:val="13"/>
        </w:rPr>
        <w:t>+</w:t>
      </w:r>
      <w:r>
        <w:rPr>
          <w:rFonts w:ascii="Courier New" w:hAnsi="Courier New"/>
          <w:spacing w:val="-4"/>
          <w:sz w:val="13"/>
        </w:rPr>
        <w:t xml:space="preserve"> </w:t>
      </w:r>
      <w:r>
        <w:rPr>
          <w:rFonts w:ascii="Courier New" w:hAnsi="Courier New"/>
          <w:sz w:val="13"/>
        </w:rPr>
        <w:t>β2DER_it</w:t>
      </w:r>
      <w:r>
        <w:rPr>
          <w:rFonts w:ascii="Courier New" w:hAnsi="Courier New"/>
          <w:spacing w:val="-4"/>
          <w:sz w:val="13"/>
        </w:rPr>
        <w:t xml:space="preserve"> </w:t>
      </w:r>
      <w:r>
        <w:rPr>
          <w:rFonts w:ascii="Courier New" w:hAnsi="Courier New"/>
          <w:sz w:val="13"/>
        </w:rPr>
        <w:t>+</w:t>
      </w:r>
      <w:r>
        <w:rPr>
          <w:rFonts w:ascii="Courier New" w:hAnsi="Courier New"/>
          <w:spacing w:val="-3"/>
          <w:sz w:val="13"/>
        </w:rPr>
        <w:t xml:space="preserve"> </w:t>
      </w:r>
      <w:r>
        <w:rPr>
          <w:rFonts w:ascii="Courier New" w:hAnsi="Courier New"/>
          <w:sz w:val="13"/>
        </w:rPr>
        <w:t>β3SIZE_it</w:t>
      </w:r>
      <w:r>
        <w:rPr>
          <w:rFonts w:ascii="Courier New" w:hAnsi="Courier New"/>
          <w:spacing w:val="-4"/>
          <w:sz w:val="13"/>
        </w:rPr>
        <w:t xml:space="preserve"> </w:t>
      </w:r>
      <w:r>
        <w:rPr>
          <w:rFonts w:ascii="Courier New" w:hAnsi="Courier New"/>
          <w:sz w:val="13"/>
        </w:rPr>
        <w:t>+</w:t>
      </w:r>
      <w:r>
        <w:rPr>
          <w:rFonts w:ascii="Courier New" w:hAnsi="Courier New"/>
          <w:spacing w:val="-4"/>
          <w:sz w:val="13"/>
        </w:rPr>
        <w:t xml:space="preserve"> </w:t>
      </w:r>
      <w:r>
        <w:rPr>
          <w:rFonts w:ascii="Courier New" w:hAnsi="Courier New"/>
          <w:sz w:val="13"/>
        </w:rPr>
        <w:t>β4CR_it</w:t>
      </w:r>
      <w:r>
        <w:rPr>
          <w:rFonts w:ascii="Courier New" w:hAnsi="Courier New"/>
          <w:spacing w:val="-4"/>
          <w:sz w:val="13"/>
        </w:rPr>
        <w:t xml:space="preserve"> </w:t>
      </w:r>
      <w:r>
        <w:rPr>
          <w:rFonts w:ascii="Courier New" w:hAnsi="Courier New"/>
          <w:sz w:val="13"/>
        </w:rPr>
        <w:t>+</w:t>
      </w:r>
      <w:r>
        <w:rPr>
          <w:rFonts w:ascii="Courier New" w:hAnsi="Courier New"/>
          <w:spacing w:val="-3"/>
          <w:sz w:val="13"/>
        </w:rPr>
        <w:t xml:space="preserve"> </w:t>
      </w:r>
      <w:r>
        <w:rPr>
          <w:rFonts w:ascii="Courier New" w:hAnsi="Courier New"/>
          <w:spacing w:val="-4"/>
          <w:sz w:val="13"/>
        </w:rPr>
        <w:t>ε_it</w:t>
      </w:r>
      <w:r>
        <w:rPr>
          <w:rFonts w:ascii="Courier New" w:hAnsi="Courier New"/>
          <w:sz w:val="13"/>
        </w:rPr>
        <w:tab/>
      </w:r>
      <w:r>
        <w:rPr>
          <w:rFonts w:ascii="Courier New" w:hAnsi="Courier New"/>
          <w:spacing w:val="-5"/>
          <w:sz w:val="13"/>
        </w:rPr>
        <w:t>(1)</w:t>
      </w:r>
    </w:p>
    <w:p w14:paraId="25DE2071" w14:textId="77777777" w:rsidR="00ED08FF" w:rsidRDefault="00000000">
      <w:pPr>
        <w:pStyle w:val="BodyText"/>
        <w:spacing w:before="0" w:line="297" w:lineRule="auto"/>
        <w:ind w:right="1762"/>
      </w:pPr>
      <w:r>
        <w:t>In</w:t>
      </w:r>
      <w:r>
        <w:rPr>
          <w:spacing w:val="-2"/>
        </w:rPr>
        <w:t xml:space="preserve"> </w:t>
      </w:r>
      <w:r>
        <w:t>equation</w:t>
      </w:r>
      <w:r>
        <w:rPr>
          <w:spacing w:val="-2"/>
        </w:rPr>
        <w:t xml:space="preserve"> </w:t>
      </w:r>
      <w:r>
        <w:t>(1),</w:t>
      </w:r>
      <w:r>
        <w:rPr>
          <w:spacing w:val="-2"/>
        </w:rPr>
        <w:t xml:space="preserve"> </w:t>
      </w:r>
      <w:r>
        <w:t>PBV_it</w:t>
      </w:r>
      <w:r>
        <w:rPr>
          <w:spacing w:val="-3"/>
        </w:rPr>
        <w:t xml:space="preserve"> </w:t>
      </w:r>
      <w:r>
        <w:t>is</w:t>
      </w:r>
      <w:r>
        <w:rPr>
          <w:spacing w:val="-3"/>
        </w:rPr>
        <w:t xml:space="preserve"> </w:t>
      </w:r>
      <w:r>
        <w:t>the</w:t>
      </w:r>
      <w:r>
        <w:rPr>
          <w:spacing w:val="-3"/>
        </w:rPr>
        <w:t xml:space="preserve"> </w:t>
      </w:r>
      <w:r>
        <w:t>firm</w:t>
      </w:r>
      <w:r>
        <w:rPr>
          <w:spacing w:val="-3"/>
        </w:rPr>
        <w:t xml:space="preserve"> </w:t>
      </w:r>
      <w:r>
        <w:t>value</w:t>
      </w:r>
      <w:r>
        <w:rPr>
          <w:spacing w:val="-3"/>
        </w:rPr>
        <w:t xml:space="preserve"> </w:t>
      </w:r>
      <w:r>
        <w:t>of</w:t>
      </w:r>
      <w:r>
        <w:rPr>
          <w:spacing w:val="-2"/>
        </w:rPr>
        <w:t xml:space="preserve"> </w:t>
      </w:r>
      <w:r>
        <w:t>company</w:t>
      </w:r>
      <w:r>
        <w:rPr>
          <w:spacing w:val="-2"/>
        </w:rPr>
        <w:t xml:space="preserve"> </w:t>
      </w:r>
      <w:r>
        <w:t>i</w:t>
      </w:r>
      <w:r>
        <w:rPr>
          <w:spacing w:val="-3"/>
        </w:rPr>
        <w:t xml:space="preserve"> </w:t>
      </w:r>
      <w:r>
        <w:t>in</w:t>
      </w:r>
      <w:r>
        <w:rPr>
          <w:spacing w:val="-2"/>
        </w:rPr>
        <w:t xml:space="preserve"> </w:t>
      </w:r>
      <w:r>
        <w:t>year</w:t>
      </w:r>
      <w:r>
        <w:rPr>
          <w:spacing w:val="-3"/>
        </w:rPr>
        <w:t xml:space="preserve"> </w:t>
      </w:r>
      <w:r>
        <w:t>t;</w:t>
      </w:r>
      <w:r>
        <w:rPr>
          <w:spacing w:val="-3"/>
        </w:rPr>
        <w:t xml:space="preserve"> </w:t>
      </w:r>
      <w:r>
        <w:t>ROA_it</w:t>
      </w:r>
      <w:r>
        <w:rPr>
          <w:spacing w:val="-3"/>
        </w:rPr>
        <w:t xml:space="preserve"> </w:t>
      </w:r>
      <w:r>
        <w:t>is</w:t>
      </w:r>
      <w:r>
        <w:rPr>
          <w:spacing w:val="-3"/>
        </w:rPr>
        <w:t xml:space="preserve"> </w:t>
      </w:r>
      <w:r>
        <w:t>profitability;</w:t>
      </w:r>
      <w:r>
        <w:rPr>
          <w:spacing w:val="-3"/>
        </w:rPr>
        <w:t xml:space="preserve"> </w:t>
      </w:r>
      <w:r>
        <w:t>DER_it</w:t>
      </w:r>
      <w:r>
        <w:rPr>
          <w:spacing w:val="-3"/>
        </w:rPr>
        <w:t xml:space="preserve"> </w:t>
      </w:r>
      <w:r>
        <w:t>is</w:t>
      </w:r>
      <w:r>
        <w:rPr>
          <w:spacing w:val="-2"/>
        </w:rPr>
        <w:t xml:space="preserve"> </w:t>
      </w:r>
      <w:r>
        <w:t>leverage;</w:t>
      </w:r>
      <w:r>
        <w:rPr>
          <w:spacing w:val="-3"/>
        </w:rPr>
        <w:t xml:space="preserve"> </w:t>
      </w:r>
      <w:r>
        <w:t>SIZE_it</w:t>
      </w:r>
      <w:r>
        <w:rPr>
          <w:spacing w:val="-3"/>
        </w:rPr>
        <w:t xml:space="preserve"> </w:t>
      </w:r>
      <w:r>
        <w:t>is</w:t>
      </w:r>
      <w:r>
        <w:rPr>
          <w:spacing w:val="-3"/>
        </w:rPr>
        <w:t xml:space="preserve"> </w:t>
      </w:r>
      <w:r>
        <w:t xml:space="preserve">the natural logarithm of total assets; CR_it is liquidity; α is the intercept; β1 to β4 are regression coefficients; and ε_it is the error term. A positive β1 means that higher profitability is associated with higher firm value. A statistically significant coefficient indicates that the relationship is unlikely to be caused by random sample variation under the selected model </w:t>
      </w:r>
      <w:r>
        <w:rPr>
          <w:spacing w:val="-2"/>
        </w:rPr>
        <w:t>assumptions.</w:t>
      </w:r>
    </w:p>
    <w:p w14:paraId="558F5A0E" w14:textId="77777777" w:rsidR="00ED08FF" w:rsidRDefault="00000000">
      <w:pPr>
        <w:pStyle w:val="BodyText"/>
        <w:spacing w:before="2" w:line="297" w:lineRule="auto"/>
        <w:ind w:right="1903"/>
      </w:pPr>
      <w:r>
        <w:t>The regression is estimated using pooled OLS with HC3 robust standard errors. HC3 is used because it is relatively conservative</w:t>
      </w:r>
      <w:r>
        <w:rPr>
          <w:spacing w:val="-4"/>
        </w:rPr>
        <w:t xml:space="preserve"> </w:t>
      </w:r>
      <w:r>
        <w:t>in</w:t>
      </w:r>
      <w:r>
        <w:rPr>
          <w:spacing w:val="-3"/>
        </w:rPr>
        <w:t xml:space="preserve"> </w:t>
      </w:r>
      <w:r>
        <w:t>small</w:t>
      </w:r>
      <w:r>
        <w:rPr>
          <w:spacing w:val="-4"/>
        </w:rPr>
        <w:t xml:space="preserve"> </w:t>
      </w:r>
      <w:r>
        <w:t>samples</w:t>
      </w:r>
      <w:r>
        <w:rPr>
          <w:spacing w:val="-4"/>
        </w:rPr>
        <w:t xml:space="preserve"> </w:t>
      </w:r>
      <w:r>
        <w:t>and</w:t>
      </w:r>
      <w:r>
        <w:rPr>
          <w:spacing w:val="-3"/>
        </w:rPr>
        <w:t xml:space="preserve"> </w:t>
      </w:r>
      <w:r>
        <w:t>helps</w:t>
      </w:r>
      <w:r>
        <w:rPr>
          <w:spacing w:val="-4"/>
        </w:rPr>
        <w:t xml:space="preserve"> </w:t>
      </w:r>
      <w:r>
        <w:t>reduce</w:t>
      </w:r>
      <w:r>
        <w:rPr>
          <w:spacing w:val="-4"/>
        </w:rPr>
        <w:t xml:space="preserve"> </w:t>
      </w:r>
      <w:r>
        <w:t>the</w:t>
      </w:r>
      <w:r>
        <w:rPr>
          <w:spacing w:val="-4"/>
        </w:rPr>
        <w:t xml:space="preserve"> </w:t>
      </w:r>
      <w:r>
        <w:t>influence</w:t>
      </w:r>
      <w:r>
        <w:rPr>
          <w:spacing w:val="-4"/>
        </w:rPr>
        <w:t xml:space="preserve"> </w:t>
      </w:r>
      <w:r>
        <w:t>of</w:t>
      </w:r>
      <w:r>
        <w:rPr>
          <w:spacing w:val="-3"/>
        </w:rPr>
        <w:t xml:space="preserve"> </w:t>
      </w:r>
      <w:r>
        <w:t>heteroskedasticity</w:t>
      </w:r>
      <w:r>
        <w:rPr>
          <w:spacing w:val="-3"/>
        </w:rPr>
        <w:t xml:space="preserve"> </w:t>
      </w:r>
      <w:r>
        <w:t>on</w:t>
      </w:r>
      <w:r>
        <w:rPr>
          <w:spacing w:val="-3"/>
        </w:rPr>
        <w:t xml:space="preserve"> </w:t>
      </w:r>
      <w:r>
        <w:t>statistical</w:t>
      </w:r>
      <w:r>
        <w:rPr>
          <w:spacing w:val="-4"/>
        </w:rPr>
        <w:t xml:space="preserve"> </w:t>
      </w:r>
      <w:r>
        <w:t>inference.</w:t>
      </w:r>
      <w:r>
        <w:rPr>
          <w:spacing w:val="-3"/>
        </w:rPr>
        <w:t xml:space="preserve"> </w:t>
      </w:r>
      <w:r>
        <w:t>The</w:t>
      </w:r>
      <w:r>
        <w:rPr>
          <w:spacing w:val="-4"/>
        </w:rPr>
        <w:t xml:space="preserve"> </w:t>
      </w:r>
      <w:r>
        <w:t>study</w:t>
      </w:r>
      <w:r>
        <w:rPr>
          <w:spacing w:val="-3"/>
        </w:rPr>
        <w:t xml:space="preserve"> </w:t>
      </w:r>
      <w:r>
        <w:t>also reports correlation analysis, descriptive statistics, variance inflation factor, residual normality information, and a robustness note excluding UNVR due to its exceptionally high PBV relative to the rest of the sample.</w:t>
      </w:r>
    </w:p>
    <w:p w14:paraId="777E9E1A" w14:textId="77777777" w:rsidR="00ED08FF" w:rsidRDefault="00ED08FF">
      <w:pPr>
        <w:pStyle w:val="BodyText"/>
        <w:spacing w:before="51"/>
        <w:ind w:left="0"/>
      </w:pPr>
    </w:p>
    <w:p w14:paraId="4F84558A" w14:textId="77777777" w:rsidR="00ED08FF" w:rsidRDefault="00000000">
      <w:pPr>
        <w:pStyle w:val="Heading2"/>
        <w:numPr>
          <w:ilvl w:val="1"/>
          <w:numId w:val="1"/>
        </w:numPr>
        <w:tabs>
          <w:tab w:val="left" w:pos="415"/>
        </w:tabs>
        <w:ind w:left="415"/>
      </w:pPr>
      <w:r>
        <w:t>Data</w:t>
      </w:r>
      <w:r>
        <w:rPr>
          <w:spacing w:val="-1"/>
        </w:rPr>
        <w:t xml:space="preserve"> </w:t>
      </w:r>
      <w:r>
        <w:t xml:space="preserve">Processing </w:t>
      </w:r>
      <w:r>
        <w:rPr>
          <w:spacing w:val="-2"/>
        </w:rPr>
        <w:t>Procedure</w:t>
      </w:r>
    </w:p>
    <w:p w14:paraId="22D25FFC" w14:textId="77777777" w:rsidR="00ED08FF" w:rsidRDefault="00000000">
      <w:pPr>
        <w:pStyle w:val="BodyText"/>
        <w:spacing w:before="50" w:line="297" w:lineRule="auto"/>
        <w:ind w:right="2145"/>
      </w:pPr>
      <w:r>
        <w:t>The data processing procedure consists of six steps. First, the company sample was determined based on sector relevance and data completeness. Second, annual PBV, ROA, DER, CR, and total assets were transcribed for each company and fiscal year. Third, firm size was calculated by applying the natural logarithm to total assets. Fourth, descriptive</w:t>
      </w:r>
      <w:r>
        <w:rPr>
          <w:spacing w:val="-4"/>
        </w:rPr>
        <w:t xml:space="preserve"> </w:t>
      </w:r>
      <w:r>
        <w:t>statistics</w:t>
      </w:r>
      <w:r>
        <w:rPr>
          <w:spacing w:val="-4"/>
        </w:rPr>
        <w:t xml:space="preserve"> </w:t>
      </w:r>
      <w:r>
        <w:t>and</w:t>
      </w:r>
      <w:r>
        <w:rPr>
          <w:spacing w:val="-3"/>
        </w:rPr>
        <w:t xml:space="preserve"> </w:t>
      </w:r>
      <w:r>
        <w:t>correlation</w:t>
      </w:r>
      <w:r>
        <w:rPr>
          <w:spacing w:val="-3"/>
        </w:rPr>
        <w:t xml:space="preserve"> </w:t>
      </w:r>
      <w:r>
        <w:t>coefficients</w:t>
      </w:r>
      <w:r>
        <w:rPr>
          <w:spacing w:val="-4"/>
        </w:rPr>
        <w:t xml:space="preserve"> </w:t>
      </w:r>
      <w:r>
        <w:t>were</w:t>
      </w:r>
      <w:r>
        <w:rPr>
          <w:spacing w:val="-4"/>
        </w:rPr>
        <w:t xml:space="preserve"> </w:t>
      </w:r>
      <w:r>
        <w:t>calculated.</w:t>
      </w:r>
      <w:r>
        <w:rPr>
          <w:spacing w:val="-3"/>
        </w:rPr>
        <w:t xml:space="preserve"> </w:t>
      </w:r>
      <w:r>
        <w:t>Fifth,</w:t>
      </w:r>
      <w:r>
        <w:rPr>
          <w:spacing w:val="-3"/>
        </w:rPr>
        <w:t xml:space="preserve"> </w:t>
      </w:r>
      <w:r>
        <w:t>the</w:t>
      </w:r>
      <w:r>
        <w:rPr>
          <w:spacing w:val="-4"/>
        </w:rPr>
        <w:t xml:space="preserve"> </w:t>
      </w:r>
      <w:r>
        <w:t>regression</w:t>
      </w:r>
      <w:r>
        <w:rPr>
          <w:spacing w:val="-3"/>
        </w:rPr>
        <w:t xml:space="preserve"> </w:t>
      </w:r>
      <w:r>
        <w:t>model</w:t>
      </w:r>
      <w:r>
        <w:rPr>
          <w:spacing w:val="-4"/>
        </w:rPr>
        <w:t xml:space="preserve"> </w:t>
      </w:r>
      <w:r>
        <w:t>was</w:t>
      </w:r>
      <w:r>
        <w:rPr>
          <w:spacing w:val="-4"/>
        </w:rPr>
        <w:t xml:space="preserve"> </w:t>
      </w:r>
      <w:r>
        <w:t>estimated.</w:t>
      </w:r>
      <w:r>
        <w:rPr>
          <w:spacing w:val="-3"/>
        </w:rPr>
        <w:t xml:space="preserve"> </w:t>
      </w:r>
      <w:r>
        <w:t>Sixth,</w:t>
      </w:r>
      <w:r>
        <w:rPr>
          <w:spacing w:val="-3"/>
        </w:rPr>
        <w:t xml:space="preserve"> </w:t>
      </w:r>
      <w:r>
        <w:t>the interpretation was written by comparing the statistical results with theory and prior accounting logic.</w:t>
      </w:r>
    </w:p>
    <w:p w14:paraId="7BB8F9A5" w14:textId="77777777" w:rsidR="00ED08FF" w:rsidRDefault="00000000">
      <w:pPr>
        <w:pStyle w:val="BodyText"/>
        <w:spacing w:before="2" w:line="297" w:lineRule="auto"/>
        <w:ind w:right="1825"/>
      </w:pPr>
      <w:r>
        <w:t>Several precautions were applied. The variables were kept in consistent units: ROA is expressed in percentage points, PBV,</w:t>
      </w:r>
      <w:r>
        <w:rPr>
          <w:spacing w:val="-1"/>
        </w:rPr>
        <w:t xml:space="preserve"> </w:t>
      </w:r>
      <w:r>
        <w:t>DER,</w:t>
      </w:r>
      <w:r>
        <w:rPr>
          <w:spacing w:val="-1"/>
        </w:rPr>
        <w:t xml:space="preserve"> </w:t>
      </w:r>
      <w:r>
        <w:t>and</w:t>
      </w:r>
      <w:r>
        <w:rPr>
          <w:spacing w:val="-1"/>
        </w:rPr>
        <w:t xml:space="preserve"> </w:t>
      </w:r>
      <w:r>
        <w:t>CR</w:t>
      </w:r>
      <w:r>
        <w:rPr>
          <w:spacing w:val="-2"/>
        </w:rPr>
        <w:t xml:space="preserve"> </w:t>
      </w:r>
      <w:r>
        <w:t>are</w:t>
      </w:r>
      <w:r>
        <w:rPr>
          <w:spacing w:val="-2"/>
        </w:rPr>
        <w:t xml:space="preserve"> </w:t>
      </w:r>
      <w:r>
        <w:t>ratio</w:t>
      </w:r>
      <w:r>
        <w:rPr>
          <w:spacing w:val="-1"/>
        </w:rPr>
        <w:t xml:space="preserve"> </w:t>
      </w:r>
      <w:r>
        <w:t>values,</w:t>
      </w:r>
      <w:r>
        <w:rPr>
          <w:spacing w:val="-1"/>
        </w:rPr>
        <w:t xml:space="preserve"> </w:t>
      </w:r>
      <w:r>
        <w:t>and</w:t>
      </w:r>
      <w:r>
        <w:rPr>
          <w:spacing w:val="-1"/>
        </w:rPr>
        <w:t xml:space="preserve"> </w:t>
      </w:r>
      <w:r>
        <w:t>total</w:t>
      </w:r>
      <w:r>
        <w:rPr>
          <w:spacing w:val="-2"/>
        </w:rPr>
        <w:t xml:space="preserve"> </w:t>
      </w:r>
      <w:r>
        <w:t>assets</w:t>
      </w:r>
      <w:r>
        <w:rPr>
          <w:spacing w:val="-2"/>
        </w:rPr>
        <w:t xml:space="preserve"> </w:t>
      </w:r>
      <w:r>
        <w:t>are</w:t>
      </w:r>
      <w:r>
        <w:rPr>
          <w:spacing w:val="-2"/>
        </w:rPr>
        <w:t xml:space="preserve"> </w:t>
      </w:r>
      <w:r>
        <w:t>in</w:t>
      </w:r>
      <w:r>
        <w:rPr>
          <w:spacing w:val="-1"/>
        </w:rPr>
        <w:t xml:space="preserve"> </w:t>
      </w:r>
      <w:r>
        <w:t>millions</w:t>
      </w:r>
      <w:r>
        <w:rPr>
          <w:spacing w:val="-2"/>
        </w:rPr>
        <w:t xml:space="preserve"> </w:t>
      </w:r>
      <w:r>
        <w:t>of</w:t>
      </w:r>
      <w:r>
        <w:rPr>
          <w:spacing w:val="-1"/>
        </w:rPr>
        <w:t xml:space="preserve"> </w:t>
      </w:r>
      <w:r>
        <w:t>IDR</w:t>
      </w:r>
      <w:r>
        <w:rPr>
          <w:spacing w:val="-2"/>
        </w:rPr>
        <w:t xml:space="preserve"> </w:t>
      </w:r>
      <w:r>
        <w:t>before</w:t>
      </w:r>
      <w:r>
        <w:rPr>
          <w:spacing w:val="-2"/>
        </w:rPr>
        <w:t xml:space="preserve"> </w:t>
      </w:r>
      <w:r>
        <w:t>logarithmic</w:t>
      </w:r>
      <w:r>
        <w:rPr>
          <w:spacing w:val="-2"/>
        </w:rPr>
        <w:t xml:space="preserve"> </w:t>
      </w:r>
      <w:r>
        <w:t>transformation.</w:t>
      </w:r>
      <w:r>
        <w:rPr>
          <w:spacing w:val="-1"/>
        </w:rPr>
        <w:t xml:space="preserve"> </w:t>
      </w:r>
      <w:r>
        <w:t>The</w:t>
      </w:r>
      <w:r>
        <w:rPr>
          <w:spacing w:val="-2"/>
        </w:rPr>
        <w:t xml:space="preserve"> </w:t>
      </w:r>
      <w:r>
        <w:t>dataset was</w:t>
      </w:r>
      <w:r>
        <w:rPr>
          <w:spacing w:val="-3"/>
        </w:rPr>
        <w:t xml:space="preserve"> </w:t>
      </w:r>
      <w:r>
        <w:t>also</w:t>
      </w:r>
      <w:r>
        <w:rPr>
          <w:spacing w:val="-2"/>
        </w:rPr>
        <w:t xml:space="preserve"> </w:t>
      </w:r>
      <w:r>
        <w:t>reviewed</w:t>
      </w:r>
      <w:r>
        <w:rPr>
          <w:spacing w:val="-2"/>
        </w:rPr>
        <w:t xml:space="preserve"> </w:t>
      </w:r>
      <w:r>
        <w:t>for</w:t>
      </w:r>
      <w:r>
        <w:rPr>
          <w:spacing w:val="-2"/>
        </w:rPr>
        <w:t xml:space="preserve"> </w:t>
      </w:r>
      <w:r>
        <w:t>extreme</w:t>
      </w:r>
      <w:r>
        <w:rPr>
          <w:spacing w:val="-3"/>
        </w:rPr>
        <w:t xml:space="preserve"> </w:t>
      </w:r>
      <w:r>
        <w:t>values.</w:t>
      </w:r>
      <w:r>
        <w:rPr>
          <w:spacing w:val="-2"/>
        </w:rPr>
        <w:t xml:space="preserve"> </w:t>
      </w:r>
      <w:r>
        <w:t>UNVR</w:t>
      </w:r>
      <w:r>
        <w:rPr>
          <w:spacing w:val="-3"/>
        </w:rPr>
        <w:t xml:space="preserve"> </w:t>
      </w:r>
      <w:r>
        <w:t>has</w:t>
      </w:r>
      <w:r>
        <w:rPr>
          <w:spacing w:val="-3"/>
        </w:rPr>
        <w:t xml:space="preserve"> </w:t>
      </w:r>
      <w:r>
        <w:t>substantially</w:t>
      </w:r>
      <w:r>
        <w:rPr>
          <w:spacing w:val="-2"/>
        </w:rPr>
        <w:t xml:space="preserve"> </w:t>
      </w:r>
      <w:r>
        <w:t>higher</w:t>
      </w:r>
      <w:r>
        <w:rPr>
          <w:spacing w:val="-2"/>
        </w:rPr>
        <w:t xml:space="preserve"> </w:t>
      </w:r>
      <w:r>
        <w:t>PBV</w:t>
      </w:r>
      <w:r>
        <w:rPr>
          <w:spacing w:val="-3"/>
        </w:rPr>
        <w:t xml:space="preserve"> </w:t>
      </w:r>
      <w:r>
        <w:t>than</w:t>
      </w:r>
      <w:r>
        <w:rPr>
          <w:spacing w:val="-2"/>
        </w:rPr>
        <w:t xml:space="preserve"> </w:t>
      </w:r>
      <w:r>
        <w:t>the</w:t>
      </w:r>
      <w:r>
        <w:rPr>
          <w:spacing w:val="-3"/>
        </w:rPr>
        <w:t xml:space="preserve"> </w:t>
      </w:r>
      <w:r>
        <w:t>other</w:t>
      </w:r>
      <w:r>
        <w:rPr>
          <w:spacing w:val="-2"/>
        </w:rPr>
        <w:t xml:space="preserve"> </w:t>
      </w:r>
      <w:r>
        <w:t>firms.</w:t>
      </w:r>
      <w:r>
        <w:rPr>
          <w:spacing w:val="-2"/>
        </w:rPr>
        <w:t xml:space="preserve"> </w:t>
      </w:r>
      <w:r>
        <w:t>This</w:t>
      </w:r>
      <w:r>
        <w:rPr>
          <w:spacing w:val="-3"/>
        </w:rPr>
        <w:t xml:space="preserve"> </w:t>
      </w:r>
      <w:r>
        <w:t>is</w:t>
      </w:r>
      <w:r>
        <w:rPr>
          <w:spacing w:val="-3"/>
        </w:rPr>
        <w:t xml:space="preserve"> </w:t>
      </w:r>
      <w:r>
        <w:t>not</w:t>
      </w:r>
      <w:r>
        <w:rPr>
          <w:spacing w:val="-3"/>
        </w:rPr>
        <w:t xml:space="preserve"> </w:t>
      </w:r>
      <w:r>
        <w:t>removed</w:t>
      </w:r>
      <w:r>
        <w:rPr>
          <w:spacing w:val="-2"/>
        </w:rPr>
        <w:t xml:space="preserve"> </w:t>
      </w:r>
      <w:r>
        <w:t>from the main model because it is a real market outcome, but it is discussed carefully in the robustness section.</w:t>
      </w:r>
    </w:p>
    <w:p w14:paraId="024E2A81" w14:textId="77777777" w:rsidR="00ED08FF" w:rsidRDefault="00ED08FF">
      <w:pPr>
        <w:pStyle w:val="BodyText"/>
        <w:spacing w:before="51"/>
        <w:ind w:left="0"/>
      </w:pPr>
    </w:p>
    <w:p w14:paraId="0BC13836" w14:textId="77777777" w:rsidR="00ED08FF" w:rsidRDefault="00000000">
      <w:pPr>
        <w:pStyle w:val="Heading1"/>
        <w:numPr>
          <w:ilvl w:val="0"/>
          <w:numId w:val="1"/>
        </w:numPr>
        <w:tabs>
          <w:tab w:val="left" w:pos="415"/>
        </w:tabs>
        <w:ind w:left="415"/>
      </w:pPr>
      <w:r>
        <w:t>RESULTS</w:t>
      </w:r>
      <w:r>
        <w:rPr>
          <w:spacing w:val="-5"/>
        </w:rPr>
        <w:t xml:space="preserve"> </w:t>
      </w:r>
      <w:r>
        <w:t>AND</w:t>
      </w:r>
      <w:r>
        <w:rPr>
          <w:spacing w:val="-4"/>
        </w:rPr>
        <w:t xml:space="preserve"> </w:t>
      </w:r>
      <w:r>
        <w:rPr>
          <w:spacing w:val="-2"/>
        </w:rPr>
        <w:t>DISCUSSION</w:t>
      </w:r>
    </w:p>
    <w:p w14:paraId="0E961C94" w14:textId="77777777" w:rsidR="00ED08FF" w:rsidRDefault="00000000">
      <w:pPr>
        <w:pStyle w:val="Heading2"/>
        <w:numPr>
          <w:ilvl w:val="1"/>
          <w:numId w:val="1"/>
        </w:numPr>
        <w:tabs>
          <w:tab w:val="left" w:pos="415"/>
        </w:tabs>
        <w:spacing w:before="50"/>
        <w:ind w:left="415"/>
      </w:pPr>
      <w:r>
        <w:t>Sample</w:t>
      </w:r>
      <w:r>
        <w:rPr>
          <w:spacing w:val="-6"/>
        </w:rPr>
        <w:t xml:space="preserve"> </w:t>
      </w:r>
      <w:r>
        <w:rPr>
          <w:spacing w:val="-2"/>
        </w:rPr>
        <w:t>Overview</w:t>
      </w:r>
    </w:p>
    <w:p w14:paraId="2FD323A3" w14:textId="77777777" w:rsidR="00ED08FF" w:rsidRDefault="00000000">
      <w:pPr>
        <w:pStyle w:val="BodyText"/>
        <w:spacing w:before="50" w:line="297" w:lineRule="auto"/>
        <w:ind w:right="1903"/>
      </w:pPr>
      <w:r>
        <w:t>The sample contains 40 firm-year observations. The sector composition shows strong heterogeneity. UNVR has high valuation</w:t>
      </w:r>
      <w:r>
        <w:rPr>
          <w:spacing w:val="-2"/>
        </w:rPr>
        <w:t xml:space="preserve"> </w:t>
      </w:r>
      <w:r>
        <w:t>multiples</w:t>
      </w:r>
      <w:r>
        <w:rPr>
          <w:spacing w:val="-3"/>
        </w:rPr>
        <w:t xml:space="preserve"> </w:t>
      </w:r>
      <w:r>
        <w:t>despite</w:t>
      </w:r>
      <w:r>
        <w:rPr>
          <w:spacing w:val="-3"/>
        </w:rPr>
        <w:t xml:space="preserve"> </w:t>
      </w:r>
      <w:r>
        <w:t>a</w:t>
      </w:r>
      <w:r>
        <w:rPr>
          <w:spacing w:val="-3"/>
        </w:rPr>
        <w:t xml:space="preserve"> </w:t>
      </w:r>
      <w:r>
        <w:t>relatively</w:t>
      </w:r>
      <w:r>
        <w:rPr>
          <w:spacing w:val="-2"/>
        </w:rPr>
        <w:t xml:space="preserve"> </w:t>
      </w:r>
      <w:r>
        <w:t>smaller</w:t>
      </w:r>
      <w:r>
        <w:rPr>
          <w:spacing w:val="-2"/>
        </w:rPr>
        <w:t xml:space="preserve"> </w:t>
      </w:r>
      <w:r>
        <w:t>asset</w:t>
      </w:r>
      <w:r>
        <w:rPr>
          <w:spacing w:val="-3"/>
        </w:rPr>
        <w:t xml:space="preserve"> </w:t>
      </w:r>
      <w:r>
        <w:t>base</w:t>
      </w:r>
      <w:r>
        <w:rPr>
          <w:spacing w:val="-3"/>
        </w:rPr>
        <w:t xml:space="preserve"> </w:t>
      </w:r>
      <w:r>
        <w:t>than</w:t>
      </w:r>
      <w:r>
        <w:rPr>
          <w:spacing w:val="-2"/>
        </w:rPr>
        <w:t xml:space="preserve"> </w:t>
      </w:r>
      <w:r>
        <w:t>INDF</w:t>
      </w:r>
      <w:r>
        <w:rPr>
          <w:spacing w:val="-3"/>
        </w:rPr>
        <w:t xml:space="preserve"> </w:t>
      </w:r>
      <w:r>
        <w:t>and</w:t>
      </w:r>
      <w:r>
        <w:rPr>
          <w:spacing w:val="-2"/>
        </w:rPr>
        <w:t xml:space="preserve"> </w:t>
      </w:r>
      <w:r>
        <w:t>ICBP.</w:t>
      </w:r>
      <w:r>
        <w:rPr>
          <w:spacing w:val="-2"/>
        </w:rPr>
        <w:t xml:space="preserve"> </w:t>
      </w:r>
      <w:r>
        <w:t>INDF</w:t>
      </w:r>
      <w:r>
        <w:rPr>
          <w:spacing w:val="-3"/>
        </w:rPr>
        <w:t xml:space="preserve"> </w:t>
      </w:r>
      <w:r>
        <w:t>and</w:t>
      </w:r>
      <w:r>
        <w:rPr>
          <w:spacing w:val="-2"/>
        </w:rPr>
        <w:t xml:space="preserve"> </w:t>
      </w:r>
      <w:r>
        <w:t>ICBP</w:t>
      </w:r>
      <w:r>
        <w:rPr>
          <w:spacing w:val="-3"/>
        </w:rPr>
        <w:t xml:space="preserve"> </w:t>
      </w:r>
      <w:r>
        <w:t>have</w:t>
      </w:r>
      <w:r>
        <w:rPr>
          <w:spacing w:val="-3"/>
        </w:rPr>
        <w:t xml:space="preserve"> </w:t>
      </w:r>
      <w:r>
        <w:t>the</w:t>
      </w:r>
      <w:r>
        <w:rPr>
          <w:spacing w:val="-3"/>
        </w:rPr>
        <w:t xml:space="preserve"> </w:t>
      </w:r>
      <w:r>
        <w:t>largest</w:t>
      </w:r>
      <w:r>
        <w:rPr>
          <w:spacing w:val="-3"/>
        </w:rPr>
        <w:t xml:space="preserve"> </w:t>
      </w:r>
      <w:r>
        <w:t>asset</w:t>
      </w:r>
    </w:p>
    <w:p w14:paraId="520AF28D" w14:textId="77777777" w:rsidR="00ED08FF" w:rsidRDefault="00000000">
      <w:pPr>
        <w:pStyle w:val="BodyText"/>
        <w:spacing w:line="297" w:lineRule="auto"/>
        <w:ind w:right="1525"/>
      </w:pPr>
      <w:r>
        <w:t>scale,</w:t>
      </w:r>
      <w:r>
        <w:rPr>
          <w:spacing w:val="-3"/>
        </w:rPr>
        <w:t xml:space="preserve"> </w:t>
      </w:r>
      <w:r>
        <w:t>while</w:t>
      </w:r>
      <w:r>
        <w:rPr>
          <w:spacing w:val="-4"/>
        </w:rPr>
        <w:t xml:space="preserve"> </w:t>
      </w:r>
      <w:r>
        <w:t>CMRY,</w:t>
      </w:r>
      <w:r>
        <w:rPr>
          <w:spacing w:val="-3"/>
        </w:rPr>
        <w:t xml:space="preserve"> </w:t>
      </w:r>
      <w:r>
        <w:t>ULTJ,</w:t>
      </w:r>
      <w:r>
        <w:rPr>
          <w:spacing w:val="-3"/>
        </w:rPr>
        <w:t xml:space="preserve"> </w:t>
      </w:r>
      <w:r>
        <w:t>ROTI,</w:t>
      </w:r>
      <w:r>
        <w:rPr>
          <w:spacing w:val="-3"/>
        </w:rPr>
        <w:t xml:space="preserve"> </w:t>
      </w:r>
      <w:r>
        <w:t>and</w:t>
      </w:r>
      <w:r>
        <w:rPr>
          <w:spacing w:val="-3"/>
        </w:rPr>
        <w:t xml:space="preserve"> </w:t>
      </w:r>
      <w:r>
        <w:t>GOOD</w:t>
      </w:r>
      <w:r>
        <w:rPr>
          <w:spacing w:val="-4"/>
        </w:rPr>
        <w:t xml:space="preserve"> </w:t>
      </w:r>
      <w:r>
        <w:t>represent</w:t>
      </w:r>
      <w:r>
        <w:rPr>
          <w:spacing w:val="-4"/>
        </w:rPr>
        <w:t xml:space="preserve"> </w:t>
      </w:r>
      <w:r>
        <w:t>medium-scale</w:t>
      </w:r>
      <w:r>
        <w:rPr>
          <w:spacing w:val="-4"/>
        </w:rPr>
        <w:t xml:space="preserve"> </w:t>
      </w:r>
      <w:r>
        <w:t>issuers</w:t>
      </w:r>
      <w:r>
        <w:rPr>
          <w:spacing w:val="-4"/>
        </w:rPr>
        <w:t xml:space="preserve"> </w:t>
      </w:r>
      <w:r>
        <w:t>with</w:t>
      </w:r>
      <w:r>
        <w:rPr>
          <w:spacing w:val="-3"/>
        </w:rPr>
        <w:t xml:space="preserve"> </w:t>
      </w:r>
      <w:r>
        <w:t>varying</w:t>
      </w:r>
      <w:r>
        <w:rPr>
          <w:spacing w:val="-3"/>
        </w:rPr>
        <w:t xml:space="preserve"> </w:t>
      </w:r>
      <w:r>
        <w:t>profitability</w:t>
      </w:r>
      <w:r>
        <w:rPr>
          <w:spacing w:val="-3"/>
        </w:rPr>
        <w:t xml:space="preserve"> </w:t>
      </w:r>
      <w:r>
        <w:t>and</w:t>
      </w:r>
      <w:r>
        <w:rPr>
          <w:spacing w:val="-3"/>
        </w:rPr>
        <w:t xml:space="preserve"> </w:t>
      </w:r>
      <w:r>
        <w:t>liquidity.</w:t>
      </w:r>
      <w:r>
        <w:rPr>
          <w:spacing w:val="-3"/>
        </w:rPr>
        <w:t xml:space="preserve"> </w:t>
      </w:r>
      <w:r>
        <w:t>AMRT is a retail issuer with different working-capital characteristics from manufacturers. This heterogeneity is useful because regression analysis requires variation across observations.</w:t>
      </w:r>
    </w:p>
    <w:p w14:paraId="0907F49D" w14:textId="77777777" w:rsidR="00ED08FF" w:rsidRDefault="00000000">
      <w:pPr>
        <w:pStyle w:val="BodyText"/>
        <w:spacing w:line="297" w:lineRule="auto"/>
        <w:ind w:right="2032"/>
      </w:pPr>
      <w:r>
        <w:t>The annual pattern also matters. The average PBV declined from 2021 to 2025, although the decline is heavily influenced</w:t>
      </w:r>
      <w:r>
        <w:rPr>
          <w:spacing w:val="-3"/>
        </w:rPr>
        <w:t xml:space="preserve"> </w:t>
      </w:r>
      <w:r>
        <w:t>by</w:t>
      </w:r>
      <w:r>
        <w:rPr>
          <w:spacing w:val="-3"/>
        </w:rPr>
        <w:t xml:space="preserve"> </w:t>
      </w:r>
      <w:r>
        <w:t>valuation</w:t>
      </w:r>
      <w:r>
        <w:rPr>
          <w:spacing w:val="-3"/>
        </w:rPr>
        <w:t xml:space="preserve"> </w:t>
      </w:r>
      <w:r>
        <w:t>changes</w:t>
      </w:r>
      <w:r>
        <w:rPr>
          <w:spacing w:val="-4"/>
        </w:rPr>
        <w:t xml:space="preserve"> </w:t>
      </w:r>
      <w:r>
        <w:t>in</w:t>
      </w:r>
      <w:r>
        <w:rPr>
          <w:spacing w:val="-3"/>
        </w:rPr>
        <w:t xml:space="preserve"> </w:t>
      </w:r>
      <w:r>
        <w:t>high-PBV</w:t>
      </w:r>
      <w:r>
        <w:rPr>
          <w:spacing w:val="-4"/>
        </w:rPr>
        <w:t xml:space="preserve"> </w:t>
      </w:r>
      <w:r>
        <w:t>companies.</w:t>
      </w:r>
      <w:r>
        <w:rPr>
          <w:spacing w:val="-3"/>
        </w:rPr>
        <w:t xml:space="preserve"> </w:t>
      </w:r>
      <w:r>
        <w:t>Average</w:t>
      </w:r>
      <w:r>
        <w:rPr>
          <w:spacing w:val="-4"/>
        </w:rPr>
        <w:t xml:space="preserve"> </w:t>
      </w:r>
      <w:r>
        <w:t>ROA</w:t>
      </w:r>
      <w:r>
        <w:rPr>
          <w:spacing w:val="-4"/>
        </w:rPr>
        <w:t xml:space="preserve"> </w:t>
      </w:r>
      <w:r>
        <w:t>remains</w:t>
      </w:r>
      <w:r>
        <w:rPr>
          <w:spacing w:val="-4"/>
        </w:rPr>
        <w:t xml:space="preserve"> </w:t>
      </w:r>
      <w:r>
        <w:t>positive</w:t>
      </w:r>
      <w:r>
        <w:rPr>
          <w:spacing w:val="-4"/>
        </w:rPr>
        <w:t xml:space="preserve"> </w:t>
      </w:r>
      <w:r>
        <w:t>across</w:t>
      </w:r>
      <w:r>
        <w:rPr>
          <w:spacing w:val="-4"/>
        </w:rPr>
        <w:t xml:space="preserve"> </w:t>
      </w:r>
      <w:r>
        <w:t>the</w:t>
      </w:r>
      <w:r>
        <w:rPr>
          <w:spacing w:val="-4"/>
        </w:rPr>
        <w:t xml:space="preserve"> </w:t>
      </w:r>
      <w:r>
        <w:t>period,</w:t>
      </w:r>
      <w:r>
        <w:rPr>
          <w:spacing w:val="-3"/>
        </w:rPr>
        <w:t xml:space="preserve"> </w:t>
      </w:r>
      <w:r>
        <w:t>suggesting that sampled companies generally maintained profitability. Liquidity varies widely, especially because some food and beverage producers hold high current ratios while retailers operate with tighter current ratios due to the nature of their</w:t>
      </w:r>
    </w:p>
    <w:p w14:paraId="113FDDB1" w14:textId="77777777" w:rsidR="00ED08FF" w:rsidRDefault="00ED08FF">
      <w:pPr>
        <w:pStyle w:val="BodyText"/>
        <w:spacing w:line="297" w:lineRule="auto"/>
        <w:sectPr w:rsidR="00ED08FF">
          <w:type w:val="continuous"/>
          <w:pgSz w:w="12240" w:h="15840"/>
          <w:pgMar w:top="1040" w:right="720" w:bottom="860" w:left="720" w:header="0" w:footer="669" w:gutter="0"/>
          <w:cols w:space="720"/>
        </w:sectPr>
      </w:pPr>
    </w:p>
    <w:p w14:paraId="5A287AAF" w14:textId="77777777" w:rsidR="00ED08FF" w:rsidRDefault="00000000">
      <w:pPr>
        <w:pStyle w:val="BodyText"/>
        <w:spacing w:before="64"/>
        <w:ind w:left="0" w:right="9358"/>
        <w:jc w:val="center"/>
      </w:pPr>
      <w:r>
        <w:lastRenderedPageBreak/>
        <w:t>business</w:t>
      </w:r>
      <w:r>
        <w:rPr>
          <w:spacing w:val="-7"/>
        </w:rPr>
        <w:t xml:space="preserve"> </w:t>
      </w:r>
      <w:r>
        <w:rPr>
          <w:spacing w:val="-2"/>
        </w:rPr>
        <w:t>model.</w:t>
      </w:r>
    </w:p>
    <w:p w14:paraId="5DF76BEE" w14:textId="77777777" w:rsidR="00ED08FF" w:rsidRDefault="00000000">
      <w:pPr>
        <w:pStyle w:val="Heading2"/>
        <w:spacing w:before="50" w:after="50"/>
        <w:ind w:left="1"/>
        <w:jc w:val="center"/>
      </w:pPr>
      <w:r>
        <w:t>Table</w:t>
      </w:r>
      <w:r>
        <w:rPr>
          <w:spacing w:val="-5"/>
        </w:rPr>
        <w:t xml:space="preserve"> </w:t>
      </w:r>
      <w:r>
        <w:t>4:</w:t>
      </w:r>
      <w:r>
        <w:rPr>
          <w:spacing w:val="-4"/>
        </w:rPr>
        <w:t xml:space="preserve"> </w:t>
      </w:r>
      <w:r>
        <w:t>Annual</w:t>
      </w:r>
      <w:r>
        <w:rPr>
          <w:spacing w:val="-5"/>
        </w:rPr>
        <w:t xml:space="preserve"> </w:t>
      </w:r>
      <w:r>
        <w:t>Average</w:t>
      </w:r>
      <w:r>
        <w:rPr>
          <w:spacing w:val="-4"/>
        </w:rPr>
        <w:t xml:space="preserve"> </w:t>
      </w:r>
      <w:r>
        <w:t>of</w:t>
      </w:r>
      <w:r>
        <w:rPr>
          <w:spacing w:val="-5"/>
        </w:rPr>
        <w:t xml:space="preserve"> </w:t>
      </w:r>
      <w:r>
        <w:t>Research</w:t>
      </w:r>
      <w:r>
        <w:rPr>
          <w:spacing w:val="-4"/>
        </w:rPr>
        <w:t xml:space="preserve"> </w:t>
      </w:r>
      <w:r>
        <w:rPr>
          <w:spacing w:val="-2"/>
        </w:rPr>
        <w:t>Variables</w:t>
      </w:r>
    </w:p>
    <w:tbl>
      <w:tblPr>
        <w:tblW w:w="0" w:type="auto"/>
        <w:tblInd w:w="1429" w:type="dxa"/>
        <w:tblLayout w:type="fixed"/>
        <w:tblCellMar>
          <w:left w:w="0" w:type="dxa"/>
          <w:right w:w="0" w:type="dxa"/>
        </w:tblCellMar>
        <w:tblLook w:val="01E0" w:firstRow="1" w:lastRow="1" w:firstColumn="1" w:lastColumn="1" w:noHBand="0" w:noVBand="0"/>
      </w:tblPr>
      <w:tblGrid>
        <w:gridCol w:w="1259"/>
        <w:gridCol w:w="1638"/>
        <w:gridCol w:w="1755"/>
        <w:gridCol w:w="1677"/>
        <w:gridCol w:w="1794"/>
        <w:gridCol w:w="1103"/>
      </w:tblGrid>
      <w:tr w:rsidR="00ED08FF" w14:paraId="1C2D096F" w14:textId="77777777">
        <w:trPr>
          <w:trHeight w:val="147"/>
        </w:trPr>
        <w:tc>
          <w:tcPr>
            <w:tcW w:w="1259" w:type="dxa"/>
          </w:tcPr>
          <w:p w14:paraId="77F479ED" w14:textId="77777777" w:rsidR="00ED08FF" w:rsidRDefault="00000000">
            <w:pPr>
              <w:pStyle w:val="TableParagraph"/>
              <w:ind w:right="534"/>
              <w:rPr>
                <w:sz w:val="13"/>
              </w:rPr>
            </w:pPr>
            <w:r>
              <w:rPr>
                <w:spacing w:val="-4"/>
                <w:sz w:val="13"/>
              </w:rPr>
              <w:t>Year</w:t>
            </w:r>
          </w:p>
        </w:tc>
        <w:tc>
          <w:tcPr>
            <w:tcW w:w="1638" w:type="dxa"/>
          </w:tcPr>
          <w:p w14:paraId="78F66B96" w14:textId="77777777" w:rsidR="00ED08FF" w:rsidRDefault="00000000">
            <w:pPr>
              <w:pStyle w:val="TableParagraph"/>
              <w:ind w:left="585"/>
              <w:jc w:val="left"/>
              <w:rPr>
                <w:sz w:val="13"/>
              </w:rPr>
            </w:pPr>
            <w:r>
              <w:rPr>
                <w:spacing w:val="-5"/>
                <w:sz w:val="13"/>
              </w:rPr>
              <w:t>PBV</w:t>
            </w:r>
          </w:p>
        </w:tc>
        <w:tc>
          <w:tcPr>
            <w:tcW w:w="1755" w:type="dxa"/>
          </w:tcPr>
          <w:p w14:paraId="208A4850" w14:textId="77777777" w:rsidR="00ED08FF" w:rsidRDefault="00000000">
            <w:pPr>
              <w:pStyle w:val="TableParagraph"/>
              <w:ind w:left="39" w:right="77"/>
              <w:rPr>
                <w:sz w:val="13"/>
              </w:rPr>
            </w:pPr>
            <w:r>
              <w:rPr>
                <w:spacing w:val="-5"/>
                <w:sz w:val="13"/>
              </w:rPr>
              <w:t>ROA</w:t>
            </w:r>
          </w:p>
        </w:tc>
        <w:tc>
          <w:tcPr>
            <w:tcW w:w="1677" w:type="dxa"/>
          </w:tcPr>
          <w:p w14:paraId="7404F169" w14:textId="77777777" w:rsidR="00ED08FF" w:rsidRDefault="00000000">
            <w:pPr>
              <w:pStyle w:val="TableParagraph"/>
              <w:ind w:left="624"/>
              <w:jc w:val="left"/>
              <w:rPr>
                <w:sz w:val="13"/>
              </w:rPr>
            </w:pPr>
            <w:r>
              <w:rPr>
                <w:spacing w:val="-5"/>
                <w:sz w:val="13"/>
              </w:rPr>
              <w:t>DER</w:t>
            </w:r>
          </w:p>
        </w:tc>
        <w:tc>
          <w:tcPr>
            <w:tcW w:w="1794" w:type="dxa"/>
          </w:tcPr>
          <w:p w14:paraId="7CAE4CDD" w14:textId="77777777" w:rsidR="00ED08FF" w:rsidRDefault="00000000">
            <w:pPr>
              <w:pStyle w:val="TableParagraph"/>
              <w:ind w:left="1"/>
              <w:rPr>
                <w:sz w:val="13"/>
              </w:rPr>
            </w:pPr>
            <w:r>
              <w:rPr>
                <w:spacing w:val="-4"/>
                <w:sz w:val="13"/>
              </w:rPr>
              <w:t>SIZE</w:t>
            </w:r>
          </w:p>
        </w:tc>
        <w:tc>
          <w:tcPr>
            <w:tcW w:w="1103" w:type="dxa"/>
          </w:tcPr>
          <w:p w14:paraId="45C7C713" w14:textId="77777777" w:rsidR="00ED08FF" w:rsidRDefault="00000000">
            <w:pPr>
              <w:pStyle w:val="TableParagraph"/>
              <w:ind w:right="203"/>
              <w:jc w:val="right"/>
              <w:rPr>
                <w:sz w:val="13"/>
              </w:rPr>
            </w:pPr>
            <w:r>
              <w:rPr>
                <w:spacing w:val="-5"/>
                <w:sz w:val="13"/>
              </w:rPr>
              <w:t>CR</w:t>
            </w:r>
          </w:p>
        </w:tc>
      </w:tr>
      <w:tr w:rsidR="00ED08FF" w14:paraId="167C0000" w14:textId="77777777">
        <w:trPr>
          <w:trHeight w:val="147"/>
        </w:trPr>
        <w:tc>
          <w:tcPr>
            <w:tcW w:w="1259" w:type="dxa"/>
          </w:tcPr>
          <w:p w14:paraId="06CF9F86" w14:textId="77777777" w:rsidR="00ED08FF" w:rsidRDefault="00000000">
            <w:pPr>
              <w:pStyle w:val="TableParagraph"/>
              <w:ind w:right="534"/>
              <w:rPr>
                <w:b/>
                <w:sz w:val="13"/>
              </w:rPr>
            </w:pPr>
            <w:r>
              <w:rPr>
                <w:b/>
                <w:spacing w:val="-2"/>
                <w:sz w:val="13"/>
              </w:rPr>
              <w:t>2021.000</w:t>
            </w:r>
          </w:p>
        </w:tc>
        <w:tc>
          <w:tcPr>
            <w:tcW w:w="1638" w:type="dxa"/>
          </w:tcPr>
          <w:p w14:paraId="662793FF" w14:textId="77777777" w:rsidR="00ED08FF" w:rsidRDefault="00000000">
            <w:pPr>
              <w:pStyle w:val="TableParagraph"/>
              <w:ind w:left="585"/>
              <w:jc w:val="left"/>
              <w:rPr>
                <w:b/>
                <w:sz w:val="13"/>
              </w:rPr>
            </w:pPr>
            <w:r>
              <w:rPr>
                <w:b/>
                <w:spacing w:val="-2"/>
                <w:sz w:val="13"/>
              </w:rPr>
              <w:t>7.778</w:t>
            </w:r>
          </w:p>
        </w:tc>
        <w:tc>
          <w:tcPr>
            <w:tcW w:w="1755" w:type="dxa"/>
          </w:tcPr>
          <w:p w14:paraId="17657FF2" w14:textId="77777777" w:rsidR="00ED08FF" w:rsidRDefault="00000000">
            <w:pPr>
              <w:pStyle w:val="TableParagraph"/>
              <w:ind w:left="77" w:right="38"/>
              <w:rPr>
                <w:b/>
                <w:sz w:val="13"/>
              </w:rPr>
            </w:pPr>
            <w:r>
              <w:rPr>
                <w:b/>
                <w:spacing w:val="-2"/>
                <w:sz w:val="13"/>
              </w:rPr>
              <w:t>10.948</w:t>
            </w:r>
          </w:p>
        </w:tc>
        <w:tc>
          <w:tcPr>
            <w:tcW w:w="1677" w:type="dxa"/>
          </w:tcPr>
          <w:p w14:paraId="2BEA2661" w14:textId="77777777" w:rsidR="00ED08FF" w:rsidRDefault="00000000">
            <w:pPr>
              <w:pStyle w:val="TableParagraph"/>
              <w:ind w:left="624"/>
              <w:jc w:val="left"/>
              <w:rPr>
                <w:b/>
                <w:sz w:val="13"/>
              </w:rPr>
            </w:pPr>
            <w:r>
              <w:rPr>
                <w:b/>
                <w:spacing w:val="-2"/>
                <w:sz w:val="13"/>
              </w:rPr>
              <w:t>0.460</w:t>
            </w:r>
          </w:p>
        </w:tc>
        <w:tc>
          <w:tcPr>
            <w:tcW w:w="1794" w:type="dxa"/>
          </w:tcPr>
          <w:p w14:paraId="50CF2B4F" w14:textId="77777777" w:rsidR="00ED08FF" w:rsidRDefault="00000000">
            <w:pPr>
              <w:pStyle w:val="TableParagraph"/>
              <w:ind w:left="1"/>
              <w:rPr>
                <w:b/>
                <w:sz w:val="13"/>
              </w:rPr>
            </w:pPr>
            <w:r>
              <w:rPr>
                <w:b/>
                <w:spacing w:val="-2"/>
                <w:sz w:val="13"/>
              </w:rPr>
              <w:t>16.727</w:t>
            </w:r>
          </w:p>
        </w:tc>
        <w:tc>
          <w:tcPr>
            <w:tcW w:w="1103" w:type="dxa"/>
          </w:tcPr>
          <w:p w14:paraId="36BD47E5" w14:textId="77777777" w:rsidR="00ED08FF" w:rsidRDefault="00000000">
            <w:pPr>
              <w:pStyle w:val="TableParagraph"/>
              <w:ind w:right="47"/>
              <w:jc w:val="right"/>
              <w:rPr>
                <w:b/>
                <w:sz w:val="13"/>
              </w:rPr>
            </w:pPr>
            <w:r>
              <w:rPr>
                <w:b/>
                <w:spacing w:val="-2"/>
                <w:sz w:val="13"/>
              </w:rPr>
              <w:t>2.198</w:t>
            </w:r>
          </w:p>
        </w:tc>
      </w:tr>
      <w:tr w:rsidR="00ED08FF" w14:paraId="3E2CAAD6" w14:textId="77777777">
        <w:trPr>
          <w:trHeight w:val="146"/>
        </w:trPr>
        <w:tc>
          <w:tcPr>
            <w:tcW w:w="1259" w:type="dxa"/>
          </w:tcPr>
          <w:p w14:paraId="2E18B161" w14:textId="77777777" w:rsidR="00ED08FF" w:rsidRDefault="00000000">
            <w:pPr>
              <w:pStyle w:val="TableParagraph"/>
              <w:ind w:right="534"/>
              <w:rPr>
                <w:b/>
                <w:sz w:val="13"/>
              </w:rPr>
            </w:pPr>
            <w:r>
              <w:rPr>
                <w:b/>
                <w:spacing w:val="-2"/>
                <w:sz w:val="13"/>
              </w:rPr>
              <w:t>2022.000</w:t>
            </w:r>
          </w:p>
        </w:tc>
        <w:tc>
          <w:tcPr>
            <w:tcW w:w="1638" w:type="dxa"/>
          </w:tcPr>
          <w:p w14:paraId="0459A49E" w14:textId="77777777" w:rsidR="00ED08FF" w:rsidRDefault="00000000">
            <w:pPr>
              <w:pStyle w:val="TableParagraph"/>
              <w:ind w:left="585"/>
              <w:jc w:val="left"/>
              <w:rPr>
                <w:b/>
                <w:sz w:val="13"/>
              </w:rPr>
            </w:pPr>
            <w:r>
              <w:rPr>
                <w:b/>
                <w:spacing w:val="-2"/>
                <w:sz w:val="13"/>
              </w:rPr>
              <w:t>9.336</w:t>
            </w:r>
          </w:p>
        </w:tc>
        <w:tc>
          <w:tcPr>
            <w:tcW w:w="1755" w:type="dxa"/>
          </w:tcPr>
          <w:p w14:paraId="7E0CF4B9" w14:textId="77777777" w:rsidR="00ED08FF" w:rsidRDefault="00000000">
            <w:pPr>
              <w:pStyle w:val="TableParagraph"/>
              <w:ind w:left="77" w:right="38"/>
              <w:rPr>
                <w:b/>
                <w:sz w:val="13"/>
              </w:rPr>
            </w:pPr>
            <w:r>
              <w:rPr>
                <w:b/>
                <w:spacing w:val="-2"/>
                <w:sz w:val="13"/>
              </w:rPr>
              <w:t>10.561</w:t>
            </w:r>
          </w:p>
        </w:tc>
        <w:tc>
          <w:tcPr>
            <w:tcW w:w="1677" w:type="dxa"/>
          </w:tcPr>
          <w:p w14:paraId="5215474E" w14:textId="77777777" w:rsidR="00ED08FF" w:rsidRDefault="00000000">
            <w:pPr>
              <w:pStyle w:val="TableParagraph"/>
              <w:ind w:left="624"/>
              <w:jc w:val="left"/>
              <w:rPr>
                <w:b/>
                <w:sz w:val="13"/>
              </w:rPr>
            </w:pPr>
            <w:r>
              <w:rPr>
                <w:b/>
                <w:spacing w:val="-2"/>
                <w:sz w:val="13"/>
              </w:rPr>
              <w:t>0.389</w:t>
            </w:r>
          </w:p>
        </w:tc>
        <w:tc>
          <w:tcPr>
            <w:tcW w:w="1794" w:type="dxa"/>
          </w:tcPr>
          <w:p w14:paraId="155D5CF8" w14:textId="77777777" w:rsidR="00ED08FF" w:rsidRDefault="00000000">
            <w:pPr>
              <w:pStyle w:val="TableParagraph"/>
              <w:ind w:left="1"/>
              <w:rPr>
                <w:b/>
                <w:sz w:val="13"/>
              </w:rPr>
            </w:pPr>
            <w:r>
              <w:rPr>
                <w:b/>
                <w:spacing w:val="-2"/>
                <w:sz w:val="13"/>
              </w:rPr>
              <w:t>16.755</w:t>
            </w:r>
          </w:p>
        </w:tc>
        <w:tc>
          <w:tcPr>
            <w:tcW w:w="1103" w:type="dxa"/>
          </w:tcPr>
          <w:p w14:paraId="39C46392" w14:textId="77777777" w:rsidR="00ED08FF" w:rsidRDefault="00000000">
            <w:pPr>
              <w:pStyle w:val="TableParagraph"/>
              <w:ind w:right="47"/>
              <w:jc w:val="right"/>
              <w:rPr>
                <w:b/>
                <w:sz w:val="13"/>
              </w:rPr>
            </w:pPr>
            <w:r>
              <w:rPr>
                <w:b/>
                <w:spacing w:val="-2"/>
                <w:sz w:val="13"/>
              </w:rPr>
              <w:t>2.225</w:t>
            </w:r>
          </w:p>
        </w:tc>
      </w:tr>
      <w:tr w:rsidR="00ED08FF" w14:paraId="283DB518" w14:textId="77777777">
        <w:trPr>
          <w:trHeight w:val="147"/>
        </w:trPr>
        <w:tc>
          <w:tcPr>
            <w:tcW w:w="1259" w:type="dxa"/>
          </w:tcPr>
          <w:p w14:paraId="52A2A291" w14:textId="77777777" w:rsidR="00ED08FF" w:rsidRDefault="00000000">
            <w:pPr>
              <w:pStyle w:val="TableParagraph"/>
              <w:ind w:right="534"/>
              <w:rPr>
                <w:b/>
                <w:sz w:val="13"/>
              </w:rPr>
            </w:pPr>
            <w:r>
              <w:rPr>
                <w:b/>
                <w:spacing w:val="-2"/>
                <w:sz w:val="13"/>
              </w:rPr>
              <w:t>2023.000</w:t>
            </w:r>
          </w:p>
        </w:tc>
        <w:tc>
          <w:tcPr>
            <w:tcW w:w="1638" w:type="dxa"/>
          </w:tcPr>
          <w:p w14:paraId="444371D0" w14:textId="77777777" w:rsidR="00ED08FF" w:rsidRDefault="00000000">
            <w:pPr>
              <w:pStyle w:val="TableParagraph"/>
              <w:ind w:left="585"/>
              <w:jc w:val="left"/>
              <w:rPr>
                <w:b/>
                <w:sz w:val="13"/>
              </w:rPr>
            </w:pPr>
            <w:r>
              <w:rPr>
                <w:b/>
                <w:spacing w:val="-2"/>
                <w:sz w:val="13"/>
              </w:rPr>
              <w:t>8.098</w:t>
            </w:r>
          </w:p>
        </w:tc>
        <w:tc>
          <w:tcPr>
            <w:tcW w:w="1755" w:type="dxa"/>
          </w:tcPr>
          <w:p w14:paraId="6A7209EF" w14:textId="77777777" w:rsidR="00ED08FF" w:rsidRDefault="00000000">
            <w:pPr>
              <w:pStyle w:val="TableParagraph"/>
              <w:ind w:left="77" w:right="38"/>
              <w:rPr>
                <w:b/>
                <w:sz w:val="13"/>
              </w:rPr>
            </w:pPr>
            <w:r>
              <w:rPr>
                <w:b/>
                <w:spacing w:val="-2"/>
                <w:sz w:val="13"/>
              </w:rPr>
              <w:t>10.808</w:t>
            </w:r>
          </w:p>
        </w:tc>
        <w:tc>
          <w:tcPr>
            <w:tcW w:w="1677" w:type="dxa"/>
          </w:tcPr>
          <w:p w14:paraId="33F3F9B4" w14:textId="77777777" w:rsidR="00ED08FF" w:rsidRDefault="00000000">
            <w:pPr>
              <w:pStyle w:val="TableParagraph"/>
              <w:ind w:left="624"/>
              <w:jc w:val="left"/>
              <w:rPr>
                <w:b/>
                <w:sz w:val="13"/>
              </w:rPr>
            </w:pPr>
            <w:r>
              <w:rPr>
                <w:b/>
                <w:spacing w:val="-2"/>
                <w:sz w:val="13"/>
              </w:rPr>
              <w:t>0.309</w:t>
            </w:r>
          </w:p>
        </w:tc>
        <w:tc>
          <w:tcPr>
            <w:tcW w:w="1794" w:type="dxa"/>
          </w:tcPr>
          <w:p w14:paraId="31BF4D1A" w14:textId="77777777" w:rsidR="00ED08FF" w:rsidRDefault="00000000">
            <w:pPr>
              <w:pStyle w:val="TableParagraph"/>
              <w:ind w:left="1"/>
              <w:rPr>
                <w:b/>
                <w:sz w:val="13"/>
              </w:rPr>
            </w:pPr>
            <w:r>
              <w:rPr>
                <w:b/>
                <w:spacing w:val="-2"/>
                <w:sz w:val="13"/>
              </w:rPr>
              <w:t>16.779</w:t>
            </w:r>
          </w:p>
        </w:tc>
        <w:tc>
          <w:tcPr>
            <w:tcW w:w="1103" w:type="dxa"/>
          </w:tcPr>
          <w:p w14:paraId="12FDA8B4" w14:textId="77777777" w:rsidR="00ED08FF" w:rsidRDefault="00000000">
            <w:pPr>
              <w:pStyle w:val="TableParagraph"/>
              <w:ind w:right="47"/>
              <w:jc w:val="right"/>
              <w:rPr>
                <w:b/>
                <w:sz w:val="13"/>
              </w:rPr>
            </w:pPr>
            <w:r>
              <w:rPr>
                <w:b/>
                <w:spacing w:val="-2"/>
                <w:sz w:val="13"/>
              </w:rPr>
              <w:t>2.620</w:t>
            </w:r>
          </w:p>
        </w:tc>
      </w:tr>
      <w:tr w:rsidR="00ED08FF" w14:paraId="0FFF8C64" w14:textId="77777777">
        <w:trPr>
          <w:trHeight w:val="146"/>
        </w:trPr>
        <w:tc>
          <w:tcPr>
            <w:tcW w:w="1259" w:type="dxa"/>
          </w:tcPr>
          <w:p w14:paraId="625919EE" w14:textId="77777777" w:rsidR="00ED08FF" w:rsidRDefault="00000000">
            <w:pPr>
              <w:pStyle w:val="TableParagraph"/>
              <w:ind w:right="534"/>
              <w:rPr>
                <w:b/>
                <w:sz w:val="13"/>
              </w:rPr>
            </w:pPr>
            <w:r>
              <w:rPr>
                <w:b/>
                <w:spacing w:val="-2"/>
                <w:sz w:val="13"/>
              </w:rPr>
              <w:t>2024.000</w:t>
            </w:r>
          </w:p>
        </w:tc>
        <w:tc>
          <w:tcPr>
            <w:tcW w:w="1638" w:type="dxa"/>
          </w:tcPr>
          <w:p w14:paraId="0F44B2DB" w14:textId="77777777" w:rsidR="00ED08FF" w:rsidRDefault="00000000">
            <w:pPr>
              <w:pStyle w:val="TableParagraph"/>
              <w:ind w:left="585"/>
              <w:jc w:val="left"/>
              <w:rPr>
                <w:b/>
                <w:sz w:val="13"/>
              </w:rPr>
            </w:pPr>
            <w:r>
              <w:rPr>
                <w:b/>
                <w:spacing w:val="-2"/>
                <w:sz w:val="13"/>
              </w:rPr>
              <w:t>7.228</w:t>
            </w:r>
          </w:p>
        </w:tc>
        <w:tc>
          <w:tcPr>
            <w:tcW w:w="1755" w:type="dxa"/>
          </w:tcPr>
          <w:p w14:paraId="598E248B" w14:textId="77777777" w:rsidR="00ED08FF" w:rsidRDefault="00000000">
            <w:pPr>
              <w:pStyle w:val="TableParagraph"/>
              <w:ind w:left="39" w:right="77"/>
              <w:rPr>
                <w:b/>
                <w:sz w:val="13"/>
              </w:rPr>
            </w:pPr>
            <w:r>
              <w:rPr>
                <w:b/>
                <w:spacing w:val="-2"/>
                <w:sz w:val="13"/>
              </w:rPr>
              <w:t>9.744</w:t>
            </w:r>
          </w:p>
        </w:tc>
        <w:tc>
          <w:tcPr>
            <w:tcW w:w="1677" w:type="dxa"/>
          </w:tcPr>
          <w:p w14:paraId="3D1CD00C" w14:textId="77777777" w:rsidR="00ED08FF" w:rsidRDefault="00000000">
            <w:pPr>
              <w:pStyle w:val="TableParagraph"/>
              <w:ind w:left="624"/>
              <w:jc w:val="left"/>
              <w:rPr>
                <w:b/>
                <w:sz w:val="13"/>
              </w:rPr>
            </w:pPr>
            <w:r>
              <w:rPr>
                <w:b/>
                <w:spacing w:val="-2"/>
                <w:sz w:val="13"/>
              </w:rPr>
              <w:t>0.395</w:t>
            </w:r>
          </w:p>
        </w:tc>
        <w:tc>
          <w:tcPr>
            <w:tcW w:w="1794" w:type="dxa"/>
          </w:tcPr>
          <w:p w14:paraId="15663740" w14:textId="77777777" w:rsidR="00ED08FF" w:rsidRDefault="00000000">
            <w:pPr>
              <w:pStyle w:val="TableParagraph"/>
              <w:ind w:left="1"/>
              <w:rPr>
                <w:b/>
                <w:sz w:val="13"/>
              </w:rPr>
            </w:pPr>
            <w:r>
              <w:rPr>
                <w:b/>
                <w:spacing w:val="-2"/>
                <w:sz w:val="13"/>
              </w:rPr>
              <w:t>16.849</w:t>
            </w:r>
          </w:p>
        </w:tc>
        <w:tc>
          <w:tcPr>
            <w:tcW w:w="1103" w:type="dxa"/>
          </w:tcPr>
          <w:p w14:paraId="0D625264" w14:textId="77777777" w:rsidR="00ED08FF" w:rsidRDefault="00000000">
            <w:pPr>
              <w:pStyle w:val="TableParagraph"/>
              <w:ind w:right="47"/>
              <w:jc w:val="right"/>
              <w:rPr>
                <w:b/>
                <w:sz w:val="13"/>
              </w:rPr>
            </w:pPr>
            <w:r>
              <w:rPr>
                <w:b/>
                <w:spacing w:val="-2"/>
                <w:sz w:val="13"/>
              </w:rPr>
              <w:t>2.421</w:t>
            </w:r>
          </w:p>
        </w:tc>
      </w:tr>
      <w:tr w:rsidR="00ED08FF" w14:paraId="0AF1AC21" w14:textId="77777777">
        <w:trPr>
          <w:trHeight w:val="147"/>
        </w:trPr>
        <w:tc>
          <w:tcPr>
            <w:tcW w:w="1259" w:type="dxa"/>
          </w:tcPr>
          <w:p w14:paraId="59B9856F" w14:textId="77777777" w:rsidR="00ED08FF" w:rsidRDefault="00000000">
            <w:pPr>
              <w:pStyle w:val="TableParagraph"/>
              <w:ind w:right="534"/>
              <w:rPr>
                <w:b/>
                <w:sz w:val="13"/>
              </w:rPr>
            </w:pPr>
            <w:r>
              <w:rPr>
                <w:b/>
                <w:spacing w:val="-2"/>
                <w:sz w:val="13"/>
              </w:rPr>
              <w:t>2025.000</w:t>
            </w:r>
          </w:p>
        </w:tc>
        <w:tc>
          <w:tcPr>
            <w:tcW w:w="1638" w:type="dxa"/>
          </w:tcPr>
          <w:p w14:paraId="3D40DA80" w14:textId="77777777" w:rsidR="00ED08FF" w:rsidRDefault="00000000">
            <w:pPr>
              <w:pStyle w:val="TableParagraph"/>
              <w:ind w:left="585"/>
              <w:jc w:val="left"/>
              <w:rPr>
                <w:b/>
                <w:sz w:val="13"/>
              </w:rPr>
            </w:pPr>
            <w:r>
              <w:rPr>
                <w:b/>
                <w:spacing w:val="-2"/>
                <w:sz w:val="13"/>
              </w:rPr>
              <w:t>5.226</w:t>
            </w:r>
          </w:p>
        </w:tc>
        <w:tc>
          <w:tcPr>
            <w:tcW w:w="1755" w:type="dxa"/>
          </w:tcPr>
          <w:p w14:paraId="7C0B3EE8" w14:textId="77777777" w:rsidR="00ED08FF" w:rsidRDefault="00000000">
            <w:pPr>
              <w:pStyle w:val="TableParagraph"/>
              <w:ind w:left="39" w:right="77"/>
              <w:rPr>
                <w:b/>
                <w:sz w:val="13"/>
              </w:rPr>
            </w:pPr>
            <w:r>
              <w:rPr>
                <w:b/>
                <w:spacing w:val="-2"/>
                <w:sz w:val="13"/>
              </w:rPr>
              <w:t>9.926</w:t>
            </w:r>
          </w:p>
        </w:tc>
        <w:tc>
          <w:tcPr>
            <w:tcW w:w="1677" w:type="dxa"/>
          </w:tcPr>
          <w:p w14:paraId="56794563" w14:textId="77777777" w:rsidR="00ED08FF" w:rsidRDefault="00000000">
            <w:pPr>
              <w:pStyle w:val="TableParagraph"/>
              <w:ind w:left="624"/>
              <w:jc w:val="left"/>
              <w:rPr>
                <w:b/>
                <w:sz w:val="13"/>
              </w:rPr>
            </w:pPr>
            <w:r>
              <w:rPr>
                <w:b/>
                <w:spacing w:val="-2"/>
                <w:sz w:val="13"/>
              </w:rPr>
              <w:t>0.298</w:t>
            </w:r>
          </w:p>
        </w:tc>
        <w:tc>
          <w:tcPr>
            <w:tcW w:w="1794" w:type="dxa"/>
          </w:tcPr>
          <w:p w14:paraId="0567D197" w14:textId="77777777" w:rsidR="00ED08FF" w:rsidRDefault="00000000">
            <w:pPr>
              <w:pStyle w:val="TableParagraph"/>
              <w:ind w:left="1"/>
              <w:rPr>
                <w:b/>
                <w:sz w:val="13"/>
              </w:rPr>
            </w:pPr>
            <w:r>
              <w:rPr>
                <w:b/>
                <w:spacing w:val="-2"/>
                <w:sz w:val="13"/>
              </w:rPr>
              <w:t>16.932</w:t>
            </w:r>
          </w:p>
        </w:tc>
        <w:tc>
          <w:tcPr>
            <w:tcW w:w="1103" w:type="dxa"/>
          </w:tcPr>
          <w:p w14:paraId="7AE05389" w14:textId="77777777" w:rsidR="00ED08FF" w:rsidRDefault="00000000">
            <w:pPr>
              <w:pStyle w:val="TableParagraph"/>
              <w:ind w:right="47"/>
              <w:jc w:val="right"/>
              <w:rPr>
                <w:b/>
                <w:sz w:val="13"/>
              </w:rPr>
            </w:pPr>
            <w:r>
              <w:rPr>
                <w:b/>
                <w:spacing w:val="-2"/>
                <w:sz w:val="13"/>
              </w:rPr>
              <w:t>2.458</w:t>
            </w:r>
          </w:p>
        </w:tc>
      </w:tr>
    </w:tbl>
    <w:p w14:paraId="74651D1E" w14:textId="77777777" w:rsidR="00ED08FF" w:rsidRDefault="00000000">
      <w:pPr>
        <w:pStyle w:val="BodyText"/>
        <w:spacing w:before="2"/>
      </w:pPr>
      <w:r>
        <w:t>Source:</w:t>
      </w:r>
      <w:r>
        <w:rPr>
          <w:spacing w:val="-6"/>
        </w:rPr>
        <w:t xml:space="preserve"> </w:t>
      </w:r>
      <w:r>
        <w:t>processed</w:t>
      </w:r>
      <w:r>
        <w:rPr>
          <w:spacing w:val="-3"/>
        </w:rPr>
        <w:t xml:space="preserve"> </w:t>
      </w:r>
      <w:r>
        <w:t>secondary</w:t>
      </w:r>
      <w:r>
        <w:rPr>
          <w:spacing w:val="-3"/>
        </w:rPr>
        <w:t xml:space="preserve"> </w:t>
      </w:r>
      <w:r>
        <w:t>data</w:t>
      </w:r>
      <w:r>
        <w:rPr>
          <w:spacing w:val="-3"/>
        </w:rPr>
        <w:t xml:space="preserve"> </w:t>
      </w:r>
      <w:r>
        <w:t>from</w:t>
      </w:r>
      <w:r>
        <w:rPr>
          <w:spacing w:val="-4"/>
        </w:rPr>
        <w:t xml:space="preserve"> </w:t>
      </w:r>
      <w:r>
        <w:t>StockAnalysis.com.</w:t>
      </w:r>
      <w:r>
        <w:rPr>
          <w:spacing w:val="-3"/>
        </w:rPr>
        <w:t xml:space="preserve"> </w:t>
      </w:r>
      <w:r>
        <w:t>ROA</w:t>
      </w:r>
      <w:r>
        <w:rPr>
          <w:spacing w:val="-4"/>
        </w:rPr>
        <w:t xml:space="preserve"> </w:t>
      </w:r>
      <w:r>
        <w:t>is</w:t>
      </w:r>
      <w:r>
        <w:rPr>
          <w:spacing w:val="-3"/>
        </w:rPr>
        <w:t xml:space="preserve"> </w:t>
      </w:r>
      <w:r>
        <w:t>expressed</w:t>
      </w:r>
      <w:r>
        <w:rPr>
          <w:spacing w:val="-3"/>
        </w:rPr>
        <w:t xml:space="preserve"> </w:t>
      </w:r>
      <w:r>
        <w:t>in</w:t>
      </w:r>
      <w:r>
        <w:rPr>
          <w:spacing w:val="-3"/>
        </w:rPr>
        <w:t xml:space="preserve"> </w:t>
      </w:r>
      <w:r>
        <w:t>percent;</w:t>
      </w:r>
      <w:r>
        <w:rPr>
          <w:spacing w:val="-4"/>
        </w:rPr>
        <w:t xml:space="preserve"> </w:t>
      </w:r>
      <w:r>
        <w:t>SIZE</w:t>
      </w:r>
      <w:r>
        <w:rPr>
          <w:spacing w:val="-3"/>
        </w:rPr>
        <w:t xml:space="preserve"> </w:t>
      </w:r>
      <w:r>
        <w:t>is</w:t>
      </w:r>
      <w:r>
        <w:rPr>
          <w:spacing w:val="-4"/>
        </w:rPr>
        <w:t xml:space="preserve"> </w:t>
      </w:r>
      <w:r>
        <w:t>the</w:t>
      </w:r>
      <w:r>
        <w:rPr>
          <w:spacing w:val="-4"/>
        </w:rPr>
        <w:t xml:space="preserve"> </w:t>
      </w:r>
      <w:r>
        <w:t>natural</w:t>
      </w:r>
      <w:r>
        <w:rPr>
          <w:spacing w:val="-3"/>
        </w:rPr>
        <w:t xml:space="preserve"> </w:t>
      </w:r>
      <w:r>
        <w:t>logarithm</w:t>
      </w:r>
      <w:r>
        <w:rPr>
          <w:spacing w:val="-4"/>
        </w:rPr>
        <w:t xml:space="preserve"> </w:t>
      </w:r>
      <w:r>
        <w:t>of</w:t>
      </w:r>
      <w:r>
        <w:rPr>
          <w:spacing w:val="-3"/>
        </w:rPr>
        <w:t xml:space="preserve"> </w:t>
      </w:r>
      <w:r>
        <w:t>total</w:t>
      </w:r>
      <w:r>
        <w:rPr>
          <w:spacing w:val="-3"/>
        </w:rPr>
        <w:t xml:space="preserve"> </w:t>
      </w:r>
      <w:r>
        <w:rPr>
          <w:spacing w:val="-2"/>
        </w:rPr>
        <w:t>assets.</w:t>
      </w:r>
    </w:p>
    <w:p w14:paraId="661AEB67" w14:textId="77777777" w:rsidR="00ED08FF" w:rsidRDefault="00000000">
      <w:pPr>
        <w:pStyle w:val="Heading2"/>
        <w:spacing w:before="50"/>
        <w:ind w:left="3"/>
        <w:jc w:val="center"/>
      </w:pPr>
      <w:r>
        <w:t>Figure</w:t>
      </w:r>
      <w:r>
        <w:rPr>
          <w:spacing w:val="-4"/>
        </w:rPr>
        <w:t xml:space="preserve"> </w:t>
      </w:r>
      <w:r>
        <w:t>2:</w:t>
      </w:r>
      <w:r>
        <w:rPr>
          <w:spacing w:val="-2"/>
        </w:rPr>
        <w:t xml:space="preserve"> </w:t>
      </w:r>
      <w:r>
        <w:t>Average</w:t>
      </w:r>
      <w:r>
        <w:rPr>
          <w:spacing w:val="-4"/>
        </w:rPr>
        <w:t xml:space="preserve"> </w:t>
      </w:r>
      <w:r>
        <w:t>PBV</w:t>
      </w:r>
      <w:r>
        <w:rPr>
          <w:spacing w:val="-3"/>
        </w:rPr>
        <w:t xml:space="preserve"> </w:t>
      </w:r>
      <w:r>
        <w:t>Trend,</w:t>
      </w:r>
      <w:r>
        <w:rPr>
          <w:spacing w:val="-2"/>
        </w:rPr>
        <w:t xml:space="preserve"> </w:t>
      </w:r>
      <w:r>
        <w:t>2021-</w:t>
      </w:r>
      <w:r>
        <w:rPr>
          <w:spacing w:val="-4"/>
        </w:rPr>
        <w:t>2025</w:t>
      </w:r>
    </w:p>
    <w:p w14:paraId="31C5B0A6" w14:textId="77777777" w:rsidR="00ED08FF" w:rsidRDefault="00000000">
      <w:pPr>
        <w:pStyle w:val="BodyText"/>
        <w:spacing w:before="6"/>
        <w:ind w:left="0"/>
        <w:rPr>
          <w:b/>
          <w:sz w:val="17"/>
        </w:rPr>
      </w:pPr>
      <w:r>
        <w:rPr>
          <w:b/>
          <w:noProof/>
          <w:sz w:val="17"/>
        </w:rPr>
        <w:drawing>
          <wp:anchor distT="0" distB="0" distL="0" distR="0" simplePos="0" relativeHeight="487588352" behindDoc="1" locked="0" layoutInCell="1" allowOverlap="1" wp14:anchorId="04A24DAE" wp14:editId="618AC53B">
            <wp:simplePos x="0" y="0"/>
            <wp:positionH relativeFrom="page">
              <wp:posOffset>1391847</wp:posOffset>
            </wp:positionH>
            <wp:positionV relativeFrom="paragraph">
              <wp:posOffset>143559</wp:posOffset>
            </wp:positionV>
            <wp:extent cx="5063204" cy="2619755"/>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print"/>
                    <a:stretch>
                      <a:fillRect/>
                    </a:stretch>
                  </pic:blipFill>
                  <pic:spPr>
                    <a:xfrm>
                      <a:off x="0" y="0"/>
                      <a:ext cx="5063204" cy="2619755"/>
                    </a:xfrm>
                    <a:prstGeom prst="rect">
                      <a:avLst/>
                    </a:prstGeom>
                  </pic:spPr>
                </pic:pic>
              </a:graphicData>
            </a:graphic>
          </wp:anchor>
        </w:drawing>
      </w:r>
    </w:p>
    <w:p w14:paraId="0816AF2B" w14:textId="77777777" w:rsidR="00ED08FF" w:rsidRDefault="00ED08FF">
      <w:pPr>
        <w:pStyle w:val="BodyText"/>
        <w:spacing w:before="0"/>
        <w:ind w:left="0"/>
        <w:rPr>
          <w:b/>
        </w:rPr>
      </w:pPr>
    </w:p>
    <w:p w14:paraId="694AB672" w14:textId="77777777" w:rsidR="00ED08FF" w:rsidRDefault="00ED08FF">
      <w:pPr>
        <w:pStyle w:val="BodyText"/>
        <w:spacing w:before="46"/>
        <w:ind w:left="0"/>
        <w:rPr>
          <w:b/>
        </w:rPr>
      </w:pPr>
    </w:p>
    <w:p w14:paraId="72462B99" w14:textId="77777777" w:rsidR="00ED08FF" w:rsidRDefault="00000000">
      <w:pPr>
        <w:pStyle w:val="BodyText"/>
        <w:spacing w:before="0"/>
      </w:pPr>
      <w:r>
        <w:t>The</w:t>
      </w:r>
      <w:r>
        <w:rPr>
          <w:spacing w:val="-6"/>
        </w:rPr>
        <w:t xml:space="preserve"> </w:t>
      </w:r>
      <w:r>
        <w:t>trend</w:t>
      </w:r>
      <w:r>
        <w:rPr>
          <w:spacing w:val="-2"/>
        </w:rPr>
        <w:t xml:space="preserve"> </w:t>
      </w:r>
      <w:r>
        <w:t>shown</w:t>
      </w:r>
      <w:r>
        <w:rPr>
          <w:spacing w:val="-2"/>
        </w:rPr>
        <w:t xml:space="preserve"> </w:t>
      </w:r>
      <w:r>
        <w:t>in</w:t>
      </w:r>
      <w:r>
        <w:rPr>
          <w:spacing w:val="-2"/>
        </w:rPr>
        <w:t xml:space="preserve"> </w:t>
      </w:r>
      <w:r>
        <w:t>Figure</w:t>
      </w:r>
      <w:r>
        <w:rPr>
          <w:spacing w:val="-3"/>
        </w:rPr>
        <w:t xml:space="preserve"> </w:t>
      </w:r>
      <w:r>
        <w:t>2</w:t>
      </w:r>
      <w:r>
        <w:rPr>
          <w:spacing w:val="-2"/>
        </w:rPr>
        <w:t xml:space="preserve"> </w:t>
      </w:r>
      <w:r>
        <w:t>indicates</w:t>
      </w:r>
      <w:r>
        <w:rPr>
          <w:spacing w:val="-3"/>
        </w:rPr>
        <w:t xml:space="preserve"> </w:t>
      </w:r>
      <w:r>
        <w:t>that</w:t>
      </w:r>
      <w:r>
        <w:rPr>
          <w:spacing w:val="-3"/>
        </w:rPr>
        <w:t xml:space="preserve"> </w:t>
      </w:r>
      <w:r>
        <w:t>the</w:t>
      </w:r>
      <w:r>
        <w:rPr>
          <w:spacing w:val="-3"/>
        </w:rPr>
        <w:t xml:space="preserve"> </w:t>
      </w:r>
      <w:r>
        <w:t>average</w:t>
      </w:r>
      <w:r>
        <w:rPr>
          <w:spacing w:val="-3"/>
        </w:rPr>
        <w:t xml:space="preserve"> </w:t>
      </w:r>
      <w:r>
        <w:t>PBV</w:t>
      </w:r>
      <w:r>
        <w:rPr>
          <w:spacing w:val="-3"/>
        </w:rPr>
        <w:t xml:space="preserve"> </w:t>
      </w:r>
      <w:r>
        <w:t>of</w:t>
      </w:r>
      <w:r>
        <w:rPr>
          <w:spacing w:val="-2"/>
        </w:rPr>
        <w:t xml:space="preserve"> </w:t>
      </w:r>
      <w:r>
        <w:t>the</w:t>
      </w:r>
      <w:r>
        <w:rPr>
          <w:spacing w:val="-3"/>
        </w:rPr>
        <w:t xml:space="preserve"> </w:t>
      </w:r>
      <w:r>
        <w:t>sample</w:t>
      </w:r>
      <w:r>
        <w:rPr>
          <w:spacing w:val="-3"/>
        </w:rPr>
        <w:t xml:space="preserve"> </w:t>
      </w:r>
      <w:r>
        <w:t>decreased</w:t>
      </w:r>
      <w:r>
        <w:rPr>
          <w:spacing w:val="-2"/>
        </w:rPr>
        <w:t xml:space="preserve"> </w:t>
      </w:r>
      <w:r>
        <w:t>after</w:t>
      </w:r>
      <w:r>
        <w:rPr>
          <w:spacing w:val="-2"/>
        </w:rPr>
        <w:t xml:space="preserve"> </w:t>
      </w:r>
      <w:r>
        <w:t>2022.</w:t>
      </w:r>
      <w:r>
        <w:rPr>
          <w:spacing w:val="-2"/>
        </w:rPr>
        <w:t xml:space="preserve"> </w:t>
      </w:r>
      <w:r>
        <w:t>This</w:t>
      </w:r>
      <w:r>
        <w:rPr>
          <w:spacing w:val="-3"/>
        </w:rPr>
        <w:t xml:space="preserve"> </w:t>
      </w:r>
      <w:r>
        <w:t>does</w:t>
      </w:r>
      <w:r>
        <w:rPr>
          <w:spacing w:val="-3"/>
        </w:rPr>
        <w:t xml:space="preserve"> </w:t>
      </w:r>
      <w:r>
        <w:rPr>
          <w:spacing w:val="-5"/>
        </w:rPr>
        <w:t>not</w:t>
      </w:r>
    </w:p>
    <w:p w14:paraId="090373E9" w14:textId="77777777" w:rsidR="00ED08FF" w:rsidRDefault="00000000">
      <w:pPr>
        <w:pStyle w:val="BodyText"/>
        <w:spacing w:before="50"/>
      </w:pPr>
      <w:r>
        <w:t>automatically</w:t>
      </w:r>
      <w:r>
        <w:rPr>
          <w:spacing w:val="-5"/>
        </w:rPr>
        <w:t xml:space="preserve"> </w:t>
      </w:r>
      <w:r>
        <w:t>imply</w:t>
      </w:r>
      <w:r>
        <w:rPr>
          <w:spacing w:val="-2"/>
        </w:rPr>
        <w:t xml:space="preserve"> </w:t>
      </w:r>
      <w:r>
        <w:t>sector-wide</w:t>
      </w:r>
      <w:r>
        <w:rPr>
          <w:spacing w:val="-4"/>
        </w:rPr>
        <w:t xml:space="preserve"> </w:t>
      </w:r>
      <w:r>
        <w:t>deterioration.</w:t>
      </w:r>
      <w:r>
        <w:rPr>
          <w:spacing w:val="-2"/>
        </w:rPr>
        <w:t xml:space="preserve"> </w:t>
      </w:r>
      <w:r>
        <w:t>Average</w:t>
      </w:r>
      <w:r>
        <w:rPr>
          <w:spacing w:val="-3"/>
        </w:rPr>
        <w:t xml:space="preserve"> </w:t>
      </w:r>
      <w:r>
        <w:t>PBV</w:t>
      </w:r>
      <w:r>
        <w:rPr>
          <w:spacing w:val="-3"/>
        </w:rPr>
        <w:t xml:space="preserve"> </w:t>
      </w:r>
      <w:r>
        <w:t>is</w:t>
      </w:r>
      <w:r>
        <w:rPr>
          <w:spacing w:val="-4"/>
        </w:rPr>
        <w:t xml:space="preserve"> </w:t>
      </w:r>
      <w:r>
        <w:t>sensitive</w:t>
      </w:r>
      <w:r>
        <w:rPr>
          <w:spacing w:val="-3"/>
        </w:rPr>
        <w:t xml:space="preserve"> </w:t>
      </w:r>
      <w:r>
        <w:t>to</w:t>
      </w:r>
      <w:r>
        <w:rPr>
          <w:spacing w:val="-2"/>
        </w:rPr>
        <w:t xml:space="preserve"> </w:t>
      </w:r>
      <w:r>
        <w:t>high-valued</w:t>
      </w:r>
      <w:r>
        <w:rPr>
          <w:spacing w:val="-3"/>
        </w:rPr>
        <w:t xml:space="preserve"> </w:t>
      </w:r>
      <w:r>
        <w:t>firms.</w:t>
      </w:r>
      <w:r>
        <w:rPr>
          <w:spacing w:val="-2"/>
        </w:rPr>
        <w:t xml:space="preserve"> </w:t>
      </w:r>
      <w:r>
        <w:t>In</w:t>
      </w:r>
      <w:r>
        <w:rPr>
          <w:spacing w:val="-3"/>
        </w:rPr>
        <w:t xml:space="preserve"> </w:t>
      </w:r>
      <w:r>
        <w:t>this</w:t>
      </w:r>
      <w:r>
        <w:rPr>
          <w:spacing w:val="-3"/>
        </w:rPr>
        <w:t xml:space="preserve"> </w:t>
      </w:r>
      <w:r>
        <w:t>sample,</w:t>
      </w:r>
      <w:r>
        <w:rPr>
          <w:spacing w:val="-2"/>
        </w:rPr>
        <w:t xml:space="preserve"> </w:t>
      </w:r>
      <w:r>
        <w:t>UNVR</w:t>
      </w:r>
      <w:r>
        <w:rPr>
          <w:spacing w:val="-3"/>
        </w:rPr>
        <w:t xml:space="preserve"> </w:t>
      </w:r>
      <w:r>
        <w:rPr>
          <w:spacing w:val="-2"/>
        </w:rPr>
        <w:t>carries</w:t>
      </w:r>
    </w:p>
    <w:p w14:paraId="648277B3" w14:textId="77777777" w:rsidR="00ED08FF" w:rsidRDefault="00ED08FF">
      <w:pPr>
        <w:pStyle w:val="BodyText"/>
        <w:spacing w:before="100"/>
        <w:ind w:left="0"/>
      </w:pPr>
    </w:p>
    <w:p w14:paraId="7C3707DB" w14:textId="77777777" w:rsidR="00ED08FF" w:rsidRDefault="00000000">
      <w:pPr>
        <w:pStyle w:val="BodyText"/>
        <w:spacing w:before="0" w:line="297" w:lineRule="auto"/>
        <w:ind w:right="2145"/>
      </w:pPr>
      <w:r>
        <w:t>a</w:t>
      </w:r>
      <w:r>
        <w:rPr>
          <w:spacing w:val="-3"/>
        </w:rPr>
        <w:t xml:space="preserve"> </w:t>
      </w:r>
      <w:r>
        <w:t>PBV</w:t>
      </w:r>
      <w:r>
        <w:rPr>
          <w:spacing w:val="-3"/>
        </w:rPr>
        <w:t xml:space="preserve"> </w:t>
      </w:r>
      <w:r>
        <w:t>level</w:t>
      </w:r>
      <w:r>
        <w:rPr>
          <w:spacing w:val="-3"/>
        </w:rPr>
        <w:t xml:space="preserve"> </w:t>
      </w:r>
      <w:r>
        <w:t>far</w:t>
      </w:r>
      <w:r>
        <w:rPr>
          <w:spacing w:val="-2"/>
        </w:rPr>
        <w:t xml:space="preserve"> </w:t>
      </w:r>
      <w:r>
        <w:t>above</w:t>
      </w:r>
      <w:r>
        <w:rPr>
          <w:spacing w:val="-3"/>
        </w:rPr>
        <w:t xml:space="preserve"> </w:t>
      </w:r>
      <w:r>
        <w:t>the</w:t>
      </w:r>
      <w:r>
        <w:rPr>
          <w:spacing w:val="-3"/>
        </w:rPr>
        <w:t xml:space="preserve"> </w:t>
      </w:r>
      <w:r>
        <w:t>rest</w:t>
      </w:r>
      <w:r>
        <w:rPr>
          <w:spacing w:val="-3"/>
        </w:rPr>
        <w:t xml:space="preserve"> </w:t>
      </w:r>
      <w:r>
        <w:t>of</w:t>
      </w:r>
      <w:r>
        <w:rPr>
          <w:spacing w:val="-2"/>
        </w:rPr>
        <w:t xml:space="preserve"> </w:t>
      </w:r>
      <w:r>
        <w:t>the</w:t>
      </w:r>
      <w:r>
        <w:rPr>
          <w:spacing w:val="-3"/>
        </w:rPr>
        <w:t xml:space="preserve"> </w:t>
      </w:r>
      <w:r>
        <w:t>companies,</w:t>
      </w:r>
      <w:r>
        <w:rPr>
          <w:spacing w:val="-2"/>
        </w:rPr>
        <w:t xml:space="preserve"> </w:t>
      </w:r>
      <w:r>
        <w:t>so</w:t>
      </w:r>
      <w:r>
        <w:rPr>
          <w:spacing w:val="-2"/>
        </w:rPr>
        <w:t xml:space="preserve"> </w:t>
      </w:r>
      <w:r>
        <w:t>movement</w:t>
      </w:r>
      <w:r>
        <w:rPr>
          <w:spacing w:val="-3"/>
        </w:rPr>
        <w:t xml:space="preserve"> </w:t>
      </w:r>
      <w:r>
        <w:t>in</w:t>
      </w:r>
      <w:r>
        <w:rPr>
          <w:spacing w:val="-2"/>
        </w:rPr>
        <w:t xml:space="preserve"> </w:t>
      </w:r>
      <w:r>
        <w:t>UNVR</w:t>
      </w:r>
      <w:r>
        <w:rPr>
          <w:spacing w:val="-3"/>
        </w:rPr>
        <w:t xml:space="preserve"> </w:t>
      </w:r>
      <w:r>
        <w:t>valuation</w:t>
      </w:r>
      <w:r>
        <w:rPr>
          <w:spacing w:val="-2"/>
        </w:rPr>
        <w:t xml:space="preserve"> </w:t>
      </w:r>
      <w:r>
        <w:t>has</w:t>
      </w:r>
      <w:r>
        <w:rPr>
          <w:spacing w:val="-3"/>
        </w:rPr>
        <w:t xml:space="preserve"> </w:t>
      </w:r>
      <w:r>
        <w:t>a</w:t>
      </w:r>
      <w:r>
        <w:rPr>
          <w:spacing w:val="-3"/>
        </w:rPr>
        <w:t xml:space="preserve"> </w:t>
      </w:r>
      <w:r>
        <w:t>strong</w:t>
      </w:r>
      <w:r>
        <w:rPr>
          <w:spacing w:val="-2"/>
        </w:rPr>
        <w:t xml:space="preserve"> </w:t>
      </w:r>
      <w:r>
        <w:t>effect</w:t>
      </w:r>
      <w:r>
        <w:rPr>
          <w:spacing w:val="-3"/>
        </w:rPr>
        <w:t xml:space="preserve"> </w:t>
      </w:r>
      <w:r>
        <w:t>on</w:t>
      </w:r>
      <w:r>
        <w:rPr>
          <w:spacing w:val="-2"/>
        </w:rPr>
        <w:t xml:space="preserve"> </w:t>
      </w:r>
      <w:r>
        <w:t>the</w:t>
      </w:r>
      <w:r>
        <w:rPr>
          <w:spacing w:val="-3"/>
        </w:rPr>
        <w:t xml:space="preserve"> </w:t>
      </w:r>
      <w:r>
        <w:t>sample mean. This reinforces the need to interpret averages together with company-level data.</w:t>
      </w:r>
    </w:p>
    <w:p w14:paraId="66356A19" w14:textId="77777777" w:rsidR="00ED08FF" w:rsidRDefault="00000000">
      <w:pPr>
        <w:pStyle w:val="BodyText"/>
        <w:spacing w:line="297" w:lineRule="auto"/>
        <w:ind w:right="1903"/>
      </w:pPr>
      <w:r>
        <w:t>A</w:t>
      </w:r>
      <w:r>
        <w:rPr>
          <w:spacing w:val="-3"/>
        </w:rPr>
        <w:t xml:space="preserve"> </w:t>
      </w:r>
      <w:r>
        <w:t>decline</w:t>
      </w:r>
      <w:r>
        <w:rPr>
          <w:spacing w:val="-3"/>
        </w:rPr>
        <w:t xml:space="preserve"> </w:t>
      </w:r>
      <w:r>
        <w:t>in</w:t>
      </w:r>
      <w:r>
        <w:rPr>
          <w:spacing w:val="-2"/>
        </w:rPr>
        <w:t xml:space="preserve"> </w:t>
      </w:r>
      <w:r>
        <w:t>PBV</w:t>
      </w:r>
      <w:r>
        <w:rPr>
          <w:spacing w:val="-3"/>
        </w:rPr>
        <w:t xml:space="preserve"> </w:t>
      </w:r>
      <w:r>
        <w:t>can</w:t>
      </w:r>
      <w:r>
        <w:rPr>
          <w:spacing w:val="-2"/>
        </w:rPr>
        <w:t xml:space="preserve"> </w:t>
      </w:r>
      <w:r>
        <w:t>occur</w:t>
      </w:r>
      <w:r>
        <w:rPr>
          <w:spacing w:val="-2"/>
        </w:rPr>
        <w:t xml:space="preserve"> </w:t>
      </w:r>
      <w:r>
        <w:t>even</w:t>
      </w:r>
      <w:r>
        <w:rPr>
          <w:spacing w:val="-2"/>
        </w:rPr>
        <w:t xml:space="preserve"> </w:t>
      </w:r>
      <w:r>
        <w:t>when</w:t>
      </w:r>
      <w:r>
        <w:rPr>
          <w:spacing w:val="-2"/>
        </w:rPr>
        <w:t xml:space="preserve"> </w:t>
      </w:r>
      <w:r>
        <w:t>profitability</w:t>
      </w:r>
      <w:r>
        <w:rPr>
          <w:spacing w:val="-2"/>
        </w:rPr>
        <w:t xml:space="preserve"> </w:t>
      </w:r>
      <w:r>
        <w:t>remains</w:t>
      </w:r>
      <w:r>
        <w:rPr>
          <w:spacing w:val="-3"/>
        </w:rPr>
        <w:t xml:space="preserve"> </w:t>
      </w:r>
      <w:r>
        <w:t>positive.</w:t>
      </w:r>
      <w:r>
        <w:rPr>
          <w:spacing w:val="-2"/>
        </w:rPr>
        <w:t xml:space="preserve"> </w:t>
      </w:r>
      <w:r>
        <w:t>Market</w:t>
      </w:r>
      <w:r>
        <w:rPr>
          <w:spacing w:val="-3"/>
        </w:rPr>
        <w:t xml:space="preserve"> </w:t>
      </w:r>
      <w:r>
        <w:t>value</w:t>
      </w:r>
      <w:r>
        <w:rPr>
          <w:spacing w:val="-3"/>
        </w:rPr>
        <w:t xml:space="preserve"> </w:t>
      </w:r>
      <w:r>
        <w:t>is</w:t>
      </w:r>
      <w:r>
        <w:rPr>
          <w:spacing w:val="-3"/>
        </w:rPr>
        <w:t xml:space="preserve"> </w:t>
      </w:r>
      <w:r>
        <w:t>forward-looking,</w:t>
      </w:r>
      <w:r>
        <w:rPr>
          <w:spacing w:val="-2"/>
        </w:rPr>
        <w:t xml:space="preserve"> </w:t>
      </w:r>
      <w:r>
        <w:t>while</w:t>
      </w:r>
      <w:r>
        <w:rPr>
          <w:spacing w:val="-3"/>
        </w:rPr>
        <w:t xml:space="preserve"> </w:t>
      </w:r>
      <w:r>
        <w:t>accounting profitability</w:t>
      </w:r>
      <w:r>
        <w:rPr>
          <w:spacing w:val="-3"/>
        </w:rPr>
        <w:t xml:space="preserve"> </w:t>
      </w:r>
      <w:r>
        <w:t>is</w:t>
      </w:r>
      <w:r>
        <w:rPr>
          <w:spacing w:val="-4"/>
        </w:rPr>
        <w:t xml:space="preserve"> </w:t>
      </w:r>
      <w:r>
        <w:t>historical.</w:t>
      </w:r>
      <w:r>
        <w:rPr>
          <w:spacing w:val="-3"/>
        </w:rPr>
        <w:t xml:space="preserve"> </w:t>
      </w:r>
      <w:r>
        <w:t>If</w:t>
      </w:r>
      <w:r>
        <w:rPr>
          <w:spacing w:val="-3"/>
        </w:rPr>
        <w:t xml:space="preserve"> </w:t>
      </w:r>
      <w:r>
        <w:t>investors</w:t>
      </w:r>
      <w:r>
        <w:rPr>
          <w:spacing w:val="-4"/>
        </w:rPr>
        <w:t xml:space="preserve"> </w:t>
      </w:r>
      <w:r>
        <w:t>expect</w:t>
      </w:r>
      <w:r>
        <w:rPr>
          <w:spacing w:val="-4"/>
        </w:rPr>
        <w:t xml:space="preserve"> </w:t>
      </w:r>
      <w:r>
        <w:t>lower</w:t>
      </w:r>
      <w:r>
        <w:rPr>
          <w:spacing w:val="-3"/>
        </w:rPr>
        <w:t xml:space="preserve"> </w:t>
      </w:r>
      <w:r>
        <w:t>future</w:t>
      </w:r>
      <w:r>
        <w:rPr>
          <w:spacing w:val="-4"/>
        </w:rPr>
        <w:t xml:space="preserve"> </w:t>
      </w:r>
      <w:r>
        <w:t>growth,</w:t>
      </w:r>
      <w:r>
        <w:rPr>
          <w:spacing w:val="-3"/>
        </w:rPr>
        <w:t xml:space="preserve"> </w:t>
      </w:r>
      <w:r>
        <w:t>stronger</w:t>
      </w:r>
      <w:r>
        <w:rPr>
          <w:spacing w:val="-3"/>
        </w:rPr>
        <w:t xml:space="preserve"> </w:t>
      </w:r>
      <w:r>
        <w:t>competition,</w:t>
      </w:r>
      <w:r>
        <w:rPr>
          <w:spacing w:val="-3"/>
        </w:rPr>
        <w:t xml:space="preserve"> </w:t>
      </w:r>
      <w:r>
        <w:t>margin</w:t>
      </w:r>
      <w:r>
        <w:rPr>
          <w:spacing w:val="-3"/>
        </w:rPr>
        <w:t xml:space="preserve"> </w:t>
      </w:r>
      <w:r>
        <w:t>pressure,</w:t>
      </w:r>
      <w:r>
        <w:rPr>
          <w:spacing w:val="-3"/>
        </w:rPr>
        <w:t xml:space="preserve"> </w:t>
      </w:r>
      <w:r>
        <w:t>or</w:t>
      </w:r>
      <w:r>
        <w:rPr>
          <w:spacing w:val="-3"/>
        </w:rPr>
        <w:t xml:space="preserve"> </w:t>
      </w:r>
      <w:r>
        <w:t>weaker</w:t>
      </w:r>
      <w:r>
        <w:rPr>
          <w:spacing w:val="-3"/>
        </w:rPr>
        <w:t xml:space="preserve"> </w:t>
      </w:r>
      <w:r>
        <w:t>brand momentum, PBV can fall even when current profits remain positive. This distinction is important in accounting research because financial statements explain part of valuation, not all of it.</w:t>
      </w:r>
    </w:p>
    <w:p w14:paraId="2A341F91" w14:textId="77777777" w:rsidR="00ED08FF" w:rsidRDefault="00ED08FF">
      <w:pPr>
        <w:pStyle w:val="BodyText"/>
        <w:spacing w:before="51"/>
        <w:ind w:left="0"/>
      </w:pPr>
    </w:p>
    <w:p w14:paraId="2CABD964" w14:textId="77777777" w:rsidR="00ED08FF" w:rsidRDefault="00000000">
      <w:pPr>
        <w:pStyle w:val="Heading2"/>
        <w:numPr>
          <w:ilvl w:val="1"/>
          <w:numId w:val="1"/>
        </w:numPr>
        <w:tabs>
          <w:tab w:val="left" w:pos="415"/>
        </w:tabs>
        <w:ind w:left="415"/>
      </w:pPr>
      <w:r>
        <w:t>Descriptive</w:t>
      </w:r>
      <w:r>
        <w:rPr>
          <w:spacing w:val="-11"/>
        </w:rPr>
        <w:t xml:space="preserve"> </w:t>
      </w:r>
      <w:r>
        <w:rPr>
          <w:spacing w:val="-2"/>
        </w:rPr>
        <w:t>Statistics</w:t>
      </w:r>
    </w:p>
    <w:p w14:paraId="57BF9164" w14:textId="77777777" w:rsidR="00ED08FF" w:rsidRDefault="00000000">
      <w:pPr>
        <w:spacing w:before="50"/>
        <w:ind w:left="4260"/>
        <w:rPr>
          <w:b/>
          <w:sz w:val="18"/>
        </w:rPr>
      </w:pPr>
      <w:r>
        <w:rPr>
          <w:b/>
          <w:sz w:val="18"/>
        </w:rPr>
        <w:t>Table</w:t>
      </w:r>
      <w:r>
        <w:rPr>
          <w:b/>
          <w:spacing w:val="-6"/>
          <w:sz w:val="18"/>
        </w:rPr>
        <w:t xml:space="preserve"> </w:t>
      </w:r>
      <w:r>
        <w:rPr>
          <w:b/>
          <w:sz w:val="18"/>
        </w:rPr>
        <w:t>5:</w:t>
      </w:r>
      <w:r>
        <w:rPr>
          <w:b/>
          <w:spacing w:val="-5"/>
          <w:sz w:val="18"/>
        </w:rPr>
        <w:t xml:space="preserve"> </w:t>
      </w:r>
      <w:r>
        <w:rPr>
          <w:b/>
          <w:sz w:val="18"/>
        </w:rPr>
        <w:t>Descriptive</w:t>
      </w:r>
      <w:r>
        <w:rPr>
          <w:b/>
          <w:spacing w:val="-5"/>
          <w:sz w:val="18"/>
        </w:rPr>
        <w:t xml:space="preserve"> </w:t>
      </w:r>
      <w:r>
        <w:rPr>
          <w:b/>
          <w:spacing w:val="-2"/>
          <w:sz w:val="18"/>
        </w:rPr>
        <w:t>Statistics</w:t>
      </w:r>
    </w:p>
    <w:p w14:paraId="6B398EC7" w14:textId="77777777" w:rsidR="00ED08FF" w:rsidRDefault="00000000">
      <w:pPr>
        <w:tabs>
          <w:tab w:val="left" w:pos="3187"/>
          <w:tab w:val="left" w:pos="4981"/>
          <w:tab w:val="left" w:pos="7010"/>
          <w:tab w:val="left" w:pos="8492"/>
          <w:tab w:val="left" w:pos="10052"/>
        </w:tabs>
        <w:spacing w:before="50" w:line="147" w:lineRule="exact"/>
        <w:ind w:left="1394"/>
        <w:rPr>
          <w:rFonts w:ascii="Courier New"/>
          <w:sz w:val="13"/>
        </w:rPr>
      </w:pPr>
      <w:r>
        <w:rPr>
          <w:rFonts w:ascii="Courier New"/>
          <w:spacing w:val="-2"/>
          <w:sz w:val="13"/>
        </w:rPr>
        <w:t>Variable</w:t>
      </w:r>
      <w:r>
        <w:rPr>
          <w:rFonts w:ascii="Courier New"/>
          <w:sz w:val="13"/>
        </w:rPr>
        <w:tab/>
      </w:r>
      <w:r>
        <w:rPr>
          <w:rFonts w:ascii="Courier New"/>
          <w:spacing w:val="-2"/>
          <w:sz w:val="13"/>
        </w:rPr>
        <w:t>count</w:t>
      </w:r>
      <w:r>
        <w:rPr>
          <w:rFonts w:ascii="Courier New"/>
          <w:sz w:val="13"/>
        </w:rPr>
        <w:tab/>
      </w:r>
      <w:r>
        <w:rPr>
          <w:rFonts w:ascii="Courier New"/>
          <w:spacing w:val="-4"/>
          <w:sz w:val="13"/>
        </w:rPr>
        <w:t>mean</w:t>
      </w:r>
      <w:r>
        <w:rPr>
          <w:rFonts w:ascii="Courier New"/>
          <w:sz w:val="13"/>
        </w:rPr>
        <w:tab/>
      </w:r>
      <w:r>
        <w:rPr>
          <w:rFonts w:ascii="Courier New"/>
          <w:spacing w:val="-2"/>
          <w:sz w:val="13"/>
        </w:rPr>
        <w:t>median</w:t>
      </w:r>
      <w:r>
        <w:rPr>
          <w:rFonts w:ascii="Courier New"/>
          <w:sz w:val="13"/>
        </w:rPr>
        <w:tab/>
      </w:r>
      <w:r>
        <w:rPr>
          <w:rFonts w:ascii="Courier New"/>
          <w:spacing w:val="-5"/>
          <w:sz w:val="13"/>
        </w:rPr>
        <w:t>std</w:t>
      </w:r>
      <w:r>
        <w:rPr>
          <w:rFonts w:ascii="Courier New"/>
          <w:sz w:val="13"/>
        </w:rPr>
        <w:tab/>
      </w:r>
      <w:r>
        <w:rPr>
          <w:rFonts w:ascii="Courier New"/>
          <w:spacing w:val="-5"/>
          <w:sz w:val="13"/>
        </w:rPr>
        <w:t>min</w:t>
      </w:r>
    </w:p>
    <w:p w14:paraId="1A276640" w14:textId="77777777" w:rsidR="00ED08FF" w:rsidRDefault="00000000">
      <w:pPr>
        <w:spacing w:line="480" w:lineRule="auto"/>
        <w:ind w:left="145" w:right="10178"/>
        <w:rPr>
          <w:rFonts w:ascii="Courier New"/>
          <w:sz w:val="13"/>
        </w:rPr>
      </w:pPr>
      <w:r>
        <w:rPr>
          <w:rFonts w:ascii="Courier New"/>
          <w:noProof/>
          <w:sz w:val="13"/>
        </w:rPr>
        <mc:AlternateContent>
          <mc:Choice Requires="wps">
            <w:drawing>
              <wp:anchor distT="0" distB="0" distL="0" distR="0" simplePos="0" relativeHeight="15729664" behindDoc="0" locked="0" layoutInCell="1" allowOverlap="1" wp14:anchorId="23BD4B0B" wp14:editId="2FF499F9">
                <wp:simplePos x="0" y="0"/>
                <wp:positionH relativeFrom="page">
                  <wp:posOffset>1322070</wp:posOffset>
                </wp:positionH>
                <wp:positionV relativeFrom="paragraph">
                  <wp:posOffset>93608</wp:posOffset>
                </wp:positionV>
                <wp:extent cx="5786755" cy="8388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755" cy="83883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064"/>
                              <w:gridCol w:w="1833"/>
                              <w:gridCol w:w="1911"/>
                              <w:gridCol w:w="1677"/>
                              <w:gridCol w:w="1443"/>
                              <w:gridCol w:w="1064"/>
                            </w:tblGrid>
                            <w:tr w:rsidR="00ED08FF" w14:paraId="3B7042B4" w14:textId="77777777">
                              <w:trPr>
                                <w:trHeight w:val="220"/>
                              </w:trPr>
                              <w:tc>
                                <w:tcPr>
                                  <w:tcW w:w="1064" w:type="dxa"/>
                                </w:tcPr>
                                <w:p w14:paraId="521E5B2E" w14:textId="77777777" w:rsidR="00ED08FF" w:rsidRDefault="00000000">
                                  <w:pPr>
                                    <w:pStyle w:val="TableParagraph"/>
                                    <w:spacing w:line="240" w:lineRule="auto"/>
                                    <w:ind w:left="50"/>
                                    <w:jc w:val="left"/>
                                    <w:rPr>
                                      <w:sz w:val="13"/>
                                    </w:rPr>
                                  </w:pPr>
                                  <w:r>
                                    <w:rPr>
                                      <w:spacing w:val="-5"/>
                                      <w:sz w:val="13"/>
                                    </w:rPr>
                                    <w:t>PBV</w:t>
                                  </w:r>
                                </w:p>
                              </w:tc>
                              <w:tc>
                                <w:tcPr>
                                  <w:tcW w:w="1833" w:type="dxa"/>
                                </w:tcPr>
                                <w:p w14:paraId="719CC993" w14:textId="77777777" w:rsidR="00ED08FF" w:rsidRDefault="00000000">
                                  <w:pPr>
                                    <w:pStyle w:val="TableParagraph"/>
                                    <w:spacing w:line="240" w:lineRule="auto"/>
                                    <w:ind w:left="39"/>
                                    <w:rPr>
                                      <w:sz w:val="13"/>
                                    </w:rPr>
                                  </w:pPr>
                                  <w:r>
                                    <w:rPr>
                                      <w:spacing w:val="-2"/>
                                      <w:sz w:val="13"/>
                                    </w:rPr>
                                    <w:t>40.000</w:t>
                                  </w:r>
                                </w:p>
                              </w:tc>
                              <w:tc>
                                <w:tcPr>
                                  <w:tcW w:w="1911" w:type="dxa"/>
                                </w:tcPr>
                                <w:p w14:paraId="26EE12C0" w14:textId="77777777" w:rsidR="00ED08FF" w:rsidRDefault="00000000">
                                  <w:pPr>
                                    <w:pStyle w:val="TableParagraph"/>
                                    <w:spacing w:line="240" w:lineRule="auto"/>
                                    <w:ind w:right="779"/>
                                    <w:jc w:val="right"/>
                                    <w:rPr>
                                      <w:sz w:val="13"/>
                                    </w:rPr>
                                  </w:pPr>
                                  <w:r>
                                    <w:rPr>
                                      <w:spacing w:val="-2"/>
                                      <w:sz w:val="13"/>
                                    </w:rPr>
                                    <w:t>7.533</w:t>
                                  </w:r>
                                </w:p>
                              </w:tc>
                              <w:tc>
                                <w:tcPr>
                                  <w:tcW w:w="1677" w:type="dxa"/>
                                </w:tcPr>
                                <w:p w14:paraId="16521D74" w14:textId="77777777" w:rsidR="00ED08FF" w:rsidRDefault="00000000">
                                  <w:pPr>
                                    <w:pStyle w:val="TableParagraph"/>
                                    <w:spacing w:line="240" w:lineRule="auto"/>
                                    <w:ind w:right="426"/>
                                    <w:jc w:val="right"/>
                                    <w:rPr>
                                      <w:sz w:val="13"/>
                                    </w:rPr>
                                  </w:pPr>
                                  <w:r>
                                    <w:rPr>
                                      <w:spacing w:val="-2"/>
                                      <w:sz w:val="13"/>
                                    </w:rPr>
                                    <w:t>3.155</w:t>
                                  </w:r>
                                </w:p>
                              </w:tc>
                              <w:tc>
                                <w:tcPr>
                                  <w:tcW w:w="1443" w:type="dxa"/>
                                </w:tcPr>
                                <w:p w14:paraId="6740AC7A" w14:textId="77777777" w:rsidR="00ED08FF" w:rsidRDefault="00000000">
                                  <w:pPr>
                                    <w:pStyle w:val="TableParagraph"/>
                                    <w:spacing w:line="240" w:lineRule="auto"/>
                                    <w:ind w:right="543"/>
                                    <w:jc w:val="right"/>
                                    <w:rPr>
                                      <w:sz w:val="13"/>
                                    </w:rPr>
                                  </w:pPr>
                                  <w:r>
                                    <w:rPr>
                                      <w:spacing w:val="-2"/>
                                      <w:sz w:val="13"/>
                                    </w:rPr>
                                    <w:t>11.187</w:t>
                                  </w:r>
                                </w:p>
                              </w:tc>
                              <w:tc>
                                <w:tcPr>
                                  <w:tcW w:w="1064" w:type="dxa"/>
                                </w:tcPr>
                                <w:p w14:paraId="3725AD25" w14:textId="77777777" w:rsidR="00ED08FF" w:rsidRDefault="00000000">
                                  <w:pPr>
                                    <w:pStyle w:val="TableParagraph"/>
                                    <w:spacing w:line="240" w:lineRule="auto"/>
                                    <w:ind w:right="47"/>
                                    <w:jc w:val="right"/>
                                    <w:rPr>
                                      <w:sz w:val="13"/>
                                    </w:rPr>
                                  </w:pPr>
                                  <w:r>
                                    <w:rPr>
                                      <w:spacing w:val="-2"/>
                                      <w:sz w:val="13"/>
                                    </w:rPr>
                                    <w:t>0.500</w:t>
                                  </w:r>
                                </w:p>
                              </w:tc>
                            </w:tr>
                            <w:tr w:rsidR="00ED08FF" w14:paraId="55FA5BC6" w14:textId="77777777">
                              <w:trPr>
                                <w:trHeight w:val="294"/>
                              </w:trPr>
                              <w:tc>
                                <w:tcPr>
                                  <w:tcW w:w="1064" w:type="dxa"/>
                                </w:tcPr>
                                <w:p w14:paraId="5CBBBA32" w14:textId="77777777" w:rsidR="00ED08FF" w:rsidRDefault="00000000">
                                  <w:pPr>
                                    <w:pStyle w:val="TableParagraph"/>
                                    <w:spacing w:before="73" w:line="240" w:lineRule="auto"/>
                                    <w:ind w:left="50"/>
                                    <w:jc w:val="left"/>
                                    <w:rPr>
                                      <w:sz w:val="13"/>
                                    </w:rPr>
                                  </w:pPr>
                                  <w:r>
                                    <w:rPr>
                                      <w:spacing w:val="-5"/>
                                      <w:sz w:val="13"/>
                                    </w:rPr>
                                    <w:t>ROA</w:t>
                                  </w:r>
                                </w:p>
                              </w:tc>
                              <w:tc>
                                <w:tcPr>
                                  <w:tcW w:w="1833" w:type="dxa"/>
                                </w:tcPr>
                                <w:p w14:paraId="28E302F5" w14:textId="77777777" w:rsidR="00ED08FF" w:rsidRDefault="00000000">
                                  <w:pPr>
                                    <w:pStyle w:val="TableParagraph"/>
                                    <w:spacing w:before="73" w:line="240" w:lineRule="auto"/>
                                    <w:ind w:left="39"/>
                                    <w:rPr>
                                      <w:sz w:val="13"/>
                                    </w:rPr>
                                  </w:pPr>
                                  <w:r>
                                    <w:rPr>
                                      <w:spacing w:val="-2"/>
                                      <w:sz w:val="13"/>
                                    </w:rPr>
                                    <w:t>40.000</w:t>
                                  </w:r>
                                </w:p>
                              </w:tc>
                              <w:tc>
                                <w:tcPr>
                                  <w:tcW w:w="1911" w:type="dxa"/>
                                </w:tcPr>
                                <w:p w14:paraId="27F52EF9" w14:textId="77777777" w:rsidR="00ED08FF" w:rsidRDefault="00000000">
                                  <w:pPr>
                                    <w:pStyle w:val="TableParagraph"/>
                                    <w:spacing w:before="73" w:line="240" w:lineRule="auto"/>
                                    <w:ind w:right="779"/>
                                    <w:jc w:val="right"/>
                                    <w:rPr>
                                      <w:sz w:val="13"/>
                                    </w:rPr>
                                  </w:pPr>
                                  <w:r>
                                    <w:rPr>
                                      <w:spacing w:val="-2"/>
                                      <w:sz w:val="13"/>
                                    </w:rPr>
                                    <w:t>10.397</w:t>
                                  </w:r>
                                </w:p>
                              </w:tc>
                              <w:tc>
                                <w:tcPr>
                                  <w:tcW w:w="1677" w:type="dxa"/>
                                </w:tcPr>
                                <w:p w14:paraId="0417C241" w14:textId="77777777" w:rsidR="00ED08FF" w:rsidRDefault="00000000">
                                  <w:pPr>
                                    <w:pStyle w:val="TableParagraph"/>
                                    <w:spacing w:before="73" w:line="240" w:lineRule="auto"/>
                                    <w:ind w:right="426"/>
                                    <w:jc w:val="right"/>
                                    <w:rPr>
                                      <w:sz w:val="13"/>
                                    </w:rPr>
                                  </w:pPr>
                                  <w:r>
                                    <w:rPr>
                                      <w:spacing w:val="-2"/>
                                      <w:sz w:val="13"/>
                                    </w:rPr>
                                    <w:t>7.940</w:t>
                                  </w:r>
                                </w:p>
                              </w:tc>
                              <w:tc>
                                <w:tcPr>
                                  <w:tcW w:w="1443" w:type="dxa"/>
                                </w:tcPr>
                                <w:p w14:paraId="1E83E925" w14:textId="77777777" w:rsidR="00ED08FF" w:rsidRDefault="00000000">
                                  <w:pPr>
                                    <w:pStyle w:val="TableParagraph"/>
                                    <w:spacing w:before="73" w:line="240" w:lineRule="auto"/>
                                    <w:ind w:right="543"/>
                                    <w:jc w:val="right"/>
                                    <w:rPr>
                                      <w:sz w:val="13"/>
                                    </w:rPr>
                                  </w:pPr>
                                  <w:r>
                                    <w:rPr>
                                      <w:spacing w:val="-2"/>
                                      <w:sz w:val="13"/>
                                    </w:rPr>
                                    <w:t>5.008</w:t>
                                  </w:r>
                                </w:p>
                              </w:tc>
                              <w:tc>
                                <w:tcPr>
                                  <w:tcW w:w="1064" w:type="dxa"/>
                                </w:tcPr>
                                <w:p w14:paraId="4593E664" w14:textId="77777777" w:rsidR="00ED08FF" w:rsidRDefault="00000000">
                                  <w:pPr>
                                    <w:pStyle w:val="TableParagraph"/>
                                    <w:spacing w:before="73" w:line="240" w:lineRule="auto"/>
                                    <w:ind w:right="47"/>
                                    <w:jc w:val="right"/>
                                    <w:rPr>
                                      <w:sz w:val="13"/>
                                    </w:rPr>
                                  </w:pPr>
                                  <w:r>
                                    <w:rPr>
                                      <w:spacing w:val="-2"/>
                                      <w:sz w:val="13"/>
                                    </w:rPr>
                                    <w:t>5.950</w:t>
                                  </w:r>
                                </w:p>
                              </w:tc>
                            </w:tr>
                            <w:tr w:rsidR="00ED08FF" w14:paraId="3F6D4E9E" w14:textId="77777777">
                              <w:trPr>
                                <w:trHeight w:val="293"/>
                              </w:trPr>
                              <w:tc>
                                <w:tcPr>
                                  <w:tcW w:w="1064" w:type="dxa"/>
                                </w:tcPr>
                                <w:p w14:paraId="009FA5C8" w14:textId="77777777" w:rsidR="00ED08FF" w:rsidRDefault="00000000">
                                  <w:pPr>
                                    <w:pStyle w:val="TableParagraph"/>
                                    <w:spacing w:before="73" w:line="240" w:lineRule="auto"/>
                                    <w:ind w:left="50"/>
                                    <w:jc w:val="left"/>
                                    <w:rPr>
                                      <w:sz w:val="13"/>
                                    </w:rPr>
                                  </w:pPr>
                                  <w:r>
                                    <w:rPr>
                                      <w:spacing w:val="-5"/>
                                      <w:sz w:val="13"/>
                                    </w:rPr>
                                    <w:t>DER</w:t>
                                  </w:r>
                                </w:p>
                              </w:tc>
                              <w:tc>
                                <w:tcPr>
                                  <w:tcW w:w="1833" w:type="dxa"/>
                                </w:tcPr>
                                <w:p w14:paraId="07A79DE3" w14:textId="77777777" w:rsidR="00ED08FF" w:rsidRDefault="00000000">
                                  <w:pPr>
                                    <w:pStyle w:val="TableParagraph"/>
                                    <w:spacing w:before="73" w:line="240" w:lineRule="auto"/>
                                    <w:ind w:left="39"/>
                                    <w:rPr>
                                      <w:sz w:val="13"/>
                                    </w:rPr>
                                  </w:pPr>
                                  <w:r>
                                    <w:rPr>
                                      <w:spacing w:val="-2"/>
                                      <w:sz w:val="13"/>
                                    </w:rPr>
                                    <w:t>40.000</w:t>
                                  </w:r>
                                </w:p>
                              </w:tc>
                              <w:tc>
                                <w:tcPr>
                                  <w:tcW w:w="1911" w:type="dxa"/>
                                </w:tcPr>
                                <w:p w14:paraId="4460B1BB" w14:textId="77777777" w:rsidR="00ED08FF" w:rsidRDefault="00000000">
                                  <w:pPr>
                                    <w:pStyle w:val="TableParagraph"/>
                                    <w:spacing w:before="73" w:line="240" w:lineRule="auto"/>
                                    <w:ind w:right="779"/>
                                    <w:jc w:val="right"/>
                                    <w:rPr>
                                      <w:sz w:val="13"/>
                                    </w:rPr>
                                  </w:pPr>
                                  <w:r>
                                    <w:rPr>
                                      <w:spacing w:val="-2"/>
                                      <w:sz w:val="13"/>
                                    </w:rPr>
                                    <w:t>0.370</w:t>
                                  </w:r>
                                </w:p>
                              </w:tc>
                              <w:tc>
                                <w:tcPr>
                                  <w:tcW w:w="1677" w:type="dxa"/>
                                </w:tcPr>
                                <w:p w14:paraId="4C8F34FA" w14:textId="77777777" w:rsidR="00ED08FF" w:rsidRDefault="00000000">
                                  <w:pPr>
                                    <w:pStyle w:val="TableParagraph"/>
                                    <w:spacing w:before="73" w:line="240" w:lineRule="auto"/>
                                    <w:ind w:right="426"/>
                                    <w:jc w:val="right"/>
                                    <w:rPr>
                                      <w:sz w:val="13"/>
                                    </w:rPr>
                                  </w:pPr>
                                  <w:r>
                                    <w:rPr>
                                      <w:spacing w:val="-2"/>
                                      <w:sz w:val="13"/>
                                    </w:rPr>
                                    <w:t>0.305</w:t>
                                  </w:r>
                                </w:p>
                              </w:tc>
                              <w:tc>
                                <w:tcPr>
                                  <w:tcW w:w="1443" w:type="dxa"/>
                                </w:tcPr>
                                <w:p w14:paraId="2CF03B7B" w14:textId="77777777" w:rsidR="00ED08FF" w:rsidRDefault="00000000">
                                  <w:pPr>
                                    <w:pStyle w:val="TableParagraph"/>
                                    <w:spacing w:before="73" w:line="240" w:lineRule="auto"/>
                                    <w:ind w:right="543"/>
                                    <w:jc w:val="right"/>
                                    <w:rPr>
                                      <w:sz w:val="13"/>
                                    </w:rPr>
                                  </w:pPr>
                                  <w:r>
                                    <w:rPr>
                                      <w:spacing w:val="-2"/>
                                      <w:sz w:val="13"/>
                                    </w:rPr>
                                    <w:t>0.288</w:t>
                                  </w:r>
                                </w:p>
                              </w:tc>
                              <w:tc>
                                <w:tcPr>
                                  <w:tcW w:w="1064" w:type="dxa"/>
                                </w:tcPr>
                                <w:p w14:paraId="17269D4D" w14:textId="77777777" w:rsidR="00ED08FF" w:rsidRDefault="00000000">
                                  <w:pPr>
                                    <w:pStyle w:val="TableParagraph"/>
                                    <w:spacing w:before="73" w:line="240" w:lineRule="auto"/>
                                    <w:ind w:right="47"/>
                                    <w:jc w:val="right"/>
                                    <w:rPr>
                                      <w:sz w:val="13"/>
                                    </w:rPr>
                                  </w:pPr>
                                  <w:r>
                                    <w:rPr>
                                      <w:spacing w:val="-2"/>
                                      <w:sz w:val="13"/>
                                    </w:rPr>
                                    <w:t>0.000</w:t>
                                  </w:r>
                                </w:p>
                              </w:tc>
                            </w:tr>
                            <w:tr w:rsidR="00ED08FF" w14:paraId="60D12976" w14:textId="77777777">
                              <w:trPr>
                                <w:trHeight w:val="294"/>
                              </w:trPr>
                              <w:tc>
                                <w:tcPr>
                                  <w:tcW w:w="1064" w:type="dxa"/>
                                </w:tcPr>
                                <w:p w14:paraId="5F6DCD5A" w14:textId="77777777" w:rsidR="00ED08FF" w:rsidRDefault="00000000">
                                  <w:pPr>
                                    <w:pStyle w:val="TableParagraph"/>
                                    <w:spacing w:before="73" w:line="240" w:lineRule="auto"/>
                                    <w:ind w:left="50"/>
                                    <w:jc w:val="left"/>
                                    <w:rPr>
                                      <w:sz w:val="13"/>
                                    </w:rPr>
                                  </w:pPr>
                                  <w:r>
                                    <w:rPr>
                                      <w:spacing w:val="-4"/>
                                      <w:sz w:val="13"/>
                                    </w:rPr>
                                    <w:t>SIZE</w:t>
                                  </w:r>
                                </w:p>
                              </w:tc>
                              <w:tc>
                                <w:tcPr>
                                  <w:tcW w:w="1833" w:type="dxa"/>
                                </w:tcPr>
                                <w:p w14:paraId="126BDA41" w14:textId="77777777" w:rsidR="00ED08FF" w:rsidRDefault="00000000">
                                  <w:pPr>
                                    <w:pStyle w:val="TableParagraph"/>
                                    <w:spacing w:before="73" w:line="240" w:lineRule="auto"/>
                                    <w:ind w:left="39"/>
                                    <w:rPr>
                                      <w:sz w:val="13"/>
                                    </w:rPr>
                                  </w:pPr>
                                  <w:r>
                                    <w:rPr>
                                      <w:spacing w:val="-2"/>
                                      <w:sz w:val="13"/>
                                    </w:rPr>
                                    <w:t>40.000</w:t>
                                  </w:r>
                                </w:p>
                              </w:tc>
                              <w:tc>
                                <w:tcPr>
                                  <w:tcW w:w="1911" w:type="dxa"/>
                                </w:tcPr>
                                <w:p w14:paraId="4EA099F2" w14:textId="77777777" w:rsidR="00ED08FF" w:rsidRDefault="00000000">
                                  <w:pPr>
                                    <w:pStyle w:val="TableParagraph"/>
                                    <w:spacing w:before="73" w:line="240" w:lineRule="auto"/>
                                    <w:ind w:right="779"/>
                                    <w:jc w:val="right"/>
                                    <w:rPr>
                                      <w:sz w:val="13"/>
                                    </w:rPr>
                                  </w:pPr>
                                  <w:r>
                                    <w:rPr>
                                      <w:spacing w:val="-2"/>
                                      <w:sz w:val="13"/>
                                    </w:rPr>
                                    <w:t>16.808</w:t>
                                  </w:r>
                                </w:p>
                              </w:tc>
                              <w:tc>
                                <w:tcPr>
                                  <w:tcW w:w="1677" w:type="dxa"/>
                                </w:tcPr>
                                <w:p w14:paraId="023ECACF" w14:textId="77777777" w:rsidR="00ED08FF" w:rsidRDefault="00000000">
                                  <w:pPr>
                                    <w:pStyle w:val="TableParagraph"/>
                                    <w:spacing w:before="73" w:line="240" w:lineRule="auto"/>
                                    <w:ind w:right="426"/>
                                    <w:jc w:val="right"/>
                                    <w:rPr>
                                      <w:sz w:val="13"/>
                                    </w:rPr>
                                  </w:pPr>
                                  <w:r>
                                    <w:rPr>
                                      <w:spacing w:val="-2"/>
                                      <w:sz w:val="13"/>
                                    </w:rPr>
                                    <w:t>16.320</w:t>
                                  </w:r>
                                </w:p>
                              </w:tc>
                              <w:tc>
                                <w:tcPr>
                                  <w:tcW w:w="1443" w:type="dxa"/>
                                </w:tcPr>
                                <w:p w14:paraId="3DF71E46" w14:textId="77777777" w:rsidR="00ED08FF" w:rsidRDefault="00000000">
                                  <w:pPr>
                                    <w:pStyle w:val="TableParagraph"/>
                                    <w:spacing w:before="73" w:line="240" w:lineRule="auto"/>
                                    <w:ind w:right="543"/>
                                    <w:jc w:val="right"/>
                                    <w:rPr>
                                      <w:sz w:val="13"/>
                                    </w:rPr>
                                  </w:pPr>
                                  <w:r>
                                    <w:rPr>
                                      <w:spacing w:val="-2"/>
                                      <w:sz w:val="13"/>
                                    </w:rPr>
                                    <w:t>1.354</w:t>
                                  </w:r>
                                </w:p>
                              </w:tc>
                              <w:tc>
                                <w:tcPr>
                                  <w:tcW w:w="1064" w:type="dxa"/>
                                </w:tcPr>
                                <w:p w14:paraId="4C512A50" w14:textId="77777777" w:rsidR="00ED08FF" w:rsidRDefault="00000000">
                                  <w:pPr>
                                    <w:pStyle w:val="TableParagraph"/>
                                    <w:spacing w:before="73" w:line="240" w:lineRule="auto"/>
                                    <w:ind w:right="47"/>
                                    <w:jc w:val="right"/>
                                    <w:rPr>
                                      <w:sz w:val="13"/>
                                    </w:rPr>
                                  </w:pPr>
                                  <w:r>
                                    <w:rPr>
                                      <w:spacing w:val="-2"/>
                                      <w:sz w:val="13"/>
                                    </w:rPr>
                                    <w:t>15.079</w:t>
                                  </w:r>
                                </w:p>
                              </w:tc>
                            </w:tr>
                            <w:tr w:rsidR="00ED08FF" w14:paraId="10CEC95D" w14:textId="77777777">
                              <w:trPr>
                                <w:trHeight w:val="220"/>
                              </w:trPr>
                              <w:tc>
                                <w:tcPr>
                                  <w:tcW w:w="1064" w:type="dxa"/>
                                </w:tcPr>
                                <w:p w14:paraId="53306B02" w14:textId="77777777" w:rsidR="00ED08FF" w:rsidRDefault="00000000">
                                  <w:pPr>
                                    <w:pStyle w:val="TableParagraph"/>
                                    <w:spacing w:before="73"/>
                                    <w:ind w:left="128"/>
                                    <w:jc w:val="left"/>
                                    <w:rPr>
                                      <w:sz w:val="13"/>
                                    </w:rPr>
                                  </w:pPr>
                                  <w:r>
                                    <w:rPr>
                                      <w:spacing w:val="-5"/>
                                      <w:sz w:val="13"/>
                                    </w:rPr>
                                    <w:t>CR</w:t>
                                  </w:r>
                                </w:p>
                              </w:tc>
                              <w:tc>
                                <w:tcPr>
                                  <w:tcW w:w="1833" w:type="dxa"/>
                                </w:tcPr>
                                <w:p w14:paraId="03860F16" w14:textId="77777777" w:rsidR="00ED08FF" w:rsidRDefault="00000000">
                                  <w:pPr>
                                    <w:pStyle w:val="TableParagraph"/>
                                    <w:spacing w:before="73"/>
                                    <w:ind w:left="39"/>
                                    <w:rPr>
                                      <w:sz w:val="13"/>
                                    </w:rPr>
                                  </w:pPr>
                                  <w:r>
                                    <w:rPr>
                                      <w:spacing w:val="-2"/>
                                      <w:sz w:val="13"/>
                                    </w:rPr>
                                    <w:t>40.000</w:t>
                                  </w:r>
                                </w:p>
                              </w:tc>
                              <w:tc>
                                <w:tcPr>
                                  <w:tcW w:w="1911" w:type="dxa"/>
                                </w:tcPr>
                                <w:p w14:paraId="48FD6CEC" w14:textId="77777777" w:rsidR="00ED08FF" w:rsidRDefault="00000000">
                                  <w:pPr>
                                    <w:pStyle w:val="TableParagraph"/>
                                    <w:spacing w:before="73"/>
                                    <w:ind w:right="779"/>
                                    <w:jc w:val="right"/>
                                    <w:rPr>
                                      <w:sz w:val="13"/>
                                    </w:rPr>
                                  </w:pPr>
                                  <w:r>
                                    <w:rPr>
                                      <w:spacing w:val="-2"/>
                                      <w:sz w:val="13"/>
                                    </w:rPr>
                                    <w:t>2.384</w:t>
                                  </w:r>
                                </w:p>
                              </w:tc>
                              <w:tc>
                                <w:tcPr>
                                  <w:tcW w:w="1677" w:type="dxa"/>
                                </w:tcPr>
                                <w:p w14:paraId="3D4880D6" w14:textId="77777777" w:rsidR="00ED08FF" w:rsidRDefault="00000000">
                                  <w:pPr>
                                    <w:pStyle w:val="TableParagraph"/>
                                    <w:spacing w:before="73"/>
                                    <w:ind w:right="426"/>
                                    <w:jc w:val="right"/>
                                    <w:rPr>
                                      <w:sz w:val="13"/>
                                    </w:rPr>
                                  </w:pPr>
                                  <w:r>
                                    <w:rPr>
                                      <w:spacing w:val="-2"/>
                                      <w:sz w:val="13"/>
                                    </w:rPr>
                                    <w:t>1.795</w:t>
                                  </w:r>
                                </w:p>
                              </w:tc>
                              <w:tc>
                                <w:tcPr>
                                  <w:tcW w:w="1443" w:type="dxa"/>
                                </w:tcPr>
                                <w:p w14:paraId="21836930" w14:textId="77777777" w:rsidR="00ED08FF" w:rsidRDefault="00000000">
                                  <w:pPr>
                                    <w:pStyle w:val="TableParagraph"/>
                                    <w:spacing w:before="73"/>
                                    <w:ind w:right="543"/>
                                    <w:jc w:val="right"/>
                                    <w:rPr>
                                      <w:sz w:val="13"/>
                                    </w:rPr>
                                  </w:pPr>
                                  <w:r>
                                    <w:rPr>
                                      <w:spacing w:val="-2"/>
                                      <w:sz w:val="13"/>
                                    </w:rPr>
                                    <w:t>1.627</w:t>
                                  </w:r>
                                </w:p>
                              </w:tc>
                              <w:tc>
                                <w:tcPr>
                                  <w:tcW w:w="1064" w:type="dxa"/>
                                </w:tcPr>
                                <w:p w14:paraId="496708F0" w14:textId="77777777" w:rsidR="00ED08FF" w:rsidRDefault="00000000">
                                  <w:pPr>
                                    <w:pStyle w:val="TableParagraph"/>
                                    <w:spacing w:before="73"/>
                                    <w:ind w:right="47"/>
                                    <w:jc w:val="right"/>
                                    <w:rPr>
                                      <w:sz w:val="13"/>
                                    </w:rPr>
                                  </w:pPr>
                                  <w:r>
                                    <w:rPr>
                                      <w:spacing w:val="-2"/>
                                      <w:sz w:val="13"/>
                                    </w:rPr>
                                    <w:t>0.450</w:t>
                                  </w:r>
                                </w:p>
                              </w:tc>
                            </w:tr>
                          </w:tbl>
                          <w:p w14:paraId="680FB705" w14:textId="77777777" w:rsidR="00ED08FF" w:rsidRDefault="00ED08FF">
                            <w:pPr>
                              <w:pStyle w:val="BodyText"/>
                              <w:spacing w:before="0"/>
                              <w:ind w:left="0"/>
                            </w:pPr>
                          </w:p>
                        </w:txbxContent>
                      </wps:txbx>
                      <wps:bodyPr wrap="square" lIns="0" tIns="0" rIns="0" bIns="0" rtlCol="0">
                        <a:noAutofit/>
                      </wps:bodyPr>
                    </wps:wsp>
                  </a:graphicData>
                </a:graphic>
              </wp:anchor>
            </w:drawing>
          </mc:Choice>
          <mc:Fallback>
            <w:pict>
              <v:shapetype w14:anchorId="23BD4B0B" id="_x0000_t202" coordsize="21600,21600" o:spt="202" path="m,l,21600r21600,l21600,xe">
                <v:stroke joinstyle="miter"/>
                <v:path gradientshapeok="t" o:connecttype="rect"/>
              </v:shapetype>
              <v:shape id="Textbox 4" o:spid="_x0000_s1026" type="#_x0000_t202" style="position:absolute;left:0;text-align:left;margin-left:104.1pt;margin-top:7.35pt;width:455.65pt;height:66.05pt;z-index:15729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064"/>
                        <w:gridCol w:w="1833"/>
                        <w:gridCol w:w="1911"/>
                        <w:gridCol w:w="1677"/>
                        <w:gridCol w:w="1443"/>
                        <w:gridCol w:w="1064"/>
                      </w:tblGrid>
                      <w:tr w:rsidR="00ED08FF" w14:paraId="3B7042B4" w14:textId="77777777">
                        <w:trPr>
                          <w:trHeight w:val="220"/>
                        </w:trPr>
                        <w:tc>
                          <w:tcPr>
                            <w:tcW w:w="1064" w:type="dxa"/>
                          </w:tcPr>
                          <w:p w14:paraId="521E5B2E" w14:textId="77777777" w:rsidR="00ED08FF" w:rsidRDefault="00000000">
                            <w:pPr>
                              <w:pStyle w:val="TableParagraph"/>
                              <w:spacing w:line="240" w:lineRule="auto"/>
                              <w:ind w:left="50"/>
                              <w:jc w:val="left"/>
                              <w:rPr>
                                <w:sz w:val="13"/>
                              </w:rPr>
                            </w:pPr>
                            <w:r>
                              <w:rPr>
                                <w:spacing w:val="-5"/>
                                <w:sz w:val="13"/>
                              </w:rPr>
                              <w:t>PBV</w:t>
                            </w:r>
                          </w:p>
                        </w:tc>
                        <w:tc>
                          <w:tcPr>
                            <w:tcW w:w="1833" w:type="dxa"/>
                          </w:tcPr>
                          <w:p w14:paraId="719CC993" w14:textId="77777777" w:rsidR="00ED08FF" w:rsidRDefault="00000000">
                            <w:pPr>
                              <w:pStyle w:val="TableParagraph"/>
                              <w:spacing w:line="240" w:lineRule="auto"/>
                              <w:ind w:left="39"/>
                              <w:rPr>
                                <w:sz w:val="13"/>
                              </w:rPr>
                            </w:pPr>
                            <w:r>
                              <w:rPr>
                                <w:spacing w:val="-2"/>
                                <w:sz w:val="13"/>
                              </w:rPr>
                              <w:t>40.000</w:t>
                            </w:r>
                          </w:p>
                        </w:tc>
                        <w:tc>
                          <w:tcPr>
                            <w:tcW w:w="1911" w:type="dxa"/>
                          </w:tcPr>
                          <w:p w14:paraId="26EE12C0" w14:textId="77777777" w:rsidR="00ED08FF" w:rsidRDefault="00000000">
                            <w:pPr>
                              <w:pStyle w:val="TableParagraph"/>
                              <w:spacing w:line="240" w:lineRule="auto"/>
                              <w:ind w:right="779"/>
                              <w:jc w:val="right"/>
                              <w:rPr>
                                <w:sz w:val="13"/>
                              </w:rPr>
                            </w:pPr>
                            <w:r>
                              <w:rPr>
                                <w:spacing w:val="-2"/>
                                <w:sz w:val="13"/>
                              </w:rPr>
                              <w:t>7.533</w:t>
                            </w:r>
                          </w:p>
                        </w:tc>
                        <w:tc>
                          <w:tcPr>
                            <w:tcW w:w="1677" w:type="dxa"/>
                          </w:tcPr>
                          <w:p w14:paraId="16521D74" w14:textId="77777777" w:rsidR="00ED08FF" w:rsidRDefault="00000000">
                            <w:pPr>
                              <w:pStyle w:val="TableParagraph"/>
                              <w:spacing w:line="240" w:lineRule="auto"/>
                              <w:ind w:right="426"/>
                              <w:jc w:val="right"/>
                              <w:rPr>
                                <w:sz w:val="13"/>
                              </w:rPr>
                            </w:pPr>
                            <w:r>
                              <w:rPr>
                                <w:spacing w:val="-2"/>
                                <w:sz w:val="13"/>
                              </w:rPr>
                              <w:t>3.155</w:t>
                            </w:r>
                          </w:p>
                        </w:tc>
                        <w:tc>
                          <w:tcPr>
                            <w:tcW w:w="1443" w:type="dxa"/>
                          </w:tcPr>
                          <w:p w14:paraId="6740AC7A" w14:textId="77777777" w:rsidR="00ED08FF" w:rsidRDefault="00000000">
                            <w:pPr>
                              <w:pStyle w:val="TableParagraph"/>
                              <w:spacing w:line="240" w:lineRule="auto"/>
                              <w:ind w:right="543"/>
                              <w:jc w:val="right"/>
                              <w:rPr>
                                <w:sz w:val="13"/>
                              </w:rPr>
                            </w:pPr>
                            <w:r>
                              <w:rPr>
                                <w:spacing w:val="-2"/>
                                <w:sz w:val="13"/>
                              </w:rPr>
                              <w:t>11.187</w:t>
                            </w:r>
                          </w:p>
                        </w:tc>
                        <w:tc>
                          <w:tcPr>
                            <w:tcW w:w="1064" w:type="dxa"/>
                          </w:tcPr>
                          <w:p w14:paraId="3725AD25" w14:textId="77777777" w:rsidR="00ED08FF" w:rsidRDefault="00000000">
                            <w:pPr>
                              <w:pStyle w:val="TableParagraph"/>
                              <w:spacing w:line="240" w:lineRule="auto"/>
                              <w:ind w:right="47"/>
                              <w:jc w:val="right"/>
                              <w:rPr>
                                <w:sz w:val="13"/>
                              </w:rPr>
                            </w:pPr>
                            <w:r>
                              <w:rPr>
                                <w:spacing w:val="-2"/>
                                <w:sz w:val="13"/>
                              </w:rPr>
                              <w:t>0.500</w:t>
                            </w:r>
                          </w:p>
                        </w:tc>
                      </w:tr>
                      <w:tr w:rsidR="00ED08FF" w14:paraId="55FA5BC6" w14:textId="77777777">
                        <w:trPr>
                          <w:trHeight w:val="294"/>
                        </w:trPr>
                        <w:tc>
                          <w:tcPr>
                            <w:tcW w:w="1064" w:type="dxa"/>
                          </w:tcPr>
                          <w:p w14:paraId="5CBBBA32" w14:textId="77777777" w:rsidR="00ED08FF" w:rsidRDefault="00000000">
                            <w:pPr>
                              <w:pStyle w:val="TableParagraph"/>
                              <w:spacing w:before="73" w:line="240" w:lineRule="auto"/>
                              <w:ind w:left="50"/>
                              <w:jc w:val="left"/>
                              <w:rPr>
                                <w:sz w:val="13"/>
                              </w:rPr>
                            </w:pPr>
                            <w:r>
                              <w:rPr>
                                <w:spacing w:val="-5"/>
                                <w:sz w:val="13"/>
                              </w:rPr>
                              <w:t>ROA</w:t>
                            </w:r>
                          </w:p>
                        </w:tc>
                        <w:tc>
                          <w:tcPr>
                            <w:tcW w:w="1833" w:type="dxa"/>
                          </w:tcPr>
                          <w:p w14:paraId="28E302F5" w14:textId="77777777" w:rsidR="00ED08FF" w:rsidRDefault="00000000">
                            <w:pPr>
                              <w:pStyle w:val="TableParagraph"/>
                              <w:spacing w:before="73" w:line="240" w:lineRule="auto"/>
                              <w:ind w:left="39"/>
                              <w:rPr>
                                <w:sz w:val="13"/>
                              </w:rPr>
                            </w:pPr>
                            <w:r>
                              <w:rPr>
                                <w:spacing w:val="-2"/>
                                <w:sz w:val="13"/>
                              </w:rPr>
                              <w:t>40.000</w:t>
                            </w:r>
                          </w:p>
                        </w:tc>
                        <w:tc>
                          <w:tcPr>
                            <w:tcW w:w="1911" w:type="dxa"/>
                          </w:tcPr>
                          <w:p w14:paraId="27F52EF9" w14:textId="77777777" w:rsidR="00ED08FF" w:rsidRDefault="00000000">
                            <w:pPr>
                              <w:pStyle w:val="TableParagraph"/>
                              <w:spacing w:before="73" w:line="240" w:lineRule="auto"/>
                              <w:ind w:right="779"/>
                              <w:jc w:val="right"/>
                              <w:rPr>
                                <w:sz w:val="13"/>
                              </w:rPr>
                            </w:pPr>
                            <w:r>
                              <w:rPr>
                                <w:spacing w:val="-2"/>
                                <w:sz w:val="13"/>
                              </w:rPr>
                              <w:t>10.397</w:t>
                            </w:r>
                          </w:p>
                        </w:tc>
                        <w:tc>
                          <w:tcPr>
                            <w:tcW w:w="1677" w:type="dxa"/>
                          </w:tcPr>
                          <w:p w14:paraId="0417C241" w14:textId="77777777" w:rsidR="00ED08FF" w:rsidRDefault="00000000">
                            <w:pPr>
                              <w:pStyle w:val="TableParagraph"/>
                              <w:spacing w:before="73" w:line="240" w:lineRule="auto"/>
                              <w:ind w:right="426"/>
                              <w:jc w:val="right"/>
                              <w:rPr>
                                <w:sz w:val="13"/>
                              </w:rPr>
                            </w:pPr>
                            <w:r>
                              <w:rPr>
                                <w:spacing w:val="-2"/>
                                <w:sz w:val="13"/>
                              </w:rPr>
                              <w:t>7.940</w:t>
                            </w:r>
                          </w:p>
                        </w:tc>
                        <w:tc>
                          <w:tcPr>
                            <w:tcW w:w="1443" w:type="dxa"/>
                          </w:tcPr>
                          <w:p w14:paraId="1E83E925" w14:textId="77777777" w:rsidR="00ED08FF" w:rsidRDefault="00000000">
                            <w:pPr>
                              <w:pStyle w:val="TableParagraph"/>
                              <w:spacing w:before="73" w:line="240" w:lineRule="auto"/>
                              <w:ind w:right="543"/>
                              <w:jc w:val="right"/>
                              <w:rPr>
                                <w:sz w:val="13"/>
                              </w:rPr>
                            </w:pPr>
                            <w:r>
                              <w:rPr>
                                <w:spacing w:val="-2"/>
                                <w:sz w:val="13"/>
                              </w:rPr>
                              <w:t>5.008</w:t>
                            </w:r>
                          </w:p>
                        </w:tc>
                        <w:tc>
                          <w:tcPr>
                            <w:tcW w:w="1064" w:type="dxa"/>
                          </w:tcPr>
                          <w:p w14:paraId="4593E664" w14:textId="77777777" w:rsidR="00ED08FF" w:rsidRDefault="00000000">
                            <w:pPr>
                              <w:pStyle w:val="TableParagraph"/>
                              <w:spacing w:before="73" w:line="240" w:lineRule="auto"/>
                              <w:ind w:right="47"/>
                              <w:jc w:val="right"/>
                              <w:rPr>
                                <w:sz w:val="13"/>
                              </w:rPr>
                            </w:pPr>
                            <w:r>
                              <w:rPr>
                                <w:spacing w:val="-2"/>
                                <w:sz w:val="13"/>
                              </w:rPr>
                              <w:t>5.950</w:t>
                            </w:r>
                          </w:p>
                        </w:tc>
                      </w:tr>
                      <w:tr w:rsidR="00ED08FF" w14:paraId="3F6D4E9E" w14:textId="77777777">
                        <w:trPr>
                          <w:trHeight w:val="293"/>
                        </w:trPr>
                        <w:tc>
                          <w:tcPr>
                            <w:tcW w:w="1064" w:type="dxa"/>
                          </w:tcPr>
                          <w:p w14:paraId="009FA5C8" w14:textId="77777777" w:rsidR="00ED08FF" w:rsidRDefault="00000000">
                            <w:pPr>
                              <w:pStyle w:val="TableParagraph"/>
                              <w:spacing w:before="73" w:line="240" w:lineRule="auto"/>
                              <w:ind w:left="50"/>
                              <w:jc w:val="left"/>
                              <w:rPr>
                                <w:sz w:val="13"/>
                              </w:rPr>
                            </w:pPr>
                            <w:r>
                              <w:rPr>
                                <w:spacing w:val="-5"/>
                                <w:sz w:val="13"/>
                              </w:rPr>
                              <w:t>DER</w:t>
                            </w:r>
                          </w:p>
                        </w:tc>
                        <w:tc>
                          <w:tcPr>
                            <w:tcW w:w="1833" w:type="dxa"/>
                          </w:tcPr>
                          <w:p w14:paraId="07A79DE3" w14:textId="77777777" w:rsidR="00ED08FF" w:rsidRDefault="00000000">
                            <w:pPr>
                              <w:pStyle w:val="TableParagraph"/>
                              <w:spacing w:before="73" w:line="240" w:lineRule="auto"/>
                              <w:ind w:left="39"/>
                              <w:rPr>
                                <w:sz w:val="13"/>
                              </w:rPr>
                            </w:pPr>
                            <w:r>
                              <w:rPr>
                                <w:spacing w:val="-2"/>
                                <w:sz w:val="13"/>
                              </w:rPr>
                              <w:t>40.000</w:t>
                            </w:r>
                          </w:p>
                        </w:tc>
                        <w:tc>
                          <w:tcPr>
                            <w:tcW w:w="1911" w:type="dxa"/>
                          </w:tcPr>
                          <w:p w14:paraId="4460B1BB" w14:textId="77777777" w:rsidR="00ED08FF" w:rsidRDefault="00000000">
                            <w:pPr>
                              <w:pStyle w:val="TableParagraph"/>
                              <w:spacing w:before="73" w:line="240" w:lineRule="auto"/>
                              <w:ind w:right="779"/>
                              <w:jc w:val="right"/>
                              <w:rPr>
                                <w:sz w:val="13"/>
                              </w:rPr>
                            </w:pPr>
                            <w:r>
                              <w:rPr>
                                <w:spacing w:val="-2"/>
                                <w:sz w:val="13"/>
                              </w:rPr>
                              <w:t>0.370</w:t>
                            </w:r>
                          </w:p>
                        </w:tc>
                        <w:tc>
                          <w:tcPr>
                            <w:tcW w:w="1677" w:type="dxa"/>
                          </w:tcPr>
                          <w:p w14:paraId="4C8F34FA" w14:textId="77777777" w:rsidR="00ED08FF" w:rsidRDefault="00000000">
                            <w:pPr>
                              <w:pStyle w:val="TableParagraph"/>
                              <w:spacing w:before="73" w:line="240" w:lineRule="auto"/>
                              <w:ind w:right="426"/>
                              <w:jc w:val="right"/>
                              <w:rPr>
                                <w:sz w:val="13"/>
                              </w:rPr>
                            </w:pPr>
                            <w:r>
                              <w:rPr>
                                <w:spacing w:val="-2"/>
                                <w:sz w:val="13"/>
                              </w:rPr>
                              <w:t>0.305</w:t>
                            </w:r>
                          </w:p>
                        </w:tc>
                        <w:tc>
                          <w:tcPr>
                            <w:tcW w:w="1443" w:type="dxa"/>
                          </w:tcPr>
                          <w:p w14:paraId="2CF03B7B" w14:textId="77777777" w:rsidR="00ED08FF" w:rsidRDefault="00000000">
                            <w:pPr>
                              <w:pStyle w:val="TableParagraph"/>
                              <w:spacing w:before="73" w:line="240" w:lineRule="auto"/>
                              <w:ind w:right="543"/>
                              <w:jc w:val="right"/>
                              <w:rPr>
                                <w:sz w:val="13"/>
                              </w:rPr>
                            </w:pPr>
                            <w:r>
                              <w:rPr>
                                <w:spacing w:val="-2"/>
                                <w:sz w:val="13"/>
                              </w:rPr>
                              <w:t>0.288</w:t>
                            </w:r>
                          </w:p>
                        </w:tc>
                        <w:tc>
                          <w:tcPr>
                            <w:tcW w:w="1064" w:type="dxa"/>
                          </w:tcPr>
                          <w:p w14:paraId="17269D4D" w14:textId="77777777" w:rsidR="00ED08FF" w:rsidRDefault="00000000">
                            <w:pPr>
                              <w:pStyle w:val="TableParagraph"/>
                              <w:spacing w:before="73" w:line="240" w:lineRule="auto"/>
                              <w:ind w:right="47"/>
                              <w:jc w:val="right"/>
                              <w:rPr>
                                <w:sz w:val="13"/>
                              </w:rPr>
                            </w:pPr>
                            <w:r>
                              <w:rPr>
                                <w:spacing w:val="-2"/>
                                <w:sz w:val="13"/>
                              </w:rPr>
                              <w:t>0.000</w:t>
                            </w:r>
                          </w:p>
                        </w:tc>
                      </w:tr>
                      <w:tr w:rsidR="00ED08FF" w14:paraId="60D12976" w14:textId="77777777">
                        <w:trPr>
                          <w:trHeight w:val="294"/>
                        </w:trPr>
                        <w:tc>
                          <w:tcPr>
                            <w:tcW w:w="1064" w:type="dxa"/>
                          </w:tcPr>
                          <w:p w14:paraId="5F6DCD5A" w14:textId="77777777" w:rsidR="00ED08FF" w:rsidRDefault="00000000">
                            <w:pPr>
                              <w:pStyle w:val="TableParagraph"/>
                              <w:spacing w:before="73" w:line="240" w:lineRule="auto"/>
                              <w:ind w:left="50"/>
                              <w:jc w:val="left"/>
                              <w:rPr>
                                <w:sz w:val="13"/>
                              </w:rPr>
                            </w:pPr>
                            <w:r>
                              <w:rPr>
                                <w:spacing w:val="-4"/>
                                <w:sz w:val="13"/>
                              </w:rPr>
                              <w:t>SIZE</w:t>
                            </w:r>
                          </w:p>
                        </w:tc>
                        <w:tc>
                          <w:tcPr>
                            <w:tcW w:w="1833" w:type="dxa"/>
                          </w:tcPr>
                          <w:p w14:paraId="126BDA41" w14:textId="77777777" w:rsidR="00ED08FF" w:rsidRDefault="00000000">
                            <w:pPr>
                              <w:pStyle w:val="TableParagraph"/>
                              <w:spacing w:before="73" w:line="240" w:lineRule="auto"/>
                              <w:ind w:left="39"/>
                              <w:rPr>
                                <w:sz w:val="13"/>
                              </w:rPr>
                            </w:pPr>
                            <w:r>
                              <w:rPr>
                                <w:spacing w:val="-2"/>
                                <w:sz w:val="13"/>
                              </w:rPr>
                              <w:t>40.000</w:t>
                            </w:r>
                          </w:p>
                        </w:tc>
                        <w:tc>
                          <w:tcPr>
                            <w:tcW w:w="1911" w:type="dxa"/>
                          </w:tcPr>
                          <w:p w14:paraId="4EA099F2" w14:textId="77777777" w:rsidR="00ED08FF" w:rsidRDefault="00000000">
                            <w:pPr>
                              <w:pStyle w:val="TableParagraph"/>
                              <w:spacing w:before="73" w:line="240" w:lineRule="auto"/>
                              <w:ind w:right="779"/>
                              <w:jc w:val="right"/>
                              <w:rPr>
                                <w:sz w:val="13"/>
                              </w:rPr>
                            </w:pPr>
                            <w:r>
                              <w:rPr>
                                <w:spacing w:val="-2"/>
                                <w:sz w:val="13"/>
                              </w:rPr>
                              <w:t>16.808</w:t>
                            </w:r>
                          </w:p>
                        </w:tc>
                        <w:tc>
                          <w:tcPr>
                            <w:tcW w:w="1677" w:type="dxa"/>
                          </w:tcPr>
                          <w:p w14:paraId="023ECACF" w14:textId="77777777" w:rsidR="00ED08FF" w:rsidRDefault="00000000">
                            <w:pPr>
                              <w:pStyle w:val="TableParagraph"/>
                              <w:spacing w:before="73" w:line="240" w:lineRule="auto"/>
                              <w:ind w:right="426"/>
                              <w:jc w:val="right"/>
                              <w:rPr>
                                <w:sz w:val="13"/>
                              </w:rPr>
                            </w:pPr>
                            <w:r>
                              <w:rPr>
                                <w:spacing w:val="-2"/>
                                <w:sz w:val="13"/>
                              </w:rPr>
                              <w:t>16.320</w:t>
                            </w:r>
                          </w:p>
                        </w:tc>
                        <w:tc>
                          <w:tcPr>
                            <w:tcW w:w="1443" w:type="dxa"/>
                          </w:tcPr>
                          <w:p w14:paraId="3DF71E46" w14:textId="77777777" w:rsidR="00ED08FF" w:rsidRDefault="00000000">
                            <w:pPr>
                              <w:pStyle w:val="TableParagraph"/>
                              <w:spacing w:before="73" w:line="240" w:lineRule="auto"/>
                              <w:ind w:right="543"/>
                              <w:jc w:val="right"/>
                              <w:rPr>
                                <w:sz w:val="13"/>
                              </w:rPr>
                            </w:pPr>
                            <w:r>
                              <w:rPr>
                                <w:spacing w:val="-2"/>
                                <w:sz w:val="13"/>
                              </w:rPr>
                              <w:t>1.354</w:t>
                            </w:r>
                          </w:p>
                        </w:tc>
                        <w:tc>
                          <w:tcPr>
                            <w:tcW w:w="1064" w:type="dxa"/>
                          </w:tcPr>
                          <w:p w14:paraId="4C512A50" w14:textId="77777777" w:rsidR="00ED08FF" w:rsidRDefault="00000000">
                            <w:pPr>
                              <w:pStyle w:val="TableParagraph"/>
                              <w:spacing w:before="73" w:line="240" w:lineRule="auto"/>
                              <w:ind w:right="47"/>
                              <w:jc w:val="right"/>
                              <w:rPr>
                                <w:sz w:val="13"/>
                              </w:rPr>
                            </w:pPr>
                            <w:r>
                              <w:rPr>
                                <w:spacing w:val="-2"/>
                                <w:sz w:val="13"/>
                              </w:rPr>
                              <w:t>15.079</w:t>
                            </w:r>
                          </w:p>
                        </w:tc>
                      </w:tr>
                      <w:tr w:rsidR="00ED08FF" w14:paraId="10CEC95D" w14:textId="77777777">
                        <w:trPr>
                          <w:trHeight w:val="220"/>
                        </w:trPr>
                        <w:tc>
                          <w:tcPr>
                            <w:tcW w:w="1064" w:type="dxa"/>
                          </w:tcPr>
                          <w:p w14:paraId="53306B02" w14:textId="77777777" w:rsidR="00ED08FF" w:rsidRDefault="00000000">
                            <w:pPr>
                              <w:pStyle w:val="TableParagraph"/>
                              <w:spacing w:before="73"/>
                              <w:ind w:left="128"/>
                              <w:jc w:val="left"/>
                              <w:rPr>
                                <w:sz w:val="13"/>
                              </w:rPr>
                            </w:pPr>
                            <w:r>
                              <w:rPr>
                                <w:spacing w:val="-5"/>
                                <w:sz w:val="13"/>
                              </w:rPr>
                              <w:t>CR</w:t>
                            </w:r>
                          </w:p>
                        </w:tc>
                        <w:tc>
                          <w:tcPr>
                            <w:tcW w:w="1833" w:type="dxa"/>
                          </w:tcPr>
                          <w:p w14:paraId="03860F16" w14:textId="77777777" w:rsidR="00ED08FF" w:rsidRDefault="00000000">
                            <w:pPr>
                              <w:pStyle w:val="TableParagraph"/>
                              <w:spacing w:before="73"/>
                              <w:ind w:left="39"/>
                              <w:rPr>
                                <w:sz w:val="13"/>
                              </w:rPr>
                            </w:pPr>
                            <w:r>
                              <w:rPr>
                                <w:spacing w:val="-2"/>
                                <w:sz w:val="13"/>
                              </w:rPr>
                              <w:t>40.000</w:t>
                            </w:r>
                          </w:p>
                        </w:tc>
                        <w:tc>
                          <w:tcPr>
                            <w:tcW w:w="1911" w:type="dxa"/>
                          </w:tcPr>
                          <w:p w14:paraId="48FD6CEC" w14:textId="77777777" w:rsidR="00ED08FF" w:rsidRDefault="00000000">
                            <w:pPr>
                              <w:pStyle w:val="TableParagraph"/>
                              <w:spacing w:before="73"/>
                              <w:ind w:right="779"/>
                              <w:jc w:val="right"/>
                              <w:rPr>
                                <w:sz w:val="13"/>
                              </w:rPr>
                            </w:pPr>
                            <w:r>
                              <w:rPr>
                                <w:spacing w:val="-2"/>
                                <w:sz w:val="13"/>
                              </w:rPr>
                              <w:t>2.384</w:t>
                            </w:r>
                          </w:p>
                        </w:tc>
                        <w:tc>
                          <w:tcPr>
                            <w:tcW w:w="1677" w:type="dxa"/>
                          </w:tcPr>
                          <w:p w14:paraId="3D4880D6" w14:textId="77777777" w:rsidR="00ED08FF" w:rsidRDefault="00000000">
                            <w:pPr>
                              <w:pStyle w:val="TableParagraph"/>
                              <w:spacing w:before="73"/>
                              <w:ind w:right="426"/>
                              <w:jc w:val="right"/>
                              <w:rPr>
                                <w:sz w:val="13"/>
                              </w:rPr>
                            </w:pPr>
                            <w:r>
                              <w:rPr>
                                <w:spacing w:val="-2"/>
                                <w:sz w:val="13"/>
                              </w:rPr>
                              <w:t>1.795</w:t>
                            </w:r>
                          </w:p>
                        </w:tc>
                        <w:tc>
                          <w:tcPr>
                            <w:tcW w:w="1443" w:type="dxa"/>
                          </w:tcPr>
                          <w:p w14:paraId="21836930" w14:textId="77777777" w:rsidR="00ED08FF" w:rsidRDefault="00000000">
                            <w:pPr>
                              <w:pStyle w:val="TableParagraph"/>
                              <w:spacing w:before="73"/>
                              <w:ind w:right="543"/>
                              <w:jc w:val="right"/>
                              <w:rPr>
                                <w:sz w:val="13"/>
                              </w:rPr>
                            </w:pPr>
                            <w:r>
                              <w:rPr>
                                <w:spacing w:val="-2"/>
                                <w:sz w:val="13"/>
                              </w:rPr>
                              <w:t>1.627</w:t>
                            </w:r>
                          </w:p>
                        </w:tc>
                        <w:tc>
                          <w:tcPr>
                            <w:tcW w:w="1064" w:type="dxa"/>
                          </w:tcPr>
                          <w:p w14:paraId="496708F0" w14:textId="77777777" w:rsidR="00ED08FF" w:rsidRDefault="00000000">
                            <w:pPr>
                              <w:pStyle w:val="TableParagraph"/>
                              <w:spacing w:before="73"/>
                              <w:ind w:right="47"/>
                              <w:jc w:val="right"/>
                              <w:rPr>
                                <w:sz w:val="13"/>
                              </w:rPr>
                            </w:pPr>
                            <w:r>
                              <w:rPr>
                                <w:spacing w:val="-2"/>
                                <w:sz w:val="13"/>
                              </w:rPr>
                              <w:t>0.450</w:t>
                            </w:r>
                          </w:p>
                        </w:tc>
                      </w:tr>
                    </w:tbl>
                    <w:p w14:paraId="680FB705" w14:textId="77777777" w:rsidR="00ED08FF" w:rsidRDefault="00ED08FF">
                      <w:pPr>
                        <w:pStyle w:val="BodyText"/>
                        <w:spacing w:before="0"/>
                        <w:ind w:left="0"/>
                      </w:pPr>
                    </w:p>
                  </w:txbxContent>
                </v:textbox>
                <w10:wrap anchorx="page"/>
              </v:shape>
            </w:pict>
          </mc:Fallback>
        </mc:AlternateContent>
      </w:r>
      <w:r>
        <w:rPr>
          <w:rFonts w:ascii="Courier New"/>
          <w:spacing w:val="-4"/>
          <w:sz w:val="13"/>
        </w:rPr>
        <w:t xml:space="preserve">max </w:t>
      </w:r>
      <w:r>
        <w:rPr>
          <w:rFonts w:ascii="Courier New"/>
          <w:spacing w:val="-2"/>
          <w:sz w:val="13"/>
        </w:rPr>
        <w:t>44.860</w:t>
      </w:r>
    </w:p>
    <w:p w14:paraId="748A65C3" w14:textId="77777777" w:rsidR="00ED08FF" w:rsidRDefault="00000000">
      <w:pPr>
        <w:spacing w:line="146" w:lineRule="exact"/>
        <w:ind w:left="145"/>
        <w:rPr>
          <w:rFonts w:ascii="Courier New"/>
          <w:sz w:val="13"/>
        </w:rPr>
      </w:pPr>
      <w:r>
        <w:rPr>
          <w:rFonts w:ascii="Courier New"/>
          <w:spacing w:val="-2"/>
          <w:sz w:val="13"/>
        </w:rPr>
        <w:t>24.250</w:t>
      </w:r>
    </w:p>
    <w:p w14:paraId="7C6ED2BC" w14:textId="77777777" w:rsidR="00ED08FF" w:rsidRDefault="00000000">
      <w:pPr>
        <w:spacing w:before="147"/>
        <w:ind w:left="145"/>
        <w:rPr>
          <w:rFonts w:ascii="Courier New"/>
          <w:sz w:val="13"/>
        </w:rPr>
      </w:pPr>
      <w:r>
        <w:rPr>
          <w:rFonts w:ascii="Courier New"/>
          <w:spacing w:val="-2"/>
          <w:sz w:val="13"/>
        </w:rPr>
        <w:t>0.920</w:t>
      </w:r>
    </w:p>
    <w:p w14:paraId="429781E3" w14:textId="77777777" w:rsidR="00ED08FF" w:rsidRDefault="00000000">
      <w:pPr>
        <w:spacing w:before="147"/>
        <w:ind w:left="145"/>
        <w:rPr>
          <w:rFonts w:ascii="Courier New"/>
          <w:sz w:val="13"/>
        </w:rPr>
      </w:pPr>
      <w:r>
        <w:rPr>
          <w:rFonts w:ascii="Courier New"/>
          <w:spacing w:val="-2"/>
          <w:sz w:val="13"/>
        </w:rPr>
        <w:t>19.200</w:t>
      </w:r>
    </w:p>
    <w:p w14:paraId="495ECA97" w14:textId="77777777" w:rsidR="00ED08FF" w:rsidRDefault="00000000">
      <w:pPr>
        <w:spacing w:before="146"/>
        <w:ind w:left="145"/>
        <w:rPr>
          <w:rFonts w:ascii="Courier New"/>
          <w:sz w:val="13"/>
        </w:rPr>
      </w:pPr>
      <w:r>
        <w:rPr>
          <w:rFonts w:ascii="Courier New"/>
          <w:spacing w:val="-2"/>
          <w:sz w:val="13"/>
        </w:rPr>
        <w:t>6.590</w:t>
      </w:r>
    </w:p>
    <w:p w14:paraId="548ED6A0" w14:textId="77777777" w:rsidR="00ED08FF" w:rsidRDefault="00000000">
      <w:pPr>
        <w:pStyle w:val="BodyText"/>
        <w:spacing w:before="0"/>
        <w:ind w:left="0" w:right="1435"/>
        <w:jc w:val="center"/>
      </w:pPr>
      <w:r>
        <w:t>N</w:t>
      </w:r>
      <w:r>
        <w:rPr>
          <w:spacing w:val="-5"/>
        </w:rPr>
        <w:t xml:space="preserve"> </w:t>
      </w:r>
      <w:r>
        <w:t>=</w:t>
      </w:r>
      <w:r>
        <w:rPr>
          <w:spacing w:val="-2"/>
        </w:rPr>
        <w:t xml:space="preserve"> </w:t>
      </w:r>
      <w:r>
        <w:t>40</w:t>
      </w:r>
      <w:r>
        <w:rPr>
          <w:spacing w:val="-2"/>
        </w:rPr>
        <w:t xml:space="preserve"> </w:t>
      </w:r>
      <w:r>
        <w:t>firm-year</w:t>
      </w:r>
      <w:r>
        <w:rPr>
          <w:spacing w:val="-2"/>
        </w:rPr>
        <w:t xml:space="preserve"> </w:t>
      </w:r>
      <w:r>
        <w:t>observations.</w:t>
      </w:r>
      <w:r>
        <w:rPr>
          <w:spacing w:val="-2"/>
        </w:rPr>
        <w:t xml:space="preserve"> </w:t>
      </w:r>
      <w:r>
        <w:t>PBV,</w:t>
      </w:r>
      <w:r>
        <w:rPr>
          <w:spacing w:val="-2"/>
        </w:rPr>
        <w:t xml:space="preserve"> </w:t>
      </w:r>
      <w:r>
        <w:t>DER,</w:t>
      </w:r>
      <w:r>
        <w:rPr>
          <w:spacing w:val="-1"/>
        </w:rPr>
        <w:t xml:space="preserve"> </w:t>
      </w:r>
      <w:r>
        <w:t>and</w:t>
      </w:r>
      <w:r>
        <w:rPr>
          <w:spacing w:val="-2"/>
        </w:rPr>
        <w:t xml:space="preserve"> </w:t>
      </w:r>
      <w:r>
        <w:t>CR</w:t>
      </w:r>
      <w:r>
        <w:rPr>
          <w:spacing w:val="-3"/>
        </w:rPr>
        <w:t xml:space="preserve"> </w:t>
      </w:r>
      <w:r>
        <w:t>are</w:t>
      </w:r>
      <w:r>
        <w:rPr>
          <w:spacing w:val="-3"/>
        </w:rPr>
        <w:t xml:space="preserve"> </w:t>
      </w:r>
      <w:r>
        <w:t>ratios;</w:t>
      </w:r>
      <w:r>
        <w:rPr>
          <w:spacing w:val="-3"/>
        </w:rPr>
        <w:t xml:space="preserve"> </w:t>
      </w:r>
      <w:r>
        <w:t>ROA</w:t>
      </w:r>
      <w:r>
        <w:rPr>
          <w:spacing w:val="-2"/>
        </w:rPr>
        <w:t xml:space="preserve"> </w:t>
      </w:r>
      <w:r>
        <w:t>is</w:t>
      </w:r>
      <w:r>
        <w:rPr>
          <w:spacing w:val="-3"/>
        </w:rPr>
        <w:t xml:space="preserve"> </w:t>
      </w:r>
      <w:r>
        <w:t>in</w:t>
      </w:r>
      <w:r>
        <w:rPr>
          <w:spacing w:val="-2"/>
        </w:rPr>
        <w:t xml:space="preserve"> </w:t>
      </w:r>
      <w:r>
        <w:t>percent;</w:t>
      </w:r>
      <w:r>
        <w:rPr>
          <w:spacing w:val="-3"/>
        </w:rPr>
        <w:t xml:space="preserve"> </w:t>
      </w:r>
      <w:r>
        <w:t>SIZE</w:t>
      </w:r>
      <w:r>
        <w:rPr>
          <w:spacing w:val="-3"/>
        </w:rPr>
        <w:t xml:space="preserve"> </w:t>
      </w:r>
      <w:r>
        <w:t>is</w:t>
      </w:r>
      <w:r>
        <w:rPr>
          <w:spacing w:val="-2"/>
        </w:rPr>
        <w:t xml:space="preserve"> </w:t>
      </w:r>
      <w:r>
        <w:t>the</w:t>
      </w:r>
      <w:r>
        <w:rPr>
          <w:spacing w:val="-3"/>
        </w:rPr>
        <w:t xml:space="preserve"> </w:t>
      </w:r>
      <w:r>
        <w:t>natural</w:t>
      </w:r>
      <w:r>
        <w:rPr>
          <w:spacing w:val="-3"/>
        </w:rPr>
        <w:t xml:space="preserve"> </w:t>
      </w:r>
      <w:r>
        <w:t>logarithm</w:t>
      </w:r>
      <w:r>
        <w:rPr>
          <w:spacing w:val="-2"/>
        </w:rPr>
        <w:t xml:space="preserve"> </w:t>
      </w:r>
      <w:r>
        <w:t>of</w:t>
      </w:r>
      <w:r>
        <w:rPr>
          <w:spacing w:val="-3"/>
        </w:rPr>
        <w:t xml:space="preserve"> </w:t>
      </w:r>
      <w:r>
        <w:t>total</w:t>
      </w:r>
      <w:r>
        <w:rPr>
          <w:spacing w:val="-2"/>
        </w:rPr>
        <w:t xml:space="preserve"> assets.</w:t>
      </w:r>
    </w:p>
    <w:p w14:paraId="06CC94D1" w14:textId="77777777" w:rsidR="00ED08FF" w:rsidRDefault="00000000">
      <w:pPr>
        <w:pStyle w:val="Heading2"/>
        <w:spacing w:before="50"/>
        <w:ind w:left="2"/>
        <w:jc w:val="center"/>
      </w:pPr>
      <w:r>
        <w:t>Figure</w:t>
      </w:r>
      <w:r>
        <w:rPr>
          <w:spacing w:val="-4"/>
        </w:rPr>
        <w:t xml:space="preserve"> </w:t>
      </w:r>
      <w:r>
        <w:t>3:</w:t>
      </w:r>
      <w:r>
        <w:rPr>
          <w:spacing w:val="-3"/>
        </w:rPr>
        <w:t xml:space="preserve"> </w:t>
      </w:r>
      <w:r>
        <w:t>Distribution</w:t>
      </w:r>
      <w:r>
        <w:rPr>
          <w:spacing w:val="-4"/>
        </w:rPr>
        <w:t xml:space="preserve"> </w:t>
      </w:r>
      <w:r>
        <w:t>of</w:t>
      </w:r>
      <w:r>
        <w:rPr>
          <w:spacing w:val="-3"/>
        </w:rPr>
        <w:t xml:space="preserve"> </w:t>
      </w:r>
      <w:r>
        <w:t>PBV</w:t>
      </w:r>
      <w:r>
        <w:rPr>
          <w:spacing w:val="-4"/>
        </w:rPr>
        <w:t xml:space="preserve"> </w:t>
      </w:r>
      <w:r>
        <w:t>by</w:t>
      </w:r>
      <w:r>
        <w:rPr>
          <w:spacing w:val="-2"/>
        </w:rPr>
        <w:t xml:space="preserve"> Company</w:t>
      </w:r>
    </w:p>
    <w:p w14:paraId="7175BD7C" w14:textId="77777777" w:rsidR="00ED08FF" w:rsidRDefault="00ED08FF">
      <w:pPr>
        <w:pStyle w:val="Heading2"/>
        <w:jc w:val="center"/>
        <w:sectPr w:rsidR="00ED08FF">
          <w:pgSz w:w="12240" w:h="15840"/>
          <w:pgMar w:top="800" w:right="720" w:bottom="900" w:left="720" w:header="0" w:footer="669" w:gutter="0"/>
          <w:cols w:space="720"/>
        </w:sectPr>
      </w:pPr>
    </w:p>
    <w:p w14:paraId="4CF33AA7" w14:textId="77777777" w:rsidR="00ED08FF" w:rsidRDefault="00000000">
      <w:pPr>
        <w:ind w:left="1487"/>
        <w:rPr>
          <w:sz w:val="20"/>
        </w:rPr>
      </w:pPr>
      <w:r>
        <w:rPr>
          <w:noProof/>
          <w:sz w:val="20"/>
        </w:rPr>
        <w:lastRenderedPageBreak/>
        <w:drawing>
          <wp:inline distT="0" distB="0" distL="0" distR="0" wp14:anchorId="55C3A90B" wp14:editId="4E38DEB1">
            <wp:extent cx="5053140" cy="2640329"/>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0" cstate="print"/>
                    <a:stretch>
                      <a:fillRect/>
                    </a:stretch>
                  </pic:blipFill>
                  <pic:spPr>
                    <a:xfrm>
                      <a:off x="0" y="0"/>
                      <a:ext cx="5053140" cy="2640329"/>
                    </a:xfrm>
                    <a:prstGeom prst="rect">
                      <a:avLst/>
                    </a:prstGeom>
                  </pic:spPr>
                </pic:pic>
              </a:graphicData>
            </a:graphic>
          </wp:inline>
        </w:drawing>
      </w:r>
    </w:p>
    <w:p w14:paraId="2A1DF535" w14:textId="77777777" w:rsidR="00ED08FF" w:rsidRDefault="00ED08FF">
      <w:pPr>
        <w:pStyle w:val="BodyText"/>
        <w:spacing w:before="0"/>
        <w:ind w:left="0"/>
        <w:rPr>
          <w:b/>
        </w:rPr>
      </w:pPr>
    </w:p>
    <w:p w14:paraId="5A54B23E" w14:textId="77777777" w:rsidR="00ED08FF" w:rsidRDefault="00ED08FF">
      <w:pPr>
        <w:pStyle w:val="BodyText"/>
        <w:spacing w:before="13"/>
        <w:ind w:left="0"/>
        <w:rPr>
          <w:b/>
        </w:rPr>
      </w:pPr>
    </w:p>
    <w:p w14:paraId="7E46D301" w14:textId="77777777" w:rsidR="00ED08FF" w:rsidRDefault="00000000">
      <w:pPr>
        <w:pStyle w:val="BodyText"/>
        <w:spacing w:line="297" w:lineRule="auto"/>
        <w:ind w:right="1802"/>
      </w:pPr>
      <w:r>
        <w:t>The average PBV is 7.533, while the median is 3.155. The difference between mean and median confirms that the distribution is right-skewed. In simple terms, a few high-PBV observations raise the average above the typical company-year</w:t>
      </w:r>
      <w:r>
        <w:rPr>
          <w:spacing w:val="-2"/>
        </w:rPr>
        <w:t xml:space="preserve"> </w:t>
      </w:r>
      <w:r>
        <w:t>observation.</w:t>
      </w:r>
      <w:r>
        <w:rPr>
          <w:spacing w:val="-2"/>
        </w:rPr>
        <w:t xml:space="preserve"> </w:t>
      </w:r>
      <w:r>
        <w:t>This</w:t>
      </w:r>
      <w:r>
        <w:rPr>
          <w:spacing w:val="-3"/>
        </w:rPr>
        <w:t xml:space="preserve"> </w:t>
      </w:r>
      <w:r>
        <w:t>is</w:t>
      </w:r>
      <w:r>
        <w:rPr>
          <w:spacing w:val="-3"/>
        </w:rPr>
        <w:t xml:space="preserve"> </w:t>
      </w:r>
      <w:r>
        <w:t>consistent</w:t>
      </w:r>
      <w:r>
        <w:rPr>
          <w:spacing w:val="-3"/>
        </w:rPr>
        <w:t xml:space="preserve"> </w:t>
      </w:r>
      <w:r>
        <w:t>with</w:t>
      </w:r>
      <w:r>
        <w:rPr>
          <w:spacing w:val="-2"/>
        </w:rPr>
        <w:t xml:space="preserve"> </w:t>
      </w:r>
      <w:r>
        <w:t>the</w:t>
      </w:r>
      <w:r>
        <w:rPr>
          <w:spacing w:val="-3"/>
        </w:rPr>
        <w:t xml:space="preserve"> </w:t>
      </w:r>
      <w:r>
        <w:t>boxplot</w:t>
      </w:r>
      <w:r>
        <w:rPr>
          <w:spacing w:val="-3"/>
        </w:rPr>
        <w:t xml:space="preserve"> </w:t>
      </w:r>
      <w:r>
        <w:t>in</w:t>
      </w:r>
      <w:r>
        <w:rPr>
          <w:spacing w:val="-2"/>
        </w:rPr>
        <w:t xml:space="preserve"> </w:t>
      </w:r>
      <w:r>
        <w:t>Figure</w:t>
      </w:r>
      <w:r>
        <w:rPr>
          <w:spacing w:val="-3"/>
        </w:rPr>
        <w:t xml:space="preserve"> </w:t>
      </w:r>
      <w:r>
        <w:t>3,</w:t>
      </w:r>
      <w:r>
        <w:rPr>
          <w:spacing w:val="-2"/>
        </w:rPr>
        <w:t xml:space="preserve"> </w:t>
      </w:r>
      <w:r>
        <w:t>where</w:t>
      </w:r>
      <w:r>
        <w:rPr>
          <w:spacing w:val="-3"/>
        </w:rPr>
        <w:t xml:space="preserve"> </w:t>
      </w:r>
      <w:r>
        <w:t>UNVR</w:t>
      </w:r>
      <w:r>
        <w:rPr>
          <w:spacing w:val="-3"/>
        </w:rPr>
        <w:t xml:space="preserve"> </w:t>
      </w:r>
      <w:r>
        <w:t>is</w:t>
      </w:r>
      <w:r>
        <w:rPr>
          <w:spacing w:val="-3"/>
        </w:rPr>
        <w:t xml:space="preserve"> </w:t>
      </w:r>
      <w:r>
        <w:t>visually</w:t>
      </w:r>
      <w:r>
        <w:rPr>
          <w:spacing w:val="-2"/>
        </w:rPr>
        <w:t xml:space="preserve"> </w:t>
      </w:r>
      <w:r>
        <w:t>separated</w:t>
      </w:r>
      <w:r>
        <w:rPr>
          <w:spacing w:val="-2"/>
        </w:rPr>
        <w:t xml:space="preserve"> </w:t>
      </w:r>
      <w:r>
        <w:t>from</w:t>
      </w:r>
      <w:r>
        <w:rPr>
          <w:spacing w:val="-3"/>
        </w:rPr>
        <w:t xml:space="preserve"> </w:t>
      </w:r>
      <w:r>
        <w:t>most</w:t>
      </w:r>
      <w:r>
        <w:rPr>
          <w:spacing w:val="-3"/>
        </w:rPr>
        <w:t xml:space="preserve"> </w:t>
      </w:r>
      <w:r>
        <w:t>other</w:t>
      </w:r>
      <w:r>
        <w:rPr>
          <w:spacing w:val="-2"/>
        </w:rPr>
        <w:t xml:space="preserve"> </w:t>
      </w:r>
      <w:r>
        <w:t>firms. The average ROA is 10.397 percent. The minimum ROA is 5.950 percent and the maximum is 24.250 percent. These values indicate that all sampled firm-years are profitable, but profitability strength varies substantially. This variation is necessary for testing the profitability hypothesis.</w:t>
      </w:r>
    </w:p>
    <w:p w14:paraId="7E19CF6F" w14:textId="77777777" w:rsidR="00ED08FF" w:rsidRDefault="00000000">
      <w:pPr>
        <w:pStyle w:val="BodyText"/>
        <w:spacing w:before="2" w:line="297" w:lineRule="auto"/>
        <w:ind w:right="1903"/>
      </w:pPr>
      <w:r>
        <w:t>The average DER is 0.370. The values show that leverage is generally moderate in this sample, with several firms operating with very low debt ratios. The average current ratio is 2.384, but the dispersion is wide. Some companies maintain</w:t>
      </w:r>
      <w:r>
        <w:rPr>
          <w:spacing w:val="-3"/>
        </w:rPr>
        <w:t xml:space="preserve"> </w:t>
      </w:r>
      <w:r>
        <w:t>very</w:t>
      </w:r>
      <w:r>
        <w:rPr>
          <w:spacing w:val="-3"/>
        </w:rPr>
        <w:t xml:space="preserve"> </w:t>
      </w:r>
      <w:r>
        <w:t>high</w:t>
      </w:r>
      <w:r>
        <w:rPr>
          <w:spacing w:val="-3"/>
        </w:rPr>
        <w:t xml:space="preserve"> </w:t>
      </w:r>
      <w:r>
        <w:t>liquidity,</w:t>
      </w:r>
      <w:r>
        <w:rPr>
          <w:spacing w:val="-3"/>
        </w:rPr>
        <w:t xml:space="preserve"> </w:t>
      </w:r>
      <w:r>
        <w:t>while</w:t>
      </w:r>
      <w:r>
        <w:rPr>
          <w:spacing w:val="-3"/>
        </w:rPr>
        <w:t xml:space="preserve"> </w:t>
      </w:r>
      <w:r>
        <w:t>others</w:t>
      </w:r>
      <w:r>
        <w:rPr>
          <w:spacing w:val="-3"/>
        </w:rPr>
        <w:t xml:space="preserve"> </w:t>
      </w:r>
      <w:r>
        <w:t>operate</w:t>
      </w:r>
      <w:r>
        <w:rPr>
          <w:spacing w:val="-3"/>
        </w:rPr>
        <w:t xml:space="preserve"> </w:t>
      </w:r>
      <w:r>
        <w:t>close</w:t>
      </w:r>
      <w:r>
        <w:rPr>
          <w:spacing w:val="-3"/>
        </w:rPr>
        <w:t xml:space="preserve"> </w:t>
      </w:r>
      <w:r>
        <w:t>to</w:t>
      </w:r>
      <w:r>
        <w:rPr>
          <w:spacing w:val="-3"/>
        </w:rPr>
        <w:t xml:space="preserve"> </w:t>
      </w:r>
      <w:r>
        <w:t>one.</w:t>
      </w:r>
      <w:r>
        <w:rPr>
          <w:spacing w:val="-3"/>
        </w:rPr>
        <w:t xml:space="preserve"> </w:t>
      </w:r>
      <w:r>
        <w:t>This</w:t>
      </w:r>
      <w:r>
        <w:rPr>
          <w:spacing w:val="-3"/>
        </w:rPr>
        <w:t xml:space="preserve"> </w:t>
      </w:r>
      <w:r>
        <w:t>supports</w:t>
      </w:r>
      <w:r>
        <w:rPr>
          <w:spacing w:val="-3"/>
        </w:rPr>
        <w:t xml:space="preserve"> </w:t>
      </w:r>
      <w:r>
        <w:t>the</w:t>
      </w:r>
      <w:r>
        <w:rPr>
          <w:spacing w:val="-3"/>
        </w:rPr>
        <w:t xml:space="preserve"> </w:t>
      </w:r>
      <w:r>
        <w:t>argument</w:t>
      </w:r>
      <w:r>
        <w:rPr>
          <w:spacing w:val="-3"/>
        </w:rPr>
        <w:t xml:space="preserve"> </w:t>
      </w:r>
      <w:r>
        <w:t>that</w:t>
      </w:r>
      <w:r>
        <w:rPr>
          <w:spacing w:val="-3"/>
        </w:rPr>
        <w:t xml:space="preserve"> </w:t>
      </w:r>
      <w:r>
        <w:t>liquidity</w:t>
      </w:r>
      <w:r>
        <w:rPr>
          <w:spacing w:val="-3"/>
        </w:rPr>
        <w:t xml:space="preserve"> </w:t>
      </w:r>
      <w:r>
        <w:t>policies</w:t>
      </w:r>
      <w:r>
        <w:rPr>
          <w:spacing w:val="-3"/>
        </w:rPr>
        <w:t xml:space="preserve"> </w:t>
      </w:r>
      <w:r>
        <w:t>differ across business models.</w:t>
      </w:r>
    </w:p>
    <w:p w14:paraId="3F37E21D" w14:textId="77777777" w:rsidR="00ED08FF" w:rsidRDefault="00ED08FF">
      <w:pPr>
        <w:pStyle w:val="BodyText"/>
        <w:spacing w:line="297" w:lineRule="auto"/>
        <w:sectPr w:rsidR="00ED08FF">
          <w:pgSz w:w="12240" w:h="15840"/>
          <w:pgMar w:top="1040" w:right="720" w:bottom="900" w:left="720" w:header="0" w:footer="669" w:gutter="0"/>
          <w:cols w:space="720"/>
        </w:sectPr>
      </w:pPr>
    </w:p>
    <w:p w14:paraId="5DEA5810" w14:textId="77777777" w:rsidR="00ED08FF" w:rsidRDefault="00ED08FF">
      <w:pPr>
        <w:pStyle w:val="BodyText"/>
        <w:spacing w:before="0"/>
        <w:ind w:left="0"/>
        <w:rPr>
          <w:sz w:val="13"/>
        </w:rPr>
      </w:pPr>
    </w:p>
    <w:p w14:paraId="02413C60" w14:textId="77777777" w:rsidR="00ED08FF" w:rsidRDefault="00ED08FF">
      <w:pPr>
        <w:pStyle w:val="BodyText"/>
        <w:spacing w:before="106"/>
        <w:ind w:left="0"/>
        <w:rPr>
          <w:sz w:val="13"/>
        </w:rPr>
      </w:pPr>
    </w:p>
    <w:p w14:paraId="1BB5EB32" w14:textId="77777777" w:rsidR="00ED08FF" w:rsidRDefault="00000000">
      <w:pPr>
        <w:spacing w:line="480" w:lineRule="auto"/>
        <w:ind w:left="145" w:right="31"/>
        <w:rPr>
          <w:rFonts w:ascii="Courier New"/>
          <w:sz w:val="13"/>
        </w:rPr>
      </w:pPr>
      <w:r>
        <w:rPr>
          <w:rFonts w:ascii="Courier New"/>
          <w:spacing w:val="-6"/>
          <w:sz w:val="13"/>
        </w:rPr>
        <w:t xml:space="preserve">CR </w:t>
      </w:r>
      <w:r>
        <w:rPr>
          <w:rFonts w:ascii="Courier New"/>
          <w:spacing w:val="-2"/>
          <w:sz w:val="13"/>
        </w:rPr>
        <w:t>0.592</w:t>
      </w:r>
    </w:p>
    <w:p w14:paraId="2D0C991C" w14:textId="77777777" w:rsidR="00ED08FF" w:rsidRDefault="00000000">
      <w:pPr>
        <w:spacing w:line="146" w:lineRule="exact"/>
        <w:ind w:left="145"/>
        <w:rPr>
          <w:rFonts w:ascii="Courier New"/>
          <w:sz w:val="13"/>
        </w:rPr>
      </w:pPr>
      <w:r>
        <w:rPr>
          <w:rFonts w:ascii="Courier New"/>
          <w:spacing w:val="-2"/>
          <w:sz w:val="13"/>
        </w:rPr>
        <w:t>0.978</w:t>
      </w:r>
    </w:p>
    <w:p w14:paraId="575A9DA3" w14:textId="77777777" w:rsidR="00ED08FF" w:rsidRDefault="00000000">
      <w:pPr>
        <w:spacing w:before="147"/>
        <w:ind w:left="145"/>
        <w:rPr>
          <w:rFonts w:ascii="Courier New"/>
          <w:sz w:val="13"/>
        </w:rPr>
      </w:pPr>
      <w:r>
        <w:rPr>
          <w:rFonts w:ascii="Courier New"/>
          <w:spacing w:val="-2"/>
          <w:sz w:val="13"/>
        </w:rPr>
        <w:t>3.956</w:t>
      </w:r>
    </w:p>
    <w:p w14:paraId="4A5E6795" w14:textId="77777777" w:rsidR="00ED08FF" w:rsidRDefault="00000000">
      <w:pPr>
        <w:spacing w:before="146"/>
        <w:ind w:left="145"/>
        <w:rPr>
          <w:rFonts w:ascii="Courier New"/>
          <w:sz w:val="13"/>
        </w:rPr>
      </w:pPr>
      <w:r>
        <w:rPr>
          <w:rFonts w:ascii="Courier New"/>
          <w:spacing w:val="-2"/>
          <w:sz w:val="13"/>
        </w:rPr>
        <w:t>1.550</w:t>
      </w:r>
    </w:p>
    <w:p w14:paraId="22B89227" w14:textId="77777777" w:rsidR="00ED08FF" w:rsidRDefault="00ED08FF">
      <w:pPr>
        <w:pStyle w:val="BodyText"/>
        <w:spacing w:before="0"/>
        <w:ind w:left="0"/>
        <w:rPr>
          <w:rFonts w:ascii="Courier New"/>
          <w:sz w:val="13"/>
        </w:rPr>
      </w:pPr>
    </w:p>
    <w:p w14:paraId="1DCB9F89" w14:textId="77777777" w:rsidR="00ED08FF" w:rsidRDefault="00000000">
      <w:pPr>
        <w:ind w:left="145"/>
        <w:rPr>
          <w:rFonts w:ascii="Courier New"/>
          <w:sz w:val="13"/>
        </w:rPr>
      </w:pPr>
      <w:r>
        <w:rPr>
          <w:rFonts w:ascii="Courier New"/>
          <w:spacing w:val="-2"/>
          <w:sz w:val="13"/>
        </w:rPr>
        <w:t>1.914</w:t>
      </w:r>
    </w:p>
    <w:p w14:paraId="27B41B8B" w14:textId="77777777" w:rsidR="00ED08FF" w:rsidRDefault="00ED08FF">
      <w:pPr>
        <w:pStyle w:val="BodyText"/>
        <w:spacing w:before="0"/>
        <w:ind w:left="0"/>
        <w:rPr>
          <w:rFonts w:ascii="Courier New"/>
          <w:sz w:val="13"/>
        </w:rPr>
      </w:pPr>
    </w:p>
    <w:p w14:paraId="439175FE" w14:textId="77777777" w:rsidR="00ED08FF" w:rsidRDefault="00ED08FF">
      <w:pPr>
        <w:pStyle w:val="BodyText"/>
        <w:spacing w:before="109"/>
        <w:ind w:left="0"/>
        <w:rPr>
          <w:rFonts w:ascii="Courier New"/>
          <w:sz w:val="13"/>
        </w:rPr>
      </w:pPr>
    </w:p>
    <w:p w14:paraId="3E686A97" w14:textId="77777777" w:rsidR="00ED08FF" w:rsidRDefault="00000000">
      <w:pPr>
        <w:ind w:left="145"/>
        <w:rPr>
          <w:rFonts w:ascii="Courier New"/>
          <w:sz w:val="13"/>
        </w:rPr>
      </w:pPr>
      <w:r>
        <w:rPr>
          <w:rFonts w:ascii="Courier New"/>
          <w:spacing w:val="-2"/>
          <w:sz w:val="13"/>
        </w:rPr>
        <w:t>4.888</w:t>
      </w:r>
    </w:p>
    <w:p w14:paraId="46CDEA1D" w14:textId="77777777" w:rsidR="00ED08FF" w:rsidRDefault="00000000">
      <w:pPr>
        <w:pStyle w:val="Heading2"/>
        <w:spacing w:before="1"/>
        <w:ind w:left="1392"/>
      </w:pPr>
      <w:r>
        <w:rPr>
          <w:b w:val="0"/>
        </w:rPr>
        <w:br w:type="column"/>
      </w:r>
      <w:r>
        <w:t>Table</w:t>
      </w:r>
      <w:r>
        <w:rPr>
          <w:spacing w:val="-6"/>
        </w:rPr>
        <w:t xml:space="preserve"> </w:t>
      </w:r>
      <w:r>
        <w:t>6:</w:t>
      </w:r>
      <w:r>
        <w:rPr>
          <w:spacing w:val="-4"/>
        </w:rPr>
        <w:t xml:space="preserve"> </w:t>
      </w:r>
      <w:r>
        <w:t>Company-Level</w:t>
      </w:r>
      <w:r>
        <w:rPr>
          <w:spacing w:val="-5"/>
        </w:rPr>
        <w:t xml:space="preserve"> </w:t>
      </w:r>
      <w:r>
        <w:t>Average</w:t>
      </w:r>
      <w:r>
        <w:rPr>
          <w:spacing w:val="-6"/>
        </w:rPr>
        <w:t xml:space="preserve"> </w:t>
      </w:r>
      <w:r>
        <w:t>of</w:t>
      </w:r>
      <w:r>
        <w:rPr>
          <w:spacing w:val="-4"/>
        </w:rPr>
        <w:t xml:space="preserve"> </w:t>
      </w:r>
      <w:r>
        <w:t>Research</w:t>
      </w:r>
      <w:r>
        <w:rPr>
          <w:spacing w:val="-5"/>
        </w:rPr>
        <w:t xml:space="preserve"> </w:t>
      </w:r>
      <w:r>
        <w:rPr>
          <w:spacing w:val="-2"/>
        </w:rPr>
        <w:t>Variables</w:t>
      </w:r>
    </w:p>
    <w:p w14:paraId="649B2A68" w14:textId="77777777" w:rsidR="00ED08FF" w:rsidRDefault="00000000">
      <w:pPr>
        <w:tabs>
          <w:tab w:val="left" w:pos="3058"/>
        </w:tabs>
        <w:spacing w:before="50"/>
        <w:ind w:left="641"/>
        <w:rPr>
          <w:rFonts w:ascii="Courier New"/>
          <w:sz w:val="13"/>
        </w:rPr>
      </w:pPr>
      <w:r>
        <w:rPr>
          <w:rFonts w:ascii="Courier New"/>
          <w:noProof/>
          <w:sz w:val="13"/>
        </w:rPr>
        <mc:AlternateContent>
          <mc:Choice Requires="wps">
            <w:drawing>
              <wp:anchor distT="0" distB="0" distL="0" distR="0" simplePos="0" relativeHeight="15730176" behindDoc="0" locked="0" layoutInCell="1" allowOverlap="1" wp14:anchorId="76C40204" wp14:editId="588E4BDD">
                <wp:simplePos x="0" y="0"/>
                <wp:positionH relativeFrom="page">
                  <wp:posOffset>5086928</wp:posOffset>
                </wp:positionH>
                <wp:positionV relativeFrom="paragraph">
                  <wp:posOffset>31904</wp:posOffset>
                </wp:positionV>
                <wp:extent cx="1873250" cy="1910714"/>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3250" cy="1910714"/>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635"/>
                              <w:gridCol w:w="819"/>
                              <w:gridCol w:w="741"/>
                              <w:gridCol w:w="635"/>
                            </w:tblGrid>
                            <w:tr w:rsidR="00ED08FF" w14:paraId="13D7C54B" w14:textId="77777777">
                              <w:trPr>
                                <w:trHeight w:val="220"/>
                              </w:trPr>
                              <w:tc>
                                <w:tcPr>
                                  <w:tcW w:w="635" w:type="dxa"/>
                                </w:tcPr>
                                <w:p w14:paraId="4E859CF0" w14:textId="77777777" w:rsidR="00ED08FF" w:rsidRDefault="00000000">
                                  <w:pPr>
                                    <w:pStyle w:val="TableParagraph"/>
                                    <w:spacing w:line="240" w:lineRule="auto"/>
                                    <w:ind w:right="144"/>
                                    <w:rPr>
                                      <w:sz w:val="13"/>
                                    </w:rPr>
                                  </w:pPr>
                                  <w:r>
                                    <w:rPr>
                                      <w:spacing w:val="-5"/>
                                      <w:sz w:val="13"/>
                                    </w:rPr>
                                    <w:t>PBV</w:t>
                                  </w:r>
                                </w:p>
                              </w:tc>
                              <w:tc>
                                <w:tcPr>
                                  <w:tcW w:w="819" w:type="dxa"/>
                                </w:tcPr>
                                <w:p w14:paraId="76E294DA" w14:textId="77777777" w:rsidR="00ED08FF" w:rsidRDefault="00000000">
                                  <w:pPr>
                                    <w:pStyle w:val="TableParagraph"/>
                                    <w:spacing w:line="240" w:lineRule="auto"/>
                                    <w:ind w:left="195"/>
                                    <w:jc w:val="left"/>
                                    <w:rPr>
                                      <w:sz w:val="13"/>
                                    </w:rPr>
                                  </w:pPr>
                                  <w:r>
                                    <w:rPr>
                                      <w:spacing w:val="-5"/>
                                      <w:sz w:val="13"/>
                                    </w:rPr>
                                    <w:t>ROA</w:t>
                                  </w:r>
                                </w:p>
                              </w:tc>
                              <w:tc>
                                <w:tcPr>
                                  <w:tcW w:w="741" w:type="dxa"/>
                                </w:tcPr>
                                <w:p w14:paraId="6D755E16" w14:textId="77777777" w:rsidR="00ED08FF" w:rsidRDefault="00000000">
                                  <w:pPr>
                                    <w:pStyle w:val="TableParagraph"/>
                                    <w:spacing w:line="240" w:lineRule="auto"/>
                                    <w:ind w:left="234"/>
                                    <w:jc w:val="left"/>
                                    <w:rPr>
                                      <w:sz w:val="13"/>
                                    </w:rPr>
                                  </w:pPr>
                                  <w:r>
                                    <w:rPr>
                                      <w:spacing w:val="-5"/>
                                      <w:sz w:val="13"/>
                                    </w:rPr>
                                    <w:t>DER</w:t>
                                  </w:r>
                                </w:p>
                              </w:tc>
                              <w:tc>
                                <w:tcPr>
                                  <w:tcW w:w="635" w:type="dxa"/>
                                </w:tcPr>
                                <w:p w14:paraId="4AA76B9A" w14:textId="77777777" w:rsidR="00ED08FF" w:rsidRDefault="00000000">
                                  <w:pPr>
                                    <w:pStyle w:val="TableParagraph"/>
                                    <w:spacing w:line="240" w:lineRule="auto"/>
                                    <w:ind w:left="67"/>
                                    <w:rPr>
                                      <w:sz w:val="13"/>
                                    </w:rPr>
                                  </w:pPr>
                                  <w:r>
                                    <w:rPr>
                                      <w:spacing w:val="-4"/>
                                      <w:sz w:val="13"/>
                                    </w:rPr>
                                    <w:t>SIZE</w:t>
                                  </w:r>
                                </w:p>
                              </w:tc>
                            </w:tr>
                            <w:tr w:rsidR="00ED08FF" w14:paraId="28340472" w14:textId="77777777">
                              <w:trPr>
                                <w:trHeight w:val="294"/>
                              </w:trPr>
                              <w:tc>
                                <w:tcPr>
                                  <w:tcW w:w="635" w:type="dxa"/>
                                </w:tcPr>
                                <w:p w14:paraId="57B8999F" w14:textId="77777777" w:rsidR="00ED08FF" w:rsidRDefault="00000000">
                                  <w:pPr>
                                    <w:pStyle w:val="TableParagraph"/>
                                    <w:spacing w:before="73" w:line="240" w:lineRule="auto"/>
                                    <w:ind w:right="66"/>
                                    <w:rPr>
                                      <w:sz w:val="13"/>
                                    </w:rPr>
                                  </w:pPr>
                                  <w:r>
                                    <w:rPr>
                                      <w:spacing w:val="-2"/>
                                      <w:sz w:val="13"/>
                                    </w:rPr>
                                    <w:t>35.300</w:t>
                                  </w:r>
                                </w:p>
                              </w:tc>
                              <w:tc>
                                <w:tcPr>
                                  <w:tcW w:w="819" w:type="dxa"/>
                                </w:tcPr>
                                <w:p w14:paraId="5FEA5E9F" w14:textId="77777777" w:rsidR="00ED08FF" w:rsidRDefault="00000000">
                                  <w:pPr>
                                    <w:pStyle w:val="TableParagraph"/>
                                    <w:spacing w:before="73" w:line="240" w:lineRule="auto"/>
                                    <w:ind w:left="117"/>
                                    <w:jc w:val="left"/>
                                    <w:rPr>
                                      <w:sz w:val="13"/>
                                    </w:rPr>
                                  </w:pPr>
                                  <w:r>
                                    <w:rPr>
                                      <w:spacing w:val="-2"/>
                                      <w:sz w:val="13"/>
                                    </w:rPr>
                                    <w:t>20.170</w:t>
                                  </w:r>
                                </w:p>
                              </w:tc>
                              <w:tc>
                                <w:tcPr>
                                  <w:tcW w:w="741" w:type="dxa"/>
                                </w:tcPr>
                                <w:p w14:paraId="3D3CEF40" w14:textId="77777777" w:rsidR="00ED08FF" w:rsidRDefault="00000000">
                                  <w:pPr>
                                    <w:pStyle w:val="TableParagraph"/>
                                    <w:spacing w:before="73" w:line="240" w:lineRule="auto"/>
                                    <w:ind w:left="234"/>
                                    <w:jc w:val="left"/>
                                    <w:rPr>
                                      <w:sz w:val="13"/>
                                    </w:rPr>
                                  </w:pPr>
                                  <w:r>
                                    <w:rPr>
                                      <w:spacing w:val="-2"/>
                                      <w:sz w:val="13"/>
                                    </w:rPr>
                                    <w:t>0.446</w:t>
                                  </w:r>
                                </w:p>
                              </w:tc>
                              <w:tc>
                                <w:tcPr>
                                  <w:tcW w:w="635" w:type="dxa"/>
                                </w:tcPr>
                                <w:p w14:paraId="65B33CE5" w14:textId="77777777" w:rsidR="00ED08FF" w:rsidRDefault="00000000">
                                  <w:pPr>
                                    <w:pStyle w:val="TableParagraph"/>
                                    <w:spacing w:before="73" w:line="240" w:lineRule="auto"/>
                                    <w:ind w:left="67"/>
                                    <w:rPr>
                                      <w:sz w:val="13"/>
                                    </w:rPr>
                                  </w:pPr>
                                  <w:r>
                                    <w:rPr>
                                      <w:spacing w:val="-2"/>
                                      <w:sz w:val="13"/>
                                    </w:rPr>
                                    <w:t>16.704</w:t>
                                  </w:r>
                                </w:p>
                              </w:tc>
                            </w:tr>
                            <w:tr w:rsidR="00ED08FF" w14:paraId="4DD24FAA" w14:textId="77777777">
                              <w:trPr>
                                <w:trHeight w:val="293"/>
                              </w:trPr>
                              <w:tc>
                                <w:tcPr>
                                  <w:tcW w:w="635" w:type="dxa"/>
                                </w:tcPr>
                                <w:p w14:paraId="6E9B486D" w14:textId="77777777" w:rsidR="00ED08FF" w:rsidRDefault="00000000">
                                  <w:pPr>
                                    <w:pStyle w:val="TableParagraph"/>
                                    <w:spacing w:before="73" w:line="240" w:lineRule="auto"/>
                                    <w:ind w:left="77" w:right="66"/>
                                    <w:rPr>
                                      <w:sz w:val="13"/>
                                    </w:rPr>
                                  </w:pPr>
                                  <w:r>
                                    <w:rPr>
                                      <w:spacing w:val="-2"/>
                                      <w:sz w:val="13"/>
                                    </w:rPr>
                                    <w:t>6.722</w:t>
                                  </w:r>
                                </w:p>
                              </w:tc>
                              <w:tc>
                                <w:tcPr>
                                  <w:tcW w:w="819" w:type="dxa"/>
                                </w:tcPr>
                                <w:p w14:paraId="56367495" w14:textId="77777777" w:rsidR="00ED08FF" w:rsidRDefault="00000000">
                                  <w:pPr>
                                    <w:pStyle w:val="TableParagraph"/>
                                    <w:spacing w:before="73" w:line="240" w:lineRule="auto"/>
                                    <w:ind w:right="233"/>
                                    <w:jc w:val="right"/>
                                    <w:rPr>
                                      <w:sz w:val="13"/>
                                    </w:rPr>
                                  </w:pPr>
                                  <w:r>
                                    <w:rPr>
                                      <w:spacing w:val="-2"/>
                                      <w:sz w:val="13"/>
                                    </w:rPr>
                                    <w:t>7.362</w:t>
                                  </w:r>
                                </w:p>
                              </w:tc>
                              <w:tc>
                                <w:tcPr>
                                  <w:tcW w:w="741" w:type="dxa"/>
                                </w:tcPr>
                                <w:p w14:paraId="0223630E" w14:textId="77777777" w:rsidR="00ED08FF" w:rsidRDefault="00000000">
                                  <w:pPr>
                                    <w:pStyle w:val="TableParagraph"/>
                                    <w:spacing w:before="73" w:line="240" w:lineRule="auto"/>
                                    <w:ind w:left="234"/>
                                    <w:jc w:val="left"/>
                                    <w:rPr>
                                      <w:sz w:val="13"/>
                                    </w:rPr>
                                  </w:pPr>
                                  <w:r>
                                    <w:rPr>
                                      <w:spacing w:val="-2"/>
                                      <w:sz w:val="13"/>
                                    </w:rPr>
                                    <w:t>0.194</w:t>
                                  </w:r>
                                </w:p>
                              </w:tc>
                              <w:tc>
                                <w:tcPr>
                                  <w:tcW w:w="635" w:type="dxa"/>
                                </w:tcPr>
                                <w:p w14:paraId="229BCB48" w14:textId="77777777" w:rsidR="00ED08FF" w:rsidRDefault="00000000">
                                  <w:pPr>
                                    <w:pStyle w:val="TableParagraph"/>
                                    <w:spacing w:before="73" w:line="240" w:lineRule="auto"/>
                                    <w:ind w:left="67"/>
                                    <w:rPr>
                                      <w:sz w:val="13"/>
                                    </w:rPr>
                                  </w:pPr>
                                  <w:r>
                                    <w:rPr>
                                      <w:spacing w:val="-2"/>
                                      <w:sz w:val="13"/>
                                    </w:rPr>
                                    <w:t>17.351</w:t>
                                  </w:r>
                                </w:p>
                              </w:tc>
                            </w:tr>
                            <w:tr w:rsidR="00ED08FF" w14:paraId="6DFC975E" w14:textId="77777777">
                              <w:trPr>
                                <w:trHeight w:val="294"/>
                              </w:trPr>
                              <w:tc>
                                <w:tcPr>
                                  <w:tcW w:w="635" w:type="dxa"/>
                                </w:tcPr>
                                <w:p w14:paraId="18471AAE" w14:textId="77777777" w:rsidR="00ED08FF" w:rsidRDefault="00000000">
                                  <w:pPr>
                                    <w:pStyle w:val="TableParagraph"/>
                                    <w:spacing w:before="73" w:line="240" w:lineRule="auto"/>
                                    <w:ind w:left="77" w:right="66"/>
                                    <w:rPr>
                                      <w:sz w:val="13"/>
                                    </w:rPr>
                                  </w:pPr>
                                  <w:r>
                                    <w:rPr>
                                      <w:spacing w:val="-2"/>
                                      <w:sz w:val="13"/>
                                    </w:rPr>
                                    <w:t>6.094</w:t>
                                  </w:r>
                                </w:p>
                              </w:tc>
                              <w:tc>
                                <w:tcPr>
                                  <w:tcW w:w="819" w:type="dxa"/>
                                </w:tcPr>
                                <w:p w14:paraId="7AD74A97" w14:textId="77777777" w:rsidR="00ED08FF" w:rsidRDefault="00000000">
                                  <w:pPr>
                                    <w:pStyle w:val="TableParagraph"/>
                                    <w:spacing w:before="73" w:line="240" w:lineRule="auto"/>
                                    <w:ind w:left="117"/>
                                    <w:jc w:val="left"/>
                                    <w:rPr>
                                      <w:sz w:val="13"/>
                                    </w:rPr>
                                  </w:pPr>
                                  <w:r>
                                    <w:rPr>
                                      <w:spacing w:val="-2"/>
                                      <w:sz w:val="13"/>
                                    </w:rPr>
                                    <w:t>15.178</w:t>
                                  </w:r>
                                </w:p>
                              </w:tc>
                              <w:tc>
                                <w:tcPr>
                                  <w:tcW w:w="741" w:type="dxa"/>
                                </w:tcPr>
                                <w:p w14:paraId="30558AB4" w14:textId="77777777" w:rsidR="00ED08FF" w:rsidRDefault="00000000">
                                  <w:pPr>
                                    <w:pStyle w:val="TableParagraph"/>
                                    <w:spacing w:before="73" w:line="240" w:lineRule="auto"/>
                                    <w:ind w:left="234"/>
                                    <w:jc w:val="left"/>
                                    <w:rPr>
                                      <w:sz w:val="13"/>
                                    </w:rPr>
                                  </w:pPr>
                                  <w:r>
                                    <w:rPr>
                                      <w:spacing w:val="-2"/>
                                      <w:sz w:val="13"/>
                                    </w:rPr>
                                    <w:t>0.004</w:t>
                                  </w:r>
                                </w:p>
                              </w:tc>
                              <w:tc>
                                <w:tcPr>
                                  <w:tcW w:w="635" w:type="dxa"/>
                                </w:tcPr>
                                <w:p w14:paraId="5CB6DB01" w14:textId="77777777" w:rsidR="00ED08FF" w:rsidRDefault="00000000">
                                  <w:pPr>
                                    <w:pStyle w:val="TableParagraph"/>
                                    <w:spacing w:before="73" w:line="240" w:lineRule="auto"/>
                                    <w:ind w:left="67"/>
                                    <w:rPr>
                                      <w:sz w:val="13"/>
                                    </w:rPr>
                                  </w:pPr>
                                  <w:r>
                                    <w:rPr>
                                      <w:spacing w:val="-2"/>
                                      <w:sz w:val="13"/>
                                    </w:rPr>
                                    <w:t>15.771</w:t>
                                  </w:r>
                                </w:p>
                              </w:tc>
                            </w:tr>
                            <w:tr w:rsidR="00ED08FF" w14:paraId="098B44E5" w14:textId="77777777">
                              <w:trPr>
                                <w:trHeight w:val="294"/>
                              </w:trPr>
                              <w:tc>
                                <w:tcPr>
                                  <w:tcW w:w="635" w:type="dxa"/>
                                </w:tcPr>
                                <w:p w14:paraId="0E47E178" w14:textId="77777777" w:rsidR="00ED08FF" w:rsidRDefault="00000000">
                                  <w:pPr>
                                    <w:pStyle w:val="TableParagraph"/>
                                    <w:spacing w:before="73" w:line="240" w:lineRule="auto"/>
                                    <w:ind w:left="77" w:right="66"/>
                                    <w:rPr>
                                      <w:sz w:val="13"/>
                                    </w:rPr>
                                  </w:pPr>
                                  <w:r>
                                    <w:rPr>
                                      <w:spacing w:val="-2"/>
                                      <w:sz w:val="13"/>
                                    </w:rPr>
                                    <w:t>4.602</w:t>
                                  </w:r>
                                </w:p>
                              </w:tc>
                              <w:tc>
                                <w:tcPr>
                                  <w:tcW w:w="819" w:type="dxa"/>
                                </w:tcPr>
                                <w:p w14:paraId="76A176DB" w14:textId="77777777" w:rsidR="00ED08FF" w:rsidRDefault="00000000">
                                  <w:pPr>
                                    <w:pStyle w:val="TableParagraph"/>
                                    <w:spacing w:before="73" w:line="240" w:lineRule="auto"/>
                                    <w:ind w:right="233"/>
                                    <w:jc w:val="right"/>
                                    <w:rPr>
                                      <w:sz w:val="13"/>
                                    </w:rPr>
                                  </w:pPr>
                                  <w:r>
                                    <w:rPr>
                                      <w:spacing w:val="-2"/>
                                      <w:sz w:val="13"/>
                                    </w:rPr>
                                    <w:t>6.982</w:t>
                                  </w:r>
                                </w:p>
                              </w:tc>
                              <w:tc>
                                <w:tcPr>
                                  <w:tcW w:w="741" w:type="dxa"/>
                                </w:tcPr>
                                <w:p w14:paraId="2B59AD97" w14:textId="77777777" w:rsidR="00ED08FF" w:rsidRDefault="00000000">
                                  <w:pPr>
                                    <w:pStyle w:val="TableParagraph"/>
                                    <w:spacing w:before="73" w:line="240" w:lineRule="auto"/>
                                    <w:ind w:left="234"/>
                                    <w:jc w:val="left"/>
                                    <w:rPr>
                                      <w:sz w:val="13"/>
                                    </w:rPr>
                                  </w:pPr>
                                  <w:r>
                                    <w:rPr>
                                      <w:spacing w:val="-2"/>
                                      <w:sz w:val="13"/>
                                    </w:rPr>
                                    <w:t>0.588</w:t>
                                  </w:r>
                                </w:p>
                              </w:tc>
                              <w:tc>
                                <w:tcPr>
                                  <w:tcW w:w="635" w:type="dxa"/>
                                </w:tcPr>
                                <w:p w14:paraId="2A65416A" w14:textId="77777777" w:rsidR="00ED08FF" w:rsidRDefault="00000000">
                                  <w:pPr>
                                    <w:pStyle w:val="TableParagraph"/>
                                    <w:spacing w:before="73" w:line="240" w:lineRule="auto"/>
                                    <w:ind w:left="67"/>
                                    <w:rPr>
                                      <w:sz w:val="13"/>
                                    </w:rPr>
                                  </w:pPr>
                                  <w:r>
                                    <w:rPr>
                                      <w:spacing w:val="-2"/>
                                      <w:sz w:val="13"/>
                                    </w:rPr>
                                    <w:t>15.870</w:t>
                                  </w:r>
                                </w:p>
                              </w:tc>
                            </w:tr>
                            <w:tr w:rsidR="00ED08FF" w14:paraId="276BC5F2" w14:textId="77777777">
                              <w:trPr>
                                <w:trHeight w:val="422"/>
                              </w:trPr>
                              <w:tc>
                                <w:tcPr>
                                  <w:tcW w:w="635" w:type="dxa"/>
                                </w:tcPr>
                                <w:p w14:paraId="3EDEC04F" w14:textId="77777777" w:rsidR="00ED08FF" w:rsidRDefault="00000000">
                                  <w:pPr>
                                    <w:pStyle w:val="TableParagraph"/>
                                    <w:spacing w:before="73" w:line="240" w:lineRule="auto"/>
                                    <w:ind w:left="77" w:right="66"/>
                                    <w:rPr>
                                      <w:sz w:val="13"/>
                                    </w:rPr>
                                  </w:pPr>
                                  <w:r>
                                    <w:rPr>
                                      <w:spacing w:val="-2"/>
                                      <w:sz w:val="13"/>
                                    </w:rPr>
                                    <w:t>2.600</w:t>
                                  </w:r>
                                </w:p>
                              </w:tc>
                              <w:tc>
                                <w:tcPr>
                                  <w:tcW w:w="819" w:type="dxa"/>
                                </w:tcPr>
                                <w:p w14:paraId="02847C9B" w14:textId="77777777" w:rsidR="00ED08FF" w:rsidRDefault="00000000">
                                  <w:pPr>
                                    <w:pStyle w:val="TableParagraph"/>
                                    <w:spacing w:before="73" w:line="240" w:lineRule="auto"/>
                                    <w:ind w:right="233"/>
                                    <w:jc w:val="right"/>
                                    <w:rPr>
                                      <w:sz w:val="13"/>
                                    </w:rPr>
                                  </w:pPr>
                                  <w:r>
                                    <w:rPr>
                                      <w:spacing w:val="-2"/>
                                      <w:sz w:val="13"/>
                                    </w:rPr>
                                    <w:t>7.518</w:t>
                                  </w:r>
                                </w:p>
                              </w:tc>
                              <w:tc>
                                <w:tcPr>
                                  <w:tcW w:w="741" w:type="dxa"/>
                                </w:tcPr>
                                <w:p w14:paraId="2FACFAFC" w14:textId="77777777" w:rsidR="00ED08FF" w:rsidRDefault="00000000">
                                  <w:pPr>
                                    <w:pStyle w:val="TableParagraph"/>
                                    <w:spacing w:before="73" w:line="240" w:lineRule="auto"/>
                                    <w:ind w:left="234"/>
                                    <w:jc w:val="left"/>
                                    <w:rPr>
                                      <w:sz w:val="13"/>
                                    </w:rPr>
                                  </w:pPr>
                                  <w:r>
                                    <w:rPr>
                                      <w:spacing w:val="-2"/>
                                      <w:sz w:val="13"/>
                                    </w:rPr>
                                    <w:t>0.248</w:t>
                                  </w:r>
                                </w:p>
                              </w:tc>
                              <w:tc>
                                <w:tcPr>
                                  <w:tcW w:w="635" w:type="dxa"/>
                                </w:tcPr>
                                <w:p w14:paraId="1A2563A1" w14:textId="77777777" w:rsidR="00ED08FF" w:rsidRDefault="00000000">
                                  <w:pPr>
                                    <w:pStyle w:val="TableParagraph"/>
                                    <w:spacing w:before="73" w:line="240" w:lineRule="auto"/>
                                    <w:ind w:left="67"/>
                                    <w:rPr>
                                      <w:sz w:val="13"/>
                                    </w:rPr>
                                  </w:pPr>
                                  <w:r>
                                    <w:rPr>
                                      <w:spacing w:val="-2"/>
                                      <w:sz w:val="13"/>
                                    </w:rPr>
                                    <w:t>15.177</w:t>
                                  </w:r>
                                </w:p>
                              </w:tc>
                            </w:tr>
                            <w:tr w:rsidR="00ED08FF" w14:paraId="760F63F0" w14:textId="77777777">
                              <w:trPr>
                                <w:trHeight w:val="550"/>
                              </w:trPr>
                              <w:tc>
                                <w:tcPr>
                                  <w:tcW w:w="635" w:type="dxa"/>
                                </w:tcPr>
                                <w:p w14:paraId="6C95A011" w14:textId="77777777" w:rsidR="00ED08FF" w:rsidRDefault="00ED08FF">
                                  <w:pPr>
                                    <w:pStyle w:val="TableParagraph"/>
                                    <w:spacing w:before="52" w:line="240" w:lineRule="auto"/>
                                    <w:jc w:val="left"/>
                                    <w:rPr>
                                      <w:rFonts w:ascii="Times New Roman"/>
                                      <w:b/>
                                      <w:sz w:val="13"/>
                                    </w:rPr>
                                  </w:pPr>
                                </w:p>
                                <w:p w14:paraId="432A8D22" w14:textId="77777777" w:rsidR="00ED08FF" w:rsidRDefault="00000000">
                                  <w:pPr>
                                    <w:pStyle w:val="TableParagraph"/>
                                    <w:spacing w:line="240" w:lineRule="auto"/>
                                    <w:ind w:right="144"/>
                                    <w:rPr>
                                      <w:sz w:val="13"/>
                                    </w:rPr>
                                  </w:pPr>
                                  <w:r>
                                    <w:rPr>
                                      <w:spacing w:val="-2"/>
                                      <w:sz w:val="13"/>
                                    </w:rPr>
                                    <w:t>2.526</w:t>
                                  </w:r>
                                </w:p>
                              </w:tc>
                              <w:tc>
                                <w:tcPr>
                                  <w:tcW w:w="819" w:type="dxa"/>
                                </w:tcPr>
                                <w:p w14:paraId="52752CFD" w14:textId="77777777" w:rsidR="00ED08FF" w:rsidRDefault="00ED08FF">
                                  <w:pPr>
                                    <w:pStyle w:val="TableParagraph"/>
                                    <w:spacing w:before="52" w:line="240" w:lineRule="auto"/>
                                    <w:jc w:val="left"/>
                                    <w:rPr>
                                      <w:rFonts w:ascii="Times New Roman"/>
                                      <w:b/>
                                      <w:sz w:val="13"/>
                                    </w:rPr>
                                  </w:pPr>
                                </w:p>
                                <w:p w14:paraId="744BC55E" w14:textId="77777777" w:rsidR="00ED08FF" w:rsidRDefault="00000000">
                                  <w:pPr>
                                    <w:pStyle w:val="TableParagraph"/>
                                    <w:spacing w:line="240" w:lineRule="auto"/>
                                    <w:ind w:left="117"/>
                                    <w:jc w:val="left"/>
                                    <w:rPr>
                                      <w:sz w:val="13"/>
                                    </w:rPr>
                                  </w:pPr>
                                  <w:r>
                                    <w:rPr>
                                      <w:spacing w:val="-2"/>
                                      <w:sz w:val="13"/>
                                    </w:rPr>
                                    <w:t>11.644</w:t>
                                  </w:r>
                                </w:p>
                              </w:tc>
                              <w:tc>
                                <w:tcPr>
                                  <w:tcW w:w="741" w:type="dxa"/>
                                </w:tcPr>
                                <w:p w14:paraId="19DF90BA" w14:textId="77777777" w:rsidR="00ED08FF" w:rsidRDefault="00ED08FF">
                                  <w:pPr>
                                    <w:pStyle w:val="TableParagraph"/>
                                    <w:spacing w:before="52" w:line="240" w:lineRule="auto"/>
                                    <w:jc w:val="left"/>
                                    <w:rPr>
                                      <w:rFonts w:ascii="Times New Roman"/>
                                      <w:b/>
                                      <w:sz w:val="13"/>
                                    </w:rPr>
                                  </w:pPr>
                                </w:p>
                                <w:p w14:paraId="30BFE080" w14:textId="77777777" w:rsidR="00ED08FF" w:rsidRDefault="00000000">
                                  <w:pPr>
                                    <w:pStyle w:val="TableParagraph"/>
                                    <w:spacing w:line="240" w:lineRule="auto"/>
                                    <w:ind w:left="234"/>
                                    <w:jc w:val="left"/>
                                    <w:rPr>
                                      <w:sz w:val="13"/>
                                    </w:rPr>
                                  </w:pPr>
                                  <w:r>
                                    <w:rPr>
                                      <w:spacing w:val="-2"/>
                                      <w:sz w:val="13"/>
                                    </w:rPr>
                                    <w:t>0.088</w:t>
                                  </w:r>
                                </w:p>
                              </w:tc>
                              <w:tc>
                                <w:tcPr>
                                  <w:tcW w:w="635" w:type="dxa"/>
                                </w:tcPr>
                                <w:p w14:paraId="4C14596E" w14:textId="77777777" w:rsidR="00ED08FF" w:rsidRDefault="00ED08FF">
                                  <w:pPr>
                                    <w:pStyle w:val="TableParagraph"/>
                                    <w:spacing w:before="52" w:line="240" w:lineRule="auto"/>
                                    <w:jc w:val="left"/>
                                    <w:rPr>
                                      <w:rFonts w:ascii="Times New Roman"/>
                                      <w:b/>
                                      <w:sz w:val="13"/>
                                    </w:rPr>
                                  </w:pPr>
                                </w:p>
                                <w:p w14:paraId="43B79D03" w14:textId="77777777" w:rsidR="00ED08FF" w:rsidRDefault="00000000">
                                  <w:pPr>
                                    <w:pStyle w:val="TableParagraph"/>
                                    <w:spacing w:line="240" w:lineRule="auto"/>
                                    <w:ind w:left="67"/>
                                    <w:rPr>
                                      <w:sz w:val="13"/>
                                    </w:rPr>
                                  </w:pPr>
                                  <w:r>
                                    <w:rPr>
                                      <w:spacing w:val="-2"/>
                                      <w:sz w:val="13"/>
                                    </w:rPr>
                                    <w:t>15.891</w:t>
                                  </w:r>
                                </w:p>
                              </w:tc>
                            </w:tr>
                            <w:tr w:rsidR="00ED08FF" w14:paraId="13914432" w14:textId="77777777">
                              <w:trPr>
                                <w:trHeight w:val="422"/>
                              </w:trPr>
                              <w:tc>
                                <w:tcPr>
                                  <w:tcW w:w="635" w:type="dxa"/>
                                </w:tcPr>
                                <w:p w14:paraId="4779E4F3" w14:textId="77777777" w:rsidR="00ED08FF" w:rsidRDefault="00ED08FF">
                                  <w:pPr>
                                    <w:pStyle w:val="TableParagraph"/>
                                    <w:spacing w:before="52" w:line="240" w:lineRule="auto"/>
                                    <w:jc w:val="left"/>
                                    <w:rPr>
                                      <w:rFonts w:ascii="Times New Roman"/>
                                      <w:b/>
                                      <w:sz w:val="13"/>
                                    </w:rPr>
                                  </w:pPr>
                                </w:p>
                                <w:p w14:paraId="2A51145F" w14:textId="77777777" w:rsidR="00ED08FF" w:rsidRDefault="00000000">
                                  <w:pPr>
                                    <w:pStyle w:val="TableParagraph"/>
                                    <w:spacing w:line="240" w:lineRule="auto"/>
                                    <w:ind w:right="144"/>
                                    <w:rPr>
                                      <w:sz w:val="13"/>
                                    </w:rPr>
                                  </w:pPr>
                                  <w:r>
                                    <w:rPr>
                                      <w:spacing w:val="-2"/>
                                      <w:sz w:val="13"/>
                                    </w:rPr>
                                    <w:t>1.830</w:t>
                                  </w:r>
                                </w:p>
                              </w:tc>
                              <w:tc>
                                <w:tcPr>
                                  <w:tcW w:w="819" w:type="dxa"/>
                                </w:tcPr>
                                <w:p w14:paraId="03874F0A" w14:textId="77777777" w:rsidR="00ED08FF" w:rsidRDefault="00ED08FF">
                                  <w:pPr>
                                    <w:pStyle w:val="TableParagraph"/>
                                    <w:spacing w:before="52" w:line="240" w:lineRule="auto"/>
                                    <w:jc w:val="left"/>
                                    <w:rPr>
                                      <w:rFonts w:ascii="Times New Roman"/>
                                      <w:b/>
                                      <w:sz w:val="13"/>
                                    </w:rPr>
                                  </w:pPr>
                                </w:p>
                                <w:p w14:paraId="78EFF3E4" w14:textId="77777777" w:rsidR="00ED08FF" w:rsidRDefault="00000000">
                                  <w:pPr>
                                    <w:pStyle w:val="TableParagraph"/>
                                    <w:spacing w:line="240" w:lineRule="auto"/>
                                    <w:ind w:left="117"/>
                                    <w:jc w:val="left"/>
                                    <w:rPr>
                                      <w:sz w:val="13"/>
                                    </w:rPr>
                                  </w:pPr>
                                  <w:r>
                                    <w:rPr>
                                      <w:spacing w:val="-2"/>
                                      <w:sz w:val="13"/>
                                    </w:rPr>
                                    <w:t>7.436</w:t>
                                  </w:r>
                                </w:p>
                              </w:tc>
                              <w:tc>
                                <w:tcPr>
                                  <w:tcW w:w="741" w:type="dxa"/>
                                </w:tcPr>
                                <w:p w14:paraId="286C7A0D" w14:textId="77777777" w:rsidR="00ED08FF" w:rsidRDefault="00ED08FF">
                                  <w:pPr>
                                    <w:pStyle w:val="TableParagraph"/>
                                    <w:spacing w:before="52" w:line="240" w:lineRule="auto"/>
                                    <w:jc w:val="left"/>
                                    <w:rPr>
                                      <w:rFonts w:ascii="Times New Roman"/>
                                      <w:b/>
                                      <w:sz w:val="13"/>
                                    </w:rPr>
                                  </w:pPr>
                                </w:p>
                                <w:p w14:paraId="649300E3" w14:textId="77777777" w:rsidR="00ED08FF" w:rsidRDefault="00000000">
                                  <w:pPr>
                                    <w:pStyle w:val="TableParagraph"/>
                                    <w:spacing w:line="240" w:lineRule="auto"/>
                                    <w:ind w:left="234"/>
                                    <w:jc w:val="left"/>
                                    <w:rPr>
                                      <w:sz w:val="13"/>
                                    </w:rPr>
                                  </w:pPr>
                                  <w:r>
                                    <w:rPr>
                                      <w:spacing w:val="-2"/>
                                      <w:sz w:val="13"/>
                                    </w:rPr>
                                    <w:t>0.718</w:t>
                                  </w:r>
                                </w:p>
                              </w:tc>
                              <w:tc>
                                <w:tcPr>
                                  <w:tcW w:w="635" w:type="dxa"/>
                                </w:tcPr>
                                <w:p w14:paraId="7695FF32" w14:textId="77777777" w:rsidR="00ED08FF" w:rsidRDefault="00ED08FF">
                                  <w:pPr>
                                    <w:pStyle w:val="TableParagraph"/>
                                    <w:spacing w:before="52" w:line="240" w:lineRule="auto"/>
                                    <w:jc w:val="left"/>
                                    <w:rPr>
                                      <w:rFonts w:ascii="Times New Roman"/>
                                      <w:b/>
                                      <w:sz w:val="13"/>
                                    </w:rPr>
                                  </w:pPr>
                                </w:p>
                                <w:p w14:paraId="736C0F3B" w14:textId="77777777" w:rsidR="00ED08FF" w:rsidRDefault="00000000">
                                  <w:pPr>
                                    <w:pStyle w:val="TableParagraph"/>
                                    <w:spacing w:line="240" w:lineRule="auto"/>
                                    <w:ind w:left="67"/>
                                    <w:rPr>
                                      <w:sz w:val="13"/>
                                    </w:rPr>
                                  </w:pPr>
                                  <w:r>
                                    <w:rPr>
                                      <w:spacing w:val="-2"/>
                                      <w:sz w:val="13"/>
                                    </w:rPr>
                                    <w:t>18.625</w:t>
                                  </w:r>
                                </w:p>
                              </w:tc>
                            </w:tr>
                            <w:tr w:rsidR="00ED08FF" w14:paraId="7FBE1F52" w14:textId="77777777">
                              <w:trPr>
                                <w:trHeight w:val="220"/>
                              </w:trPr>
                              <w:tc>
                                <w:tcPr>
                                  <w:tcW w:w="635" w:type="dxa"/>
                                </w:tcPr>
                                <w:p w14:paraId="46F1EC15" w14:textId="77777777" w:rsidR="00ED08FF" w:rsidRDefault="00000000">
                                  <w:pPr>
                                    <w:pStyle w:val="TableParagraph"/>
                                    <w:spacing w:before="73"/>
                                    <w:ind w:right="144"/>
                                    <w:rPr>
                                      <w:sz w:val="13"/>
                                    </w:rPr>
                                  </w:pPr>
                                  <w:r>
                                    <w:rPr>
                                      <w:spacing w:val="-2"/>
                                      <w:sz w:val="13"/>
                                    </w:rPr>
                                    <w:t>0.590</w:t>
                                  </w:r>
                                </w:p>
                              </w:tc>
                              <w:tc>
                                <w:tcPr>
                                  <w:tcW w:w="819" w:type="dxa"/>
                                </w:tcPr>
                                <w:p w14:paraId="49FACB21" w14:textId="77777777" w:rsidR="00ED08FF" w:rsidRDefault="00000000">
                                  <w:pPr>
                                    <w:pStyle w:val="TableParagraph"/>
                                    <w:spacing w:before="73"/>
                                    <w:ind w:left="117"/>
                                    <w:jc w:val="left"/>
                                    <w:rPr>
                                      <w:sz w:val="13"/>
                                    </w:rPr>
                                  </w:pPr>
                                  <w:r>
                                    <w:rPr>
                                      <w:spacing w:val="-2"/>
                                      <w:sz w:val="13"/>
                                    </w:rPr>
                                    <w:t>6.888</w:t>
                                  </w:r>
                                </w:p>
                              </w:tc>
                              <w:tc>
                                <w:tcPr>
                                  <w:tcW w:w="741" w:type="dxa"/>
                                </w:tcPr>
                                <w:p w14:paraId="354F813D" w14:textId="77777777" w:rsidR="00ED08FF" w:rsidRDefault="00000000">
                                  <w:pPr>
                                    <w:pStyle w:val="TableParagraph"/>
                                    <w:spacing w:before="73"/>
                                    <w:ind w:left="234"/>
                                    <w:jc w:val="left"/>
                                    <w:rPr>
                                      <w:sz w:val="13"/>
                                    </w:rPr>
                                  </w:pPr>
                                  <w:r>
                                    <w:rPr>
                                      <w:spacing w:val="-2"/>
                                      <w:sz w:val="13"/>
                                    </w:rPr>
                                    <w:t>0.674</w:t>
                                  </w:r>
                                </w:p>
                              </w:tc>
                              <w:tc>
                                <w:tcPr>
                                  <w:tcW w:w="635" w:type="dxa"/>
                                </w:tcPr>
                                <w:p w14:paraId="461DC93E" w14:textId="77777777" w:rsidR="00ED08FF" w:rsidRDefault="00000000">
                                  <w:pPr>
                                    <w:pStyle w:val="TableParagraph"/>
                                    <w:spacing w:before="73"/>
                                    <w:ind w:left="67"/>
                                    <w:rPr>
                                      <w:sz w:val="13"/>
                                    </w:rPr>
                                  </w:pPr>
                                  <w:r>
                                    <w:rPr>
                                      <w:spacing w:val="-2"/>
                                      <w:sz w:val="13"/>
                                    </w:rPr>
                                    <w:t>19.076</w:t>
                                  </w:r>
                                </w:p>
                              </w:tc>
                            </w:tr>
                          </w:tbl>
                          <w:p w14:paraId="3BC477CA" w14:textId="77777777" w:rsidR="00ED08FF" w:rsidRDefault="00ED08FF">
                            <w:pPr>
                              <w:pStyle w:val="BodyText"/>
                              <w:spacing w:before="0"/>
                              <w:ind w:left="0"/>
                            </w:pPr>
                          </w:p>
                        </w:txbxContent>
                      </wps:txbx>
                      <wps:bodyPr wrap="square" lIns="0" tIns="0" rIns="0" bIns="0" rtlCol="0">
                        <a:noAutofit/>
                      </wps:bodyPr>
                    </wps:wsp>
                  </a:graphicData>
                </a:graphic>
              </wp:anchor>
            </w:drawing>
          </mc:Choice>
          <mc:Fallback>
            <w:pict>
              <v:shape w14:anchorId="76C40204" id="Textbox 6" o:spid="_x0000_s1027" type="#_x0000_t202" style="position:absolute;left:0;text-align:left;margin-left:400.55pt;margin-top:2.5pt;width:147.5pt;height:150.45pt;z-index:15730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635"/>
                        <w:gridCol w:w="819"/>
                        <w:gridCol w:w="741"/>
                        <w:gridCol w:w="635"/>
                      </w:tblGrid>
                      <w:tr w:rsidR="00ED08FF" w14:paraId="13D7C54B" w14:textId="77777777">
                        <w:trPr>
                          <w:trHeight w:val="220"/>
                        </w:trPr>
                        <w:tc>
                          <w:tcPr>
                            <w:tcW w:w="635" w:type="dxa"/>
                          </w:tcPr>
                          <w:p w14:paraId="4E859CF0" w14:textId="77777777" w:rsidR="00ED08FF" w:rsidRDefault="00000000">
                            <w:pPr>
                              <w:pStyle w:val="TableParagraph"/>
                              <w:spacing w:line="240" w:lineRule="auto"/>
                              <w:ind w:right="144"/>
                              <w:rPr>
                                <w:sz w:val="13"/>
                              </w:rPr>
                            </w:pPr>
                            <w:r>
                              <w:rPr>
                                <w:spacing w:val="-5"/>
                                <w:sz w:val="13"/>
                              </w:rPr>
                              <w:t>PBV</w:t>
                            </w:r>
                          </w:p>
                        </w:tc>
                        <w:tc>
                          <w:tcPr>
                            <w:tcW w:w="819" w:type="dxa"/>
                          </w:tcPr>
                          <w:p w14:paraId="76E294DA" w14:textId="77777777" w:rsidR="00ED08FF" w:rsidRDefault="00000000">
                            <w:pPr>
                              <w:pStyle w:val="TableParagraph"/>
                              <w:spacing w:line="240" w:lineRule="auto"/>
                              <w:ind w:left="195"/>
                              <w:jc w:val="left"/>
                              <w:rPr>
                                <w:sz w:val="13"/>
                              </w:rPr>
                            </w:pPr>
                            <w:r>
                              <w:rPr>
                                <w:spacing w:val="-5"/>
                                <w:sz w:val="13"/>
                              </w:rPr>
                              <w:t>ROA</w:t>
                            </w:r>
                          </w:p>
                        </w:tc>
                        <w:tc>
                          <w:tcPr>
                            <w:tcW w:w="741" w:type="dxa"/>
                          </w:tcPr>
                          <w:p w14:paraId="6D755E16" w14:textId="77777777" w:rsidR="00ED08FF" w:rsidRDefault="00000000">
                            <w:pPr>
                              <w:pStyle w:val="TableParagraph"/>
                              <w:spacing w:line="240" w:lineRule="auto"/>
                              <w:ind w:left="234"/>
                              <w:jc w:val="left"/>
                              <w:rPr>
                                <w:sz w:val="13"/>
                              </w:rPr>
                            </w:pPr>
                            <w:r>
                              <w:rPr>
                                <w:spacing w:val="-5"/>
                                <w:sz w:val="13"/>
                              </w:rPr>
                              <w:t>DER</w:t>
                            </w:r>
                          </w:p>
                        </w:tc>
                        <w:tc>
                          <w:tcPr>
                            <w:tcW w:w="635" w:type="dxa"/>
                          </w:tcPr>
                          <w:p w14:paraId="4AA76B9A" w14:textId="77777777" w:rsidR="00ED08FF" w:rsidRDefault="00000000">
                            <w:pPr>
                              <w:pStyle w:val="TableParagraph"/>
                              <w:spacing w:line="240" w:lineRule="auto"/>
                              <w:ind w:left="67"/>
                              <w:rPr>
                                <w:sz w:val="13"/>
                              </w:rPr>
                            </w:pPr>
                            <w:r>
                              <w:rPr>
                                <w:spacing w:val="-4"/>
                                <w:sz w:val="13"/>
                              </w:rPr>
                              <w:t>SIZE</w:t>
                            </w:r>
                          </w:p>
                        </w:tc>
                      </w:tr>
                      <w:tr w:rsidR="00ED08FF" w14:paraId="28340472" w14:textId="77777777">
                        <w:trPr>
                          <w:trHeight w:val="294"/>
                        </w:trPr>
                        <w:tc>
                          <w:tcPr>
                            <w:tcW w:w="635" w:type="dxa"/>
                          </w:tcPr>
                          <w:p w14:paraId="57B8999F" w14:textId="77777777" w:rsidR="00ED08FF" w:rsidRDefault="00000000">
                            <w:pPr>
                              <w:pStyle w:val="TableParagraph"/>
                              <w:spacing w:before="73" w:line="240" w:lineRule="auto"/>
                              <w:ind w:right="66"/>
                              <w:rPr>
                                <w:sz w:val="13"/>
                              </w:rPr>
                            </w:pPr>
                            <w:r>
                              <w:rPr>
                                <w:spacing w:val="-2"/>
                                <w:sz w:val="13"/>
                              </w:rPr>
                              <w:t>35.300</w:t>
                            </w:r>
                          </w:p>
                        </w:tc>
                        <w:tc>
                          <w:tcPr>
                            <w:tcW w:w="819" w:type="dxa"/>
                          </w:tcPr>
                          <w:p w14:paraId="5FEA5E9F" w14:textId="77777777" w:rsidR="00ED08FF" w:rsidRDefault="00000000">
                            <w:pPr>
                              <w:pStyle w:val="TableParagraph"/>
                              <w:spacing w:before="73" w:line="240" w:lineRule="auto"/>
                              <w:ind w:left="117"/>
                              <w:jc w:val="left"/>
                              <w:rPr>
                                <w:sz w:val="13"/>
                              </w:rPr>
                            </w:pPr>
                            <w:r>
                              <w:rPr>
                                <w:spacing w:val="-2"/>
                                <w:sz w:val="13"/>
                              </w:rPr>
                              <w:t>20.170</w:t>
                            </w:r>
                          </w:p>
                        </w:tc>
                        <w:tc>
                          <w:tcPr>
                            <w:tcW w:w="741" w:type="dxa"/>
                          </w:tcPr>
                          <w:p w14:paraId="3D3CEF40" w14:textId="77777777" w:rsidR="00ED08FF" w:rsidRDefault="00000000">
                            <w:pPr>
                              <w:pStyle w:val="TableParagraph"/>
                              <w:spacing w:before="73" w:line="240" w:lineRule="auto"/>
                              <w:ind w:left="234"/>
                              <w:jc w:val="left"/>
                              <w:rPr>
                                <w:sz w:val="13"/>
                              </w:rPr>
                            </w:pPr>
                            <w:r>
                              <w:rPr>
                                <w:spacing w:val="-2"/>
                                <w:sz w:val="13"/>
                              </w:rPr>
                              <w:t>0.446</w:t>
                            </w:r>
                          </w:p>
                        </w:tc>
                        <w:tc>
                          <w:tcPr>
                            <w:tcW w:w="635" w:type="dxa"/>
                          </w:tcPr>
                          <w:p w14:paraId="65B33CE5" w14:textId="77777777" w:rsidR="00ED08FF" w:rsidRDefault="00000000">
                            <w:pPr>
                              <w:pStyle w:val="TableParagraph"/>
                              <w:spacing w:before="73" w:line="240" w:lineRule="auto"/>
                              <w:ind w:left="67"/>
                              <w:rPr>
                                <w:sz w:val="13"/>
                              </w:rPr>
                            </w:pPr>
                            <w:r>
                              <w:rPr>
                                <w:spacing w:val="-2"/>
                                <w:sz w:val="13"/>
                              </w:rPr>
                              <w:t>16.704</w:t>
                            </w:r>
                          </w:p>
                        </w:tc>
                      </w:tr>
                      <w:tr w:rsidR="00ED08FF" w14:paraId="4DD24FAA" w14:textId="77777777">
                        <w:trPr>
                          <w:trHeight w:val="293"/>
                        </w:trPr>
                        <w:tc>
                          <w:tcPr>
                            <w:tcW w:w="635" w:type="dxa"/>
                          </w:tcPr>
                          <w:p w14:paraId="6E9B486D" w14:textId="77777777" w:rsidR="00ED08FF" w:rsidRDefault="00000000">
                            <w:pPr>
                              <w:pStyle w:val="TableParagraph"/>
                              <w:spacing w:before="73" w:line="240" w:lineRule="auto"/>
                              <w:ind w:left="77" w:right="66"/>
                              <w:rPr>
                                <w:sz w:val="13"/>
                              </w:rPr>
                            </w:pPr>
                            <w:r>
                              <w:rPr>
                                <w:spacing w:val="-2"/>
                                <w:sz w:val="13"/>
                              </w:rPr>
                              <w:t>6.722</w:t>
                            </w:r>
                          </w:p>
                        </w:tc>
                        <w:tc>
                          <w:tcPr>
                            <w:tcW w:w="819" w:type="dxa"/>
                          </w:tcPr>
                          <w:p w14:paraId="56367495" w14:textId="77777777" w:rsidR="00ED08FF" w:rsidRDefault="00000000">
                            <w:pPr>
                              <w:pStyle w:val="TableParagraph"/>
                              <w:spacing w:before="73" w:line="240" w:lineRule="auto"/>
                              <w:ind w:right="233"/>
                              <w:jc w:val="right"/>
                              <w:rPr>
                                <w:sz w:val="13"/>
                              </w:rPr>
                            </w:pPr>
                            <w:r>
                              <w:rPr>
                                <w:spacing w:val="-2"/>
                                <w:sz w:val="13"/>
                              </w:rPr>
                              <w:t>7.362</w:t>
                            </w:r>
                          </w:p>
                        </w:tc>
                        <w:tc>
                          <w:tcPr>
                            <w:tcW w:w="741" w:type="dxa"/>
                          </w:tcPr>
                          <w:p w14:paraId="0223630E" w14:textId="77777777" w:rsidR="00ED08FF" w:rsidRDefault="00000000">
                            <w:pPr>
                              <w:pStyle w:val="TableParagraph"/>
                              <w:spacing w:before="73" w:line="240" w:lineRule="auto"/>
                              <w:ind w:left="234"/>
                              <w:jc w:val="left"/>
                              <w:rPr>
                                <w:sz w:val="13"/>
                              </w:rPr>
                            </w:pPr>
                            <w:r>
                              <w:rPr>
                                <w:spacing w:val="-2"/>
                                <w:sz w:val="13"/>
                              </w:rPr>
                              <w:t>0.194</w:t>
                            </w:r>
                          </w:p>
                        </w:tc>
                        <w:tc>
                          <w:tcPr>
                            <w:tcW w:w="635" w:type="dxa"/>
                          </w:tcPr>
                          <w:p w14:paraId="229BCB48" w14:textId="77777777" w:rsidR="00ED08FF" w:rsidRDefault="00000000">
                            <w:pPr>
                              <w:pStyle w:val="TableParagraph"/>
                              <w:spacing w:before="73" w:line="240" w:lineRule="auto"/>
                              <w:ind w:left="67"/>
                              <w:rPr>
                                <w:sz w:val="13"/>
                              </w:rPr>
                            </w:pPr>
                            <w:r>
                              <w:rPr>
                                <w:spacing w:val="-2"/>
                                <w:sz w:val="13"/>
                              </w:rPr>
                              <w:t>17.351</w:t>
                            </w:r>
                          </w:p>
                        </w:tc>
                      </w:tr>
                      <w:tr w:rsidR="00ED08FF" w14:paraId="6DFC975E" w14:textId="77777777">
                        <w:trPr>
                          <w:trHeight w:val="294"/>
                        </w:trPr>
                        <w:tc>
                          <w:tcPr>
                            <w:tcW w:w="635" w:type="dxa"/>
                          </w:tcPr>
                          <w:p w14:paraId="18471AAE" w14:textId="77777777" w:rsidR="00ED08FF" w:rsidRDefault="00000000">
                            <w:pPr>
                              <w:pStyle w:val="TableParagraph"/>
                              <w:spacing w:before="73" w:line="240" w:lineRule="auto"/>
                              <w:ind w:left="77" w:right="66"/>
                              <w:rPr>
                                <w:sz w:val="13"/>
                              </w:rPr>
                            </w:pPr>
                            <w:r>
                              <w:rPr>
                                <w:spacing w:val="-2"/>
                                <w:sz w:val="13"/>
                              </w:rPr>
                              <w:t>6.094</w:t>
                            </w:r>
                          </w:p>
                        </w:tc>
                        <w:tc>
                          <w:tcPr>
                            <w:tcW w:w="819" w:type="dxa"/>
                          </w:tcPr>
                          <w:p w14:paraId="7AD74A97" w14:textId="77777777" w:rsidR="00ED08FF" w:rsidRDefault="00000000">
                            <w:pPr>
                              <w:pStyle w:val="TableParagraph"/>
                              <w:spacing w:before="73" w:line="240" w:lineRule="auto"/>
                              <w:ind w:left="117"/>
                              <w:jc w:val="left"/>
                              <w:rPr>
                                <w:sz w:val="13"/>
                              </w:rPr>
                            </w:pPr>
                            <w:r>
                              <w:rPr>
                                <w:spacing w:val="-2"/>
                                <w:sz w:val="13"/>
                              </w:rPr>
                              <w:t>15.178</w:t>
                            </w:r>
                          </w:p>
                        </w:tc>
                        <w:tc>
                          <w:tcPr>
                            <w:tcW w:w="741" w:type="dxa"/>
                          </w:tcPr>
                          <w:p w14:paraId="30558AB4" w14:textId="77777777" w:rsidR="00ED08FF" w:rsidRDefault="00000000">
                            <w:pPr>
                              <w:pStyle w:val="TableParagraph"/>
                              <w:spacing w:before="73" w:line="240" w:lineRule="auto"/>
                              <w:ind w:left="234"/>
                              <w:jc w:val="left"/>
                              <w:rPr>
                                <w:sz w:val="13"/>
                              </w:rPr>
                            </w:pPr>
                            <w:r>
                              <w:rPr>
                                <w:spacing w:val="-2"/>
                                <w:sz w:val="13"/>
                              </w:rPr>
                              <w:t>0.004</w:t>
                            </w:r>
                          </w:p>
                        </w:tc>
                        <w:tc>
                          <w:tcPr>
                            <w:tcW w:w="635" w:type="dxa"/>
                          </w:tcPr>
                          <w:p w14:paraId="5CB6DB01" w14:textId="77777777" w:rsidR="00ED08FF" w:rsidRDefault="00000000">
                            <w:pPr>
                              <w:pStyle w:val="TableParagraph"/>
                              <w:spacing w:before="73" w:line="240" w:lineRule="auto"/>
                              <w:ind w:left="67"/>
                              <w:rPr>
                                <w:sz w:val="13"/>
                              </w:rPr>
                            </w:pPr>
                            <w:r>
                              <w:rPr>
                                <w:spacing w:val="-2"/>
                                <w:sz w:val="13"/>
                              </w:rPr>
                              <w:t>15.771</w:t>
                            </w:r>
                          </w:p>
                        </w:tc>
                      </w:tr>
                      <w:tr w:rsidR="00ED08FF" w14:paraId="098B44E5" w14:textId="77777777">
                        <w:trPr>
                          <w:trHeight w:val="294"/>
                        </w:trPr>
                        <w:tc>
                          <w:tcPr>
                            <w:tcW w:w="635" w:type="dxa"/>
                          </w:tcPr>
                          <w:p w14:paraId="0E47E178" w14:textId="77777777" w:rsidR="00ED08FF" w:rsidRDefault="00000000">
                            <w:pPr>
                              <w:pStyle w:val="TableParagraph"/>
                              <w:spacing w:before="73" w:line="240" w:lineRule="auto"/>
                              <w:ind w:left="77" w:right="66"/>
                              <w:rPr>
                                <w:sz w:val="13"/>
                              </w:rPr>
                            </w:pPr>
                            <w:r>
                              <w:rPr>
                                <w:spacing w:val="-2"/>
                                <w:sz w:val="13"/>
                              </w:rPr>
                              <w:t>4.602</w:t>
                            </w:r>
                          </w:p>
                        </w:tc>
                        <w:tc>
                          <w:tcPr>
                            <w:tcW w:w="819" w:type="dxa"/>
                          </w:tcPr>
                          <w:p w14:paraId="76A176DB" w14:textId="77777777" w:rsidR="00ED08FF" w:rsidRDefault="00000000">
                            <w:pPr>
                              <w:pStyle w:val="TableParagraph"/>
                              <w:spacing w:before="73" w:line="240" w:lineRule="auto"/>
                              <w:ind w:right="233"/>
                              <w:jc w:val="right"/>
                              <w:rPr>
                                <w:sz w:val="13"/>
                              </w:rPr>
                            </w:pPr>
                            <w:r>
                              <w:rPr>
                                <w:spacing w:val="-2"/>
                                <w:sz w:val="13"/>
                              </w:rPr>
                              <w:t>6.982</w:t>
                            </w:r>
                          </w:p>
                        </w:tc>
                        <w:tc>
                          <w:tcPr>
                            <w:tcW w:w="741" w:type="dxa"/>
                          </w:tcPr>
                          <w:p w14:paraId="2B59AD97" w14:textId="77777777" w:rsidR="00ED08FF" w:rsidRDefault="00000000">
                            <w:pPr>
                              <w:pStyle w:val="TableParagraph"/>
                              <w:spacing w:before="73" w:line="240" w:lineRule="auto"/>
                              <w:ind w:left="234"/>
                              <w:jc w:val="left"/>
                              <w:rPr>
                                <w:sz w:val="13"/>
                              </w:rPr>
                            </w:pPr>
                            <w:r>
                              <w:rPr>
                                <w:spacing w:val="-2"/>
                                <w:sz w:val="13"/>
                              </w:rPr>
                              <w:t>0.588</w:t>
                            </w:r>
                          </w:p>
                        </w:tc>
                        <w:tc>
                          <w:tcPr>
                            <w:tcW w:w="635" w:type="dxa"/>
                          </w:tcPr>
                          <w:p w14:paraId="2A65416A" w14:textId="77777777" w:rsidR="00ED08FF" w:rsidRDefault="00000000">
                            <w:pPr>
                              <w:pStyle w:val="TableParagraph"/>
                              <w:spacing w:before="73" w:line="240" w:lineRule="auto"/>
                              <w:ind w:left="67"/>
                              <w:rPr>
                                <w:sz w:val="13"/>
                              </w:rPr>
                            </w:pPr>
                            <w:r>
                              <w:rPr>
                                <w:spacing w:val="-2"/>
                                <w:sz w:val="13"/>
                              </w:rPr>
                              <w:t>15.870</w:t>
                            </w:r>
                          </w:p>
                        </w:tc>
                      </w:tr>
                      <w:tr w:rsidR="00ED08FF" w14:paraId="276BC5F2" w14:textId="77777777">
                        <w:trPr>
                          <w:trHeight w:val="422"/>
                        </w:trPr>
                        <w:tc>
                          <w:tcPr>
                            <w:tcW w:w="635" w:type="dxa"/>
                          </w:tcPr>
                          <w:p w14:paraId="3EDEC04F" w14:textId="77777777" w:rsidR="00ED08FF" w:rsidRDefault="00000000">
                            <w:pPr>
                              <w:pStyle w:val="TableParagraph"/>
                              <w:spacing w:before="73" w:line="240" w:lineRule="auto"/>
                              <w:ind w:left="77" w:right="66"/>
                              <w:rPr>
                                <w:sz w:val="13"/>
                              </w:rPr>
                            </w:pPr>
                            <w:r>
                              <w:rPr>
                                <w:spacing w:val="-2"/>
                                <w:sz w:val="13"/>
                              </w:rPr>
                              <w:t>2.600</w:t>
                            </w:r>
                          </w:p>
                        </w:tc>
                        <w:tc>
                          <w:tcPr>
                            <w:tcW w:w="819" w:type="dxa"/>
                          </w:tcPr>
                          <w:p w14:paraId="02847C9B" w14:textId="77777777" w:rsidR="00ED08FF" w:rsidRDefault="00000000">
                            <w:pPr>
                              <w:pStyle w:val="TableParagraph"/>
                              <w:spacing w:before="73" w:line="240" w:lineRule="auto"/>
                              <w:ind w:right="233"/>
                              <w:jc w:val="right"/>
                              <w:rPr>
                                <w:sz w:val="13"/>
                              </w:rPr>
                            </w:pPr>
                            <w:r>
                              <w:rPr>
                                <w:spacing w:val="-2"/>
                                <w:sz w:val="13"/>
                              </w:rPr>
                              <w:t>7.518</w:t>
                            </w:r>
                          </w:p>
                        </w:tc>
                        <w:tc>
                          <w:tcPr>
                            <w:tcW w:w="741" w:type="dxa"/>
                          </w:tcPr>
                          <w:p w14:paraId="2FACFAFC" w14:textId="77777777" w:rsidR="00ED08FF" w:rsidRDefault="00000000">
                            <w:pPr>
                              <w:pStyle w:val="TableParagraph"/>
                              <w:spacing w:before="73" w:line="240" w:lineRule="auto"/>
                              <w:ind w:left="234"/>
                              <w:jc w:val="left"/>
                              <w:rPr>
                                <w:sz w:val="13"/>
                              </w:rPr>
                            </w:pPr>
                            <w:r>
                              <w:rPr>
                                <w:spacing w:val="-2"/>
                                <w:sz w:val="13"/>
                              </w:rPr>
                              <w:t>0.248</w:t>
                            </w:r>
                          </w:p>
                        </w:tc>
                        <w:tc>
                          <w:tcPr>
                            <w:tcW w:w="635" w:type="dxa"/>
                          </w:tcPr>
                          <w:p w14:paraId="1A2563A1" w14:textId="77777777" w:rsidR="00ED08FF" w:rsidRDefault="00000000">
                            <w:pPr>
                              <w:pStyle w:val="TableParagraph"/>
                              <w:spacing w:before="73" w:line="240" w:lineRule="auto"/>
                              <w:ind w:left="67"/>
                              <w:rPr>
                                <w:sz w:val="13"/>
                              </w:rPr>
                            </w:pPr>
                            <w:r>
                              <w:rPr>
                                <w:spacing w:val="-2"/>
                                <w:sz w:val="13"/>
                              </w:rPr>
                              <w:t>15.177</w:t>
                            </w:r>
                          </w:p>
                        </w:tc>
                      </w:tr>
                      <w:tr w:rsidR="00ED08FF" w14:paraId="760F63F0" w14:textId="77777777">
                        <w:trPr>
                          <w:trHeight w:val="550"/>
                        </w:trPr>
                        <w:tc>
                          <w:tcPr>
                            <w:tcW w:w="635" w:type="dxa"/>
                          </w:tcPr>
                          <w:p w14:paraId="6C95A011" w14:textId="77777777" w:rsidR="00ED08FF" w:rsidRDefault="00ED08FF">
                            <w:pPr>
                              <w:pStyle w:val="TableParagraph"/>
                              <w:spacing w:before="52" w:line="240" w:lineRule="auto"/>
                              <w:jc w:val="left"/>
                              <w:rPr>
                                <w:rFonts w:ascii="Times New Roman"/>
                                <w:b/>
                                <w:sz w:val="13"/>
                              </w:rPr>
                            </w:pPr>
                          </w:p>
                          <w:p w14:paraId="432A8D22" w14:textId="77777777" w:rsidR="00ED08FF" w:rsidRDefault="00000000">
                            <w:pPr>
                              <w:pStyle w:val="TableParagraph"/>
                              <w:spacing w:line="240" w:lineRule="auto"/>
                              <w:ind w:right="144"/>
                              <w:rPr>
                                <w:sz w:val="13"/>
                              </w:rPr>
                            </w:pPr>
                            <w:r>
                              <w:rPr>
                                <w:spacing w:val="-2"/>
                                <w:sz w:val="13"/>
                              </w:rPr>
                              <w:t>2.526</w:t>
                            </w:r>
                          </w:p>
                        </w:tc>
                        <w:tc>
                          <w:tcPr>
                            <w:tcW w:w="819" w:type="dxa"/>
                          </w:tcPr>
                          <w:p w14:paraId="52752CFD" w14:textId="77777777" w:rsidR="00ED08FF" w:rsidRDefault="00ED08FF">
                            <w:pPr>
                              <w:pStyle w:val="TableParagraph"/>
                              <w:spacing w:before="52" w:line="240" w:lineRule="auto"/>
                              <w:jc w:val="left"/>
                              <w:rPr>
                                <w:rFonts w:ascii="Times New Roman"/>
                                <w:b/>
                                <w:sz w:val="13"/>
                              </w:rPr>
                            </w:pPr>
                          </w:p>
                          <w:p w14:paraId="744BC55E" w14:textId="77777777" w:rsidR="00ED08FF" w:rsidRDefault="00000000">
                            <w:pPr>
                              <w:pStyle w:val="TableParagraph"/>
                              <w:spacing w:line="240" w:lineRule="auto"/>
                              <w:ind w:left="117"/>
                              <w:jc w:val="left"/>
                              <w:rPr>
                                <w:sz w:val="13"/>
                              </w:rPr>
                            </w:pPr>
                            <w:r>
                              <w:rPr>
                                <w:spacing w:val="-2"/>
                                <w:sz w:val="13"/>
                              </w:rPr>
                              <w:t>11.644</w:t>
                            </w:r>
                          </w:p>
                        </w:tc>
                        <w:tc>
                          <w:tcPr>
                            <w:tcW w:w="741" w:type="dxa"/>
                          </w:tcPr>
                          <w:p w14:paraId="19DF90BA" w14:textId="77777777" w:rsidR="00ED08FF" w:rsidRDefault="00ED08FF">
                            <w:pPr>
                              <w:pStyle w:val="TableParagraph"/>
                              <w:spacing w:before="52" w:line="240" w:lineRule="auto"/>
                              <w:jc w:val="left"/>
                              <w:rPr>
                                <w:rFonts w:ascii="Times New Roman"/>
                                <w:b/>
                                <w:sz w:val="13"/>
                              </w:rPr>
                            </w:pPr>
                          </w:p>
                          <w:p w14:paraId="30BFE080" w14:textId="77777777" w:rsidR="00ED08FF" w:rsidRDefault="00000000">
                            <w:pPr>
                              <w:pStyle w:val="TableParagraph"/>
                              <w:spacing w:line="240" w:lineRule="auto"/>
                              <w:ind w:left="234"/>
                              <w:jc w:val="left"/>
                              <w:rPr>
                                <w:sz w:val="13"/>
                              </w:rPr>
                            </w:pPr>
                            <w:r>
                              <w:rPr>
                                <w:spacing w:val="-2"/>
                                <w:sz w:val="13"/>
                              </w:rPr>
                              <w:t>0.088</w:t>
                            </w:r>
                          </w:p>
                        </w:tc>
                        <w:tc>
                          <w:tcPr>
                            <w:tcW w:w="635" w:type="dxa"/>
                          </w:tcPr>
                          <w:p w14:paraId="4C14596E" w14:textId="77777777" w:rsidR="00ED08FF" w:rsidRDefault="00ED08FF">
                            <w:pPr>
                              <w:pStyle w:val="TableParagraph"/>
                              <w:spacing w:before="52" w:line="240" w:lineRule="auto"/>
                              <w:jc w:val="left"/>
                              <w:rPr>
                                <w:rFonts w:ascii="Times New Roman"/>
                                <w:b/>
                                <w:sz w:val="13"/>
                              </w:rPr>
                            </w:pPr>
                          </w:p>
                          <w:p w14:paraId="43B79D03" w14:textId="77777777" w:rsidR="00ED08FF" w:rsidRDefault="00000000">
                            <w:pPr>
                              <w:pStyle w:val="TableParagraph"/>
                              <w:spacing w:line="240" w:lineRule="auto"/>
                              <w:ind w:left="67"/>
                              <w:rPr>
                                <w:sz w:val="13"/>
                              </w:rPr>
                            </w:pPr>
                            <w:r>
                              <w:rPr>
                                <w:spacing w:val="-2"/>
                                <w:sz w:val="13"/>
                              </w:rPr>
                              <w:t>15.891</w:t>
                            </w:r>
                          </w:p>
                        </w:tc>
                      </w:tr>
                      <w:tr w:rsidR="00ED08FF" w14:paraId="13914432" w14:textId="77777777">
                        <w:trPr>
                          <w:trHeight w:val="422"/>
                        </w:trPr>
                        <w:tc>
                          <w:tcPr>
                            <w:tcW w:w="635" w:type="dxa"/>
                          </w:tcPr>
                          <w:p w14:paraId="4779E4F3" w14:textId="77777777" w:rsidR="00ED08FF" w:rsidRDefault="00ED08FF">
                            <w:pPr>
                              <w:pStyle w:val="TableParagraph"/>
                              <w:spacing w:before="52" w:line="240" w:lineRule="auto"/>
                              <w:jc w:val="left"/>
                              <w:rPr>
                                <w:rFonts w:ascii="Times New Roman"/>
                                <w:b/>
                                <w:sz w:val="13"/>
                              </w:rPr>
                            </w:pPr>
                          </w:p>
                          <w:p w14:paraId="2A51145F" w14:textId="77777777" w:rsidR="00ED08FF" w:rsidRDefault="00000000">
                            <w:pPr>
                              <w:pStyle w:val="TableParagraph"/>
                              <w:spacing w:line="240" w:lineRule="auto"/>
                              <w:ind w:right="144"/>
                              <w:rPr>
                                <w:sz w:val="13"/>
                              </w:rPr>
                            </w:pPr>
                            <w:r>
                              <w:rPr>
                                <w:spacing w:val="-2"/>
                                <w:sz w:val="13"/>
                              </w:rPr>
                              <w:t>1.830</w:t>
                            </w:r>
                          </w:p>
                        </w:tc>
                        <w:tc>
                          <w:tcPr>
                            <w:tcW w:w="819" w:type="dxa"/>
                          </w:tcPr>
                          <w:p w14:paraId="03874F0A" w14:textId="77777777" w:rsidR="00ED08FF" w:rsidRDefault="00ED08FF">
                            <w:pPr>
                              <w:pStyle w:val="TableParagraph"/>
                              <w:spacing w:before="52" w:line="240" w:lineRule="auto"/>
                              <w:jc w:val="left"/>
                              <w:rPr>
                                <w:rFonts w:ascii="Times New Roman"/>
                                <w:b/>
                                <w:sz w:val="13"/>
                              </w:rPr>
                            </w:pPr>
                          </w:p>
                          <w:p w14:paraId="78EFF3E4" w14:textId="77777777" w:rsidR="00ED08FF" w:rsidRDefault="00000000">
                            <w:pPr>
                              <w:pStyle w:val="TableParagraph"/>
                              <w:spacing w:line="240" w:lineRule="auto"/>
                              <w:ind w:left="117"/>
                              <w:jc w:val="left"/>
                              <w:rPr>
                                <w:sz w:val="13"/>
                              </w:rPr>
                            </w:pPr>
                            <w:r>
                              <w:rPr>
                                <w:spacing w:val="-2"/>
                                <w:sz w:val="13"/>
                              </w:rPr>
                              <w:t>7.436</w:t>
                            </w:r>
                          </w:p>
                        </w:tc>
                        <w:tc>
                          <w:tcPr>
                            <w:tcW w:w="741" w:type="dxa"/>
                          </w:tcPr>
                          <w:p w14:paraId="286C7A0D" w14:textId="77777777" w:rsidR="00ED08FF" w:rsidRDefault="00ED08FF">
                            <w:pPr>
                              <w:pStyle w:val="TableParagraph"/>
                              <w:spacing w:before="52" w:line="240" w:lineRule="auto"/>
                              <w:jc w:val="left"/>
                              <w:rPr>
                                <w:rFonts w:ascii="Times New Roman"/>
                                <w:b/>
                                <w:sz w:val="13"/>
                              </w:rPr>
                            </w:pPr>
                          </w:p>
                          <w:p w14:paraId="649300E3" w14:textId="77777777" w:rsidR="00ED08FF" w:rsidRDefault="00000000">
                            <w:pPr>
                              <w:pStyle w:val="TableParagraph"/>
                              <w:spacing w:line="240" w:lineRule="auto"/>
                              <w:ind w:left="234"/>
                              <w:jc w:val="left"/>
                              <w:rPr>
                                <w:sz w:val="13"/>
                              </w:rPr>
                            </w:pPr>
                            <w:r>
                              <w:rPr>
                                <w:spacing w:val="-2"/>
                                <w:sz w:val="13"/>
                              </w:rPr>
                              <w:t>0.718</w:t>
                            </w:r>
                          </w:p>
                        </w:tc>
                        <w:tc>
                          <w:tcPr>
                            <w:tcW w:w="635" w:type="dxa"/>
                          </w:tcPr>
                          <w:p w14:paraId="7695FF32" w14:textId="77777777" w:rsidR="00ED08FF" w:rsidRDefault="00ED08FF">
                            <w:pPr>
                              <w:pStyle w:val="TableParagraph"/>
                              <w:spacing w:before="52" w:line="240" w:lineRule="auto"/>
                              <w:jc w:val="left"/>
                              <w:rPr>
                                <w:rFonts w:ascii="Times New Roman"/>
                                <w:b/>
                                <w:sz w:val="13"/>
                              </w:rPr>
                            </w:pPr>
                          </w:p>
                          <w:p w14:paraId="736C0F3B" w14:textId="77777777" w:rsidR="00ED08FF" w:rsidRDefault="00000000">
                            <w:pPr>
                              <w:pStyle w:val="TableParagraph"/>
                              <w:spacing w:line="240" w:lineRule="auto"/>
                              <w:ind w:left="67"/>
                              <w:rPr>
                                <w:sz w:val="13"/>
                              </w:rPr>
                            </w:pPr>
                            <w:r>
                              <w:rPr>
                                <w:spacing w:val="-2"/>
                                <w:sz w:val="13"/>
                              </w:rPr>
                              <w:t>18.625</w:t>
                            </w:r>
                          </w:p>
                        </w:tc>
                      </w:tr>
                      <w:tr w:rsidR="00ED08FF" w14:paraId="7FBE1F52" w14:textId="77777777">
                        <w:trPr>
                          <w:trHeight w:val="220"/>
                        </w:trPr>
                        <w:tc>
                          <w:tcPr>
                            <w:tcW w:w="635" w:type="dxa"/>
                          </w:tcPr>
                          <w:p w14:paraId="46F1EC15" w14:textId="77777777" w:rsidR="00ED08FF" w:rsidRDefault="00000000">
                            <w:pPr>
                              <w:pStyle w:val="TableParagraph"/>
                              <w:spacing w:before="73"/>
                              <w:ind w:right="144"/>
                              <w:rPr>
                                <w:sz w:val="13"/>
                              </w:rPr>
                            </w:pPr>
                            <w:r>
                              <w:rPr>
                                <w:spacing w:val="-2"/>
                                <w:sz w:val="13"/>
                              </w:rPr>
                              <w:t>0.590</w:t>
                            </w:r>
                          </w:p>
                        </w:tc>
                        <w:tc>
                          <w:tcPr>
                            <w:tcW w:w="819" w:type="dxa"/>
                          </w:tcPr>
                          <w:p w14:paraId="49FACB21" w14:textId="77777777" w:rsidR="00ED08FF" w:rsidRDefault="00000000">
                            <w:pPr>
                              <w:pStyle w:val="TableParagraph"/>
                              <w:spacing w:before="73"/>
                              <w:ind w:left="117"/>
                              <w:jc w:val="left"/>
                              <w:rPr>
                                <w:sz w:val="13"/>
                              </w:rPr>
                            </w:pPr>
                            <w:r>
                              <w:rPr>
                                <w:spacing w:val="-2"/>
                                <w:sz w:val="13"/>
                              </w:rPr>
                              <w:t>6.888</w:t>
                            </w:r>
                          </w:p>
                        </w:tc>
                        <w:tc>
                          <w:tcPr>
                            <w:tcW w:w="741" w:type="dxa"/>
                          </w:tcPr>
                          <w:p w14:paraId="354F813D" w14:textId="77777777" w:rsidR="00ED08FF" w:rsidRDefault="00000000">
                            <w:pPr>
                              <w:pStyle w:val="TableParagraph"/>
                              <w:spacing w:before="73"/>
                              <w:ind w:left="234"/>
                              <w:jc w:val="left"/>
                              <w:rPr>
                                <w:sz w:val="13"/>
                              </w:rPr>
                            </w:pPr>
                            <w:r>
                              <w:rPr>
                                <w:spacing w:val="-2"/>
                                <w:sz w:val="13"/>
                              </w:rPr>
                              <w:t>0.674</w:t>
                            </w:r>
                          </w:p>
                        </w:tc>
                        <w:tc>
                          <w:tcPr>
                            <w:tcW w:w="635" w:type="dxa"/>
                          </w:tcPr>
                          <w:p w14:paraId="461DC93E" w14:textId="77777777" w:rsidR="00ED08FF" w:rsidRDefault="00000000">
                            <w:pPr>
                              <w:pStyle w:val="TableParagraph"/>
                              <w:spacing w:before="73"/>
                              <w:ind w:left="67"/>
                              <w:rPr>
                                <w:sz w:val="13"/>
                              </w:rPr>
                            </w:pPr>
                            <w:r>
                              <w:rPr>
                                <w:spacing w:val="-2"/>
                                <w:sz w:val="13"/>
                              </w:rPr>
                              <w:t>19.076</w:t>
                            </w:r>
                          </w:p>
                        </w:tc>
                      </w:tr>
                    </w:tbl>
                    <w:p w14:paraId="3BC477CA" w14:textId="77777777" w:rsidR="00ED08FF" w:rsidRDefault="00ED08FF">
                      <w:pPr>
                        <w:pStyle w:val="BodyText"/>
                        <w:spacing w:before="0"/>
                        <w:ind w:left="0"/>
                      </w:pPr>
                    </w:p>
                  </w:txbxContent>
                </v:textbox>
                <w10:wrap anchorx="page"/>
              </v:shape>
            </w:pict>
          </mc:Fallback>
        </mc:AlternateContent>
      </w:r>
      <w:r>
        <w:rPr>
          <w:rFonts w:ascii="Courier New"/>
          <w:spacing w:val="-2"/>
          <w:sz w:val="13"/>
        </w:rPr>
        <w:t>Ticker</w:t>
      </w:r>
      <w:r>
        <w:rPr>
          <w:rFonts w:ascii="Courier New"/>
          <w:sz w:val="13"/>
        </w:rPr>
        <w:tab/>
      </w:r>
      <w:r>
        <w:rPr>
          <w:rFonts w:ascii="Courier New"/>
          <w:spacing w:val="-2"/>
          <w:sz w:val="13"/>
        </w:rPr>
        <w:t>Company</w:t>
      </w:r>
    </w:p>
    <w:p w14:paraId="2FB6C9C0" w14:textId="77777777" w:rsidR="00ED08FF" w:rsidRDefault="00000000">
      <w:pPr>
        <w:tabs>
          <w:tab w:val="left" w:pos="1498"/>
        </w:tabs>
        <w:spacing w:before="147" w:line="480" w:lineRule="auto"/>
        <w:ind w:left="641" w:right="5193"/>
        <w:rPr>
          <w:rFonts w:ascii="Courier New"/>
          <w:sz w:val="13"/>
        </w:rPr>
      </w:pPr>
      <w:r>
        <w:rPr>
          <w:rFonts w:ascii="Courier New"/>
          <w:spacing w:val="-4"/>
          <w:sz w:val="13"/>
        </w:rPr>
        <w:t>UNVR</w:t>
      </w:r>
      <w:r>
        <w:rPr>
          <w:rFonts w:ascii="Courier New"/>
          <w:sz w:val="13"/>
        </w:rPr>
        <w:tab/>
        <w:t xml:space="preserve">PT Unilever Indonesia Tbk </w:t>
      </w:r>
      <w:r>
        <w:rPr>
          <w:rFonts w:ascii="Courier New"/>
          <w:spacing w:val="-4"/>
          <w:sz w:val="13"/>
        </w:rPr>
        <w:t>AMRT</w:t>
      </w:r>
      <w:r>
        <w:rPr>
          <w:rFonts w:ascii="Courier New"/>
          <w:sz w:val="13"/>
        </w:rPr>
        <w:tab/>
        <w:t>PT</w:t>
      </w:r>
      <w:r>
        <w:rPr>
          <w:rFonts w:ascii="Courier New"/>
          <w:spacing w:val="-10"/>
          <w:sz w:val="13"/>
        </w:rPr>
        <w:t xml:space="preserve"> </w:t>
      </w:r>
      <w:r>
        <w:rPr>
          <w:rFonts w:ascii="Courier New"/>
          <w:sz w:val="13"/>
        </w:rPr>
        <w:t>Sumber</w:t>
      </w:r>
      <w:r>
        <w:rPr>
          <w:rFonts w:ascii="Courier New"/>
          <w:spacing w:val="-10"/>
          <w:sz w:val="13"/>
        </w:rPr>
        <w:t xml:space="preserve"> </w:t>
      </w:r>
      <w:r>
        <w:rPr>
          <w:rFonts w:ascii="Courier New"/>
          <w:sz w:val="13"/>
        </w:rPr>
        <w:t>Alfaria</w:t>
      </w:r>
      <w:r>
        <w:rPr>
          <w:rFonts w:ascii="Courier New"/>
          <w:spacing w:val="-10"/>
          <w:sz w:val="13"/>
        </w:rPr>
        <w:t xml:space="preserve"> </w:t>
      </w:r>
      <w:r>
        <w:rPr>
          <w:rFonts w:ascii="Courier New"/>
          <w:sz w:val="13"/>
        </w:rPr>
        <w:t>Trijaya</w:t>
      </w:r>
      <w:r>
        <w:rPr>
          <w:rFonts w:ascii="Courier New"/>
          <w:spacing w:val="-10"/>
          <w:sz w:val="13"/>
        </w:rPr>
        <w:t xml:space="preserve"> </w:t>
      </w:r>
      <w:r>
        <w:rPr>
          <w:rFonts w:ascii="Courier New"/>
          <w:sz w:val="13"/>
        </w:rPr>
        <w:t xml:space="preserve">Tbk </w:t>
      </w:r>
      <w:r>
        <w:rPr>
          <w:rFonts w:ascii="Courier New"/>
          <w:spacing w:val="-4"/>
          <w:sz w:val="13"/>
        </w:rPr>
        <w:t>CMRY</w:t>
      </w:r>
      <w:r>
        <w:rPr>
          <w:rFonts w:ascii="Courier New"/>
          <w:sz w:val="13"/>
        </w:rPr>
        <w:tab/>
        <w:t>PT</w:t>
      </w:r>
      <w:r>
        <w:rPr>
          <w:rFonts w:ascii="Courier New"/>
          <w:spacing w:val="-8"/>
          <w:sz w:val="13"/>
        </w:rPr>
        <w:t xml:space="preserve"> </w:t>
      </w:r>
      <w:r>
        <w:rPr>
          <w:rFonts w:ascii="Courier New"/>
          <w:sz w:val="13"/>
        </w:rPr>
        <w:t>Cisarua</w:t>
      </w:r>
      <w:r>
        <w:rPr>
          <w:rFonts w:ascii="Courier New"/>
          <w:spacing w:val="-5"/>
          <w:sz w:val="13"/>
        </w:rPr>
        <w:t xml:space="preserve"> </w:t>
      </w:r>
      <w:r>
        <w:rPr>
          <w:rFonts w:ascii="Courier New"/>
          <w:sz w:val="13"/>
        </w:rPr>
        <w:t>Mountain</w:t>
      </w:r>
      <w:r>
        <w:rPr>
          <w:rFonts w:ascii="Courier New"/>
          <w:spacing w:val="-6"/>
          <w:sz w:val="13"/>
        </w:rPr>
        <w:t xml:space="preserve"> </w:t>
      </w:r>
      <w:r>
        <w:rPr>
          <w:rFonts w:ascii="Courier New"/>
          <w:sz w:val="13"/>
        </w:rPr>
        <w:t>Dairy</w:t>
      </w:r>
      <w:r>
        <w:rPr>
          <w:rFonts w:ascii="Courier New"/>
          <w:spacing w:val="-5"/>
          <w:sz w:val="13"/>
        </w:rPr>
        <w:t xml:space="preserve"> Tbk</w:t>
      </w:r>
    </w:p>
    <w:p w14:paraId="126688CB" w14:textId="77777777" w:rsidR="00ED08FF" w:rsidRDefault="00000000">
      <w:pPr>
        <w:tabs>
          <w:tab w:val="left" w:pos="1498"/>
        </w:tabs>
        <w:spacing w:line="480" w:lineRule="auto"/>
        <w:ind w:left="641" w:right="4803"/>
        <w:rPr>
          <w:rFonts w:ascii="Courier New"/>
          <w:sz w:val="13"/>
        </w:rPr>
      </w:pPr>
      <w:r>
        <w:rPr>
          <w:rFonts w:ascii="Courier New"/>
          <w:spacing w:val="-4"/>
          <w:sz w:val="13"/>
        </w:rPr>
        <w:t>GOOD</w:t>
      </w:r>
      <w:r>
        <w:rPr>
          <w:rFonts w:ascii="Courier New"/>
          <w:sz w:val="13"/>
        </w:rPr>
        <w:tab/>
        <w:t>PT</w:t>
      </w:r>
      <w:r>
        <w:rPr>
          <w:rFonts w:ascii="Courier New"/>
          <w:spacing w:val="-8"/>
          <w:sz w:val="13"/>
        </w:rPr>
        <w:t xml:space="preserve"> </w:t>
      </w:r>
      <w:r>
        <w:rPr>
          <w:rFonts w:ascii="Courier New"/>
          <w:sz w:val="13"/>
        </w:rPr>
        <w:t>Garudafood</w:t>
      </w:r>
      <w:r>
        <w:rPr>
          <w:rFonts w:ascii="Courier New"/>
          <w:spacing w:val="-8"/>
          <w:sz w:val="13"/>
        </w:rPr>
        <w:t xml:space="preserve"> </w:t>
      </w:r>
      <w:r>
        <w:rPr>
          <w:rFonts w:ascii="Courier New"/>
          <w:sz w:val="13"/>
        </w:rPr>
        <w:t>Putra</w:t>
      </w:r>
      <w:r>
        <w:rPr>
          <w:rFonts w:ascii="Courier New"/>
          <w:spacing w:val="-8"/>
          <w:sz w:val="13"/>
        </w:rPr>
        <w:t xml:space="preserve"> </w:t>
      </w:r>
      <w:r>
        <w:rPr>
          <w:rFonts w:ascii="Courier New"/>
          <w:sz w:val="13"/>
        </w:rPr>
        <w:t>Putri</w:t>
      </w:r>
      <w:r>
        <w:rPr>
          <w:rFonts w:ascii="Courier New"/>
          <w:spacing w:val="-8"/>
          <w:sz w:val="13"/>
        </w:rPr>
        <w:t xml:space="preserve"> </w:t>
      </w:r>
      <w:r>
        <w:rPr>
          <w:rFonts w:ascii="Courier New"/>
          <w:sz w:val="13"/>
        </w:rPr>
        <w:t>Jaya</w:t>
      </w:r>
      <w:r>
        <w:rPr>
          <w:rFonts w:ascii="Courier New"/>
          <w:spacing w:val="-8"/>
          <w:sz w:val="13"/>
        </w:rPr>
        <w:t xml:space="preserve"> </w:t>
      </w:r>
      <w:r>
        <w:rPr>
          <w:rFonts w:ascii="Courier New"/>
          <w:sz w:val="13"/>
        </w:rPr>
        <w:t xml:space="preserve">Tbk </w:t>
      </w:r>
      <w:r>
        <w:rPr>
          <w:rFonts w:ascii="Courier New"/>
          <w:spacing w:val="-4"/>
          <w:sz w:val="13"/>
        </w:rPr>
        <w:t>ROTI</w:t>
      </w:r>
      <w:r>
        <w:rPr>
          <w:rFonts w:ascii="Courier New"/>
          <w:sz w:val="13"/>
        </w:rPr>
        <w:tab/>
        <w:t>PT Nippon Indosari Corpindo Tbk</w:t>
      </w:r>
    </w:p>
    <w:p w14:paraId="029A9683" w14:textId="77777777" w:rsidR="00ED08FF" w:rsidRDefault="00000000">
      <w:pPr>
        <w:pStyle w:val="BodyText"/>
        <w:spacing w:before="0" w:line="206" w:lineRule="exact"/>
        <w:ind w:left="146"/>
      </w:pPr>
      <w:r>
        <w:t>PT</w:t>
      </w:r>
      <w:r>
        <w:rPr>
          <w:spacing w:val="-3"/>
        </w:rPr>
        <w:t xml:space="preserve"> </w:t>
      </w:r>
      <w:r>
        <w:t>Ultrajaya</w:t>
      </w:r>
      <w:r>
        <w:rPr>
          <w:spacing w:val="-2"/>
        </w:rPr>
        <w:t xml:space="preserve"> </w:t>
      </w:r>
      <w:r>
        <w:t>Milk</w:t>
      </w:r>
      <w:r>
        <w:rPr>
          <w:spacing w:val="-2"/>
        </w:rPr>
        <w:t xml:space="preserve"> </w:t>
      </w:r>
      <w:r>
        <w:t>Industry</w:t>
      </w:r>
      <w:r>
        <w:rPr>
          <w:spacing w:val="-1"/>
        </w:rPr>
        <w:t xml:space="preserve"> </w:t>
      </w:r>
      <w:r>
        <w:t>&amp;</w:t>
      </w:r>
      <w:r>
        <w:rPr>
          <w:spacing w:val="-3"/>
        </w:rPr>
        <w:t xml:space="preserve"> </w:t>
      </w:r>
      <w:r>
        <w:t>Trading</w:t>
      </w:r>
      <w:r>
        <w:rPr>
          <w:spacing w:val="-1"/>
        </w:rPr>
        <w:t xml:space="preserve"> </w:t>
      </w:r>
      <w:r>
        <w:rPr>
          <w:spacing w:val="-2"/>
        </w:rPr>
        <w:t>Company</w:t>
      </w:r>
    </w:p>
    <w:p w14:paraId="7F8CCCFE" w14:textId="77777777" w:rsidR="00ED08FF" w:rsidRDefault="00000000">
      <w:pPr>
        <w:spacing w:before="48"/>
        <w:ind w:left="641"/>
        <w:rPr>
          <w:rFonts w:ascii="Courier New"/>
          <w:sz w:val="13"/>
        </w:rPr>
      </w:pPr>
      <w:r>
        <w:rPr>
          <w:rFonts w:ascii="Courier New"/>
          <w:spacing w:val="-4"/>
          <w:sz w:val="13"/>
        </w:rPr>
        <w:t>ULTJ</w:t>
      </w:r>
    </w:p>
    <w:p w14:paraId="57A12F53" w14:textId="77777777" w:rsidR="00ED08FF" w:rsidRDefault="00ED08FF">
      <w:pPr>
        <w:rPr>
          <w:rFonts w:ascii="Courier New"/>
          <w:sz w:val="13"/>
        </w:rPr>
        <w:sectPr w:rsidR="00ED08FF">
          <w:type w:val="continuous"/>
          <w:pgSz w:w="12240" w:h="15840"/>
          <w:pgMar w:top="1040" w:right="720" w:bottom="860" w:left="720" w:header="0" w:footer="669" w:gutter="0"/>
          <w:cols w:num="2" w:space="720" w:equalWidth="0">
            <w:col w:w="577" w:space="1269"/>
            <w:col w:w="8954"/>
          </w:cols>
        </w:sectPr>
      </w:pPr>
    </w:p>
    <w:p w14:paraId="5DA16814" w14:textId="77777777" w:rsidR="00ED08FF" w:rsidRDefault="00ED08FF">
      <w:pPr>
        <w:pStyle w:val="BodyText"/>
        <w:spacing w:before="0"/>
        <w:ind w:left="0"/>
        <w:rPr>
          <w:rFonts w:ascii="Courier New"/>
          <w:sz w:val="13"/>
        </w:rPr>
      </w:pPr>
    </w:p>
    <w:p w14:paraId="1422BACF" w14:textId="77777777" w:rsidR="00ED08FF" w:rsidRDefault="00ED08FF">
      <w:pPr>
        <w:pStyle w:val="BodyText"/>
        <w:spacing w:before="109"/>
        <w:ind w:left="0"/>
        <w:rPr>
          <w:rFonts w:ascii="Courier New"/>
          <w:sz w:val="13"/>
        </w:rPr>
      </w:pPr>
    </w:p>
    <w:p w14:paraId="13654E20" w14:textId="77777777" w:rsidR="00ED08FF" w:rsidRDefault="00000000">
      <w:pPr>
        <w:ind w:left="145"/>
        <w:rPr>
          <w:rFonts w:ascii="Courier New"/>
          <w:sz w:val="13"/>
        </w:rPr>
      </w:pPr>
      <w:r>
        <w:rPr>
          <w:rFonts w:ascii="Courier New"/>
          <w:spacing w:val="-2"/>
          <w:sz w:val="13"/>
        </w:rPr>
        <w:t>3.330</w:t>
      </w:r>
    </w:p>
    <w:p w14:paraId="3072DA92" w14:textId="77777777" w:rsidR="00ED08FF" w:rsidRDefault="00ED08FF">
      <w:pPr>
        <w:pStyle w:val="BodyText"/>
        <w:spacing w:before="0"/>
        <w:ind w:left="0"/>
        <w:rPr>
          <w:rFonts w:ascii="Courier New"/>
          <w:sz w:val="13"/>
        </w:rPr>
      </w:pPr>
    </w:p>
    <w:p w14:paraId="4137EEAD" w14:textId="77777777" w:rsidR="00ED08FF" w:rsidRDefault="00000000">
      <w:pPr>
        <w:ind w:left="145"/>
        <w:rPr>
          <w:rFonts w:ascii="Courier New"/>
          <w:sz w:val="13"/>
        </w:rPr>
      </w:pPr>
      <w:r>
        <w:rPr>
          <w:rFonts w:ascii="Courier New"/>
          <w:spacing w:val="-2"/>
          <w:sz w:val="13"/>
        </w:rPr>
        <w:t>1.866</w:t>
      </w:r>
    </w:p>
    <w:p w14:paraId="19CC424F" w14:textId="77777777" w:rsidR="00ED08FF" w:rsidRDefault="00000000">
      <w:pPr>
        <w:pStyle w:val="BodyText"/>
        <w:spacing w:before="0"/>
        <w:ind w:left="146"/>
      </w:pPr>
      <w:r>
        <w:br w:type="column"/>
      </w:r>
      <w:r>
        <w:rPr>
          <w:spacing w:val="-5"/>
        </w:rPr>
        <w:t>Tbk</w:t>
      </w:r>
    </w:p>
    <w:p w14:paraId="4C1893E9" w14:textId="77777777" w:rsidR="00ED08FF" w:rsidRDefault="00000000">
      <w:pPr>
        <w:pStyle w:val="BodyText"/>
        <w:spacing w:before="107"/>
        <w:ind w:left="0"/>
        <w:rPr>
          <w:sz w:val="13"/>
        </w:rPr>
      </w:pPr>
      <w:r>
        <w:br w:type="column"/>
      </w:r>
    </w:p>
    <w:p w14:paraId="65EF28DC" w14:textId="77777777" w:rsidR="00ED08FF" w:rsidRDefault="00000000">
      <w:pPr>
        <w:tabs>
          <w:tab w:val="left" w:pos="1003"/>
        </w:tabs>
        <w:spacing w:line="480" w:lineRule="auto"/>
        <w:ind w:left="146" w:right="4881"/>
        <w:rPr>
          <w:rFonts w:ascii="Courier New"/>
          <w:sz w:val="13"/>
        </w:rPr>
      </w:pPr>
      <w:r>
        <w:rPr>
          <w:rFonts w:ascii="Courier New"/>
          <w:spacing w:val="-4"/>
          <w:sz w:val="13"/>
        </w:rPr>
        <w:t>ICBP</w:t>
      </w:r>
      <w:r>
        <w:rPr>
          <w:rFonts w:ascii="Courier New"/>
          <w:sz w:val="13"/>
        </w:rPr>
        <w:tab/>
        <w:t>PT</w:t>
      </w:r>
      <w:r>
        <w:rPr>
          <w:rFonts w:ascii="Courier New"/>
          <w:spacing w:val="-8"/>
          <w:sz w:val="13"/>
        </w:rPr>
        <w:t xml:space="preserve"> </w:t>
      </w:r>
      <w:r>
        <w:rPr>
          <w:rFonts w:ascii="Courier New"/>
          <w:sz w:val="13"/>
        </w:rPr>
        <w:t>Indofood</w:t>
      </w:r>
      <w:r>
        <w:rPr>
          <w:rFonts w:ascii="Courier New"/>
          <w:spacing w:val="-8"/>
          <w:sz w:val="13"/>
        </w:rPr>
        <w:t xml:space="preserve"> </w:t>
      </w:r>
      <w:r>
        <w:rPr>
          <w:rFonts w:ascii="Courier New"/>
          <w:sz w:val="13"/>
        </w:rPr>
        <w:t>CBP</w:t>
      </w:r>
      <w:r>
        <w:rPr>
          <w:rFonts w:ascii="Courier New"/>
          <w:spacing w:val="-8"/>
          <w:sz w:val="13"/>
        </w:rPr>
        <w:t xml:space="preserve"> </w:t>
      </w:r>
      <w:r>
        <w:rPr>
          <w:rFonts w:ascii="Courier New"/>
          <w:sz w:val="13"/>
        </w:rPr>
        <w:t>Sukses</w:t>
      </w:r>
      <w:r>
        <w:rPr>
          <w:rFonts w:ascii="Courier New"/>
          <w:spacing w:val="-8"/>
          <w:sz w:val="13"/>
        </w:rPr>
        <w:t xml:space="preserve"> </w:t>
      </w:r>
      <w:r>
        <w:rPr>
          <w:rFonts w:ascii="Courier New"/>
          <w:sz w:val="13"/>
        </w:rPr>
        <w:t>Makmur</w:t>
      </w:r>
      <w:r>
        <w:rPr>
          <w:rFonts w:ascii="Courier New"/>
          <w:spacing w:val="-8"/>
          <w:sz w:val="13"/>
        </w:rPr>
        <w:t xml:space="preserve"> </w:t>
      </w:r>
      <w:r>
        <w:rPr>
          <w:rFonts w:ascii="Courier New"/>
          <w:sz w:val="13"/>
        </w:rPr>
        <w:t xml:space="preserve">Tbk </w:t>
      </w:r>
      <w:r>
        <w:rPr>
          <w:rFonts w:ascii="Courier New"/>
          <w:spacing w:val="-4"/>
          <w:sz w:val="13"/>
        </w:rPr>
        <w:t>INDF</w:t>
      </w:r>
      <w:r>
        <w:rPr>
          <w:rFonts w:ascii="Courier New"/>
          <w:sz w:val="13"/>
        </w:rPr>
        <w:tab/>
        <w:t>PT Indofood Sukses Makmur Tbk</w:t>
      </w:r>
    </w:p>
    <w:p w14:paraId="22FF6A3F" w14:textId="77777777" w:rsidR="00ED08FF" w:rsidRDefault="00ED08FF">
      <w:pPr>
        <w:spacing w:line="480" w:lineRule="auto"/>
        <w:rPr>
          <w:rFonts w:ascii="Courier New"/>
          <w:sz w:val="13"/>
        </w:rPr>
        <w:sectPr w:rsidR="00ED08FF">
          <w:type w:val="continuous"/>
          <w:pgSz w:w="12240" w:h="15840"/>
          <w:pgMar w:top="1040" w:right="720" w:bottom="860" w:left="720" w:header="0" w:footer="669" w:gutter="0"/>
          <w:cols w:num="3" w:space="720" w:equalWidth="0">
            <w:col w:w="577" w:space="1269"/>
            <w:col w:w="436" w:space="58"/>
            <w:col w:w="8460"/>
          </w:cols>
        </w:sectPr>
      </w:pPr>
    </w:p>
    <w:p w14:paraId="3B9BC310" w14:textId="77777777" w:rsidR="00ED08FF" w:rsidRDefault="00ED08FF">
      <w:pPr>
        <w:pStyle w:val="BodyText"/>
        <w:spacing w:before="52"/>
        <w:ind w:left="0"/>
        <w:rPr>
          <w:rFonts w:ascii="Courier New"/>
        </w:rPr>
      </w:pPr>
    </w:p>
    <w:p w14:paraId="6196FDEC" w14:textId="77777777" w:rsidR="00ED08FF" w:rsidRDefault="00000000">
      <w:pPr>
        <w:pStyle w:val="Heading2"/>
        <w:spacing w:before="1"/>
        <w:ind w:left="2"/>
        <w:jc w:val="center"/>
      </w:pPr>
      <w:r>
        <w:t>Figure</w:t>
      </w:r>
      <w:r>
        <w:rPr>
          <w:spacing w:val="-4"/>
        </w:rPr>
        <w:t xml:space="preserve"> </w:t>
      </w:r>
      <w:r>
        <w:t>4:</w:t>
      </w:r>
      <w:r>
        <w:rPr>
          <w:spacing w:val="-2"/>
        </w:rPr>
        <w:t xml:space="preserve"> </w:t>
      </w:r>
      <w:r>
        <w:t>Average</w:t>
      </w:r>
      <w:r>
        <w:rPr>
          <w:spacing w:val="-4"/>
        </w:rPr>
        <w:t xml:space="preserve"> </w:t>
      </w:r>
      <w:r>
        <w:t>ROA</w:t>
      </w:r>
      <w:r>
        <w:rPr>
          <w:spacing w:val="-3"/>
        </w:rPr>
        <w:t xml:space="preserve"> </w:t>
      </w:r>
      <w:r>
        <w:t>by</w:t>
      </w:r>
      <w:r>
        <w:rPr>
          <w:spacing w:val="-2"/>
        </w:rPr>
        <w:t xml:space="preserve"> Company</w:t>
      </w:r>
    </w:p>
    <w:p w14:paraId="78984104" w14:textId="77777777" w:rsidR="00ED08FF" w:rsidRDefault="00ED08FF">
      <w:pPr>
        <w:pStyle w:val="Heading2"/>
        <w:jc w:val="center"/>
        <w:sectPr w:rsidR="00ED08FF">
          <w:type w:val="continuous"/>
          <w:pgSz w:w="12240" w:h="15840"/>
          <w:pgMar w:top="1040" w:right="720" w:bottom="860" w:left="720" w:header="0" w:footer="669" w:gutter="0"/>
          <w:cols w:space="720"/>
        </w:sectPr>
      </w:pPr>
    </w:p>
    <w:p w14:paraId="04032114" w14:textId="77777777" w:rsidR="00ED08FF" w:rsidRDefault="00000000">
      <w:pPr>
        <w:ind w:left="1466"/>
        <w:rPr>
          <w:sz w:val="20"/>
        </w:rPr>
      </w:pPr>
      <w:r>
        <w:rPr>
          <w:noProof/>
          <w:sz w:val="20"/>
        </w:rPr>
        <w:lastRenderedPageBreak/>
        <w:drawing>
          <wp:inline distT="0" distB="0" distL="0" distR="0" wp14:anchorId="6601333A" wp14:editId="57171F05">
            <wp:extent cx="4942489" cy="2586990"/>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1" cstate="print"/>
                    <a:stretch>
                      <a:fillRect/>
                    </a:stretch>
                  </pic:blipFill>
                  <pic:spPr>
                    <a:xfrm>
                      <a:off x="0" y="0"/>
                      <a:ext cx="4942489" cy="2586990"/>
                    </a:xfrm>
                    <a:prstGeom prst="rect">
                      <a:avLst/>
                    </a:prstGeom>
                  </pic:spPr>
                </pic:pic>
              </a:graphicData>
            </a:graphic>
          </wp:inline>
        </w:drawing>
      </w:r>
    </w:p>
    <w:p w14:paraId="0718C207" w14:textId="77777777" w:rsidR="00ED08FF" w:rsidRDefault="00ED08FF">
      <w:pPr>
        <w:pStyle w:val="BodyText"/>
        <w:spacing w:before="0"/>
        <w:ind w:left="0"/>
        <w:rPr>
          <w:b/>
        </w:rPr>
      </w:pPr>
    </w:p>
    <w:p w14:paraId="5BD83E23" w14:textId="77777777" w:rsidR="00ED08FF" w:rsidRDefault="00ED08FF">
      <w:pPr>
        <w:pStyle w:val="BodyText"/>
        <w:spacing w:before="97"/>
        <w:ind w:left="0"/>
        <w:rPr>
          <w:b/>
        </w:rPr>
      </w:pPr>
    </w:p>
    <w:p w14:paraId="11D4BC61" w14:textId="77777777" w:rsidR="00ED08FF" w:rsidRDefault="00000000">
      <w:pPr>
        <w:pStyle w:val="BodyText"/>
        <w:spacing w:line="297" w:lineRule="auto"/>
        <w:ind w:right="1903"/>
      </w:pPr>
      <w:r>
        <w:t>The company-level averages demonstrate why sector analysis cannot rely on one representative issuer. UNVR has the highest average PBV, while INDF has the lowest average PBV despite having the largest asset base. CMRY and AMRT also</w:t>
      </w:r>
      <w:r>
        <w:rPr>
          <w:spacing w:val="-3"/>
        </w:rPr>
        <w:t xml:space="preserve"> </w:t>
      </w:r>
      <w:r>
        <w:t>show</w:t>
      </w:r>
      <w:r>
        <w:rPr>
          <w:spacing w:val="-4"/>
        </w:rPr>
        <w:t xml:space="preserve"> </w:t>
      </w:r>
      <w:r>
        <w:t>relatively</w:t>
      </w:r>
      <w:r>
        <w:rPr>
          <w:spacing w:val="-3"/>
        </w:rPr>
        <w:t xml:space="preserve"> </w:t>
      </w:r>
      <w:r>
        <w:t>high</w:t>
      </w:r>
      <w:r>
        <w:rPr>
          <w:spacing w:val="-3"/>
        </w:rPr>
        <w:t xml:space="preserve"> </w:t>
      </w:r>
      <w:r>
        <w:t>PBV,</w:t>
      </w:r>
      <w:r>
        <w:rPr>
          <w:spacing w:val="-3"/>
        </w:rPr>
        <w:t xml:space="preserve"> </w:t>
      </w:r>
      <w:r>
        <w:t>but</w:t>
      </w:r>
      <w:r>
        <w:rPr>
          <w:spacing w:val="-4"/>
        </w:rPr>
        <w:t xml:space="preserve"> </w:t>
      </w:r>
      <w:r>
        <w:t>their</w:t>
      </w:r>
      <w:r>
        <w:rPr>
          <w:spacing w:val="-3"/>
        </w:rPr>
        <w:t xml:space="preserve"> </w:t>
      </w:r>
      <w:r>
        <w:t>business</w:t>
      </w:r>
      <w:r>
        <w:rPr>
          <w:spacing w:val="-4"/>
        </w:rPr>
        <w:t xml:space="preserve"> </w:t>
      </w:r>
      <w:r>
        <w:t>models</w:t>
      </w:r>
      <w:r>
        <w:rPr>
          <w:spacing w:val="-4"/>
        </w:rPr>
        <w:t xml:space="preserve"> </w:t>
      </w:r>
      <w:r>
        <w:t>differ</w:t>
      </w:r>
      <w:r>
        <w:rPr>
          <w:spacing w:val="-3"/>
        </w:rPr>
        <w:t xml:space="preserve"> </w:t>
      </w:r>
      <w:r>
        <w:t>substantially.</w:t>
      </w:r>
      <w:r>
        <w:rPr>
          <w:spacing w:val="-3"/>
        </w:rPr>
        <w:t xml:space="preserve"> </w:t>
      </w:r>
      <w:r>
        <w:t>These</w:t>
      </w:r>
      <w:r>
        <w:rPr>
          <w:spacing w:val="-4"/>
        </w:rPr>
        <w:t xml:space="preserve"> </w:t>
      </w:r>
      <w:r>
        <w:t>patterns</w:t>
      </w:r>
      <w:r>
        <w:rPr>
          <w:spacing w:val="-4"/>
        </w:rPr>
        <w:t xml:space="preserve"> </w:t>
      </w:r>
      <w:r>
        <w:t>suggest</w:t>
      </w:r>
      <w:r>
        <w:rPr>
          <w:spacing w:val="-4"/>
        </w:rPr>
        <w:t xml:space="preserve"> </w:t>
      </w:r>
      <w:r>
        <w:t>that</w:t>
      </w:r>
      <w:r>
        <w:rPr>
          <w:spacing w:val="-4"/>
        </w:rPr>
        <w:t xml:space="preserve"> </w:t>
      </w:r>
      <w:r>
        <w:t>the</w:t>
      </w:r>
      <w:r>
        <w:rPr>
          <w:spacing w:val="-4"/>
        </w:rPr>
        <w:t xml:space="preserve"> </w:t>
      </w:r>
      <w:r>
        <w:t>market</w:t>
      </w:r>
      <w:r>
        <w:rPr>
          <w:spacing w:val="-4"/>
        </w:rPr>
        <w:t xml:space="preserve"> </w:t>
      </w:r>
      <w:r>
        <w:t xml:space="preserve">does not value asset scale alone; profitability, brand strength, expected growth, and capital-market perception also play major </w:t>
      </w:r>
      <w:r>
        <w:rPr>
          <w:spacing w:val="-2"/>
        </w:rPr>
        <w:t>roles.</w:t>
      </w:r>
    </w:p>
    <w:p w14:paraId="294B8BCA" w14:textId="77777777" w:rsidR="00ED08FF" w:rsidRDefault="00000000">
      <w:pPr>
        <w:pStyle w:val="Heading2"/>
        <w:spacing w:before="1"/>
        <w:ind w:left="1063"/>
      </w:pPr>
      <w:r>
        <w:t>Figure</w:t>
      </w:r>
      <w:r>
        <w:rPr>
          <w:spacing w:val="-6"/>
        </w:rPr>
        <w:t xml:space="preserve"> </w:t>
      </w:r>
      <w:r>
        <w:t>4</w:t>
      </w:r>
      <w:r>
        <w:rPr>
          <w:spacing w:val="-3"/>
        </w:rPr>
        <w:t xml:space="preserve"> </w:t>
      </w:r>
      <w:r>
        <w:t>shows</w:t>
      </w:r>
      <w:r>
        <w:rPr>
          <w:spacing w:val="-4"/>
        </w:rPr>
        <w:t xml:space="preserve"> </w:t>
      </w:r>
      <w:r>
        <w:t>that</w:t>
      </w:r>
      <w:r>
        <w:rPr>
          <w:spacing w:val="-2"/>
        </w:rPr>
        <w:t xml:space="preserve"> </w:t>
      </w:r>
      <w:r>
        <w:t>profitability</w:t>
      </w:r>
      <w:r>
        <w:rPr>
          <w:spacing w:val="-3"/>
        </w:rPr>
        <w:t xml:space="preserve"> </w:t>
      </w:r>
      <w:r>
        <w:t>also</w:t>
      </w:r>
      <w:r>
        <w:rPr>
          <w:spacing w:val="-3"/>
        </w:rPr>
        <w:t xml:space="preserve"> </w:t>
      </w:r>
      <w:r>
        <w:t>differs</w:t>
      </w:r>
      <w:r>
        <w:rPr>
          <w:spacing w:val="-3"/>
        </w:rPr>
        <w:t xml:space="preserve"> </w:t>
      </w:r>
      <w:r>
        <w:t>across</w:t>
      </w:r>
      <w:r>
        <w:rPr>
          <w:spacing w:val="-4"/>
        </w:rPr>
        <w:t xml:space="preserve"> </w:t>
      </w:r>
      <w:r>
        <w:t>companies.</w:t>
      </w:r>
      <w:r>
        <w:rPr>
          <w:spacing w:val="-3"/>
        </w:rPr>
        <w:t xml:space="preserve"> </w:t>
      </w:r>
      <w:r>
        <w:t>CMRY</w:t>
      </w:r>
      <w:r>
        <w:rPr>
          <w:spacing w:val="-3"/>
        </w:rPr>
        <w:t xml:space="preserve"> </w:t>
      </w:r>
      <w:r>
        <w:t>and</w:t>
      </w:r>
      <w:r>
        <w:rPr>
          <w:spacing w:val="-4"/>
        </w:rPr>
        <w:t xml:space="preserve"> </w:t>
      </w:r>
      <w:r>
        <w:t>UNVR</w:t>
      </w:r>
      <w:r>
        <w:rPr>
          <w:spacing w:val="-4"/>
        </w:rPr>
        <w:t xml:space="preserve"> </w:t>
      </w:r>
      <w:r>
        <w:t>have</w:t>
      </w:r>
      <w:r>
        <w:rPr>
          <w:spacing w:val="-3"/>
        </w:rPr>
        <w:t xml:space="preserve"> </w:t>
      </w:r>
      <w:r>
        <w:t>high</w:t>
      </w:r>
      <w:r>
        <w:rPr>
          <w:spacing w:val="-3"/>
        </w:rPr>
        <w:t xml:space="preserve"> </w:t>
      </w:r>
      <w:r>
        <w:t>average</w:t>
      </w:r>
      <w:r>
        <w:rPr>
          <w:spacing w:val="-4"/>
        </w:rPr>
        <w:t xml:space="preserve"> </w:t>
      </w:r>
      <w:r>
        <w:t>ROA,</w:t>
      </w:r>
      <w:r>
        <w:rPr>
          <w:spacing w:val="-2"/>
        </w:rPr>
        <w:t xml:space="preserve"> while</w:t>
      </w:r>
    </w:p>
    <w:p w14:paraId="523E80D9" w14:textId="77777777" w:rsidR="00ED08FF" w:rsidRDefault="00000000">
      <w:pPr>
        <w:pStyle w:val="BodyText"/>
        <w:spacing w:before="50" w:line="297" w:lineRule="auto"/>
        <w:ind w:right="1903"/>
      </w:pPr>
      <w:r>
        <w:t>several</w:t>
      </w:r>
      <w:r>
        <w:rPr>
          <w:spacing w:val="-4"/>
        </w:rPr>
        <w:t xml:space="preserve"> </w:t>
      </w:r>
      <w:r>
        <w:t>mature</w:t>
      </w:r>
      <w:r>
        <w:rPr>
          <w:spacing w:val="-4"/>
        </w:rPr>
        <w:t xml:space="preserve"> </w:t>
      </w:r>
      <w:r>
        <w:t>food</w:t>
      </w:r>
      <w:r>
        <w:rPr>
          <w:spacing w:val="-3"/>
        </w:rPr>
        <w:t xml:space="preserve"> </w:t>
      </w:r>
      <w:r>
        <w:t>issuers</w:t>
      </w:r>
      <w:r>
        <w:rPr>
          <w:spacing w:val="-4"/>
        </w:rPr>
        <w:t xml:space="preserve"> </w:t>
      </w:r>
      <w:r>
        <w:t>produce</w:t>
      </w:r>
      <w:r>
        <w:rPr>
          <w:spacing w:val="-4"/>
        </w:rPr>
        <w:t xml:space="preserve"> </w:t>
      </w:r>
      <w:r>
        <w:t>more</w:t>
      </w:r>
      <w:r>
        <w:rPr>
          <w:spacing w:val="-4"/>
        </w:rPr>
        <w:t xml:space="preserve"> </w:t>
      </w:r>
      <w:r>
        <w:t>moderate</w:t>
      </w:r>
      <w:r>
        <w:rPr>
          <w:spacing w:val="-4"/>
        </w:rPr>
        <w:t xml:space="preserve"> </w:t>
      </w:r>
      <w:r>
        <w:t>ROA.</w:t>
      </w:r>
      <w:r>
        <w:rPr>
          <w:spacing w:val="-3"/>
        </w:rPr>
        <w:t xml:space="preserve"> </w:t>
      </w:r>
      <w:r>
        <w:t>This</w:t>
      </w:r>
      <w:r>
        <w:rPr>
          <w:spacing w:val="-4"/>
        </w:rPr>
        <w:t xml:space="preserve"> </w:t>
      </w:r>
      <w:r>
        <w:t>supports</w:t>
      </w:r>
      <w:r>
        <w:rPr>
          <w:spacing w:val="-4"/>
        </w:rPr>
        <w:t xml:space="preserve"> </w:t>
      </w:r>
      <w:r>
        <w:t>the</w:t>
      </w:r>
      <w:r>
        <w:rPr>
          <w:spacing w:val="-4"/>
        </w:rPr>
        <w:t xml:space="preserve"> </w:t>
      </w:r>
      <w:r>
        <w:t>expectation</w:t>
      </w:r>
      <w:r>
        <w:rPr>
          <w:spacing w:val="-3"/>
        </w:rPr>
        <w:t xml:space="preserve"> </w:t>
      </w:r>
      <w:r>
        <w:t>that</w:t>
      </w:r>
      <w:r>
        <w:rPr>
          <w:spacing w:val="-4"/>
        </w:rPr>
        <w:t xml:space="preserve"> </w:t>
      </w:r>
      <w:r>
        <w:t>profitability</w:t>
      </w:r>
      <w:r>
        <w:rPr>
          <w:spacing w:val="-3"/>
        </w:rPr>
        <w:t xml:space="preserve"> </w:t>
      </w:r>
      <w:r>
        <w:t>will</w:t>
      </w:r>
      <w:r>
        <w:rPr>
          <w:spacing w:val="-4"/>
        </w:rPr>
        <w:t xml:space="preserve"> </w:t>
      </w:r>
      <w:r>
        <w:t>matter</w:t>
      </w:r>
      <w:r>
        <w:rPr>
          <w:spacing w:val="-3"/>
        </w:rPr>
        <w:t xml:space="preserve"> </w:t>
      </w:r>
      <w:r>
        <w:t>in explaining PBV. Nevertheless, a high ROA does not mechanically produce the highest PBV because investors also consider growth expectations and risk.</w:t>
      </w:r>
    </w:p>
    <w:p w14:paraId="42E1F513" w14:textId="77777777" w:rsidR="00ED08FF" w:rsidRDefault="00ED08FF">
      <w:pPr>
        <w:pStyle w:val="BodyText"/>
        <w:spacing w:before="51"/>
        <w:ind w:left="0"/>
      </w:pPr>
    </w:p>
    <w:p w14:paraId="7183B77C" w14:textId="77777777" w:rsidR="00ED08FF" w:rsidRDefault="00000000">
      <w:pPr>
        <w:pStyle w:val="Heading2"/>
        <w:numPr>
          <w:ilvl w:val="1"/>
          <w:numId w:val="1"/>
        </w:numPr>
        <w:tabs>
          <w:tab w:val="left" w:pos="415"/>
        </w:tabs>
        <w:ind w:left="415"/>
      </w:pPr>
      <w:r>
        <w:t>Correlation</w:t>
      </w:r>
      <w:r>
        <w:rPr>
          <w:spacing w:val="-11"/>
        </w:rPr>
        <w:t xml:space="preserve"> </w:t>
      </w:r>
      <w:r>
        <w:rPr>
          <w:spacing w:val="-2"/>
        </w:rPr>
        <w:t>Analysis</w:t>
      </w:r>
    </w:p>
    <w:p w14:paraId="65230B3A" w14:textId="77777777" w:rsidR="00ED08FF" w:rsidRDefault="00000000">
      <w:pPr>
        <w:spacing w:before="50"/>
        <w:ind w:left="4320"/>
        <w:rPr>
          <w:b/>
          <w:sz w:val="18"/>
        </w:rPr>
      </w:pPr>
      <w:r>
        <w:rPr>
          <w:b/>
          <w:sz w:val="18"/>
        </w:rPr>
        <w:t>Table</w:t>
      </w:r>
      <w:r>
        <w:rPr>
          <w:b/>
          <w:spacing w:val="-6"/>
          <w:sz w:val="18"/>
        </w:rPr>
        <w:t xml:space="preserve"> </w:t>
      </w:r>
      <w:r>
        <w:rPr>
          <w:b/>
          <w:sz w:val="18"/>
        </w:rPr>
        <w:t>7:</w:t>
      </w:r>
      <w:r>
        <w:rPr>
          <w:b/>
          <w:spacing w:val="-5"/>
          <w:sz w:val="18"/>
        </w:rPr>
        <w:t xml:space="preserve"> </w:t>
      </w:r>
      <w:r>
        <w:rPr>
          <w:b/>
          <w:sz w:val="18"/>
        </w:rPr>
        <w:t>Correlation</w:t>
      </w:r>
      <w:r>
        <w:rPr>
          <w:b/>
          <w:spacing w:val="-5"/>
          <w:sz w:val="18"/>
        </w:rPr>
        <w:t xml:space="preserve"> </w:t>
      </w:r>
      <w:r>
        <w:rPr>
          <w:b/>
          <w:spacing w:val="-2"/>
          <w:sz w:val="18"/>
        </w:rPr>
        <w:t>Matrix</w:t>
      </w:r>
    </w:p>
    <w:p w14:paraId="0C72A197" w14:textId="77777777" w:rsidR="00ED08FF" w:rsidRDefault="00000000">
      <w:pPr>
        <w:tabs>
          <w:tab w:val="left" w:pos="1637"/>
          <w:tab w:val="left" w:pos="3197"/>
          <w:tab w:val="left" w:pos="4757"/>
          <w:tab w:val="left" w:pos="6162"/>
          <w:tab w:val="left" w:pos="7722"/>
        </w:tabs>
        <w:spacing w:before="50"/>
        <w:ind w:right="287"/>
        <w:jc w:val="center"/>
        <w:rPr>
          <w:rFonts w:ascii="Courier New"/>
          <w:sz w:val="13"/>
        </w:rPr>
      </w:pPr>
      <w:r>
        <w:rPr>
          <w:rFonts w:ascii="Courier New"/>
          <w:spacing w:val="-2"/>
          <w:sz w:val="13"/>
        </w:rPr>
        <w:t>Variable</w:t>
      </w:r>
      <w:r>
        <w:rPr>
          <w:rFonts w:ascii="Courier New"/>
          <w:sz w:val="13"/>
        </w:rPr>
        <w:tab/>
      </w:r>
      <w:r>
        <w:rPr>
          <w:rFonts w:ascii="Courier New"/>
          <w:spacing w:val="-5"/>
          <w:sz w:val="13"/>
        </w:rPr>
        <w:t>PBV</w:t>
      </w:r>
      <w:r>
        <w:rPr>
          <w:rFonts w:ascii="Courier New"/>
          <w:sz w:val="13"/>
        </w:rPr>
        <w:tab/>
      </w:r>
      <w:r>
        <w:rPr>
          <w:rFonts w:ascii="Courier New"/>
          <w:spacing w:val="-5"/>
          <w:sz w:val="13"/>
        </w:rPr>
        <w:t>ROA</w:t>
      </w:r>
      <w:r>
        <w:rPr>
          <w:rFonts w:ascii="Courier New"/>
          <w:sz w:val="13"/>
        </w:rPr>
        <w:tab/>
      </w:r>
      <w:r>
        <w:rPr>
          <w:rFonts w:ascii="Courier New"/>
          <w:spacing w:val="-5"/>
          <w:sz w:val="13"/>
        </w:rPr>
        <w:t>DER</w:t>
      </w:r>
      <w:r>
        <w:rPr>
          <w:rFonts w:ascii="Courier New"/>
          <w:sz w:val="13"/>
        </w:rPr>
        <w:tab/>
      </w:r>
      <w:r>
        <w:rPr>
          <w:rFonts w:ascii="Courier New"/>
          <w:spacing w:val="-4"/>
          <w:sz w:val="13"/>
        </w:rPr>
        <w:t>SIZE</w:t>
      </w:r>
      <w:r>
        <w:rPr>
          <w:rFonts w:ascii="Courier New"/>
          <w:sz w:val="13"/>
        </w:rPr>
        <w:tab/>
      </w:r>
      <w:r>
        <w:rPr>
          <w:rFonts w:ascii="Courier New"/>
          <w:spacing w:val="-5"/>
          <w:sz w:val="13"/>
        </w:rPr>
        <w:t>CR</w:t>
      </w:r>
    </w:p>
    <w:tbl>
      <w:tblPr>
        <w:tblW w:w="0" w:type="auto"/>
        <w:tblInd w:w="1351" w:type="dxa"/>
        <w:tblLayout w:type="fixed"/>
        <w:tblCellMar>
          <w:left w:w="0" w:type="dxa"/>
          <w:right w:w="0" w:type="dxa"/>
        </w:tblCellMar>
        <w:tblLook w:val="01E0" w:firstRow="1" w:lastRow="1" w:firstColumn="1" w:lastColumn="1" w:noHBand="0" w:noVBand="0"/>
      </w:tblPr>
      <w:tblGrid>
        <w:gridCol w:w="947"/>
        <w:gridCol w:w="1599"/>
        <w:gridCol w:w="1560"/>
        <w:gridCol w:w="1483"/>
        <w:gridCol w:w="1443"/>
        <w:gridCol w:w="1025"/>
      </w:tblGrid>
      <w:tr w:rsidR="00ED08FF" w14:paraId="24BDD839" w14:textId="77777777">
        <w:trPr>
          <w:trHeight w:val="147"/>
        </w:trPr>
        <w:tc>
          <w:tcPr>
            <w:tcW w:w="947" w:type="dxa"/>
          </w:tcPr>
          <w:p w14:paraId="24ADD874" w14:textId="77777777" w:rsidR="00ED08FF" w:rsidRDefault="00000000">
            <w:pPr>
              <w:pStyle w:val="TableParagraph"/>
              <w:ind w:left="50"/>
              <w:jc w:val="left"/>
              <w:rPr>
                <w:sz w:val="13"/>
              </w:rPr>
            </w:pPr>
            <w:r>
              <w:rPr>
                <w:spacing w:val="-5"/>
                <w:sz w:val="13"/>
              </w:rPr>
              <w:t>PBV</w:t>
            </w:r>
          </w:p>
        </w:tc>
        <w:tc>
          <w:tcPr>
            <w:tcW w:w="1599" w:type="dxa"/>
          </w:tcPr>
          <w:p w14:paraId="3C558F44" w14:textId="77777777" w:rsidR="00ED08FF" w:rsidRDefault="00000000">
            <w:pPr>
              <w:pStyle w:val="TableParagraph"/>
              <w:ind w:left="39" w:right="77"/>
              <w:rPr>
                <w:sz w:val="13"/>
              </w:rPr>
            </w:pPr>
            <w:r>
              <w:rPr>
                <w:spacing w:val="-2"/>
                <w:sz w:val="13"/>
              </w:rPr>
              <w:t>1.000</w:t>
            </w:r>
          </w:p>
        </w:tc>
        <w:tc>
          <w:tcPr>
            <w:tcW w:w="1560" w:type="dxa"/>
          </w:tcPr>
          <w:p w14:paraId="3965F53A" w14:textId="77777777" w:rsidR="00ED08FF" w:rsidRDefault="00000000">
            <w:pPr>
              <w:pStyle w:val="TableParagraph"/>
              <w:ind w:right="77"/>
              <w:rPr>
                <w:sz w:val="13"/>
              </w:rPr>
            </w:pPr>
            <w:r>
              <w:rPr>
                <w:spacing w:val="-2"/>
                <w:sz w:val="13"/>
              </w:rPr>
              <w:t>0.800</w:t>
            </w:r>
          </w:p>
        </w:tc>
        <w:tc>
          <w:tcPr>
            <w:tcW w:w="1483" w:type="dxa"/>
          </w:tcPr>
          <w:p w14:paraId="177D7D87" w14:textId="77777777" w:rsidR="00ED08FF" w:rsidRDefault="00000000">
            <w:pPr>
              <w:pStyle w:val="TableParagraph"/>
              <w:ind w:left="77" w:right="77"/>
              <w:rPr>
                <w:sz w:val="13"/>
              </w:rPr>
            </w:pPr>
            <w:r>
              <w:rPr>
                <w:spacing w:val="-2"/>
                <w:sz w:val="13"/>
              </w:rPr>
              <w:t>0.018</w:t>
            </w:r>
          </w:p>
        </w:tc>
        <w:tc>
          <w:tcPr>
            <w:tcW w:w="1443" w:type="dxa"/>
          </w:tcPr>
          <w:p w14:paraId="44455426" w14:textId="77777777" w:rsidR="00ED08FF" w:rsidRDefault="00000000">
            <w:pPr>
              <w:pStyle w:val="TableParagraph"/>
              <w:ind w:left="78" w:right="115"/>
              <w:rPr>
                <w:sz w:val="13"/>
              </w:rPr>
            </w:pPr>
            <w:r>
              <w:rPr>
                <w:spacing w:val="-2"/>
                <w:sz w:val="13"/>
              </w:rPr>
              <w:t>-0.111</w:t>
            </w:r>
          </w:p>
        </w:tc>
        <w:tc>
          <w:tcPr>
            <w:tcW w:w="1025" w:type="dxa"/>
          </w:tcPr>
          <w:p w14:paraId="32BA00CF" w14:textId="77777777" w:rsidR="00ED08FF" w:rsidRDefault="00000000">
            <w:pPr>
              <w:pStyle w:val="TableParagraph"/>
              <w:ind w:right="48"/>
              <w:jc w:val="right"/>
              <w:rPr>
                <w:sz w:val="13"/>
              </w:rPr>
            </w:pPr>
            <w:r>
              <w:rPr>
                <w:spacing w:val="-2"/>
                <w:sz w:val="13"/>
              </w:rPr>
              <w:t>-0.434</w:t>
            </w:r>
          </w:p>
        </w:tc>
      </w:tr>
      <w:tr w:rsidR="00ED08FF" w14:paraId="65C7F718" w14:textId="77777777">
        <w:trPr>
          <w:trHeight w:val="146"/>
        </w:trPr>
        <w:tc>
          <w:tcPr>
            <w:tcW w:w="947" w:type="dxa"/>
          </w:tcPr>
          <w:p w14:paraId="221CC013" w14:textId="77777777" w:rsidR="00ED08FF" w:rsidRDefault="00000000">
            <w:pPr>
              <w:pStyle w:val="TableParagraph"/>
              <w:ind w:left="50"/>
              <w:jc w:val="left"/>
              <w:rPr>
                <w:sz w:val="13"/>
              </w:rPr>
            </w:pPr>
            <w:r>
              <w:rPr>
                <w:spacing w:val="-5"/>
                <w:sz w:val="13"/>
              </w:rPr>
              <w:t>ROA</w:t>
            </w:r>
          </w:p>
        </w:tc>
        <w:tc>
          <w:tcPr>
            <w:tcW w:w="1599" w:type="dxa"/>
          </w:tcPr>
          <w:p w14:paraId="440169AD" w14:textId="77777777" w:rsidR="00ED08FF" w:rsidRDefault="00000000">
            <w:pPr>
              <w:pStyle w:val="TableParagraph"/>
              <w:ind w:left="39" w:right="77"/>
              <w:rPr>
                <w:sz w:val="13"/>
              </w:rPr>
            </w:pPr>
            <w:r>
              <w:rPr>
                <w:spacing w:val="-2"/>
                <w:sz w:val="13"/>
              </w:rPr>
              <w:t>0.800</w:t>
            </w:r>
          </w:p>
        </w:tc>
        <w:tc>
          <w:tcPr>
            <w:tcW w:w="1560" w:type="dxa"/>
          </w:tcPr>
          <w:p w14:paraId="053FE459" w14:textId="77777777" w:rsidR="00ED08FF" w:rsidRDefault="00000000">
            <w:pPr>
              <w:pStyle w:val="TableParagraph"/>
              <w:ind w:right="77"/>
              <w:rPr>
                <w:sz w:val="13"/>
              </w:rPr>
            </w:pPr>
            <w:r>
              <w:rPr>
                <w:spacing w:val="-2"/>
                <w:sz w:val="13"/>
              </w:rPr>
              <w:t>1.000</w:t>
            </w:r>
          </w:p>
        </w:tc>
        <w:tc>
          <w:tcPr>
            <w:tcW w:w="1483" w:type="dxa"/>
          </w:tcPr>
          <w:p w14:paraId="7F27DD48" w14:textId="77777777" w:rsidR="00ED08FF" w:rsidRDefault="00000000">
            <w:pPr>
              <w:pStyle w:val="TableParagraph"/>
              <w:ind w:left="77"/>
              <w:rPr>
                <w:sz w:val="13"/>
              </w:rPr>
            </w:pPr>
            <w:r>
              <w:rPr>
                <w:spacing w:val="-2"/>
                <w:sz w:val="13"/>
              </w:rPr>
              <w:t>-0.329</w:t>
            </w:r>
          </w:p>
        </w:tc>
        <w:tc>
          <w:tcPr>
            <w:tcW w:w="1443" w:type="dxa"/>
          </w:tcPr>
          <w:p w14:paraId="376100C7" w14:textId="77777777" w:rsidR="00ED08FF" w:rsidRDefault="00000000">
            <w:pPr>
              <w:pStyle w:val="TableParagraph"/>
              <w:ind w:left="78" w:right="115"/>
              <w:rPr>
                <w:sz w:val="13"/>
              </w:rPr>
            </w:pPr>
            <w:r>
              <w:rPr>
                <w:spacing w:val="-2"/>
                <w:sz w:val="13"/>
              </w:rPr>
              <w:t>-0.268</w:t>
            </w:r>
          </w:p>
        </w:tc>
        <w:tc>
          <w:tcPr>
            <w:tcW w:w="1025" w:type="dxa"/>
          </w:tcPr>
          <w:p w14:paraId="1F67A23E" w14:textId="77777777" w:rsidR="00ED08FF" w:rsidRDefault="00000000">
            <w:pPr>
              <w:pStyle w:val="TableParagraph"/>
              <w:ind w:right="126"/>
              <w:jc w:val="right"/>
              <w:rPr>
                <w:sz w:val="13"/>
              </w:rPr>
            </w:pPr>
            <w:r>
              <w:rPr>
                <w:spacing w:val="-2"/>
                <w:sz w:val="13"/>
              </w:rPr>
              <w:t>0.032</w:t>
            </w:r>
          </w:p>
        </w:tc>
      </w:tr>
      <w:tr w:rsidR="00ED08FF" w14:paraId="0D66387F" w14:textId="77777777">
        <w:trPr>
          <w:trHeight w:val="147"/>
        </w:trPr>
        <w:tc>
          <w:tcPr>
            <w:tcW w:w="947" w:type="dxa"/>
          </w:tcPr>
          <w:p w14:paraId="435F3400" w14:textId="77777777" w:rsidR="00ED08FF" w:rsidRDefault="00000000">
            <w:pPr>
              <w:pStyle w:val="TableParagraph"/>
              <w:ind w:left="50"/>
              <w:jc w:val="left"/>
              <w:rPr>
                <w:sz w:val="13"/>
              </w:rPr>
            </w:pPr>
            <w:r>
              <w:rPr>
                <w:spacing w:val="-5"/>
                <w:sz w:val="13"/>
              </w:rPr>
              <w:t>DER</w:t>
            </w:r>
          </w:p>
        </w:tc>
        <w:tc>
          <w:tcPr>
            <w:tcW w:w="1599" w:type="dxa"/>
          </w:tcPr>
          <w:p w14:paraId="365ACD80" w14:textId="77777777" w:rsidR="00ED08FF" w:rsidRDefault="00000000">
            <w:pPr>
              <w:pStyle w:val="TableParagraph"/>
              <w:ind w:left="39" w:right="77"/>
              <w:rPr>
                <w:sz w:val="13"/>
              </w:rPr>
            </w:pPr>
            <w:r>
              <w:rPr>
                <w:spacing w:val="-2"/>
                <w:sz w:val="13"/>
              </w:rPr>
              <w:t>0.018</w:t>
            </w:r>
          </w:p>
        </w:tc>
        <w:tc>
          <w:tcPr>
            <w:tcW w:w="1560" w:type="dxa"/>
          </w:tcPr>
          <w:p w14:paraId="548A77BF" w14:textId="77777777" w:rsidR="00ED08FF" w:rsidRDefault="00000000">
            <w:pPr>
              <w:pStyle w:val="TableParagraph"/>
              <w:ind w:left="77" w:right="77"/>
              <w:rPr>
                <w:sz w:val="13"/>
              </w:rPr>
            </w:pPr>
            <w:r>
              <w:rPr>
                <w:spacing w:val="-2"/>
                <w:sz w:val="13"/>
              </w:rPr>
              <w:t>-0.329</w:t>
            </w:r>
          </w:p>
        </w:tc>
        <w:tc>
          <w:tcPr>
            <w:tcW w:w="1483" w:type="dxa"/>
          </w:tcPr>
          <w:p w14:paraId="5F20C8D4" w14:textId="77777777" w:rsidR="00ED08FF" w:rsidRDefault="00000000">
            <w:pPr>
              <w:pStyle w:val="TableParagraph"/>
              <w:ind w:left="77" w:right="77"/>
              <w:rPr>
                <w:sz w:val="13"/>
              </w:rPr>
            </w:pPr>
            <w:r>
              <w:rPr>
                <w:spacing w:val="-2"/>
                <w:sz w:val="13"/>
              </w:rPr>
              <w:t>1.000</w:t>
            </w:r>
          </w:p>
        </w:tc>
        <w:tc>
          <w:tcPr>
            <w:tcW w:w="1443" w:type="dxa"/>
          </w:tcPr>
          <w:p w14:paraId="07C5632E" w14:textId="77777777" w:rsidR="00ED08FF" w:rsidRDefault="00000000">
            <w:pPr>
              <w:pStyle w:val="TableParagraph"/>
              <w:ind w:right="115"/>
              <w:rPr>
                <w:sz w:val="13"/>
              </w:rPr>
            </w:pPr>
            <w:r>
              <w:rPr>
                <w:spacing w:val="-2"/>
                <w:sz w:val="13"/>
              </w:rPr>
              <w:t>0.592</w:t>
            </w:r>
          </w:p>
        </w:tc>
        <w:tc>
          <w:tcPr>
            <w:tcW w:w="1025" w:type="dxa"/>
          </w:tcPr>
          <w:p w14:paraId="3A7AA059" w14:textId="77777777" w:rsidR="00ED08FF" w:rsidRDefault="00000000">
            <w:pPr>
              <w:pStyle w:val="TableParagraph"/>
              <w:ind w:right="48"/>
              <w:jc w:val="right"/>
              <w:rPr>
                <w:sz w:val="13"/>
              </w:rPr>
            </w:pPr>
            <w:r>
              <w:rPr>
                <w:spacing w:val="-2"/>
                <w:sz w:val="13"/>
              </w:rPr>
              <w:t>-0.367</w:t>
            </w:r>
          </w:p>
        </w:tc>
      </w:tr>
      <w:tr w:rsidR="00ED08FF" w14:paraId="00B8E152" w14:textId="77777777">
        <w:trPr>
          <w:trHeight w:val="147"/>
        </w:trPr>
        <w:tc>
          <w:tcPr>
            <w:tcW w:w="947" w:type="dxa"/>
          </w:tcPr>
          <w:p w14:paraId="25922286" w14:textId="77777777" w:rsidR="00ED08FF" w:rsidRDefault="00000000">
            <w:pPr>
              <w:pStyle w:val="TableParagraph"/>
              <w:ind w:left="50"/>
              <w:jc w:val="left"/>
              <w:rPr>
                <w:sz w:val="13"/>
              </w:rPr>
            </w:pPr>
            <w:r>
              <w:rPr>
                <w:spacing w:val="-4"/>
                <w:sz w:val="13"/>
              </w:rPr>
              <w:t>SIZE</w:t>
            </w:r>
          </w:p>
        </w:tc>
        <w:tc>
          <w:tcPr>
            <w:tcW w:w="1599" w:type="dxa"/>
          </w:tcPr>
          <w:p w14:paraId="724345F8" w14:textId="77777777" w:rsidR="00ED08FF" w:rsidRDefault="00000000">
            <w:pPr>
              <w:pStyle w:val="TableParagraph"/>
              <w:ind w:left="77" w:right="38"/>
              <w:rPr>
                <w:sz w:val="13"/>
              </w:rPr>
            </w:pPr>
            <w:r>
              <w:rPr>
                <w:spacing w:val="-2"/>
                <w:sz w:val="13"/>
              </w:rPr>
              <w:t>-0.111</w:t>
            </w:r>
          </w:p>
        </w:tc>
        <w:tc>
          <w:tcPr>
            <w:tcW w:w="1560" w:type="dxa"/>
          </w:tcPr>
          <w:p w14:paraId="19E02C63" w14:textId="77777777" w:rsidR="00ED08FF" w:rsidRDefault="00000000">
            <w:pPr>
              <w:pStyle w:val="TableParagraph"/>
              <w:ind w:left="77" w:right="77"/>
              <w:rPr>
                <w:sz w:val="13"/>
              </w:rPr>
            </w:pPr>
            <w:r>
              <w:rPr>
                <w:spacing w:val="-2"/>
                <w:sz w:val="13"/>
              </w:rPr>
              <w:t>-0.268</w:t>
            </w:r>
          </w:p>
        </w:tc>
        <w:tc>
          <w:tcPr>
            <w:tcW w:w="1483" w:type="dxa"/>
          </w:tcPr>
          <w:p w14:paraId="48139E04" w14:textId="77777777" w:rsidR="00ED08FF" w:rsidRDefault="00000000">
            <w:pPr>
              <w:pStyle w:val="TableParagraph"/>
              <w:ind w:left="77" w:right="77"/>
              <w:rPr>
                <w:sz w:val="13"/>
              </w:rPr>
            </w:pPr>
            <w:r>
              <w:rPr>
                <w:spacing w:val="-2"/>
                <w:sz w:val="13"/>
              </w:rPr>
              <w:t>0.592</w:t>
            </w:r>
          </w:p>
        </w:tc>
        <w:tc>
          <w:tcPr>
            <w:tcW w:w="1443" w:type="dxa"/>
          </w:tcPr>
          <w:p w14:paraId="33A1E74E" w14:textId="77777777" w:rsidR="00ED08FF" w:rsidRDefault="00000000">
            <w:pPr>
              <w:pStyle w:val="TableParagraph"/>
              <w:ind w:right="115"/>
              <w:rPr>
                <w:sz w:val="13"/>
              </w:rPr>
            </w:pPr>
            <w:r>
              <w:rPr>
                <w:spacing w:val="-2"/>
                <w:sz w:val="13"/>
              </w:rPr>
              <w:t>1.000</w:t>
            </w:r>
          </w:p>
        </w:tc>
        <w:tc>
          <w:tcPr>
            <w:tcW w:w="1025" w:type="dxa"/>
          </w:tcPr>
          <w:p w14:paraId="65336BBB" w14:textId="77777777" w:rsidR="00ED08FF" w:rsidRDefault="00000000">
            <w:pPr>
              <w:pStyle w:val="TableParagraph"/>
              <w:ind w:right="48"/>
              <w:jc w:val="right"/>
              <w:rPr>
                <w:sz w:val="13"/>
              </w:rPr>
            </w:pPr>
            <w:r>
              <w:rPr>
                <w:spacing w:val="-2"/>
                <w:sz w:val="13"/>
              </w:rPr>
              <w:t>-0.141</w:t>
            </w:r>
          </w:p>
        </w:tc>
      </w:tr>
      <w:tr w:rsidR="00ED08FF" w14:paraId="26520ABB" w14:textId="77777777">
        <w:trPr>
          <w:trHeight w:val="147"/>
        </w:trPr>
        <w:tc>
          <w:tcPr>
            <w:tcW w:w="947" w:type="dxa"/>
          </w:tcPr>
          <w:p w14:paraId="4FA8A7FB" w14:textId="77777777" w:rsidR="00ED08FF" w:rsidRDefault="00000000">
            <w:pPr>
              <w:pStyle w:val="TableParagraph"/>
              <w:ind w:left="128"/>
              <w:jc w:val="left"/>
              <w:rPr>
                <w:sz w:val="13"/>
              </w:rPr>
            </w:pPr>
            <w:r>
              <w:rPr>
                <w:spacing w:val="-5"/>
                <w:sz w:val="13"/>
              </w:rPr>
              <w:t>CR</w:t>
            </w:r>
          </w:p>
        </w:tc>
        <w:tc>
          <w:tcPr>
            <w:tcW w:w="1599" w:type="dxa"/>
          </w:tcPr>
          <w:p w14:paraId="144133EF" w14:textId="77777777" w:rsidR="00ED08FF" w:rsidRDefault="00000000">
            <w:pPr>
              <w:pStyle w:val="TableParagraph"/>
              <w:ind w:left="77" w:right="38"/>
              <w:rPr>
                <w:sz w:val="13"/>
              </w:rPr>
            </w:pPr>
            <w:r>
              <w:rPr>
                <w:spacing w:val="-2"/>
                <w:sz w:val="13"/>
              </w:rPr>
              <w:t>-0.434</w:t>
            </w:r>
          </w:p>
        </w:tc>
        <w:tc>
          <w:tcPr>
            <w:tcW w:w="1560" w:type="dxa"/>
          </w:tcPr>
          <w:p w14:paraId="24721E69" w14:textId="77777777" w:rsidR="00ED08FF" w:rsidRDefault="00000000">
            <w:pPr>
              <w:pStyle w:val="TableParagraph"/>
              <w:ind w:right="77"/>
              <w:rPr>
                <w:sz w:val="13"/>
              </w:rPr>
            </w:pPr>
            <w:r>
              <w:rPr>
                <w:spacing w:val="-2"/>
                <w:sz w:val="13"/>
              </w:rPr>
              <w:t>0.032</w:t>
            </w:r>
          </w:p>
        </w:tc>
        <w:tc>
          <w:tcPr>
            <w:tcW w:w="1483" w:type="dxa"/>
          </w:tcPr>
          <w:p w14:paraId="490559AB" w14:textId="77777777" w:rsidR="00ED08FF" w:rsidRDefault="00000000">
            <w:pPr>
              <w:pStyle w:val="TableParagraph"/>
              <w:ind w:left="77"/>
              <w:rPr>
                <w:sz w:val="13"/>
              </w:rPr>
            </w:pPr>
            <w:r>
              <w:rPr>
                <w:spacing w:val="-2"/>
                <w:sz w:val="13"/>
              </w:rPr>
              <w:t>-0.367</w:t>
            </w:r>
          </w:p>
        </w:tc>
        <w:tc>
          <w:tcPr>
            <w:tcW w:w="1443" w:type="dxa"/>
          </w:tcPr>
          <w:p w14:paraId="6D4DBF73" w14:textId="77777777" w:rsidR="00ED08FF" w:rsidRDefault="00000000">
            <w:pPr>
              <w:pStyle w:val="TableParagraph"/>
              <w:ind w:left="78" w:right="115"/>
              <w:rPr>
                <w:sz w:val="13"/>
              </w:rPr>
            </w:pPr>
            <w:r>
              <w:rPr>
                <w:spacing w:val="-2"/>
                <w:sz w:val="13"/>
              </w:rPr>
              <w:t>-0.141</w:t>
            </w:r>
          </w:p>
        </w:tc>
        <w:tc>
          <w:tcPr>
            <w:tcW w:w="1025" w:type="dxa"/>
          </w:tcPr>
          <w:p w14:paraId="5AB67FCF" w14:textId="77777777" w:rsidR="00ED08FF" w:rsidRDefault="00000000">
            <w:pPr>
              <w:pStyle w:val="TableParagraph"/>
              <w:ind w:right="126"/>
              <w:jc w:val="right"/>
              <w:rPr>
                <w:sz w:val="13"/>
              </w:rPr>
            </w:pPr>
            <w:r>
              <w:rPr>
                <w:spacing w:val="-2"/>
                <w:sz w:val="13"/>
              </w:rPr>
              <w:t>1.000</w:t>
            </w:r>
          </w:p>
        </w:tc>
      </w:tr>
    </w:tbl>
    <w:p w14:paraId="34727C4E" w14:textId="77777777" w:rsidR="00ED08FF" w:rsidRDefault="00000000">
      <w:pPr>
        <w:pStyle w:val="Heading2"/>
        <w:spacing w:before="1"/>
        <w:ind w:left="3"/>
        <w:jc w:val="center"/>
      </w:pPr>
      <w:r>
        <w:t>Figure</w:t>
      </w:r>
      <w:r>
        <w:rPr>
          <w:spacing w:val="-5"/>
        </w:rPr>
        <w:t xml:space="preserve"> </w:t>
      </w:r>
      <w:r>
        <w:t>5:</w:t>
      </w:r>
      <w:r>
        <w:rPr>
          <w:spacing w:val="-3"/>
        </w:rPr>
        <w:t xml:space="preserve"> </w:t>
      </w:r>
      <w:r>
        <w:t>Correlation</w:t>
      </w:r>
      <w:r>
        <w:rPr>
          <w:spacing w:val="-5"/>
        </w:rPr>
        <w:t xml:space="preserve"> </w:t>
      </w:r>
      <w:r>
        <w:t>Matrix</w:t>
      </w:r>
      <w:r>
        <w:rPr>
          <w:spacing w:val="-3"/>
        </w:rPr>
        <w:t xml:space="preserve"> </w:t>
      </w:r>
      <w:r>
        <w:rPr>
          <w:spacing w:val="-2"/>
        </w:rPr>
        <w:t>Visualization</w:t>
      </w:r>
    </w:p>
    <w:p w14:paraId="2717840B" w14:textId="77777777" w:rsidR="00ED08FF" w:rsidRDefault="00ED08FF">
      <w:pPr>
        <w:pStyle w:val="Heading2"/>
        <w:jc w:val="center"/>
        <w:sectPr w:rsidR="00ED08FF">
          <w:pgSz w:w="12240" w:h="15840"/>
          <w:pgMar w:top="1040" w:right="720" w:bottom="900" w:left="720" w:header="0" w:footer="669" w:gutter="0"/>
          <w:cols w:space="720"/>
        </w:sectPr>
      </w:pPr>
    </w:p>
    <w:p w14:paraId="4C316D51" w14:textId="77777777" w:rsidR="00ED08FF" w:rsidRDefault="00000000">
      <w:pPr>
        <w:ind w:left="2343"/>
        <w:rPr>
          <w:sz w:val="20"/>
        </w:rPr>
      </w:pPr>
      <w:r>
        <w:rPr>
          <w:noProof/>
          <w:sz w:val="20"/>
        </w:rPr>
        <w:lastRenderedPageBreak/>
        <w:drawing>
          <wp:inline distT="0" distB="0" distL="0" distR="0" wp14:anchorId="2D0DF2B0" wp14:editId="0B2404AF">
            <wp:extent cx="4431167" cy="3889248"/>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2" cstate="print"/>
                    <a:stretch>
                      <a:fillRect/>
                    </a:stretch>
                  </pic:blipFill>
                  <pic:spPr>
                    <a:xfrm>
                      <a:off x="0" y="0"/>
                      <a:ext cx="4431167" cy="3889248"/>
                    </a:xfrm>
                    <a:prstGeom prst="rect">
                      <a:avLst/>
                    </a:prstGeom>
                  </pic:spPr>
                </pic:pic>
              </a:graphicData>
            </a:graphic>
          </wp:inline>
        </w:drawing>
      </w:r>
    </w:p>
    <w:p w14:paraId="1F3B95AB" w14:textId="77777777" w:rsidR="00ED08FF" w:rsidRDefault="00ED08FF">
      <w:pPr>
        <w:pStyle w:val="BodyText"/>
        <w:spacing w:before="0"/>
        <w:ind w:left="0"/>
        <w:rPr>
          <w:b/>
        </w:rPr>
      </w:pPr>
    </w:p>
    <w:p w14:paraId="4BE98169" w14:textId="77777777" w:rsidR="00ED08FF" w:rsidRDefault="00ED08FF">
      <w:pPr>
        <w:pStyle w:val="BodyText"/>
        <w:spacing w:before="31"/>
        <w:ind w:left="0"/>
        <w:rPr>
          <w:b/>
        </w:rPr>
      </w:pPr>
    </w:p>
    <w:p w14:paraId="58166D23" w14:textId="77777777" w:rsidR="00ED08FF" w:rsidRDefault="00000000">
      <w:pPr>
        <w:pStyle w:val="BodyText"/>
        <w:spacing w:line="297" w:lineRule="auto"/>
        <w:ind w:right="1979"/>
        <w:jc w:val="both"/>
      </w:pPr>
      <w:r>
        <w:t>The</w:t>
      </w:r>
      <w:r>
        <w:rPr>
          <w:spacing w:val="-3"/>
        </w:rPr>
        <w:t xml:space="preserve"> </w:t>
      </w:r>
      <w:r>
        <w:t>correlation</w:t>
      </w:r>
      <w:r>
        <w:rPr>
          <w:spacing w:val="-2"/>
        </w:rPr>
        <w:t xml:space="preserve"> </w:t>
      </w:r>
      <w:r>
        <w:t>between</w:t>
      </w:r>
      <w:r>
        <w:rPr>
          <w:spacing w:val="-2"/>
        </w:rPr>
        <w:t xml:space="preserve"> </w:t>
      </w:r>
      <w:r>
        <w:t>PBV</w:t>
      </w:r>
      <w:r>
        <w:rPr>
          <w:spacing w:val="-3"/>
        </w:rPr>
        <w:t xml:space="preserve"> </w:t>
      </w:r>
      <w:r>
        <w:t>and</w:t>
      </w:r>
      <w:r>
        <w:rPr>
          <w:spacing w:val="-2"/>
        </w:rPr>
        <w:t xml:space="preserve"> </w:t>
      </w:r>
      <w:r>
        <w:t>ROA</w:t>
      </w:r>
      <w:r>
        <w:rPr>
          <w:spacing w:val="-3"/>
        </w:rPr>
        <w:t xml:space="preserve"> </w:t>
      </w:r>
      <w:r>
        <w:t>is</w:t>
      </w:r>
      <w:r>
        <w:rPr>
          <w:spacing w:val="-3"/>
        </w:rPr>
        <w:t xml:space="preserve"> </w:t>
      </w:r>
      <w:r>
        <w:t>0.800.</w:t>
      </w:r>
      <w:r>
        <w:rPr>
          <w:spacing w:val="-2"/>
        </w:rPr>
        <w:t xml:space="preserve"> </w:t>
      </w:r>
      <w:r>
        <w:t>The</w:t>
      </w:r>
      <w:r>
        <w:rPr>
          <w:spacing w:val="-3"/>
        </w:rPr>
        <w:t xml:space="preserve"> </w:t>
      </w:r>
      <w:r>
        <w:t>sign</w:t>
      </w:r>
      <w:r>
        <w:rPr>
          <w:spacing w:val="-2"/>
        </w:rPr>
        <w:t xml:space="preserve"> </w:t>
      </w:r>
      <w:r>
        <w:t>is</w:t>
      </w:r>
      <w:r>
        <w:rPr>
          <w:spacing w:val="-3"/>
        </w:rPr>
        <w:t xml:space="preserve"> </w:t>
      </w:r>
      <w:r>
        <w:t>positive,</w:t>
      </w:r>
      <w:r>
        <w:rPr>
          <w:spacing w:val="-2"/>
        </w:rPr>
        <w:t xml:space="preserve"> </w:t>
      </w:r>
      <w:r>
        <w:t>which</w:t>
      </w:r>
      <w:r>
        <w:rPr>
          <w:spacing w:val="-2"/>
        </w:rPr>
        <w:t xml:space="preserve"> </w:t>
      </w:r>
      <w:r>
        <w:t>is</w:t>
      </w:r>
      <w:r>
        <w:rPr>
          <w:spacing w:val="-3"/>
        </w:rPr>
        <w:t xml:space="preserve"> </w:t>
      </w:r>
      <w:r>
        <w:t>consistent</w:t>
      </w:r>
      <w:r>
        <w:rPr>
          <w:spacing w:val="-3"/>
        </w:rPr>
        <w:t xml:space="preserve"> </w:t>
      </w:r>
      <w:r>
        <w:t>with</w:t>
      </w:r>
      <w:r>
        <w:rPr>
          <w:spacing w:val="-2"/>
        </w:rPr>
        <w:t xml:space="preserve"> </w:t>
      </w:r>
      <w:r>
        <w:t>the</w:t>
      </w:r>
      <w:r>
        <w:rPr>
          <w:spacing w:val="-3"/>
        </w:rPr>
        <w:t xml:space="preserve"> </w:t>
      </w:r>
      <w:r>
        <w:t>expectation</w:t>
      </w:r>
      <w:r>
        <w:rPr>
          <w:spacing w:val="-2"/>
        </w:rPr>
        <w:t xml:space="preserve"> </w:t>
      </w:r>
      <w:r>
        <w:t>that</w:t>
      </w:r>
      <w:r>
        <w:rPr>
          <w:spacing w:val="-3"/>
        </w:rPr>
        <w:t xml:space="preserve"> </w:t>
      </w:r>
      <w:r>
        <w:t>more profitable</w:t>
      </w:r>
      <w:r>
        <w:rPr>
          <w:spacing w:val="-3"/>
        </w:rPr>
        <w:t xml:space="preserve"> </w:t>
      </w:r>
      <w:r>
        <w:t>companies</w:t>
      </w:r>
      <w:r>
        <w:rPr>
          <w:spacing w:val="-3"/>
        </w:rPr>
        <w:t xml:space="preserve"> </w:t>
      </w:r>
      <w:r>
        <w:t>tend</w:t>
      </w:r>
      <w:r>
        <w:rPr>
          <w:spacing w:val="-2"/>
        </w:rPr>
        <w:t xml:space="preserve"> </w:t>
      </w:r>
      <w:r>
        <w:t>to</w:t>
      </w:r>
      <w:r>
        <w:rPr>
          <w:spacing w:val="-2"/>
        </w:rPr>
        <w:t xml:space="preserve"> </w:t>
      </w:r>
      <w:r>
        <w:t>receive</w:t>
      </w:r>
      <w:r>
        <w:rPr>
          <w:spacing w:val="-3"/>
        </w:rPr>
        <w:t xml:space="preserve"> </w:t>
      </w:r>
      <w:r>
        <w:t>higher</w:t>
      </w:r>
      <w:r>
        <w:rPr>
          <w:spacing w:val="-2"/>
        </w:rPr>
        <w:t xml:space="preserve"> </w:t>
      </w:r>
      <w:r>
        <w:t>valuation</w:t>
      </w:r>
      <w:r>
        <w:rPr>
          <w:spacing w:val="-2"/>
        </w:rPr>
        <w:t xml:space="preserve"> </w:t>
      </w:r>
      <w:r>
        <w:t>multiples.</w:t>
      </w:r>
      <w:r>
        <w:rPr>
          <w:spacing w:val="-2"/>
        </w:rPr>
        <w:t xml:space="preserve"> </w:t>
      </w:r>
      <w:r>
        <w:t>The</w:t>
      </w:r>
      <w:r>
        <w:rPr>
          <w:spacing w:val="-3"/>
        </w:rPr>
        <w:t xml:space="preserve"> </w:t>
      </w:r>
      <w:r>
        <w:t>correlation</w:t>
      </w:r>
      <w:r>
        <w:rPr>
          <w:spacing w:val="-2"/>
        </w:rPr>
        <w:t xml:space="preserve"> </w:t>
      </w:r>
      <w:r>
        <w:t>does</w:t>
      </w:r>
      <w:r>
        <w:rPr>
          <w:spacing w:val="-3"/>
        </w:rPr>
        <w:t xml:space="preserve"> </w:t>
      </w:r>
      <w:r>
        <w:t>not</w:t>
      </w:r>
      <w:r>
        <w:rPr>
          <w:spacing w:val="-3"/>
        </w:rPr>
        <w:t xml:space="preserve"> </w:t>
      </w:r>
      <w:r>
        <w:t>prove</w:t>
      </w:r>
      <w:r>
        <w:rPr>
          <w:spacing w:val="-3"/>
        </w:rPr>
        <w:t xml:space="preserve"> </w:t>
      </w:r>
      <w:r>
        <w:t>causality,</w:t>
      </w:r>
      <w:r>
        <w:rPr>
          <w:spacing w:val="-2"/>
        </w:rPr>
        <w:t xml:space="preserve"> </w:t>
      </w:r>
      <w:r>
        <w:t>but</w:t>
      </w:r>
      <w:r>
        <w:rPr>
          <w:spacing w:val="-3"/>
        </w:rPr>
        <w:t xml:space="preserve"> </w:t>
      </w:r>
      <w:r>
        <w:t>it</w:t>
      </w:r>
      <w:r>
        <w:rPr>
          <w:spacing w:val="-3"/>
        </w:rPr>
        <w:t xml:space="preserve"> </w:t>
      </w:r>
      <w:r>
        <w:t>provides an initial indication that profitability is relevant for firm value.</w:t>
      </w:r>
    </w:p>
    <w:p w14:paraId="6F65C94E" w14:textId="77777777" w:rsidR="00ED08FF" w:rsidRDefault="00000000">
      <w:pPr>
        <w:pStyle w:val="BodyText"/>
        <w:spacing w:line="297" w:lineRule="auto"/>
        <w:ind w:right="2062"/>
      </w:pPr>
      <w:r>
        <w:t>The correlation between PBV and SIZE is -0.111. The negative sign suggests that larger asset scale is not</w:t>
      </w:r>
      <w:r>
        <w:rPr>
          <w:spacing w:val="40"/>
        </w:rPr>
        <w:t xml:space="preserve"> </w:t>
      </w:r>
      <w:r>
        <w:t>automatically</w:t>
      </w:r>
      <w:r>
        <w:rPr>
          <w:spacing w:val="-3"/>
        </w:rPr>
        <w:t xml:space="preserve"> </w:t>
      </w:r>
      <w:r>
        <w:t>associated</w:t>
      </w:r>
      <w:r>
        <w:rPr>
          <w:spacing w:val="-3"/>
        </w:rPr>
        <w:t xml:space="preserve"> </w:t>
      </w:r>
      <w:r>
        <w:t>with</w:t>
      </w:r>
      <w:r>
        <w:rPr>
          <w:spacing w:val="-3"/>
        </w:rPr>
        <w:t xml:space="preserve"> </w:t>
      </w:r>
      <w:r>
        <w:t>higher</w:t>
      </w:r>
      <w:r>
        <w:rPr>
          <w:spacing w:val="-3"/>
        </w:rPr>
        <w:t xml:space="preserve"> </w:t>
      </w:r>
      <w:r>
        <w:t>PBV</w:t>
      </w:r>
      <w:r>
        <w:rPr>
          <w:spacing w:val="-4"/>
        </w:rPr>
        <w:t xml:space="preserve"> </w:t>
      </w:r>
      <w:r>
        <w:t>in</w:t>
      </w:r>
      <w:r>
        <w:rPr>
          <w:spacing w:val="-3"/>
        </w:rPr>
        <w:t xml:space="preserve"> </w:t>
      </w:r>
      <w:r>
        <w:t>this</w:t>
      </w:r>
      <w:r>
        <w:rPr>
          <w:spacing w:val="-4"/>
        </w:rPr>
        <w:t xml:space="preserve"> </w:t>
      </w:r>
      <w:r>
        <w:t>sample.</w:t>
      </w:r>
      <w:r>
        <w:rPr>
          <w:spacing w:val="-3"/>
        </w:rPr>
        <w:t xml:space="preserve"> </w:t>
      </w:r>
      <w:r>
        <w:t>This</w:t>
      </w:r>
      <w:r>
        <w:rPr>
          <w:spacing w:val="-4"/>
        </w:rPr>
        <w:t xml:space="preserve"> </w:t>
      </w:r>
      <w:r>
        <w:t>finding</w:t>
      </w:r>
      <w:r>
        <w:rPr>
          <w:spacing w:val="-3"/>
        </w:rPr>
        <w:t xml:space="preserve"> </w:t>
      </w:r>
      <w:r>
        <w:t>is</w:t>
      </w:r>
      <w:r>
        <w:rPr>
          <w:spacing w:val="-4"/>
        </w:rPr>
        <w:t xml:space="preserve"> </w:t>
      </w:r>
      <w:r>
        <w:t>plausible</w:t>
      </w:r>
      <w:r>
        <w:rPr>
          <w:spacing w:val="-4"/>
        </w:rPr>
        <w:t xml:space="preserve"> </w:t>
      </w:r>
      <w:r>
        <w:t>because</w:t>
      </w:r>
      <w:r>
        <w:rPr>
          <w:spacing w:val="-4"/>
        </w:rPr>
        <w:t xml:space="preserve"> </w:t>
      </w:r>
      <w:r>
        <w:t>PBV</w:t>
      </w:r>
      <w:r>
        <w:rPr>
          <w:spacing w:val="-4"/>
        </w:rPr>
        <w:t xml:space="preserve"> </w:t>
      </w:r>
      <w:r>
        <w:t>measures</w:t>
      </w:r>
      <w:r>
        <w:rPr>
          <w:spacing w:val="-4"/>
        </w:rPr>
        <w:t xml:space="preserve"> </w:t>
      </w:r>
      <w:r>
        <w:t>market</w:t>
      </w:r>
      <w:r>
        <w:rPr>
          <w:spacing w:val="-4"/>
        </w:rPr>
        <w:t xml:space="preserve"> </w:t>
      </w:r>
      <w:r>
        <w:t>value relative to book equity. Firms with very large book values may have lower PBV if the market does not expect proportionately higher earnings growth.</w:t>
      </w:r>
    </w:p>
    <w:p w14:paraId="2EE89D43" w14:textId="77777777" w:rsidR="00ED08FF" w:rsidRDefault="00000000">
      <w:pPr>
        <w:pStyle w:val="BodyText"/>
        <w:spacing w:line="297" w:lineRule="auto"/>
        <w:ind w:right="2049"/>
        <w:jc w:val="both"/>
      </w:pPr>
      <w:r>
        <w:t>The</w:t>
      </w:r>
      <w:r>
        <w:rPr>
          <w:spacing w:val="-3"/>
        </w:rPr>
        <w:t xml:space="preserve"> </w:t>
      </w:r>
      <w:r>
        <w:t>correlation</w:t>
      </w:r>
      <w:r>
        <w:rPr>
          <w:spacing w:val="-2"/>
        </w:rPr>
        <w:t xml:space="preserve"> </w:t>
      </w:r>
      <w:r>
        <w:t>between</w:t>
      </w:r>
      <w:r>
        <w:rPr>
          <w:spacing w:val="-2"/>
        </w:rPr>
        <w:t xml:space="preserve"> </w:t>
      </w:r>
      <w:r>
        <w:t>PBV</w:t>
      </w:r>
      <w:r>
        <w:rPr>
          <w:spacing w:val="-3"/>
        </w:rPr>
        <w:t xml:space="preserve"> </w:t>
      </w:r>
      <w:r>
        <w:t>and</w:t>
      </w:r>
      <w:r>
        <w:rPr>
          <w:spacing w:val="-2"/>
        </w:rPr>
        <w:t xml:space="preserve"> </w:t>
      </w:r>
      <w:r>
        <w:t>CR</w:t>
      </w:r>
      <w:r>
        <w:rPr>
          <w:spacing w:val="-3"/>
        </w:rPr>
        <w:t xml:space="preserve"> </w:t>
      </w:r>
      <w:r>
        <w:t>is</w:t>
      </w:r>
      <w:r>
        <w:rPr>
          <w:spacing w:val="-3"/>
        </w:rPr>
        <w:t xml:space="preserve"> </w:t>
      </w:r>
      <w:r>
        <w:t>-0.434.</w:t>
      </w:r>
      <w:r>
        <w:rPr>
          <w:spacing w:val="-2"/>
        </w:rPr>
        <w:t xml:space="preserve"> </w:t>
      </w:r>
      <w:r>
        <w:t>The</w:t>
      </w:r>
      <w:r>
        <w:rPr>
          <w:spacing w:val="-3"/>
        </w:rPr>
        <w:t xml:space="preserve"> </w:t>
      </w:r>
      <w:r>
        <w:t>negative</w:t>
      </w:r>
      <w:r>
        <w:rPr>
          <w:spacing w:val="-3"/>
        </w:rPr>
        <w:t xml:space="preserve"> </w:t>
      </w:r>
      <w:r>
        <w:t>sign</w:t>
      </w:r>
      <w:r>
        <w:rPr>
          <w:spacing w:val="-2"/>
        </w:rPr>
        <w:t xml:space="preserve"> </w:t>
      </w:r>
      <w:r>
        <w:t>suggests</w:t>
      </w:r>
      <w:r>
        <w:rPr>
          <w:spacing w:val="-3"/>
        </w:rPr>
        <w:t xml:space="preserve"> </w:t>
      </w:r>
      <w:r>
        <w:t>that</w:t>
      </w:r>
      <w:r>
        <w:rPr>
          <w:spacing w:val="-3"/>
        </w:rPr>
        <w:t xml:space="preserve"> </w:t>
      </w:r>
      <w:r>
        <w:t>high</w:t>
      </w:r>
      <w:r>
        <w:rPr>
          <w:spacing w:val="-2"/>
        </w:rPr>
        <w:t xml:space="preserve"> </w:t>
      </w:r>
      <w:r>
        <w:t>liquidity</w:t>
      </w:r>
      <w:r>
        <w:rPr>
          <w:spacing w:val="-2"/>
        </w:rPr>
        <w:t xml:space="preserve"> </w:t>
      </w:r>
      <w:r>
        <w:t>does</w:t>
      </w:r>
      <w:r>
        <w:rPr>
          <w:spacing w:val="-3"/>
        </w:rPr>
        <w:t xml:space="preserve"> </w:t>
      </w:r>
      <w:r>
        <w:t>not</w:t>
      </w:r>
      <w:r>
        <w:rPr>
          <w:spacing w:val="-3"/>
        </w:rPr>
        <w:t xml:space="preserve"> </w:t>
      </w:r>
      <w:r>
        <w:t>necessarily</w:t>
      </w:r>
      <w:r>
        <w:rPr>
          <w:spacing w:val="-2"/>
        </w:rPr>
        <w:t xml:space="preserve"> </w:t>
      </w:r>
      <w:r>
        <w:t>lead to</w:t>
      </w:r>
      <w:r>
        <w:rPr>
          <w:spacing w:val="-1"/>
        </w:rPr>
        <w:t xml:space="preserve"> </w:t>
      </w:r>
      <w:r>
        <w:t>higher</w:t>
      </w:r>
      <w:r>
        <w:rPr>
          <w:spacing w:val="-1"/>
        </w:rPr>
        <w:t xml:space="preserve"> </w:t>
      </w:r>
      <w:r>
        <w:t>market</w:t>
      </w:r>
      <w:r>
        <w:rPr>
          <w:spacing w:val="-2"/>
        </w:rPr>
        <w:t xml:space="preserve"> </w:t>
      </w:r>
      <w:r>
        <w:t>valuation.</w:t>
      </w:r>
      <w:r>
        <w:rPr>
          <w:spacing w:val="-1"/>
        </w:rPr>
        <w:t xml:space="preserve"> </w:t>
      </w:r>
      <w:r>
        <w:t>This</w:t>
      </w:r>
      <w:r>
        <w:rPr>
          <w:spacing w:val="-2"/>
        </w:rPr>
        <w:t xml:space="preserve"> </w:t>
      </w:r>
      <w:r>
        <w:t>correlation</w:t>
      </w:r>
      <w:r>
        <w:rPr>
          <w:spacing w:val="-1"/>
        </w:rPr>
        <w:t xml:space="preserve"> </w:t>
      </w:r>
      <w:r>
        <w:t>supports</w:t>
      </w:r>
      <w:r>
        <w:rPr>
          <w:spacing w:val="-2"/>
        </w:rPr>
        <w:t xml:space="preserve"> </w:t>
      </w:r>
      <w:r>
        <w:t>the</w:t>
      </w:r>
      <w:r>
        <w:rPr>
          <w:spacing w:val="-2"/>
        </w:rPr>
        <w:t xml:space="preserve"> </w:t>
      </w:r>
      <w:r>
        <w:t>idea</w:t>
      </w:r>
      <w:r>
        <w:rPr>
          <w:spacing w:val="-2"/>
        </w:rPr>
        <w:t xml:space="preserve"> </w:t>
      </w:r>
      <w:r>
        <w:t>that</w:t>
      </w:r>
      <w:r>
        <w:rPr>
          <w:spacing w:val="-2"/>
        </w:rPr>
        <w:t xml:space="preserve"> </w:t>
      </w:r>
      <w:r>
        <w:t>liquidity</w:t>
      </w:r>
      <w:r>
        <w:rPr>
          <w:spacing w:val="-1"/>
        </w:rPr>
        <w:t xml:space="preserve"> </w:t>
      </w:r>
      <w:r>
        <w:t>must</w:t>
      </w:r>
      <w:r>
        <w:rPr>
          <w:spacing w:val="-2"/>
        </w:rPr>
        <w:t xml:space="preserve"> </w:t>
      </w:r>
      <w:r>
        <w:t>be</w:t>
      </w:r>
      <w:r>
        <w:rPr>
          <w:spacing w:val="-2"/>
        </w:rPr>
        <w:t xml:space="preserve"> </w:t>
      </w:r>
      <w:r>
        <w:t>interpreted</w:t>
      </w:r>
      <w:r>
        <w:rPr>
          <w:spacing w:val="-1"/>
        </w:rPr>
        <w:t xml:space="preserve"> </w:t>
      </w:r>
      <w:r>
        <w:t>in</w:t>
      </w:r>
      <w:r>
        <w:rPr>
          <w:spacing w:val="-1"/>
        </w:rPr>
        <w:t xml:space="preserve"> </w:t>
      </w:r>
      <w:r>
        <w:t>relation</w:t>
      </w:r>
      <w:r>
        <w:rPr>
          <w:spacing w:val="-1"/>
        </w:rPr>
        <w:t xml:space="preserve"> </w:t>
      </w:r>
      <w:r>
        <w:t>to</w:t>
      </w:r>
      <w:r>
        <w:rPr>
          <w:spacing w:val="-1"/>
        </w:rPr>
        <w:t xml:space="preserve"> </w:t>
      </w:r>
      <w:r>
        <w:t>efficiency. Holding many current assets may not impress investors if those assets do not generate stronger profitability.</w:t>
      </w:r>
    </w:p>
    <w:p w14:paraId="2CE5EAC8" w14:textId="77777777" w:rsidR="00ED08FF" w:rsidRDefault="00ED08FF">
      <w:pPr>
        <w:pStyle w:val="BodyText"/>
        <w:spacing w:before="51"/>
        <w:ind w:left="0"/>
      </w:pPr>
    </w:p>
    <w:p w14:paraId="0B6CD386" w14:textId="77777777" w:rsidR="00ED08FF" w:rsidRDefault="00000000">
      <w:pPr>
        <w:pStyle w:val="Heading2"/>
        <w:numPr>
          <w:ilvl w:val="1"/>
          <w:numId w:val="1"/>
        </w:numPr>
        <w:tabs>
          <w:tab w:val="left" w:pos="415"/>
        </w:tabs>
        <w:ind w:left="415"/>
      </w:pPr>
      <w:r>
        <w:t>Regression</w:t>
      </w:r>
      <w:r>
        <w:rPr>
          <w:spacing w:val="-10"/>
        </w:rPr>
        <w:t xml:space="preserve"> </w:t>
      </w:r>
      <w:r>
        <w:rPr>
          <w:spacing w:val="-2"/>
        </w:rPr>
        <w:t>Results</w:t>
      </w:r>
    </w:p>
    <w:p w14:paraId="68FB7F7D" w14:textId="77777777" w:rsidR="00ED08FF" w:rsidRDefault="00000000">
      <w:pPr>
        <w:spacing w:before="50" w:after="50"/>
        <w:ind w:left="2700"/>
        <w:rPr>
          <w:b/>
          <w:sz w:val="18"/>
        </w:rPr>
      </w:pPr>
      <w:r>
        <w:rPr>
          <w:b/>
          <w:sz w:val="18"/>
        </w:rPr>
        <w:t>Table</w:t>
      </w:r>
      <w:r>
        <w:rPr>
          <w:b/>
          <w:spacing w:val="-5"/>
          <w:sz w:val="18"/>
        </w:rPr>
        <w:t xml:space="preserve"> </w:t>
      </w:r>
      <w:r>
        <w:rPr>
          <w:b/>
          <w:sz w:val="18"/>
        </w:rPr>
        <w:t>8:</w:t>
      </w:r>
      <w:r>
        <w:rPr>
          <w:b/>
          <w:spacing w:val="-4"/>
          <w:sz w:val="18"/>
        </w:rPr>
        <w:t xml:space="preserve"> </w:t>
      </w:r>
      <w:r>
        <w:rPr>
          <w:b/>
          <w:sz w:val="18"/>
        </w:rPr>
        <w:t>Pooled</w:t>
      </w:r>
      <w:r>
        <w:rPr>
          <w:b/>
          <w:spacing w:val="-5"/>
          <w:sz w:val="18"/>
        </w:rPr>
        <w:t xml:space="preserve"> </w:t>
      </w:r>
      <w:r>
        <w:rPr>
          <w:b/>
          <w:sz w:val="18"/>
        </w:rPr>
        <w:t>OLS</w:t>
      </w:r>
      <w:r>
        <w:rPr>
          <w:b/>
          <w:spacing w:val="-5"/>
          <w:sz w:val="18"/>
        </w:rPr>
        <w:t xml:space="preserve"> </w:t>
      </w:r>
      <w:r>
        <w:rPr>
          <w:b/>
          <w:sz w:val="18"/>
        </w:rPr>
        <w:t>Regression</w:t>
      </w:r>
      <w:r>
        <w:rPr>
          <w:b/>
          <w:spacing w:val="-3"/>
          <w:sz w:val="18"/>
        </w:rPr>
        <w:t xml:space="preserve"> </w:t>
      </w:r>
      <w:r>
        <w:rPr>
          <w:b/>
          <w:sz w:val="18"/>
        </w:rPr>
        <w:t>Results</w:t>
      </w:r>
      <w:r>
        <w:rPr>
          <w:b/>
          <w:spacing w:val="-5"/>
          <w:sz w:val="18"/>
        </w:rPr>
        <w:t xml:space="preserve"> </w:t>
      </w:r>
      <w:r>
        <w:rPr>
          <w:b/>
          <w:sz w:val="18"/>
        </w:rPr>
        <w:t>with</w:t>
      </w:r>
      <w:r>
        <w:rPr>
          <w:b/>
          <w:spacing w:val="-5"/>
          <w:sz w:val="18"/>
        </w:rPr>
        <w:t xml:space="preserve"> </w:t>
      </w:r>
      <w:r>
        <w:rPr>
          <w:b/>
          <w:sz w:val="18"/>
        </w:rPr>
        <w:t>Robust</w:t>
      </w:r>
      <w:r>
        <w:rPr>
          <w:b/>
          <w:spacing w:val="-4"/>
          <w:sz w:val="18"/>
        </w:rPr>
        <w:t xml:space="preserve"> </w:t>
      </w:r>
      <w:r>
        <w:rPr>
          <w:b/>
          <w:sz w:val="18"/>
        </w:rPr>
        <w:t>Standard</w:t>
      </w:r>
      <w:r>
        <w:rPr>
          <w:b/>
          <w:spacing w:val="-4"/>
          <w:sz w:val="18"/>
        </w:rPr>
        <w:t xml:space="preserve"> </w:t>
      </w:r>
      <w:r>
        <w:rPr>
          <w:b/>
          <w:spacing w:val="-2"/>
          <w:sz w:val="18"/>
        </w:rPr>
        <w:t>Errors</w:t>
      </w:r>
    </w:p>
    <w:tbl>
      <w:tblPr>
        <w:tblW w:w="0" w:type="auto"/>
        <w:tblInd w:w="1585" w:type="dxa"/>
        <w:tblLayout w:type="fixed"/>
        <w:tblCellMar>
          <w:left w:w="0" w:type="dxa"/>
          <w:right w:w="0" w:type="dxa"/>
        </w:tblCellMar>
        <w:tblLook w:val="01E0" w:firstRow="1" w:lastRow="1" w:firstColumn="1" w:lastColumn="1" w:noHBand="0" w:noVBand="0"/>
      </w:tblPr>
      <w:tblGrid>
        <w:gridCol w:w="1337"/>
        <w:gridCol w:w="1989"/>
        <w:gridCol w:w="2263"/>
        <w:gridCol w:w="1950"/>
        <w:gridCol w:w="1220"/>
      </w:tblGrid>
      <w:tr w:rsidR="00ED08FF" w14:paraId="29977D1F" w14:textId="77777777">
        <w:trPr>
          <w:trHeight w:val="147"/>
        </w:trPr>
        <w:tc>
          <w:tcPr>
            <w:tcW w:w="1337" w:type="dxa"/>
          </w:tcPr>
          <w:p w14:paraId="1356C703" w14:textId="77777777" w:rsidR="00ED08FF" w:rsidRDefault="00000000">
            <w:pPr>
              <w:pStyle w:val="TableParagraph"/>
              <w:ind w:left="50"/>
              <w:jc w:val="left"/>
              <w:rPr>
                <w:sz w:val="13"/>
              </w:rPr>
            </w:pPr>
            <w:r>
              <w:rPr>
                <w:spacing w:val="-2"/>
                <w:sz w:val="13"/>
              </w:rPr>
              <w:t>Variable</w:t>
            </w:r>
          </w:p>
        </w:tc>
        <w:tc>
          <w:tcPr>
            <w:tcW w:w="1989" w:type="dxa"/>
          </w:tcPr>
          <w:p w14:paraId="031D8773" w14:textId="77777777" w:rsidR="00ED08FF" w:rsidRDefault="00000000">
            <w:pPr>
              <w:pStyle w:val="TableParagraph"/>
              <w:ind w:left="195"/>
              <w:rPr>
                <w:sz w:val="13"/>
              </w:rPr>
            </w:pPr>
            <w:r>
              <w:rPr>
                <w:spacing w:val="-2"/>
                <w:sz w:val="13"/>
              </w:rPr>
              <w:t>Coefficient</w:t>
            </w:r>
          </w:p>
        </w:tc>
        <w:tc>
          <w:tcPr>
            <w:tcW w:w="2263" w:type="dxa"/>
          </w:tcPr>
          <w:p w14:paraId="1EE1F396" w14:textId="77777777" w:rsidR="00ED08FF" w:rsidRDefault="00000000">
            <w:pPr>
              <w:pStyle w:val="TableParagraph"/>
              <w:ind w:left="468"/>
              <w:jc w:val="left"/>
              <w:rPr>
                <w:sz w:val="13"/>
              </w:rPr>
            </w:pPr>
            <w:r>
              <w:rPr>
                <w:sz w:val="13"/>
              </w:rPr>
              <w:t>Robust</w:t>
            </w:r>
            <w:r>
              <w:rPr>
                <w:spacing w:val="-5"/>
                <w:sz w:val="13"/>
              </w:rPr>
              <w:t xml:space="preserve"> </w:t>
            </w:r>
            <w:r>
              <w:rPr>
                <w:sz w:val="13"/>
              </w:rPr>
              <w:t>Std.</w:t>
            </w:r>
            <w:r>
              <w:rPr>
                <w:spacing w:val="-4"/>
                <w:sz w:val="13"/>
              </w:rPr>
              <w:t xml:space="preserve"> </w:t>
            </w:r>
            <w:r>
              <w:rPr>
                <w:spacing w:val="-2"/>
                <w:sz w:val="13"/>
              </w:rPr>
              <w:t>Error</w:t>
            </w:r>
          </w:p>
        </w:tc>
        <w:tc>
          <w:tcPr>
            <w:tcW w:w="1950" w:type="dxa"/>
          </w:tcPr>
          <w:p w14:paraId="5D4A8CCC" w14:textId="77777777" w:rsidR="00ED08FF" w:rsidRDefault="00000000">
            <w:pPr>
              <w:pStyle w:val="TableParagraph"/>
              <w:ind w:left="78" w:right="232"/>
              <w:rPr>
                <w:sz w:val="13"/>
              </w:rPr>
            </w:pPr>
            <w:r>
              <w:rPr>
                <w:spacing w:val="-2"/>
                <w:sz w:val="13"/>
              </w:rPr>
              <w:t>t-statistic</w:t>
            </w:r>
          </w:p>
        </w:tc>
        <w:tc>
          <w:tcPr>
            <w:tcW w:w="1220" w:type="dxa"/>
          </w:tcPr>
          <w:p w14:paraId="10084DA5" w14:textId="77777777" w:rsidR="00ED08FF" w:rsidRDefault="00000000">
            <w:pPr>
              <w:pStyle w:val="TableParagraph"/>
              <w:ind w:right="48"/>
              <w:jc w:val="right"/>
              <w:rPr>
                <w:sz w:val="13"/>
              </w:rPr>
            </w:pPr>
            <w:r>
              <w:rPr>
                <w:spacing w:val="-2"/>
                <w:sz w:val="13"/>
              </w:rPr>
              <w:t>p-</w:t>
            </w:r>
            <w:r>
              <w:rPr>
                <w:spacing w:val="-4"/>
                <w:sz w:val="13"/>
              </w:rPr>
              <w:t>value</w:t>
            </w:r>
          </w:p>
        </w:tc>
      </w:tr>
      <w:tr w:rsidR="00ED08FF" w14:paraId="65F9677E" w14:textId="77777777">
        <w:trPr>
          <w:trHeight w:val="146"/>
        </w:trPr>
        <w:tc>
          <w:tcPr>
            <w:tcW w:w="1337" w:type="dxa"/>
          </w:tcPr>
          <w:p w14:paraId="33A7E15C" w14:textId="77777777" w:rsidR="00ED08FF" w:rsidRDefault="00000000">
            <w:pPr>
              <w:pStyle w:val="TableParagraph"/>
              <w:ind w:left="50"/>
              <w:jc w:val="left"/>
              <w:rPr>
                <w:sz w:val="13"/>
              </w:rPr>
            </w:pPr>
            <w:r>
              <w:rPr>
                <w:spacing w:val="-2"/>
                <w:sz w:val="13"/>
              </w:rPr>
              <w:t>Constant</w:t>
            </w:r>
          </w:p>
        </w:tc>
        <w:tc>
          <w:tcPr>
            <w:tcW w:w="1989" w:type="dxa"/>
          </w:tcPr>
          <w:p w14:paraId="4A7D4AC2" w14:textId="77777777" w:rsidR="00ED08FF" w:rsidRDefault="00000000">
            <w:pPr>
              <w:pStyle w:val="TableParagraph"/>
              <w:ind w:left="195" w:right="78"/>
              <w:rPr>
                <w:sz w:val="13"/>
              </w:rPr>
            </w:pPr>
            <w:r>
              <w:rPr>
                <w:spacing w:val="-2"/>
                <w:sz w:val="13"/>
              </w:rPr>
              <w:t>-2.476</w:t>
            </w:r>
          </w:p>
        </w:tc>
        <w:tc>
          <w:tcPr>
            <w:tcW w:w="2263" w:type="dxa"/>
          </w:tcPr>
          <w:p w14:paraId="43A9C121" w14:textId="77777777" w:rsidR="00ED08FF" w:rsidRDefault="00000000">
            <w:pPr>
              <w:pStyle w:val="TableParagraph"/>
              <w:ind w:right="156"/>
              <w:rPr>
                <w:sz w:val="13"/>
              </w:rPr>
            </w:pPr>
            <w:r>
              <w:rPr>
                <w:spacing w:val="-2"/>
                <w:sz w:val="13"/>
              </w:rPr>
              <w:t>8.617</w:t>
            </w:r>
          </w:p>
        </w:tc>
        <w:tc>
          <w:tcPr>
            <w:tcW w:w="1950" w:type="dxa"/>
          </w:tcPr>
          <w:p w14:paraId="6262E1DB" w14:textId="77777777" w:rsidR="00ED08FF" w:rsidRDefault="00000000">
            <w:pPr>
              <w:pStyle w:val="TableParagraph"/>
              <w:ind w:right="232"/>
              <w:rPr>
                <w:sz w:val="13"/>
              </w:rPr>
            </w:pPr>
            <w:r>
              <w:rPr>
                <w:spacing w:val="-2"/>
                <w:sz w:val="13"/>
              </w:rPr>
              <w:t>-0.287</w:t>
            </w:r>
          </w:p>
        </w:tc>
        <w:tc>
          <w:tcPr>
            <w:tcW w:w="1220" w:type="dxa"/>
          </w:tcPr>
          <w:p w14:paraId="067F8AB8" w14:textId="77777777" w:rsidR="00ED08FF" w:rsidRDefault="00000000">
            <w:pPr>
              <w:pStyle w:val="TableParagraph"/>
              <w:ind w:right="126"/>
              <w:jc w:val="right"/>
              <w:rPr>
                <w:sz w:val="13"/>
              </w:rPr>
            </w:pPr>
            <w:r>
              <w:rPr>
                <w:spacing w:val="-2"/>
                <w:sz w:val="13"/>
              </w:rPr>
              <w:t>0.774</w:t>
            </w:r>
          </w:p>
        </w:tc>
      </w:tr>
      <w:tr w:rsidR="00ED08FF" w14:paraId="06A6968F" w14:textId="77777777">
        <w:trPr>
          <w:trHeight w:val="147"/>
        </w:trPr>
        <w:tc>
          <w:tcPr>
            <w:tcW w:w="1337" w:type="dxa"/>
          </w:tcPr>
          <w:p w14:paraId="2C0444E3" w14:textId="77777777" w:rsidR="00ED08FF" w:rsidRDefault="00000000">
            <w:pPr>
              <w:pStyle w:val="TableParagraph"/>
              <w:ind w:left="128"/>
              <w:jc w:val="left"/>
              <w:rPr>
                <w:sz w:val="13"/>
              </w:rPr>
            </w:pPr>
            <w:r>
              <w:rPr>
                <w:spacing w:val="-5"/>
                <w:sz w:val="13"/>
              </w:rPr>
              <w:t>ROA</w:t>
            </w:r>
          </w:p>
        </w:tc>
        <w:tc>
          <w:tcPr>
            <w:tcW w:w="1989" w:type="dxa"/>
          </w:tcPr>
          <w:p w14:paraId="3AD37276" w14:textId="77777777" w:rsidR="00ED08FF" w:rsidRDefault="00000000">
            <w:pPr>
              <w:pStyle w:val="TableParagraph"/>
              <w:ind w:left="195"/>
              <w:rPr>
                <w:sz w:val="13"/>
              </w:rPr>
            </w:pPr>
            <w:r>
              <w:rPr>
                <w:spacing w:val="-2"/>
                <w:sz w:val="13"/>
              </w:rPr>
              <w:t>1.924</w:t>
            </w:r>
          </w:p>
        </w:tc>
        <w:tc>
          <w:tcPr>
            <w:tcW w:w="2263" w:type="dxa"/>
          </w:tcPr>
          <w:p w14:paraId="5CDAE2F8" w14:textId="77777777" w:rsidR="00ED08FF" w:rsidRDefault="00000000">
            <w:pPr>
              <w:pStyle w:val="TableParagraph"/>
              <w:ind w:right="156"/>
              <w:rPr>
                <w:sz w:val="13"/>
              </w:rPr>
            </w:pPr>
            <w:r>
              <w:rPr>
                <w:spacing w:val="-2"/>
                <w:sz w:val="13"/>
              </w:rPr>
              <w:t>0.243</w:t>
            </w:r>
          </w:p>
        </w:tc>
        <w:tc>
          <w:tcPr>
            <w:tcW w:w="1950" w:type="dxa"/>
          </w:tcPr>
          <w:p w14:paraId="54423695" w14:textId="77777777" w:rsidR="00ED08FF" w:rsidRDefault="00000000">
            <w:pPr>
              <w:pStyle w:val="TableParagraph"/>
              <w:ind w:left="78" w:right="232"/>
              <w:rPr>
                <w:sz w:val="13"/>
              </w:rPr>
            </w:pPr>
            <w:r>
              <w:rPr>
                <w:spacing w:val="-2"/>
                <w:sz w:val="13"/>
              </w:rPr>
              <w:t>7.909</w:t>
            </w:r>
          </w:p>
        </w:tc>
        <w:tc>
          <w:tcPr>
            <w:tcW w:w="1220" w:type="dxa"/>
          </w:tcPr>
          <w:p w14:paraId="0B34E0F4" w14:textId="77777777" w:rsidR="00ED08FF" w:rsidRDefault="00000000">
            <w:pPr>
              <w:pStyle w:val="TableParagraph"/>
              <w:ind w:right="126"/>
              <w:jc w:val="right"/>
              <w:rPr>
                <w:sz w:val="13"/>
              </w:rPr>
            </w:pPr>
            <w:r>
              <w:rPr>
                <w:spacing w:val="-2"/>
                <w:sz w:val="13"/>
              </w:rPr>
              <w:t>0.000</w:t>
            </w:r>
          </w:p>
        </w:tc>
      </w:tr>
      <w:tr w:rsidR="00ED08FF" w14:paraId="5D6152F5" w14:textId="77777777">
        <w:trPr>
          <w:trHeight w:val="147"/>
        </w:trPr>
        <w:tc>
          <w:tcPr>
            <w:tcW w:w="1337" w:type="dxa"/>
          </w:tcPr>
          <w:p w14:paraId="3FEA9BFB" w14:textId="77777777" w:rsidR="00ED08FF" w:rsidRDefault="00000000">
            <w:pPr>
              <w:pStyle w:val="TableParagraph"/>
              <w:ind w:left="128"/>
              <w:jc w:val="left"/>
              <w:rPr>
                <w:sz w:val="13"/>
              </w:rPr>
            </w:pPr>
            <w:r>
              <w:rPr>
                <w:spacing w:val="-5"/>
                <w:sz w:val="13"/>
              </w:rPr>
              <w:t>DER</w:t>
            </w:r>
          </w:p>
        </w:tc>
        <w:tc>
          <w:tcPr>
            <w:tcW w:w="1989" w:type="dxa"/>
          </w:tcPr>
          <w:p w14:paraId="266EB038" w14:textId="77777777" w:rsidR="00ED08FF" w:rsidRDefault="00000000">
            <w:pPr>
              <w:pStyle w:val="TableParagraph"/>
              <w:ind w:left="195"/>
              <w:rPr>
                <w:sz w:val="13"/>
              </w:rPr>
            </w:pPr>
            <w:r>
              <w:rPr>
                <w:spacing w:val="-2"/>
                <w:sz w:val="13"/>
              </w:rPr>
              <w:t>6.998</w:t>
            </w:r>
          </w:p>
        </w:tc>
        <w:tc>
          <w:tcPr>
            <w:tcW w:w="2263" w:type="dxa"/>
          </w:tcPr>
          <w:p w14:paraId="7F6B2B7B" w14:textId="77777777" w:rsidR="00ED08FF" w:rsidRDefault="00000000">
            <w:pPr>
              <w:pStyle w:val="TableParagraph"/>
              <w:ind w:right="156"/>
              <w:rPr>
                <w:sz w:val="13"/>
              </w:rPr>
            </w:pPr>
            <w:r>
              <w:rPr>
                <w:spacing w:val="-2"/>
                <w:sz w:val="13"/>
              </w:rPr>
              <w:t>4.365</w:t>
            </w:r>
          </w:p>
        </w:tc>
        <w:tc>
          <w:tcPr>
            <w:tcW w:w="1950" w:type="dxa"/>
          </w:tcPr>
          <w:p w14:paraId="4D701767" w14:textId="77777777" w:rsidR="00ED08FF" w:rsidRDefault="00000000">
            <w:pPr>
              <w:pStyle w:val="TableParagraph"/>
              <w:ind w:left="78" w:right="232"/>
              <w:rPr>
                <w:sz w:val="13"/>
              </w:rPr>
            </w:pPr>
            <w:r>
              <w:rPr>
                <w:spacing w:val="-2"/>
                <w:sz w:val="13"/>
              </w:rPr>
              <w:t>1.603</w:t>
            </w:r>
          </w:p>
        </w:tc>
        <w:tc>
          <w:tcPr>
            <w:tcW w:w="1220" w:type="dxa"/>
          </w:tcPr>
          <w:p w14:paraId="603E9EDC" w14:textId="77777777" w:rsidR="00ED08FF" w:rsidRDefault="00000000">
            <w:pPr>
              <w:pStyle w:val="TableParagraph"/>
              <w:ind w:right="126"/>
              <w:jc w:val="right"/>
              <w:rPr>
                <w:sz w:val="13"/>
              </w:rPr>
            </w:pPr>
            <w:r>
              <w:rPr>
                <w:spacing w:val="-2"/>
                <w:sz w:val="13"/>
              </w:rPr>
              <w:t>0.109</w:t>
            </w:r>
          </w:p>
        </w:tc>
      </w:tr>
      <w:tr w:rsidR="00ED08FF" w14:paraId="2A5B625C" w14:textId="77777777">
        <w:trPr>
          <w:trHeight w:val="146"/>
        </w:trPr>
        <w:tc>
          <w:tcPr>
            <w:tcW w:w="1337" w:type="dxa"/>
          </w:tcPr>
          <w:p w14:paraId="79B87690" w14:textId="77777777" w:rsidR="00ED08FF" w:rsidRDefault="00000000">
            <w:pPr>
              <w:pStyle w:val="TableParagraph"/>
              <w:ind w:left="128"/>
              <w:jc w:val="left"/>
              <w:rPr>
                <w:sz w:val="13"/>
              </w:rPr>
            </w:pPr>
            <w:r>
              <w:rPr>
                <w:spacing w:val="-4"/>
                <w:sz w:val="13"/>
              </w:rPr>
              <w:t>SIZE</w:t>
            </w:r>
          </w:p>
        </w:tc>
        <w:tc>
          <w:tcPr>
            <w:tcW w:w="1989" w:type="dxa"/>
          </w:tcPr>
          <w:p w14:paraId="34A9724B" w14:textId="77777777" w:rsidR="00ED08FF" w:rsidRDefault="00000000">
            <w:pPr>
              <w:pStyle w:val="TableParagraph"/>
              <w:ind w:left="195" w:right="78"/>
              <w:rPr>
                <w:sz w:val="13"/>
              </w:rPr>
            </w:pPr>
            <w:r>
              <w:rPr>
                <w:spacing w:val="-2"/>
                <w:sz w:val="13"/>
              </w:rPr>
              <w:t>-0.357</w:t>
            </w:r>
          </w:p>
        </w:tc>
        <w:tc>
          <w:tcPr>
            <w:tcW w:w="2263" w:type="dxa"/>
          </w:tcPr>
          <w:p w14:paraId="63926403" w14:textId="77777777" w:rsidR="00ED08FF" w:rsidRDefault="00000000">
            <w:pPr>
              <w:pStyle w:val="TableParagraph"/>
              <w:ind w:right="156"/>
              <w:rPr>
                <w:sz w:val="13"/>
              </w:rPr>
            </w:pPr>
            <w:r>
              <w:rPr>
                <w:spacing w:val="-2"/>
                <w:sz w:val="13"/>
              </w:rPr>
              <w:t>0.585</w:t>
            </w:r>
          </w:p>
        </w:tc>
        <w:tc>
          <w:tcPr>
            <w:tcW w:w="1950" w:type="dxa"/>
          </w:tcPr>
          <w:p w14:paraId="0213ACD9" w14:textId="77777777" w:rsidR="00ED08FF" w:rsidRDefault="00000000">
            <w:pPr>
              <w:pStyle w:val="TableParagraph"/>
              <w:ind w:right="232"/>
              <w:rPr>
                <w:sz w:val="13"/>
              </w:rPr>
            </w:pPr>
            <w:r>
              <w:rPr>
                <w:spacing w:val="-2"/>
                <w:sz w:val="13"/>
              </w:rPr>
              <w:t>-0.610</w:t>
            </w:r>
          </w:p>
        </w:tc>
        <w:tc>
          <w:tcPr>
            <w:tcW w:w="1220" w:type="dxa"/>
          </w:tcPr>
          <w:p w14:paraId="47DAA792" w14:textId="77777777" w:rsidR="00ED08FF" w:rsidRDefault="00000000">
            <w:pPr>
              <w:pStyle w:val="TableParagraph"/>
              <w:ind w:right="126"/>
              <w:jc w:val="right"/>
              <w:rPr>
                <w:sz w:val="13"/>
              </w:rPr>
            </w:pPr>
            <w:r>
              <w:rPr>
                <w:spacing w:val="-2"/>
                <w:sz w:val="13"/>
              </w:rPr>
              <w:t>0.542</w:t>
            </w:r>
          </w:p>
        </w:tc>
      </w:tr>
      <w:tr w:rsidR="00ED08FF" w14:paraId="053EC064" w14:textId="77777777">
        <w:trPr>
          <w:trHeight w:val="147"/>
        </w:trPr>
        <w:tc>
          <w:tcPr>
            <w:tcW w:w="1337" w:type="dxa"/>
          </w:tcPr>
          <w:p w14:paraId="0ED9377F" w14:textId="77777777" w:rsidR="00ED08FF" w:rsidRDefault="00000000">
            <w:pPr>
              <w:pStyle w:val="TableParagraph"/>
              <w:ind w:left="206"/>
              <w:jc w:val="left"/>
              <w:rPr>
                <w:sz w:val="13"/>
              </w:rPr>
            </w:pPr>
            <w:r>
              <w:rPr>
                <w:spacing w:val="-5"/>
                <w:sz w:val="13"/>
              </w:rPr>
              <w:t>CR</w:t>
            </w:r>
          </w:p>
        </w:tc>
        <w:tc>
          <w:tcPr>
            <w:tcW w:w="1989" w:type="dxa"/>
          </w:tcPr>
          <w:p w14:paraId="3E32AEF8" w14:textId="77777777" w:rsidR="00ED08FF" w:rsidRDefault="00000000">
            <w:pPr>
              <w:pStyle w:val="TableParagraph"/>
              <w:ind w:left="195" w:right="78"/>
              <w:rPr>
                <w:sz w:val="13"/>
              </w:rPr>
            </w:pPr>
            <w:r>
              <w:rPr>
                <w:spacing w:val="-2"/>
                <w:sz w:val="13"/>
              </w:rPr>
              <w:t>-2.762</w:t>
            </w:r>
          </w:p>
        </w:tc>
        <w:tc>
          <w:tcPr>
            <w:tcW w:w="2263" w:type="dxa"/>
          </w:tcPr>
          <w:p w14:paraId="396F43E6" w14:textId="77777777" w:rsidR="00ED08FF" w:rsidRDefault="00000000">
            <w:pPr>
              <w:pStyle w:val="TableParagraph"/>
              <w:ind w:right="156"/>
              <w:rPr>
                <w:sz w:val="13"/>
              </w:rPr>
            </w:pPr>
            <w:r>
              <w:rPr>
                <w:spacing w:val="-2"/>
                <w:sz w:val="13"/>
              </w:rPr>
              <w:t>0.549</w:t>
            </w:r>
          </w:p>
        </w:tc>
        <w:tc>
          <w:tcPr>
            <w:tcW w:w="1950" w:type="dxa"/>
          </w:tcPr>
          <w:p w14:paraId="7C8CA64B" w14:textId="77777777" w:rsidR="00ED08FF" w:rsidRDefault="00000000">
            <w:pPr>
              <w:pStyle w:val="TableParagraph"/>
              <w:ind w:right="232"/>
              <w:rPr>
                <w:sz w:val="13"/>
              </w:rPr>
            </w:pPr>
            <w:r>
              <w:rPr>
                <w:spacing w:val="-2"/>
                <w:sz w:val="13"/>
              </w:rPr>
              <w:t>-5.030</w:t>
            </w:r>
          </w:p>
        </w:tc>
        <w:tc>
          <w:tcPr>
            <w:tcW w:w="1220" w:type="dxa"/>
          </w:tcPr>
          <w:p w14:paraId="3AD47FFC" w14:textId="77777777" w:rsidR="00ED08FF" w:rsidRDefault="00000000">
            <w:pPr>
              <w:pStyle w:val="TableParagraph"/>
              <w:ind w:right="126"/>
              <w:jc w:val="right"/>
              <w:rPr>
                <w:sz w:val="13"/>
              </w:rPr>
            </w:pPr>
            <w:r>
              <w:rPr>
                <w:spacing w:val="-2"/>
                <w:sz w:val="13"/>
              </w:rPr>
              <w:t>0.000</w:t>
            </w:r>
          </w:p>
        </w:tc>
      </w:tr>
    </w:tbl>
    <w:p w14:paraId="536767A3" w14:textId="77777777" w:rsidR="00ED08FF" w:rsidRDefault="00000000">
      <w:pPr>
        <w:pStyle w:val="BodyText"/>
        <w:spacing w:before="2"/>
        <w:ind w:left="0" w:right="1572"/>
        <w:jc w:val="center"/>
      </w:pPr>
      <w:r>
        <w:t>Dependent</w:t>
      </w:r>
      <w:r>
        <w:rPr>
          <w:spacing w:val="-4"/>
        </w:rPr>
        <w:t xml:space="preserve"> </w:t>
      </w:r>
      <w:r>
        <w:t>variable:</w:t>
      </w:r>
      <w:r>
        <w:rPr>
          <w:spacing w:val="-3"/>
        </w:rPr>
        <w:t xml:space="preserve"> </w:t>
      </w:r>
      <w:r>
        <w:t>PBV.</w:t>
      </w:r>
      <w:r>
        <w:rPr>
          <w:spacing w:val="-2"/>
        </w:rPr>
        <w:t xml:space="preserve"> </w:t>
      </w:r>
      <w:r>
        <w:t>N</w:t>
      </w:r>
      <w:r>
        <w:rPr>
          <w:spacing w:val="-4"/>
        </w:rPr>
        <w:t xml:space="preserve"> </w:t>
      </w:r>
      <w:r>
        <w:t>=</w:t>
      </w:r>
      <w:r>
        <w:rPr>
          <w:spacing w:val="-3"/>
        </w:rPr>
        <w:t xml:space="preserve"> </w:t>
      </w:r>
      <w:r>
        <w:t>40.</w:t>
      </w:r>
      <w:r>
        <w:rPr>
          <w:spacing w:val="-2"/>
        </w:rPr>
        <w:t xml:space="preserve"> </w:t>
      </w:r>
      <w:r>
        <w:t>R-squared</w:t>
      </w:r>
      <w:r>
        <w:rPr>
          <w:spacing w:val="-2"/>
        </w:rPr>
        <w:t xml:space="preserve"> </w:t>
      </w:r>
      <w:r>
        <w:t>=</w:t>
      </w:r>
      <w:r>
        <w:rPr>
          <w:spacing w:val="-3"/>
        </w:rPr>
        <w:t xml:space="preserve"> </w:t>
      </w:r>
      <w:r>
        <w:t>0.872;</w:t>
      </w:r>
      <w:r>
        <w:rPr>
          <w:spacing w:val="-3"/>
        </w:rPr>
        <w:t xml:space="preserve"> </w:t>
      </w:r>
      <w:r>
        <w:t>adjusted</w:t>
      </w:r>
      <w:r>
        <w:rPr>
          <w:spacing w:val="-2"/>
        </w:rPr>
        <w:t xml:space="preserve"> </w:t>
      </w:r>
      <w:r>
        <w:t>R-squared</w:t>
      </w:r>
      <w:r>
        <w:rPr>
          <w:spacing w:val="-3"/>
        </w:rPr>
        <w:t xml:space="preserve"> </w:t>
      </w:r>
      <w:r>
        <w:t>=</w:t>
      </w:r>
      <w:r>
        <w:rPr>
          <w:spacing w:val="-2"/>
        </w:rPr>
        <w:t xml:space="preserve"> </w:t>
      </w:r>
      <w:r>
        <w:t>0.857.</w:t>
      </w:r>
      <w:r>
        <w:rPr>
          <w:spacing w:val="-2"/>
        </w:rPr>
        <w:t xml:space="preserve"> </w:t>
      </w:r>
      <w:r>
        <w:t>HC3</w:t>
      </w:r>
      <w:r>
        <w:rPr>
          <w:spacing w:val="-2"/>
        </w:rPr>
        <w:t xml:space="preserve"> </w:t>
      </w:r>
      <w:r>
        <w:t>robust</w:t>
      </w:r>
      <w:r>
        <w:rPr>
          <w:spacing w:val="-4"/>
        </w:rPr>
        <w:t xml:space="preserve"> </w:t>
      </w:r>
      <w:r>
        <w:t>standard</w:t>
      </w:r>
      <w:r>
        <w:rPr>
          <w:spacing w:val="-2"/>
        </w:rPr>
        <w:t xml:space="preserve"> </w:t>
      </w:r>
      <w:r>
        <w:t>errors</w:t>
      </w:r>
      <w:r>
        <w:rPr>
          <w:spacing w:val="-2"/>
        </w:rPr>
        <w:t xml:space="preserve"> </w:t>
      </w:r>
      <w:r>
        <w:t>are</w:t>
      </w:r>
      <w:r>
        <w:rPr>
          <w:spacing w:val="-3"/>
        </w:rPr>
        <w:t xml:space="preserve"> </w:t>
      </w:r>
      <w:r>
        <w:rPr>
          <w:spacing w:val="-2"/>
        </w:rPr>
        <w:t>reported.</w:t>
      </w:r>
    </w:p>
    <w:p w14:paraId="40FFB19B" w14:textId="77777777" w:rsidR="00ED08FF" w:rsidRDefault="00000000">
      <w:pPr>
        <w:pStyle w:val="Heading2"/>
        <w:spacing w:before="50"/>
        <w:ind w:left="1"/>
        <w:jc w:val="center"/>
      </w:pPr>
      <w:r>
        <w:t>Figure</w:t>
      </w:r>
      <w:r>
        <w:rPr>
          <w:spacing w:val="-3"/>
        </w:rPr>
        <w:t xml:space="preserve"> </w:t>
      </w:r>
      <w:r>
        <w:t>6:</w:t>
      </w:r>
      <w:r>
        <w:rPr>
          <w:spacing w:val="-1"/>
        </w:rPr>
        <w:t xml:space="preserve"> </w:t>
      </w:r>
      <w:r>
        <w:t>Scatter</w:t>
      </w:r>
      <w:r>
        <w:rPr>
          <w:spacing w:val="-3"/>
        </w:rPr>
        <w:t xml:space="preserve"> </w:t>
      </w:r>
      <w:r>
        <w:t>Plot</w:t>
      </w:r>
      <w:r>
        <w:rPr>
          <w:spacing w:val="-1"/>
        </w:rPr>
        <w:t xml:space="preserve"> </w:t>
      </w:r>
      <w:r>
        <w:t>of</w:t>
      </w:r>
      <w:r>
        <w:rPr>
          <w:spacing w:val="-2"/>
        </w:rPr>
        <w:t xml:space="preserve"> </w:t>
      </w:r>
      <w:r>
        <w:t>Profitability</w:t>
      </w:r>
      <w:r>
        <w:rPr>
          <w:spacing w:val="-1"/>
        </w:rPr>
        <w:t xml:space="preserve"> </w:t>
      </w:r>
      <w:r>
        <w:t>and</w:t>
      </w:r>
      <w:r>
        <w:rPr>
          <w:spacing w:val="-3"/>
        </w:rPr>
        <w:t xml:space="preserve"> </w:t>
      </w:r>
      <w:r>
        <w:t>Firm</w:t>
      </w:r>
      <w:r>
        <w:rPr>
          <w:spacing w:val="-1"/>
        </w:rPr>
        <w:t xml:space="preserve"> </w:t>
      </w:r>
      <w:r>
        <w:rPr>
          <w:spacing w:val="-2"/>
        </w:rPr>
        <w:t>Value</w:t>
      </w:r>
    </w:p>
    <w:p w14:paraId="2C4D5589" w14:textId="77777777" w:rsidR="00ED08FF" w:rsidRDefault="00ED08FF">
      <w:pPr>
        <w:pStyle w:val="Heading2"/>
        <w:jc w:val="center"/>
        <w:sectPr w:rsidR="00ED08FF">
          <w:pgSz w:w="12240" w:h="15840"/>
          <w:pgMar w:top="1080" w:right="720" w:bottom="900" w:left="720" w:header="0" w:footer="669" w:gutter="0"/>
          <w:cols w:space="720"/>
        </w:sectPr>
      </w:pPr>
    </w:p>
    <w:p w14:paraId="2DD73486" w14:textId="77777777" w:rsidR="00ED08FF" w:rsidRDefault="00000000">
      <w:pPr>
        <w:ind w:left="1487"/>
        <w:rPr>
          <w:sz w:val="20"/>
        </w:rPr>
      </w:pPr>
      <w:r>
        <w:rPr>
          <w:noProof/>
          <w:sz w:val="20"/>
        </w:rPr>
        <w:lastRenderedPageBreak/>
        <w:drawing>
          <wp:inline distT="0" distB="0" distL="0" distR="0" wp14:anchorId="7FD470A2" wp14:editId="13F1E67F">
            <wp:extent cx="5025696" cy="2633472"/>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3" cstate="print"/>
                    <a:stretch>
                      <a:fillRect/>
                    </a:stretch>
                  </pic:blipFill>
                  <pic:spPr>
                    <a:xfrm>
                      <a:off x="0" y="0"/>
                      <a:ext cx="5025696" cy="2633472"/>
                    </a:xfrm>
                    <a:prstGeom prst="rect">
                      <a:avLst/>
                    </a:prstGeom>
                  </pic:spPr>
                </pic:pic>
              </a:graphicData>
            </a:graphic>
          </wp:inline>
        </w:drawing>
      </w:r>
    </w:p>
    <w:p w14:paraId="3406C4A8" w14:textId="77777777" w:rsidR="00ED08FF" w:rsidRDefault="00ED08FF">
      <w:pPr>
        <w:pStyle w:val="BodyText"/>
        <w:spacing w:before="0"/>
        <w:ind w:left="0"/>
        <w:rPr>
          <w:b/>
        </w:rPr>
      </w:pPr>
    </w:p>
    <w:p w14:paraId="02B341EB" w14:textId="77777777" w:rsidR="00ED08FF" w:rsidRDefault="00ED08FF">
      <w:pPr>
        <w:pStyle w:val="BodyText"/>
        <w:spacing w:before="23"/>
        <w:ind w:left="0"/>
        <w:rPr>
          <w:b/>
        </w:rPr>
      </w:pPr>
    </w:p>
    <w:p w14:paraId="31F48287" w14:textId="77777777" w:rsidR="00ED08FF" w:rsidRDefault="00000000">
      <w:pPr>
        <w:pStyle w:val="BodyText"/>
        <w:spacing w:line="297" w:lineRule="auto"/>
        <w:ind w:right="1859"/>
      </w:pPr>
      <w:r>
        <w:t>The regression result shows that profitability has a positive and statistically significant coefficient. This supports H1. The coefficient means that, holding leverage, size, and liquidity constant, higher ROA is associated with higher PBV. This finding</w:t>
      </w:r>
      <w:r>
        <w:rPr>
          <w:spacing w:val="-2"/>
        </w:rPr>
        <w:t xml:space="preserve"> </w:t>
      </w:r>
      <w:r>
        <w:t>is</w:t>
      </w:r>
      <w:r>
        <w:rPr>
          <w:spacing w:val="-2"/>
        </w:rPr>
        <w:t xml:space="preserve"> </w:t>
      </w:r>
      <w:r>
        <w:t>economically</w:t>
      </w:r>
      <w:r>
        <w:rPr>
          <w:spacing w:val="-2"/>
        </w:rPr>
        <w:t xml:space="preserve"> </w:t>
      </w:r>
      <w:r>
        <w:t>reasonable</w:t>
      </w:r>
      <w:r>
        <w:rPr>
          <w:spacing w:val="-3"/>
        </w:rPr>
        <w:t xml:space="preserve"> </w:t>
      </w:r>
      <w:r>
        <w:t>because</w:t>
      </w:r>
      <w:r>
        <w:rPr>
          <w:spacing w:val="-3"/>
        </w:rPr>
        <w:t xml:space="preserve"> </w:t>
      </w:r>
      <w:r>
        <w:t>ROA</w:t>
      </w:r>
      <w:r>
        <w:rPr>
          <w:spacing w:val="-3"/>
        </w:rPr>
        <w:t xml:space="preserve"> </w:t>
      </w:r>
      <w:r>
        <w:t>summarizes</w:t>
      </w:r>
      <w:r>
        <w:rPr>
          <w:spacing w:val="-3"/>
        </w:rPr>
        <w:t xml:space="preserve"> </w:t>
      </w:r>
      <w:r>
        <w:t>how</w:t>
      </w:r>
      <w:r>
        <w:rPr>
          <w:spacing w:val="-3"/>
        </w:rPr>
        <w:t xml:space="preserve"> </w:t>
      </w:r>
      <w:r>
        <w:t>effectively</w:t>
      </w:r>
      <w:r>
        <w:rPr>
          <w:spacing w:val="-2"/>
        </w:rPr>
        <w:t xml:space="preserve"> </w:t>
      </w:r>
      <w:r>
        <w:t>a</w:t>
      </w:r>
      <w:r>
        <w:rPr>
          <w:spacing w:val="-3"/>
        </w:rPr>
        <w:t xml:space="preserve"> </w:t>
      </w:r>
      <w:r>
        <w:t>firm</w:t>
      </w:r>
      <w:r>
        <w:rPr>
          <w:spacing w:val="-3"/>
        </w:rPr>
        <w:t xml:space="preserve"> </w:t>
      </w:r>
      <w:r>
        <w:t>turns</w:t>
      </w:r>
      <w:r>
        <w:rPr>
          <w:spacing w:val="-3"/>
        </w:rPr>
        <w:t xml:space="preserve"> </w:t>
      </w:r>
      <w:r>
        <w:t>its</w:t>
      </w:r>
      <w:r>
        <w:rPr>
          <w:spacing w:val="-3"/>
        </w:rPr>
        <w:t xml:space="preserve"> </w:t>
      </w:r>
      <w:r>
        <w:t>assets</w:t>
      </w:r>
      <w:r>
        <w:rPr>
          <w:spacing w:val="-3"/>
        </w:rPr>
        <w:t xml:space="preserve"> </w:t>
      </w:r>
      <w:r>
        <w:t>into</w:t>
      </w:r>
      <w:r>
        <w:rPr>
          <w:spacing w:val="-2"/>
        </w:rPr>
        <w:t xml:space="preserve"> </w:t>
      </w:r>
      <w:r>
        <w:t>profit.</w:t>
      </w:r>
      <w:r>
        <w:rPr>
          <w:spacing w:val="-2"/>
        </w:rPr>
        <w:t xml:space="preserve"> </w:t>
      </w:r>
      <w:r>
        <w:t>In</w:t>
      </w:r>
      <w:r>
        <w:rPr>
          <w:spacing w:val="-2"/>
        </w:rPr>
        <w:t xml:space="preserve"> </w:t>
      </w:r>
      <w:r>
        <w:t>a</w:t>
      </w:r>
      <w:r>
        <w:rPr>
          <w:spacing w:val="-3"/>
        </w:rPr>
        <w:t xml:space="preserve"> </w:t>
      </w:r>
      <w:r>
        <w:t>sector where companies compete on price, distribution, brand, and cost control, asset productivity is a strong signal to investors. The positive profitability result also confirms the usefulness of accounting information for market valuation. PBV is</w:t>
      </w:r>
      <w:r>
        <w:rPr>
          <w:spacing w:val="40"/>
        </w:rPr>
        <w:t xml:space="preserve"> </w:t>
      </w:r>
      <w:r>
        <w:t>based on market price, while ROA is derived from financial statements. When ROA is significant, it indicates that accounting earnings still carry valuation relevance. Investors appear to reward firms that generate stronger profit from their asset base, not merely firms with larger balance sheets.</w:t>
      </w:r>
    </w:p>
    <w:p w14:paraId="0C404AB1" w14:textId="77777777" w:rsidR="00ED08FF" w:rsidRDefault="00000000">
      <w:pPr>
        <w:pStyle w:val="BodyText"/>
        <w:spacing w:before="2"/>
      </w:pPr>
      <w:r>
        <w:t>Leverage</w:t>
      </w:r>
      <w:r>
        <w:rPr>
          <w:spacing w:val="-7"/>
        </w:rPr>
        <w:t xml:space="preserve"> </w:t>
      </w:r>
      <w:r>
        <w:t>does</w:t>
      </w:r>
      <w:r>
        <w:rPr>
          <w:spacing w:val="-4"/>
        </w:rPr>
        <w:t xml:space="preserve"> </w:t>
      </w:r>
      <w:r>
        <w:t>not</w:t>
      </w:r>
      <w:r>
        <w:rPr>
          <w:spacing w:val="-4"/>
        </w:rPr>
        <w:t xml:space="preserve"> </w:t>
      </w:r>
      <w:r>
        <w:t>have</w:t>
      </w:r>
      <w:r>
        <w:rPr>
          <w:spacing w:val="-4"/>
        </w:rPr>
        <w:t xml:space="preserve"> </w:t>
      </w:r>
      <w:r>
        <w:t>a</w:t>
      </w:r>
      <w:r>
        <w:rPr>
          <w:spacing w:val="-4"/>
        </w:rPr>
        <w:t xml:space="preserve"> </w:t>
      </w:r>
      <w:r>
        <w:t>statistically</w:t>
      </w:r>
      <w:r>
        <w:rPr>
          <w:spacing w:val="-3"/>
        </w:rPr>
        <w:t xml:space="preserve"> </w:t>
      </w:r>
      <w:r>
        <w:t>significant</w:t>
      </w:r>
      <w:r>
        <w:rPr>
          <w:spacing w:val="-5"/>
        </w:rPr>
        <w:t xml:space="preserve"> </w:t>
      </w:r>
      <w:r>
        <w:t>effect</w:t>
      </w:r>
      <w:r>
        <w:rPr>
          <w:spacing w:val="-4"/>
        </w:rPr>
        <w:t xml:space="preserve"> </w:t>
      </w:r>
      <w:r>
        <w:t>on</w:t>
      </w:r>
      <w:r>
        <w:rPr>
          <w:spacing w:val="-3"/>
        </w:rPr>
        <w:t xml:space="preserve"> </w:t>
      </w:r>
      <w:r>
        <w:t>firm</w:t>
      </w:r>
      <w:r>
        <w:rPr>
          <w:spacing w:val="-4"/>
        </w:rPr>
        <w:t xml:space="preserve"> </w:t>
      </w:r>
      <w:r>
        <w:t>value</w:t>
      </w:r>
      <w:r>
        <w:rPr>
          <w:spacing w:val="-4"/>
        </w:rPr>
        <w:t xml:space="preserve"> </w:t>
      </w:r>
      <w:r>
        <w:t>in</w:t>
      </w:r>
      <w:r>
        <w:rPr>
          <w:spacing w:val="-3"/>
        </w:rPr>
        <w:t xml:space="preserve"> </w:t>
      </w:r>
      <w:r>
        <w:t>the</w:t>
      </w:r>
      <w:r>
        <w:rPr>
          <w:spacing w:val="-5"/>
        </w:rPr>
        <w:t xml:space="preserve"> </w:t>
      </w:r>
      <w:r>
        <w:t>primary</w:t>
      </w:r>
      <w:r>
        <w:rPr>
          <w:spacing w:val="-3"/>
        </w:rPr>
        <w:t xml:space="preserve"> </w:t>
      </w:r>
      <w:r>
        <w:t>model.</w:t>
      </w:r>
      <w:r>
        <w:rPr>
          <w:spacing w:val="-3"/>
        </w:rPr>
        <w:t xml:space="preserve"> </w:t>
      </w:r>
      <w:r>
        <w:t>This</w:t>
      </w:r>
      <w:r>
        <w:rPr>
          <w:spacing w:val="-4"/>
        </w:rPr>
        <w:t xml:space="preserve"> </w:t>
      </w:r>
      <w:r>
        <w:t>means</w:t>
      </w:r>
      <w:r>
        <w:rPr>
          <w:spacing w:val="-4"/>
        </w:rPr>
        <w:t xml:space="preserve"> </w:t>
      </w:r>
      <w:r>
        <w:t>that</w:t>
      </w:r>
      <w:r>
        <w:rPr>
          <w:spacing w:val="-4"/>
        </w:rPr>
        <w:t xml:space="preserve"> </w:t>
      </w:r>
      <w:r>
        <w:t>the</w:t>
      </w:r>
      <w:r>
        <w:rPr>
          <w:spacing w:val="-4"/>
        </w:rPr>
        <w:t xml:space="preserve"> </w:t>
      </w:r>
      <w:r>
        <w:rPr>
          <w:spacing w:val="-2"/>
        </w:rPr>
        <w:t>sample</w:t>
      </w:r>
    </w:p>
    <w:p w14:paraId="197E2405" w14:textId="77777777" w:rsidR="00ED08FF" w:rsidRDefault="00000000">
      <w:pPr>
        <w:pStyle w:val="BodyText"/>
        <w:spacing w:before="50" w:line="297" w:lineRule="auto"/>
        <w:ind w:right="1671"/>
      </w:pPr>
      <w:r>
        <w:t>does</w:t>
      </w:r>
      <w:r>
        <w:rPr>
          <w:spacing w:val="-4"/>
        </w:rPr>
        <w:t xml:space="preserve"> </w:t>
      </w:r>
      <w:r>
        <w:t>not</w:t>
      </w:r>
      <w:r>
        <w:rPr>
          <w:spacing w:val="-4"/>
        </w:rPr>
        <w:t xml:space="preserve"> </w:t>
      </w:r>
      <w:r>
        <w:t>provide</w:t>
      </w:r>
      <w:r>
        <w:rPr>
          <w:spacing w:val="-4"/>
        </w:rPr>
        <w:t xml:space="preserve"> </w:t>
      </w:r>
      <w:r>
        <w:t>strong</w:t>
      </w:r>
      <w:r>
        <w:rPr>
          <w:spacing w:val="-3"/>
        </w:rPr>
        <w:t xml:space="preserve"> </w:t>
      </w:r>
      <w:r>
        <w:t>evidence</w:t>
      </w:r>
      <w:r>
        <w:rPr>
          <w:spacing w:val="-4"/>
        </w:rPr>
        <w:t xml:space="preserve"> </w:t>
      </w:r>
      <w:r>
        <w:t>that</w:t>
      </w:r>
      <w:r>
        <w:rPr>
          <w:spacing w:val="-4"/>
        </w:rPr>
        <w:t xml:space="preserve"> </w:t>
      </w:r>
      <w:r>
        <w:t>DER</w:t>
      </w:r>
      <w:r>
        <w:rPr>
          <w:spacing w:val="-4"/>
        </w:rPr>
        <w:t xml:space="preserve"> </w:t>
      </w:r>
      <w:r>
        <w:t>independently</w:t>
      </w:r>
      <w:r>
        <w:rPr>
          <w:spacing w:val="-3"/>
        </w:rPr>
        <w:t xml:space="preserve"> </w:t>
      </w:r>
      <w:r>
        <w:t>explains</w:t>
      </w:r>
      <w:r>
        <w:rPr>
          <w:spacing w:val="-4"/>
        </w:rPr>
        <w:t xml:space="preserve"> </w:t>
      </w:r>
      <w:r>
        <w:t>PBV</w:t>
      </w:r>
      <w:r>
        <w:rPr>
          <w:spacing w:val="-4"/>
        </w:rPr>
        <w:t xml:space="preserve"> </w:t>
      </w:r>
      <w:r>
        <w:t>after</w:t>
      </w:r>
      <w:r>
        <w:rPr>
          <w:spacing w:val="-3"/>
        </w:rPr>
        <w:t xml:space="preserve"> </w:t>
      </w:r>
      <w:r>
        <w:t>controlling</w:t>
      </w:r>
      <w:r>
        <w:rPr>
          <w:spacing w:val="-3"/>
        </w:rPr>
        <w:t xml:space="preserve"> </w:t>
      </w:r>
      <w:r>
        <w:t>for</w:t>
      </w:r>
      <w:r>
        <w:rPr>
          <w:spacing w:val="-3"/>
        </w:rPr>
        <w:t xml:space="preserve"> </w:t>
      </w:r>
      <w:r>
        <w:t>profitability,</w:t>
      </w:r>
      <w:r>
        <w:rPr>
          <w:spacing w:val="-3"/>
        </w:rPr>
        <w:t xml:space="preserve"> </w:t>
      </w:r>
      <w:r>
        <w:t>size,</w:t>
      </w:r>
      <w:r>
        <w:rPr>
          <w:spacing w:val="-3"/>
        </w:rPr>
        <w:t xml:space="preserve"> </w:t>
      </w:r>
      <w:r>
        <w:t>and</w:t>
      </w:r>
      <w:r>
        <w:rPr>
          <w:spacing w:val="-3"/>
        </w:rPr>
        <w:t xml:space="preserve"> </w:t>
      </w:r>
      <w:r>
        <w:t>liquidity. One explanation is that leverage levels in the sample are not uniformly risky. Some companies use debt conservatively, while others carry liabilities as part of normal operations. The market may therefore evaluate debt together with</w:t>
      </w:r>
    </w:p>
    <w:p w14:paraId="1738A4BE" w14:textId="77777777" w:rsidR="00ED08FF" w:rsidRDefault="00000000">
      <w:pPr>
        <w:pStyle w:val="BodyText"/>
      </w:pPr>
      <w:r>
        <w:t>profitability</w:t>
      </w:r>
      <w:r>
        <w:rPr>
          <w:spacing w:val="-1"/>
        </w:rPr>
        <w:t xml:space="preserve"> </w:t>
      </w:r>
      <w:r>
        <w:t>rather than as</w:t>
      </w:r>
      <w:r>
        <w:rPr>
          <w:spacing w:val="-2"/>
        </w:rPr>
        <w:t xml:space="preserve"> </w:t>
      </w:r>
      <w:r>
        <w:t xml:space="preserve">an isolated </w:t>
      </w:r>
      <w:r>
        <w:rPr>
          <w:spacing w:val="-2"/>
        </w:rPr>
        <w:t>signal.</w:t>
      </w:r>
    </w:p>
    <w:p w14:paraId="7314C717" w14:textId="77777777" w:rsidR="00ED08FF" w:rsidRDefault="00000000">
      <w:pPr>
        <w:pStyle w:val="BodyText"/>
        <w:spacing w:before="50" w:line="297" w:lineRule="auto"/>
        <w:ind w:right="1903"/>
      </w:pPr>
      <w:r>
        <w:t>Firm size also does not show a statistically significant effect. This is an important finding because many papers assume that</w:t>
      </w:r>
      <w:r>
        <w:rPr>
          <w:spacing w:val="-3"/>
        </w:rPr>
        <w:t xml:space="preserve"> </w:t>
      </w:r>
      <w:r>
        <w:t>large</w:t>
      </w:r>
      <w:r>
        <w:rPr>
          <w:spacing w:val="-3"/>
        </w:rPr>
        <w:t xml:space="preserve"> </w:t>
      </w:r>
      <w:r>
        <w:t>firms</w:t>
      </w:r>
      <w:r>
        <w:rPr>
          <w:spacing w:val="-3"/>
        </w:rPr>
        <w:t xml:space="preserve"> </w:t>
      </w:r>
      <w:r>
        <w:t>are</w:t>
      </w:r>
      <w:r>
        <w:rPr>
          <w:spacing w:val="-3"/>
        </w:rPr>
        <w:t xml:space="preserve"> </w:t>
      </w:r>
      <w:r>
        <w:t>automatically</w:t>
      </w:r>
      <w:r>
        <w:rPr>
          <w:spacing w:val="-2"/>
        </w:rPr>
        <w:t xml:space="preserve"> </w:t>
      </w:r>
      <w:r>
        <w:t>valued</w:t>
      </w:r>
      <w:r>
        <w:rPr>
          <w:spacing w:val="-2"/>
        </w:rPr>
        <w:t xml:space="preserve"> </w:t>
      </w:r>
      <w:r>
        <w:t>more</w:t>
      </w:r>
      <w:r>
        <w:rPr>
          <w:spacing w:val="-3"/>
        </w:rPr>
        <w:t xml:space="preserve"> </w:t>
      </w:r>
      <w:r>
        <w:t>highly.</w:t>
      </w:r>
      <w:r>
        <w:rPr>
          <w:spacing w:val="-2"/>
        </w:rPr>
        <w:t xml:space="preserve"> </w:t>
      </w:r>
      <w:r>
        <w:t>The</w:t>
      </w:r>
      <w:r>
        <w:rPr>
          <w:spacing w:val="-3"/>
        </w:rPr>
        <w:t xml:space="preserve"> </w:t>
      </w:r>
      <w:r>
        <w:t>result</w:t>
      </w:r>
      <w:r>
        <w:rPr>
          <w:spacing w:val="-3"/>
        </w:rPr>
        <w:t xml:space="preserve"> </w:t>
      </w:r>
      <w:r>
        <w:t>here</w:t>
      </w:r>
      <w:r>
        <w:rPr>
          <w:spacing w:val="-3"/>
        </w:rPr>
        <w:t xml:space="preserve"> </w:t>
      </w:r>
      <w:r>
        <w:t>is</w:t>
      </w:r>
      <w:r>
        <w:rPr>
          <w:spacing w:val="-3"/>
        </w:rPr>
        <w:t xml:space="preserve"> </w:t>
      </w:r>
      <w:r>
        <w:t>stricter:</w:t>
      </w:r>
      <w:r>
        <w:rPr>
          <w:spacing w:val="-3"/>
        </w:rPr>
        <w:t xml:space="preserve"> </w:t>
      </w:r>
      <w:r>
        <w:t>size</w:t>
      </w:r>
      <w:r>
        <w:rPr>
          <w:spacing w:val="-3"/>
        </w:rPr>
        <w:t xml:space="preserve"> </w:t>
      </w:r>
      <w:r>
        <w:t>alone</w:t>
      </w:r>
      <w:r>
        <w:rPr>
          <w:spacing w:val="-3"/>
        </w:rPr>
        <w:t xml:space="preserve"> </w:t>
      </w:r>
      <w:r>
        <w:t>is</w:t>
      </w:r>
      <w:r>
        <w:rPr>
          <w:spacing w:val="-3"/>
        </w:rPr>
        <w:t xml:space="preserve"> </w:t>
      </w:r>
      <w:r>
        <w:t>not</w:t>
      </w:r>
      <w:r>
        <w:rPr>
          <w:spacing w:val="-3"/>
        </w:rPr>
        <w:t xml:space="preserve"> </w:t>
      </w:r>
      <w:r>
        <w:t>enough.</w:t>
      </w:r>
      <w:r>
        <w:rPr>
          <w:spacing w:val="-2"/>
        </w:rPr>
        <w:t xml:space="preserve"> </w:t>
      </w:r>
      <w:r>
        <w:t>A</w:t>
      </w:r>
      <w:r>
        <w:rPr>
          <w:spacing w:val="-3"/>
        </w:rPr>
        <w:t xml:space="preserve"> </w:t>
      </w:r>
      <w:r>
        <w:t>company</w:t>
      </w:r>
      <w:r>
        <w:rPr>
          <w:spacing w:val="-2"/>
        </w:rPr>
        <w:t xml:space="preserve"> </w:t>
      </w:r>
      <w:r>
        <w:t>can be large because it controls many assets, but investors care whether those assets generate returns. In the selected consumer non-cyclicals sample, the market seems to place more weight on profitability than on balance sheet scale.</w:t>
      </w:r>
    </w:p>
    <w:p w14:paraId="7F26B4CA" w14:textId="77777777" w:rsidR="00ED08FF" w:rsidRDefault="00000000">
      <w:pPr>
        <w:pStyle w:val="BodyText"/>
        <w:spacing w:before="2" w:line="297" w:lineRule="auto"/>
        <w:ind w:right="1671"/>
      </w:pPr>
      <w:r>
        <w:t>Liquidity has a negative and statistically significant coefficient. This result should not be misunderstood as a recommendation</w:t>
      </w:r>
      <w:r>
        <w:rPr>
          <w:spacing w:val="-3"/>
        </w:rPr>
        <w:t xml:space="preserve"> </w:t>
      </w:r>
      <w:r>
        <w:t>to</w:t>
      </w:r>
      <w:r>
        <w:rPr>
          <w:spacing w:val="-3"/>
        </w:rPr>
        <w:t xml:space="preserve"> </w:t>
      </w:r>
      <w:r>
        <w:t>weaken</w:t>
      </w:r>
      <w:r>
        <w:rPr>
          <w:spacing w:val="-3"/>
        </w:rPr>
        <w:t xml:space="preserve"> </w:t>
      </w:r>
      <w:r>
        <w:t>liquidity.</w:t>
      </w:r>
      <w:r>
        <w:rPr>
          <w:spacing w:val="-3"/>
        </w:rPr>
        <w:t xml:space="preserve"> </w:t>
      </w:r>
      <w:r>
        <w:t>The</w:t>
      </w:r>
      <w:r>
        <w:rPr>
          <w:spacing w:val="-4"/>
        </w:rPr>
        <w:t xml:space="preserve"> </w:t>
      </w:r>
      <w:r>
        <w:t>interpretation</w:t>
      </w:r>
      <w:r>
        <w:rPr>
          <w:spacing w:val="-3"/>
        </w:rPr>
        <w:t xml:space="preserve"> </w:t>
      </w:r>
      <w:r>
        <w:t>is</w:t>
      </w:r>
      <w:r>
        <w:rPr>
          <w:spacing w:val="-4"/>
        </w:rPr>
        <w:t xml:space="preserve"> </w:t>
      </w:r>
      <w:r>
        <w:t>more</w:t>
      </w:r>
      <w:r>
        <w:rPr>
          <w:spacing w:val="-4"/>
        </w:rPr>
        <w:t xml:space="preserve"> </w:t>
      </w:r>
      <w:r>
        <w:t>precise:</w:t>
      </w:r>
      <w:r>
        <w:rPr>
          <w:spacing w:val="-4"/>
        </w:rPr>
        <w:t xml:space="preserve"> </w:t>
      </w:r>
      <w:r>
        <w:t>very</w:t>
      </w:r>
      <w:r>
        <w:rPr>
          <w:spacing w:val="-3"/>
        </w:rPr>
        <w:t xml:space="preserve"> </w:t>
      </w:r>
      <w:r>
        <w:t>high</w:t>
      </w:r>
      <w:r>
        <w:rPr>
          <w:spacing w:val="-3"/>
        </w:rPr>
        <w:t xml:space="preserve"> </w:t>
      </w:r>
      <w:r>
        <w:t>current</w:t>
      </w:r>
      <w:r>
        <w:rPr>
          <w:spacing w:val="-4"/>
        </w:rPr>
        <w:t xml:space="preserve"> </w:t>
      </w:r>
      <w:r>
        <w:t>ratio</w:t>
      </w:r>
      <w:r>
        <w:rPr>
          <w:spacing w:val="-3"/>
        </w:rPr>
        <w:t xml:space="preserve"> </w:t>
      </w:r>
      <w:r>
        <w:t>is</w:t>
      </w:r>
      <w:r>
        <w:rPr>
          <w:spacing w:val="-4"/>
        </w:rPr>
        <w:t xml:space="preserve"> </w:t>
      </w:r>
      <w:r>
        <w:t>not</w:t>
      </w:r>
      <w:r>
        <w:rPr>
          <w:spacing w:val="-4"/>
        </w:rPr>
        <w:t xml:space="preserve"> </w:t>
      </w:r>
      <w:r>
        <w:t>rewarded</w:t>
      </w:r>
      <w:r>
        <w:rPr>
          <w:spacing w:val="-3"/>
        </w:rPr>
        <w:t xml:space="preserve"> </w:t>
      </w:r>
      <w:r>
        <w:t>with</w:t>
      </w:r>
      <w:r>
        <w:rPr>
          <w:spacing w:val="-3"/>
        </w:rPr>
        <w:t xml:space="preserve"> </w:t>
      </w:r>
      <w:r>
        <w:t>higher PBV in this sample. Investors may view excessive liquidity as idle resources, conservative working capital, or slower reinvestment. For operating companies, liquidity becomes valuable when it supports sales growth, inventory turnover, and profit generation.</w:t>
      </w:r>
    </w:p>
    <w:p w14:paraId="0AF297E8" w14:textId="77777777" w:rsidR="00ED08FF" w:rsidRDefault="00000000">
      <w:pPr>
        <w:pStyle w:val="BodyText"/>
        <w:spacing w:before="2" w:line="297" w:lineRule="auto"/>
        <w:ind w:right="1903"/>
      </w:pPr>
      <w:r>
        <w:t>The R-squared value indicates that the model explains a meaningful portion of the variation in PBV, but it also leaves substantial</w:t>
      </w:r>
      <w:r>
        <w:rPr>
          <w:spacing w:val="-4"/>
        </w:rPr>
        <w:t xml:space="preserve"> </w:t>
      </w:r>
      <w:r>
        <w:t>unexplained</w:t>
      </w:r>
      <w:r>
        <w:rPr>
          <w:spacing w:val="-3"/>
        </w:rPr>
        <w:t xml:space="preserve"> </w:t>
      </w:r>
      <w:r>
        <w:t>variation.</w:t>
      </w:r>
      <w:r>
        <w:rPr>
          <w:spacing w:val="-3"/>
        </w:rPr>
        <w:t xml:space="preserve"> </w:t>
      </w:r>
      <w:r>
        <w:t>This</w:t>
      </w:r>
      <w:r>
        <w:rPr>
          <w:spacing w:val="-4"/>
        </w:rPr>
        <w:t xml:space="preserve"> </w:t>
      </w:r>
      <w:r>
        <w:t>is</w:t>
      </w:r>
      <w:r>
        <w:rPr>
          <w:spacing w:val="-4"/>
        </w:rPr>
        <w:t xml:space="preserve"> </w:t>
      </w:r>
      <w:r>
        <w:t>expected</w:t>
      </w:r>
      <w:r>
        <w:rPr>
          <w:spacing w:val="-3"/>
        </w:rPr>
        <w:t xml:space="preserve"> </w:t>
      </w:r>
      <w:r>
        <w:t>because</w:t>
      </w:r>
      <w:r>
        <w:rPr>
          <w:spacing w:val="-4"/>
        </w:rPr>
        <w:t xml:space="preserve"> </w:t>
      </w:r>
      <w:r>
        <w:t>firm</w:t>
      </w:r>
      <w:r>
        <w:rPr>
          <w:spacing w:val="-4"/>
        </w:rPr>
        <w:t xml:space="preserve"> </w:t>
      </w:r>
      <w:r>
        <w:t>value</w:t>
      </w:r>
      <w:r>
        <w:rPr>
          <w:spacing w:val="-4"/>
        </w:rPr>
        <w:t xml:space="preserve"> </w:t>
      </w:r>
      <w:r>
        <w:t>is</w:t>
      </w:r>
      <w:r>
        <w:rPr>
          <w:spacing w:val="-4"/>
        </w:rPr>
        <w:t xml:space="preserve"> </w:t>
      </w:r>
      <w:r>
        <w:t>influenced</w:t>
      </w:r>
      <w:r>
        <w:rPr>
          <w:spacing w:val="-3"/>
        </w:rPr>
        <w:t xml:space="preserve"> </w:t>
      </w:r>
      <w:r>
        <w:t>by</w:t>
      </w:r>
      <w:r>
        <w:rPr>
          <w:spacing w:val="-3"/>
        </w:rPr>
        <w:t xml:space="preserve"> </w:t>
      </w:r>
      <w:r>
        <w:t>many</w:t>
      </w:r>
      <w:r>
        <w:rPr>
          <w:spacing w:val="-3"/>
        </w:rPr>
        <w:t xml:space="preserve"> </w:t>
      </w:r>
      <w:r>
        <w:t>non-accounting</w:t>
      </w:r>
      <w:r>
        <w:rPr>
          <w:spacing w:val="-3"/>
        </w:rPr>
        <w:t xml:space="preserve"> </w:t>
      </w:r>
      <w:r>
        <w:t>factors</w:t>
      </w:r>
      <w:r>
        <w:rPr>
          <w:spacing w:val="-4"/>
        </w:rPr>
        <w:t xml:space="preserve"> </w:t>
      </w:r>
      <w:r>
        <w:t>such as investor sentiment, macroeconomic conditions, product innovation, brand equity, corporate governance, dividend policy, and expectations</w:t>
      </w:r>
      <w:r>
        <w:rPr>
          <w:spacing w:val="-1"/>
        </w:rPr>
        <w:t xml:space="preserve"> </w:t>
      </w:r>
      <w:r>
        <w:t>about</w:t>
      </w:r>
      <w:r>
        <w:rPr>
          <w:spacing w:val="-1"/>
        </w:rPr>
        <w:t xml:space="preserve"> </w:t>
      </w:r>
      <w:r>
        <w:t>future</w:t>
      </w:r>
      <w:r>
        <w:rPr>
          <w:spacing w:val="-1"/>
        </w:rPr>
        <w:t xml:space="preserve"> </w:t>
      </w:r>
      <w:r>
        <w:t>growth. The</w:t>
      </w:r>
      <w:r>
        <w:rPr>
          <w:spacing w:val="-1"/>
        </w:rPr>
        <w:t xml:space="preserve"> </w:t>
      </w:r>
      <w:r>
        <w:t>model</w:t>
      </w:r>
      <w:r>
        <w:rPr>
          <w:spacing w:val="-1"/>
        </w:rPr>
        <w:t xml:space="preserve"> </w:t>
      </w:r>
      <w:r>
        <w:t>should therefore</w:t>
      </w:r>
      <w:r>
        <w:rPr>
          <w:spacing w:val="-1"/>
        </w:rPr>
        <w:t xml:space="preserve"> </w:t>
      </w:r>
      <w:r>
        <w:t>be</w:t>
      </w:r>
      <w:r>
        <w:rPr>
          <w:spacing w:val="-1"/>
        </w:rPr>
        <w:t xml:space="preserve"> </w:t>
      </w:r>
      <w:r>
        <w:t>read as</w:t>
      </w:r>
      <w:r>
        <w:rPr>
          <w:spacing w:val="-1"/>
        </w:rPr>
        <w:t xml:space="preserve"> </w:t>
      </w:r>
      <w:r>
        <w:t>an accounting-ratio explanation, not a complete valuation model.</w:t>
      </w:r>
    </w:p>
    <w:p w14:paraId="17BA4FC3" w14:textId="77777777" w:rsidR="00ED08FF" w:rsidRDefault="00ED08FF">
      <w:pPr>
        <w:pStyle w:val="BodyText"/>
        <w:spacing w:before="5"/>
        <w:ind w:left="0"/>
        <w:rPr>
          <w:sz w:val="14"/>
        </w:rPr>
      </w:pPr>
    </w:p>
    <w:p w14:paraId="6192B352" w14:textId="77777777" w:rsidR="00ED08FF" w:rsidRDefault="00ED08FF">
      <w:pPr>
        <w:pStyle w:val="BodyText"/>
        <w:rPr>
          <w:sz w:val="14"/>
        </w:rPr>
        <w:sectPr w:rsidR="00ED08FF">
          <w:pgSz w:w="12240" w:h="15840"/>
          <w:pgMar w:top="1040" w:right="720" w:bottom="900" w:left="720" w:header="0" w:footer="669" w:gutter="0"/>
          <w:cols w:space="720"/>
        </w:sectPr>
      </w:pPr>
    </w:p>
    <w:p w14:paraId="53F63591" w14:textId="77777777" w:rsidR="00ED08FF" w:rsidRDefault="00000000">
      <w:pPr>
        <w:pStyle w:val="Heading2"/>
        <w:numPr>
          <w:ilvl w:val="1"/>
          <w:numId w:val="1"/>
        </w:numPr>
        <w:tabs>
          <w:tab w:val="left" w:pos="415"/>
        </w:tabs>
        <w:spacing w:before="92"/>
        <w:ind w:left="415"/>
      </w:pPr>
      <w:r>
        <w:t>Diagnostic</w:t>
      </w:r>
      <w:r>
        <w:rPr>
          <w:spacing w:val="-8"/>
        </w:rPr>
        <w:t xml:space="preserve"> </w:t>
      </w:r>
      <w:r>
        <w:t>and</w:t>
      </w:r>
      <w:r>
        <w:rPr>
          <w:spacing w:val="-7"/>
        </w:rPr>
        <w:t xml:space="preserve"> </w:t>
      </w:r>
      <w:r>
        <w:t>Robustness</w:t>
      </w:r>
      <w:r>
        <w:rPr>
          <w:spacing w:val="-7"/>
        </w:rPr>
        <w:t xml:space="preserve"> </w:t>
      </w:r>
      <w:r>
        <w:rPr>
          <w:spacing w:val="-2"/>
        </w:rPr>
        <w:t>Analysis</w:t>
      </w:r>
    </w:p>
    <w:p w14:paraId="2771E148" w14:textId="77777777" w:rsidR="00ED08FF" w:rsidRDefault="00000000">
      <w:pPr>
        <w:pStyle w:val="BodyText"/>
        <w:spacing w:before="142"/>
        <w:ind w:left="0"/>
        <w:rPr>
          <w:b/>
        </w:rPr>
      </w:pPr>
      <w:r>
        <w:br w:type="column"/>
      </w:r>
    </w:p>
    <w:p w14:paraId="56DC4652" w14:textId="77777777" w:rsidR="00ED08FF" w:rsidRDefault="00000000">
      <w:pPr>
        <w:ind w:left="510"/>
        <w:rPr>
          <w:b/>
          <w:sz w:val="18"/>
        </w:rPr>
      </w:pPr>
      <w:r>
        <w:rPr>
          <w:b/>
          <w:sz w:val="18"/>
        </w:rPr>
        <w:t>Table</w:t>
      </w:r>
      <w:r>
        <w:rPr>
          <w:b/>
          <w:spacing w:val="-6"/>
          <w:sz w:val="18"/>
        </w:rPr>
        <w:t xml:space="preserve"> </w:t>
      </w:r>
      <w:r>
        <w:rPr>
          <w:b/>
          <w:sz w:val="18"/>
        </w:rPr>
        <w:t>9:</w:t>
      </w:r>
      <w:r>
        <w:rPr>
          <w:b/>
          <w:spacing w:val="-4"/>
          <w:sz w:val="18"/>
        </w:rPr>
        <w:t xml:space="preserve"> </w:t>
      </w:r>
      <w:r>
        <w:rPr>
          <w:b/>
          <w:sz w:val="18"/>
        </w:rPr>
        <w:t>Diagnostic</w:t>
      </w:r>
      <w:r>
        <w:rPr>
          <w:b/>
          <w:spacing w:val="-5"/>
          <w:sz w:val="18"/>
        </w:rPr>
        <w:t xml:space="preserve"> </w:t>
      </w:r>
      <w:r>
        <w:rPr>
          <w:b/>
          <w:spacing w:val="-2"/>
          <w:sz w:val="18"/>
        </w:rPr>
        <w:t>Summary</w:t>
      </w:r>
    </w:p>
    <w:p w14:paraId="5B829659" w14:textId="77777777" w:rsidR="00ED08FF" w:rsidRDefault="00000000">
      <w:pPr>
        <w:tabs>
          <w:tab w:val="left" w:pos="1939"/>
          <w:tab w:val="left" w:pos="4124"/>
        </w:tabs>
        <w:spacing w:before="50" w:line="147" w:lineRule="exact"/>
        <w:ind w:left="146"/>
        <w:rPr>
          <w:rFonts w:ascii="Courier New"/>
          <w:sz w:val="13"/>
        </w:rPr>
      </w:pPr>
      <w:r>
        <w:rPr>
          <w:rFonts w:ascii="Courier New"/>
          <w:spacing w:val="-4"/>
          <w:sz w:val="13"/>
        </w:rPr>
        <w:t>Test</w:t>
      </w:r>
      <w:r>
        <w:rPr>
          <w:rFonts w:ascii="Courier New"/>
          <w:sz w:val="13"/>
        </w:rPr>
        <w:tab/>
      </w:r>
      <w:r>
        <w:rPr>
          <w:rFonts w:ascii="Courier New"/>
          <w:spacing w:val="-2"/>
          <w:sz w:val="13"/>
        </w:rPr>
        <w:t>Value</w:t>
      </w:r>
      <w:r>
        <w:rPr>
          <w:rFonts w:ascii="Courier New"/>
          <w:sz w:val="13"/>
        </w:rPr>
        <w:tab/>
      </w:r>
      <w:r>
        <w:rPr>
          <w:rFonts w:ascii="Courier New"/>
          <w:spacing w:val="-2"/>
          <w:sz w:val="13"/>
        </w:rPr>
        <w:t>Interpretation</w:t>
      </w:r>
    </w:p>
    <w:p w14:paraId="3BCEB703" w14:textId="77777777" w:rsidR="00ED08FF" w:rsidRDefault="00ED08FF">
      <w:pPr>
        <w:spacing w:line="147" w:lineRule="exact"/>
        <w:rPr>
          <w:rFonts w:ascii="Courier New"/>
          <w:sz w:val="13"/>
        </w:rPr>
        <w:sectPr w:rsidR="00ED08FF">
          <w:type w:val="continuous"/>
          <w:pgSz w:w="12240" w:h="15840"/>
          <w:pgMar w:top="1040" w:right="720" w:bottom="860" w:left="720" w:header="0" w:footer="669" w:gutter="0"/>
          <w:cols w:num="2" w:space="720" w:equalWidth="0">
            <w:col w:w="3210" w:space="534"/>
            <w:col w:w="7056"/>
          </w:cols>
        </w:sectPr>
      </w:pPr>
    </w:p>
    <w:p w14:paraId="044FD066" w14:textId="77777777" w:rsidR="00ED08FF" w:rsidRDefault="00000000">
      <w:pPr>
        <w:tabs>
          <w:tab w:val="left" w:pos="5683"/>
        </w:tabs>
        <w:ind w:left="2096" w:right="2617"/>
        <w:jc w:val="both"/>
        <w:rPr>
          <w:rFonts w:ascii="Courier New"/>
          <w:sz w:val="13"/>
        </w:rPr>
      </w:pPr>
      <w:r>
        <w:rPr>
          <w:rFonts w:ascii="Courier New"/>
          <w:sz w:val="13"/>
        </w:rPr>
        <w:t>Variance Inflation Factor - ROA</w:t>
      </w:r>
      <w:r>
        <w:rPr>
          <w:rFonts w:ascii="Courier New"/>
          <w:sz w:val="13"/>
        </w:rPr>
        <w:tab/>
        <w:t>5.731</w:t>
      </w:r>
      <w:r>
        <w:rPr>
          <w:rFonts w:ascii="Courier New"/>
          <w:spacing w:val="40"/>
          <w:sz w:val="13"/>
        </w:rPr>
        <w:t xml:space="preserve"> </w:t>
      </w:r>
      <w:r>
        <w:rPr>
          <w:rFonts w:ascii="Courier New"/>
          <w:sz w:val="13"/>
        </w:rPr>
        <w:t>Multicollinearity</w:t>
      </w:r>
      <w:r>
        <w:rPr>
          <w:rFonts w:ascii="Courier New"/>
          <w:spacing w:val="-9"/>
          <w:sz w:val="13"/>
        </w:rPr>
        <w:t xml:space="preserve"> </w:t>
      </w:r>
      <w:r>
        <w:rPr>
          <w:rFonts w:ascii="Courier New"/>
          <w:sz w:val="13"/>
        </w:rPr>
        <w:t>check Variance Inflation Factor - DER</w:t>
      </w:r>
      <w:r>
        <w:rPr>
          <w:rFonts w:ascii="Courier New"/>
          <w:sz w:val="13"/>
        </w:rPr>
        <w:tab/>
        <w:t>4.326</w:t>
      </w:r>
      <w:r>
        <w:rPr>
          <w:rFonts w:ascii="Courier New"/>
          <w:spacing w:val="40"/>
          <w:sz w:val="13"/>
        </w:rPr>
        <w:t xml:space="preserve"> </w:t>
      </w:r>
      <w:r>
        <w:rPr>
          <w:rFonts w:ascii="Courier New"/>
          <w:sz w:val="13"/>
        </w:rPr>
        <w:t>Multicollinearity</w:t>
      </w:r>
      <w:r>
        <w:rPr>
          <w:rFonts w:ascii="Courier New"/>
          <w:spacing w:val="-9"/>
          <w:sz w:val="13"/>
        </w:rPr>
        <w:t xml:space="preserve"> </w:t>
      </w:r>
      <w:r>
        <w:rPr>
          <w:rFonts w:ascii="Courier New"/>
          <w:sz w:val="13"/>
        </w:rPr>
        <w:t>check Variance Inflation Factor - SIZE</w:t>
      </w:r>
      <w:r>
        <w:rPr>
          <w:rFonts w:ascii="Courier New"/>
          <w:sz w:val="13"/>
        </w:rPr>
        <w:tab/>
        <w:t>16.547</w:t>
      </w:r>
      <w:r>
        <w:rPr>
          <w:rFonts w:ascii="Courier New"/>
          <w:spacing w:val="40"/>
          <w:sz w:val="13"/>
        </w:rPr>
        <w:t xml:space="preserve"> </w:t>
      </w:r>
      <w:r>
        <w:rPr>
          <w:rFonts w:ascii="Courier New"/>
          <w:sz w:val="13"/>
        </w:rPr>
        <w:t>Multicollinearity</w:t>
      </w:r>
      <w:r>
        <w:rPr>
          <w:rFonts w:ascii="Courier New"/>
          <w:spacing w:val="-10"/>
          <w:sz w:val="13"/>
        </w:rPr>
        <w:t xml:space="preserve"> </w:t>
      </w:r>
      <w:r>
        <w:rPr>
          <w:rFonts w:ascii="Courier New"/>
          <w:sz w:val="13"/>
        </w:rPr>
        <w:t>check Variance</w:t>
      </w:r>
      <w:r>
        <w:rPr>
          <w:rFonts w:ascii="Courier New"/>
          <w:spacing w:val="-6"/>
          <w:sz w:val="13"/>
        </w:rPr>
        <w:t xml:space="preserve"> </w:t>
      </w:r>
      <w:r>
        <w:rPr>
          <w:rFonts w:ascii="Courier New"/>
          <w:sz w:val="13"/>
        </w:rPr>
        <w:t>Inflation</w:t>
      </w:r>
      <w:r>
        <w:rPr>
          <w:rFonts w:ascii="Courier New"/>
          <w:spacing w:val="-6"/>
          <w:sz w:val="13"/>
        </w:rPr>
        <w:t xml:space="preserve"> </w:t>
      </w:r>
      <w:r>
        <w:rPr>
          <w:rFonts w:ascii="Courier New"/>
          <w:sz w:val="13"/>
        </w:rPr>
        <w:t>Factor</w:t>
      </w:r>
      <w:r>
        <w:rPr>
          <w:rFonts w:ascii="Courier New"/>
          <w:spacing w:val="-6"/>
          <w:sz w:val="13"/>
        </w:rPr>
        <w:t xml:space="preserve"> </w:t>
      </w:r>
      <w:r>
        <w:rPr>
          <w:rFonts w:ascii="Courier New"/>
          <w:sz w:val="13"/>
        </w:rPr>
        <w:t>-</w:t>
      </w:r>
      <w:r>
        <w:rPr>
          <w:rFonts w:ascii="Courier New"/>
          <w:spacing w:val="-6"/>
          <w:sz w:val="13"/>
        </w:rPr>
        <w:t xml:space="preserve"> </w:t>
      </w:r>
      <w:r>
        <w:rPr>
          <w:rFonts w:ascii="Courier New"/>
          <w:spacing w:val="-5"/>
          <w:sz w:val="13"/>
        </w:rPr>
        <w:t>CR</w:t>
      </w:r>
      <w:r>
        <w:rPr>
          <w:rFonts w:ascii="Courier New"/>
          <w:sz w:val="13"/>
        </w:rPr>
        <w:tab/>
        <w:t>3.755</w:t>
      </w:r>
      <w:r>
        <w:rPr>
          <w:rFonts w:ascii="Courier New"/>
          <w:spacing w:val="70"/>
          <w:sz w:val="13"/>
        </w:rPr>
        <w:t xml:space="preserve">  </w:t>
      </w:r>
      <w:r>
        <w:rPr>
          <w:rFonts w:ascii="Courier New"/>
          <w:sz w:val="13"/>
        </w:rPr>
        <w:t>Multicollinearity</w:t>
      </w:r>
      <w:r>
        <w:rPr>
          <w:rFonts w:ascii="Courier New"/>
          <w:spacing w:val="-5"/>
          <w:sz w:val="13"/>
        </w:rPr>
        <w:t xml:space="preserve"> </w:t>
      </w:r>
      <w:r>
        <w:rPr>
          <w:rFonts w:ascii="Courier New"/>
          <w:spacing w:val="-2"/>
          <w:sz w:val="13"/>
        </w:rPr>
        <w:t>check</w:t>
      </w:r>
    </w:p>
    <w:p w14:paraId="04FA9886" w14:textId="77777777" w:rsidR="00ED08FF" w:rsidRDefault="00000000">
      <w:pPr>
        <w:tabs>
          <w:tab w:val="left" w:pos="5683"/>
        </w:tabs>
        <w:spacing w:line="146" w:lineRule="exact"/>
        <w:ind w:left="2096"/>
        <w:jc w:val="both"/>
        <w:rPr>
          <w:rFonts w:ascii="Courier New"/>
          <w:sz w:val="13"/>
        </w:rPr>
      </w:pPr>
      <w:r>
        <w:rPr>
          <w:rFonts w:ascii="Courier New"/>
          <w:sz w:val="13"/>
        </w:rPr>
        <w:t>Breusch-Pagan</w:t>
      </w:r>
      <w:r>
        <w:rPr>
          <w:rFonts w:ascii="Courier New"/>
          <w:spacing w:val="-9"/>
          <w:sz w:val="13"/>
        </w:rPr>
        <w:t xml:space="preserve"> </w:t>
      </w:r>
      <w:r>
        <w:rPr>
          <w:rFonts w:ascii="Courier New"/>
          <w:sz w:val="13"/>
        </w:rPr>
        <w:t>LM</w:t>
      </w:r>
      <w:r>
        <w:rPr>
          <w:rFonts w:ascii="Courier New"/>
          <w:spacing w:val="-8"/>
          <w:sz w:val="13"/>
        </w:rPr>
        <w:t xml:space="preserve"> </w:t>
      </w:r>
      <w:r>
        <w:rPr>
          <w:rFonts w:ascii="Courier New"/>
          <w:sz w:val="13"/>
        </w:rPr>
        <w:t>p-</w:t>
      </w:r>
      <w:r>
        <w:rPr>
          <w:rFonts w:ascii="Courier New"/>
          <w:spacing w:val="-2"/>
          <w:sz w:val="13"/>
        </w:rPr>
        <w:t>value</w:t>
      </w:r>
      <w:r>
        <w:rPr>
          <w:rFonts w:ascii="Courier New"/>
          <w:sz w:val="13"/>
        </w:rPr>
        <w:tab/>
        <w:t>0.029</w:t>
      </w:r>
      <w:r>
        <w:rPr>
          <w:rFonts w:ascii="Courier New"/>
          <w:spacing w:val="69"/>
          <w:sz w:val="13"/>
        </w:rPr>
        <w:t xml:space="preserve">  </w:t>
      </w:r>
      <w:r>
        <w:rPr>
          <w:rFonts w:ascii="Courier New"/>
          <w:sz w:val="13"/>
        </w:rPr>
        <w:t>Heteroskedasticity</w:t>
      </w:r>
      <w:r>
        <w:rPr>
          <w:rFonts w:ascii="Courier New"/>
          <w:spacing w:val="-4"/>
          <w:sz w:val="13"/>
        </w:rPr>
        <w:t xml:space="preserve"> </w:t>
      </w:r>
      <w:r>
        <w:rPr>
          <w:rFonts w:ascii="Courier New"/>
          <w:spacing w:val="-2"/>
          <w:sz w:val="13"/>
        </w:rPr>
        <w:t>indication</w:t>
      </w:r>
    </w:p>
    <w:p w14:paraId="1CB9FA63" w14:textId="77777777" w:rsidR="00ED08FF" w:rsidRDefault="00000000">
      <w:pPr>
        <w:tabs>
          <w:tab w:val="left" w:pos="5683"/>
        </w:tabs>
        <w:ind w:left="2096"/>
        <w:jc w:val="both"/>
        <w:rPr>
          <w:rFonts w:ascii="Courier New"/>
          <w:sz w:val="13"/>
        </w:rPr>
      </w:pPr>
      <w:r>
        <w:rPr>
          <w:rFonts w:ascii="Courier New"/>
          <w:sz w:val="13"/>
        </w:rPr>
        <w:t>Jarque-Bera</w:t>
      </w:r>
      <w:r>
        <w:rPr>
          <w:rFonts w:ascii="Courier New"/>
          <w:spacing w:val="-13"/>
          <w:sz w:val="13"/>
        </w:rPr>
        <w:t xml:space="preserve"> </w:t>
      </w:r>
      <w:r>
        <w:rPr>
          <w:rFonts w:ascii="Courier New"/>
          <w:sz w:val="13"/>
        </w:rPr>
        <w:t>p-</w:t>
      </w:r>
      <w:r>
        <w:rPr>
          <w:rFonts w:ascii="Courier New"/>
          <w:spacing w:val="-2"/>
          <w:sz w:val="13"/>
        </w:rPr>
        <w:t>value</w:t>
      </w:r>
      <w:r>
        <w:rPr>
          <w:rFonts w:ascii="Courier New"/>
          <w:sz w:val="13"/>
        </w:rPr>
        <w:tab/>
        <w:t>0.704</w:t>
      </w:r>
      <w:r>
        <w:rPr>
          <w:rFonts w:ascii="Courier New"/>
          <w:spacing w:val="71"/>
          <w:sz w:val="13"/>
        </w:rPr>
        <w:t xml:space="preserve">  </w:t>
      </w:r>
      <w:r>
        <w:rPr>
          <w:rFonts w:ascii="Courier New"/>
          <w:sz w:val="13"/>
        </w:rPr>
        <w:t>Residual</w:t>
      </w:r>
      <w:r>
        <w:rPr>
          <w:rFonts w:ascii="Courier New"/>
          <w:spacing w:val="-3"/>
          <w:sz w:val="13"/>
        </w:rPr>
        <w:t xml:space="preserve"> </w:t>
      </w:r>
      <w:r>
        <w:rPr>
          <w:rFonts w:ascii="Courier New"/>
          <w:sz w:val="13"/>
        </w:rPr>
        <w:t>normality</w:t>
      </w:r>
      <w:r>
        <w:rPr>
          <w:rFonts w:ascii="Courier New"/>
          <w:spacing w:val="-4"/>
          <w:sz w:val="13"/>
        </w:rPr>
        <w:t xml:space="preserve"> </w:t>
      </w:r>
      <w:r>
        <w:rPr>
          <w:rFonts w:ascii="Courier New"/>
          <w:spacing w:val="-2"/>
          <w:sz w:val="13"/>
        </w:rPr>
        <w:t>indication</w:t>
      </w:r>
    </w:p>
    <w:p w14:paraId="25C77A2A" w14:textId="77777777" w:rsidR="00ED08FF" w:rsidRDefault="00ED08FF">
      <w:pPr>
        <w:pStyle w:val="BodyText"/>
        <w:spacing w:before="109"/>
        <w:ind w:left="0"/>
        <w:rPr>
          <w:rFonts w:ascii="Courier New"/>
          <w:sz w:val="13"/>
        </w:rPr>
      </w:pPr>
    </w:p>
    <w:p w14:paraId="70A65AB2" w14:textId="77777777" w:rsidR="00ED08FF" w:rsidRDefault="00000000">
      <w:pPr>
        <w:pStyle w:val="Heading2"/>
        <w:spacing w:before="1"/>
        <w:ind w:left="4"/>
        <w:jc w:val="center"/>
      </w:pPr>
      <w:r>
        <w:t>Table</w:t>
      </w:r>
      <w:r>
        <w:rPr>
          <w:spacing w:val="-6"/>
        </w:rPr>
        <w:t xml:space="preserve"> </w:t>
      </w:r>
      <w:r>
        <w:t>10:</w:t>
      </w:r>
      <w:r>
        <w:rPr>
          <w:spacing w:val="-4"/>
        </w:rPr>
        <w:t xml:space="preserve"> </w:t>
      </w:r>
      <w:r>
        <w:t>Robustness</w:t>
      </w:r>
      <w:r>
        <w:rPr>
          <w:spacing w:val="-5"/>
        </w:rPr>
        <w:t xml:space="preserve"> </w:t>
      </w:r>
      <w:r>
        <w:rPr>
          <w:spacing w:val="-2"/>
        </w:rPr>
        <w:t>Comparison</w:t>
      </w:r>
    </w:p>
    <w:p w14:paraId="38F25CC5" w14:textId="77777777" w:rsidR="00ED08FF" w:rsidRDefault="00ED08FF">
      <w:pPr>
        <w:pStyle w:val="Heading2"/>
        <w:jc w:val="center"/>
        <w:sectPr w:rsidR="00ED08FF">
          <w:type w:val="continuous"/>
          <w:pgSz w:w="12240" w:h="15840"/>
          <w:pgMar w:top="1040" w:right="720" w:bottom="860" w:left="720" w:header="0" w:footer="669" w:gutter="0"/>
          <w:cols w:space="720"/>
        </w:sectPr>
      </w:pPr>
    </w:p>
    <w:p w14:paraId="44DDC004" w14:textId="77777777" w:rsidR="00ED08FF" w:rsidRDefault="00ED08FF">
      <w:pPr>
        <w:pStyle w:val="BodyText"/>
        <w:spacing w:before="81"/>
        <w:ind w:left="0"/>
        <w:rPr>
          <w:b/>
          <w:sz w:val="13"/>
        </w:rPr>
      </w:pPr>
    </w:p>
    <w:p w14:paraId="0A1C3A1D" w14:textId="77777777" w:rsidR="00ED08FF" w:rsidRDefault="00000000">
      <w:pPr>
        <w:spacing w:line="480" w:lineRule="auto"/>
        <w:ind w:left="145" w:right="38"/>
        <w:rPr>
          <w:rFonts w:ascii="Courier New"/>
          <w:sz w:val="13"/>
        </w:rPr>
      </w:pPr>
      <w:r>
        <w:rPr>
          <w:rFonts w:ascii="Courier New"/>
          <w:spacing w:val="-2"/>
          <w:sz w:val="13"/>
        </w:rPr>
        <w:t>R-squared 0.872</w:t>
      </w:r>
    </w:p>
    <w:p w14:paraId="77EE2A25" w14:textId="77777777" w:rsidR="00ED08FF" w:rsidRDefault="00000000">
      <w:pPr>
        <w:spacing w:line="146" w:lineRule="exact"/>
        <w:ind w:left="145"/>
        <w:rPr>
          <w:rFonts w:ascii="Courier New"/>
          <w:sz w:val="13"/>
        </w:rPr>
      </w:pPr>
      <w:r>
        <w:rPr>
          <w:rFonts w:ascii="Courier New"/>
          <w:spacing w:val="-2"/>
          <w:sz w:val="13"/>
        </w:rPr>
        <w:t>0.463</w:t>
      </w:r>
    </w:p>
    <w:p w14:paraId="06D3D5D1" w14:textId="77777777" w:rsidR="00ED08FF" w:rsidRDefault="00000000">
      <w:pPr>
        <w:pStyle w:val="BodyText"/>
        <w:spacing w:before="0"/>
        <w:ind w:left="0"/>
        <w:rPr>
          <w:rFonts w:ascii="Courier New"/>
          <w:sz w:val="13"/>
        </w:rPr>
      </w:pPr>
      <w:r>
        <w:br w:type="column"/>
      </w:r>
    </w:p>
    <w:p w14:paraId="07BE5685" w14:textId="77777777" w:rsidR="00ED08FF" w:rsidRDefault="00ED08FF">
      <w:pPr>
        <w:pStyle w:val="BodyText"/>
        <w:spacing w:before="82"/>
        <w:ind w:left="0"/>
        <w:rPr>
          <w:rFonts w:ascii="Courier New"/>
          <w:sz w:val="13"/>
        </w:rPr>
      </w:pPr>
    </w:p>
    <w:p w14:paraId="2C09EA82" w14:textId="77777777" w:rsidR="00ED08FF" w:rsidRDefault="00000000">
      <w:pPr>
        <w:spacing w:line="480" w:lineRule="auto"/>
        <w:ind w:left="145" w:right="38"/>
        <w:rPr>
          <w:rFonts w:ascii="Courier New"/>
          <w:sz w:val="13"/>
        </w:rPr>
      </w:pPr>
      <w:r>
        <w:rPr>
          <w:rFonts w:ascii="Courier New"/>
          <w:sz w:val="13"/>
        </w:rPr>
        <w:t>Primary model Excluding</w:t>
      </w:r>
      <w:r>
        <w:rPr>
          <w:rFonts w:ascii="Courier New"/>
          <w:spacing w:val="-20"/>
          <w:sz w:val="13"/>
        </w:rPr>
        <w:t xml:space="preserve"> </w:t>
      </w:r>
      <w:r>
        <w:rPr>
          <w:rFonts w:ascii="Courier New"/>
          <w:sz w:val="13"/>
        </w:rPr>
        <w:t>UNVR</w:t>
      </w:r>
    </w:p>
    <w:p w14:paraId="13764DED" w14:textId="77777777" w:rsidR="00ED08FF" w:rsidRDefault="00000000">
      <w:pPr>
        <w:spacing w:before="83"/>
        <w:ind w:left="146"/>
        <w:rPr>
          <w:rFonts w:ascii="Courier New"/>
          <w:sz w:val="13"/>
        </w:rPr>
      </w:pPr>
      <w:r>
        <w:br w:type="column"/>
      </w:r>
      <w:r>
        <w:rPr>
          <w:rFonts w:ascii="Courier New"/>
          <w:spacing w:val="-2"/>
          <w:sz w:val="13"/>
        </w:rPr>
        <w:t>Model</w:t>
      </w:r>
    </w:p>
    <w:p w14:paraId="3C9848A0" w14:textId="77777777" w:rsidR="00ED08FF" w:rsidRDefault="00ED08FF">
      <w:pPr>
        <w:rPr>
          <w:rFonts w:ascii="Courier New"/>
          <w:sz w:val="13"/>
        </w:rPr>
        <w:sectPr w:rsidR="00ED08FF">
          <w:pgSz w:w="12240" w:h="15840"/>
          <w:pgMar w:top="780" w:right="720" w:bottom="900" w:left="720" w:header="0" w:footer="669" w:gutter="0"/>
          <w:cols w:num="3" w:space="720" w:equalWidth="0">
            <w:col w:w="889" w:space="672"/>
            <w:col w:w="1279" w:space="125"/>
            <w:col w:w="7835"/>
          </w:cols>
        </w:sectPr>
      </w:pPr>
    </w:p>
    <w:p w14:paraId="3926FF90" w14:textId="77777777" w:rsidR="00ED08FF" w:rsidRDefault="00000000">
      <w:pPr>
        <w:spacing w:line="147" w:lineRule="exact"/>
        <w:ind w:left="1706"/>
        <w:rPr>
          <w:rFonts w:ascii="Courier New"/>
          <w:sz w:val="13"/>
        </w:rPr>
      </w:pPr>
      <w:r>
        <w:rPr>
          <w:rFonts w:ascii="Courier New"/>
          <w:sz w:val="13"/>
        </w:rPr>
        <w:t>Winsorized</w:t>
      </w:r>
      <w:r>
        <w:rPr>
          <w:rFonts w:ascii="Courier New"/>
          <w:spacing w:val="-5"/>
          <w:sz w:val="13"/>
        </w:rPr>
        <w:t xml:space="preserve"> </w:t>
      </w:r>
      <w:r>
        <w:rPr>
          <w:rFonts w:ascii="Courier New"/>
          <w:sz w:val="13"/>
        </w:rPr>
        <w:t>PBV,</w:t>
      </w:r>
      <w:r>
        <w:rPr>
          <w:rFonts w:ascii="Courier New"/>
          <w:spacing w:val="-5"/>
          <w:sz w:val="13"/>
        </w:rPr>
        <w:t xml:space="preserve"> </w:t>
      </w:r>
      <w:r>
        <w:rPr>
          <w:rFonts w:ascii="Courier New"/>
          <w:sz w:val="13"/>
        </w:rPr>
        <w:t>ROA,</w:t>
      </w:r>
      <w:r>
        <w:rPr>
          <w:rFonts w:ascii="Courier New"/>
          <w:spacing w:val="-5"/>
          <w:sz w:val="13"/>
        </w:rPr>
        <w:t xml:space="preserve"> </w:t>
      </w:r>
      <w:r>
        <w:rPr>
          <w:rFonts w:ascii="Courier New"/>
          <w:sz w:val="13"/>
        </w:rPr>
        <w:t>DER,</w:t>
      </w:r>
      <w:r>
        <w:rPr>
          <w:rFonts w:ascii="Courier New"/>
          <w:spacing w:val="-5"/>
          <w:sz w:val="13"/>
        </w:rPr>
        <w:t xml:space="preserve"> </w:t>
      </w:r>
      <w:r>
        <w:rPr>
          <w:rFonts w:ascii="Courier New"/>
          <w:sz w:val="13"/>
        </w:rPr>
        <w:t>and</w:t>
      </w:r>
      <w:r>
        <w:rPr>
          <w:rFonts w:ascii="Courier New"/>
          <w:spacing w:val="-5"/>
          <w:sz w:val="13"/>
        </w:rPr>
        <w:t xml:space="preserve"> CR</w:t>
      </w:r>
    </w:p>
    <w:p w14:paraId="2826FE32" w14:textId="77777777" w:rsidR="00ED08FF" w:rsidRDefault="00000000">
      <w:pPr>
        <w:ind w:left="145"/>
        <w:rPr>
          <w:rFonts w:ascii="Courier New"/>
          <w:sz w:val="13"/>
        </w:rPr>
      </w:pPr>
      <w:r>
        <w:rPr>
          <w:rFonts w:ascii="Courier New"/>
          <w:spacing w:val="-2"/>
          <w:sz w:val="13"/>
        </w:rPr>
        <w:t>0.875</w:t>
      </w:r>
    </w:p>
    <w:p w14:paraId="7AF2978E" w14:textId="77777777" w:rsidR="00ED08FF" w:rsidRDefault="00000000">
      <w:pPr>
        <w:pStyle w:val="BodyText"/>
        <w:spacing w:before="0" w:line="297" w:lineRule="auto"/>
        <w:ind w:right="1671"/>
      </w:pPr>
      <w:r>
        <w:rPr>
          <w:noProof/>
        </w:rPr>
        <mc:AlternateContent>
          <mc:Choice Requires="wps">
            <w:drawing>
              <wp:anchor distT="0" distB="0" distL="0" distR="0" simplePos="0" relativeHeight="15730688" behindDoc="0" locked="0" layoutInCell="1" allowOverlap="1" wp14:anchorId="4224627D" wp14:editId="08E332C6">
                <wp:simplePos x="0" y="0"/>
                <wp:positionH relativeFrom="page">
                  <wp:posOffset>3848100</wp:posOffset>
                </wp:positionH>
                <wp:positionV relativeFrom="paragraph">
                  <wp:posOffset>-746899</wp:posOffset>
                </wp:positionV>
                <wp:extent cx="3062605" cy="652144"/>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62605" cy="652144"/>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947"/>
                              <w:gridCol w:w="1209"/>
                              <w:gridCol w:w="1482"/>
                              <w:gridCol w:w="1064"/>
                            </w:tblGrid>
                            <w:tr w:rsidR="00ED08FF" w14:paraId="533161BE" w14:textId="77777777">
                              <w:trPr>
                                <w:trHeight w:val="220"/>
                              </w:trPr>
                              <w:tc>
                                <w:tcPr>
                                  <w:tcW w:w="947" w:type="dxa"/>
                                </w:tcPr>
                                <w:p w14:paraId="1EE9B740" w14:textId="77777777" w:rsidR="00ED08FF" w:rsidRDefault="00000000">
                                  <w:pPr>
                                    <w:pStyle w:val="TableParagraph"/>
                                    <w:spacing w:line="240" w:lineRule="auto"/>
                                    <w:ind w:right="144"/>
                                    <w:rPr>
                                      <w:sz w:val="13"/>
                                    </w:rPr>
                                  </w:pPr>
                                  <w:r>
                                    <w:rPr>
                                      <w:sz w:val="13"/>
                                    </w:rPr>
                                    <w:t>ROA</w:t>
                                  </w:r>
                                  <w:r>
                                    <w:rPr>
                                      <w:spacing w:val="-3"/>
                                      <w:sz w:val="13"/>
                                    </w:rPr>
                                    <w:t xml:space="preserve"> </w:t>
                                  </w:r>
                                  <w:r>
                                    <w:rPr>
                                      <w:spacing w:val="-2"/>
                                      <w:sz w:val="13"/>
                                    </w:rPr>
                                    <w:t>Coef.</w:t>
                                  </w:r>
                                </w:p>
                              </w:tc>
                              <w:tc>
                                <w:tcPr>
                                  <w:tcW w:w="1209" w:type="dxa"/>
                                </w:tcPr>
                                <w:p w14:paraId="0727C355" w14:textId="77777777" w:rsidR="00ED08FF" w:rsidRDefault="00000000">
                                  <w:pPr>
                                    <w:pStyle w:val="TableParagraph"/>
                                    <w:spacing w:line="240" w:lineRule="auto"/>
                                    <w:ind w:left="78" w:right="191"/>
                                    <w:rPr>
                                      <w:sz w:val="13"/>
                                    </w:rPr>
                                  </w:pPr>
                                  <w:r>
                                    <w:rPr>
                                      <w:sz w:val="13"/>
                                    </w:rPr>
                                    <w:t>DER</w:t>
                                  </w:r>
                                  <w:r>
                                    <w:rPr>
                                      <w:spacing w:val="-3"/>
                                      <w:sz w:val="13"/>
                                    </w:rPr>
                                    <w:t xml:space="preserve"> </w:t>
                                  </w:r>
                                  <w:r>
                                    <w:rPr>
                                      <w:spacing w:val="-2"/>
                                      <w:sz w:val="13"/>
                                    </w:rPr>
                                    <w:t>Coef.</w:t>
                                  </w:r>
                                </w:p>
                              </w:tc>
                              <w:tc>
                                <w:tcPr>
                                  <w:tcW w:w="1482" w:type="dxa"/>
                                </w:tcPr>
                                <w:p w14:paraId="1B7D4662" w14:textId="77777777" w:rsidR="00ED08FF" w:rsidRDefault="00000000">
                                  <w:pPr>
                                    <w:pStyle w:val="TableParagraph"/>
                                    <w:spacing w:line="240" w:lineRule="auto"/>
                                    <w:ind w:right="74"/>
                                    <w:rPr>
                                      <w:sz w:val="13"/>
                                    </w:rPr>
                                  </w:pPr>
                                  <w:r>
                                    <w:rPr>
                                      <w:sz w:val="13"/>
                                    </w:rPr>
                                    <w:t>SIZE</w:t>
                                  </w:r>
                                  <w:r>
                                    <w:rPr>
                                      <w:spacing w:val="-4"/>
                                      <w:sz w:val="13"/>
                                    </w:rPr>
                                    <w:t xml:space="preserve"> </w:t>
                                  </w:r>
                                  <w:r>
                                    <w:rPr>
                                      <w:spacing w:val="-2"/>
                                      <w:sz w:val="13"/>
                                    </w:rPr>
                                    <w:t>Coef.</w:t>
                                  </w:r>
                                </w:p>
                              </w:tc>
                              <w:tc>
                                <w:tcPr>
                                  <w:tcW w:w="1064" w:type="dxa"/>
                                </w:tcPr>
                                <w:p w14:paraId="3001E16A" w14:textId="77777777" w:rsidR="00ED08FF" w:rsidRDefault="00000000">
                                  <w:pPr>
                                    <w:pStyle w:val="TableParagraph"/>
                                    <w:spacing w:line="240" w:lineRule="auto"/>
                                    <w:ind w:right="47"/>
                                    <w:jc w:val="right"/>
                                    <w:rPr>
                                      <w:sz w:val="13"/>
                                    </w:rPr>
                                  </w:pPr>
                                  <w:r>
                                    <w:rPr>
                                      <w:sz w:val="13"/>
                                    </w:rPr>
                                    <w:t>CR</w:t>
                                  </w:r>
                                  <w:r>
                                    <w:rPr>
                                      <w:spacing w:val="-2"/>
                                      <w:sz w:val="13"/>
                                    </w:rPr>
                                    <w:t xml:space="preserve"> Coef.</w:t>
                                  </w:r>
                                </w:p>
                              </w:tc>
                            </w:tr>
                            <w:tr w:rsidR="00ED08FF" w14:paraId="34F054DF" w14:textId="77777777">
                              <w:trPr>
                                <w:trHeight w:val="293"/>
                              </w:trPr>
                              <w:tc>
                                <w:tcPr>
                                  <w:tcW w:w="947" w:type="dxa"/>
                                </w:tcPr>
                                <w:p w14:paraId="287FA5BE" w14:textId="77777777" w:rsidR="00ED08FF" w:rsidRDefault="00000000">
                                  <w:pPr>
                                    <w:pStyle w:val="TableParagraph"/>
                                    <w:spacing w:before="73" w:line="240" w:lineRule="auto"/>
                                    <w:ind w:right="144"/>
                                    <w:rPr>
                                      <w:sz w:val="13"/>
                                    </w:rPr>
                                  </w:pPr>
                                  <w:r>
                                    <w:rPr>
                                      <w:spacing w:val="-2"/>
                                      <w:sz w:val="13"/>
                                    </w:rPr>
                                    <w:t>1.924</w:t>
                                  </w:r>
                                </w:p>
                              </w:tc>
                              <w:tc>
                                <w:tcPr>
                                  <w:tcW w:w="1209" w:type="dxa"/>
                                </w:tcPr>
                                <w:p w14:paraId="44063D32" w14:textId="77777777" w:rsidR="00ED08FF" w:rsidRDefault="00000000">
                                  <w:pPr>
                                    <w:pStyle w:val="TableParagraph"/>
                                    <w:spacing w:before="73" w:line="240" w:lineRule="auto"/>
                                    <w:ind w:left="78" w:right="191"/>
                                    <w:rPr>
                                      <w:sz w:val="13"/>
                                    </w:rPr>
                                  </w:pPr>
                                  <w:r>
                                    <w:rPr>
                                      <w:spacing w:val="-2"/>
                                      <w:sz w:val="13"/>
                                    </w:rPr>
                                    <w:t>6.998</w:t>
                                  </w:r>
                                </w:p>
                              </w:tc>
                              <w:tc>
                                <w:tcPr>
                                  <w:tcW w:w="1482" w:type="dxa"/>
                                </w:tcPr>
                                <w:p w14:paraId="3E667278" w14:textId="77777777" w:rsidR="00ED08FF" w:rsidRDefault="00000000">
                                  <w:pPr>
                                    <w:pStyle w:val="TableParagraph"/>
                                    <w:spacing w:before="73" w:line="240" w:lineRule="auto"/>
                                    <w:ind w:right="74"/>
                                    <w:rPr>
                                      <w:sz w:val="13"/>
                                    </w:rPr>
                                  </w:pPr>
                                  <w:r>
                                    <w:rPr>
                                      <w:spacing w:val="-2"/>
                                      <w:sz w:val="13"/>
                                    </w:rPr>
                                    <w:t>-0.357</w:t>
                                  </w:r>
                                </w:p>
                              </w:tc>
                              <w:tc>
                                <w:tcPr>
                                  <w:tcW w:w="1064" w:type="dxa"/>
                                </w:tcPr>
                                <w:p w14:paraId="7B422E1F" w14:textId="77777777" w:rsidR="00ED08FF" w:rsidRDefault="00000000">
                                  <w:pPr>
                                    <w:pStyle w:val="TableParagraph"/>
                                    <w:spacing w:before="73" w:line="240" w:lineRule="auto"/>
                                    <w:ind w:right="125"/>
                                    <w:jc w:val="right"/>
                                    <w:rPr>
                                      <w:sz w:val="13"/>
                                    </w:rPr>
                                  </w:pPr>
                                  <w:r>
                                    <w:rPr>
                                      <w:spacing w:val="-2"/>
                                      <w:sz w:val="13"/>
                                    </w:rPr>
                                    <w:t>-2.762</w:t>
                                  </w:r>
                                </w:p>
                              </w:tc>
                            </w:tr>
                            <w:tr w:rsidR="00ED08FF" w14:paraId="6BDA2810" w14:textId="77777777">
                              <w:trPr>
                                <w:trHeight w:val="294"/>
                              </w:trPr>
                              <w:tc>
                                <w:tcPr>
                                  <w:tcW w:w="947" w:type="dxa"/>
                                </w:tcPr>
                                <w:p w14:paraId="02F4C15D" w14:textId="77777777" w:rsidR="00ED08FF" w:rsidRDefault="00000000">
                                  <w:pPr>
                                    <w:pStyle w:val="TableParagraph"/>
                                    <w:spacing w:before="73" w:line="240" w:lineRule="auto"/>
                                    <w:ind w:right="144"/>
                                    <w:rPr>
                                      <w:sz w:val="13"/>
                                    </w:rPr>
                                  </w:pPr>
                                  <w:r>
                                    <w:rPr>
                                      <w:spacing w:val="-2"/>
                                      <w:sz w:val="13"/>
                                    </w:rPr>
                                    <w:t>0.326</w:t>
                                  </w:r>
                                </w:p>
                              </w:tc>
                              <w:tc>
                                <w:tcPr>
                                  <w:tcW w:w="1209" w:type="dxa"/>
                                </w:tcPr>
                                <w:p w14:paraId="02AAB1CE" w14:textId="77777777" w:rsidR="00ED08FF" w:rsidRDefault="00000000">
                                  <w:pPr>
                                    <w:pStyle w:val="TableParagraph"/>
                                    <w:spacing w:before="73" w:line="240" w:lineRule="auto"/>
                                    <w:ind w:right="191"/>
                                    <w:rPr>
                                      <w:sz w:val="13"/>
                                    </w:rPr>
                                  </w:pPr>
                                  <w:r>
                                    <w:rPr>
                                      <w:spacing w:val="-2"/>
                                      <w:sz w:val="13"/>
                                    </w:rPr>
                                    <w:t>-2.663</w:t>
                                  </w:r>
                                </w:p>
                              </w:tc>
                              <w:tc>
                                <w:tcPr>
                                  <w:tcW w:w="1482" w:type="dxa"/>
                                </w:tcPr>
                                <w:p w14:paraId="6973D4F9" w14:textId="77777777" w:rsidR="00ED08FF" w:rsidRDefault="00000000">
                                  <w:pPr>
                                    <w:pStyle w:val="TableParagraph"/>
                                    <w:spacing w:before="73" w:line="240" w:lineRule="auto"/>
                                    <w:ind w:right="74"/>
                                    <w:rPr>
                                      <w:sz w:val="13"/>
                                    </w:rPr>
                                  </w:pPr>
                                  <w:r>
                                    <w:rPr>
                                      <w:spacing w:val="-2"/>
                                      <w:sz w:val="13"/>
                                    </w:rPr>
                                    <w:t>-0.192</w:t>
                                  </w:r>
                                </w:p>
                              </w:tc>
                              <w:tc>
                                <w:tcPr>
                                  <w:tcW w:w="1064" w:type="dxa"/>
                                </w:tcPr>
                                <w:p w14:paraId="1BBE3A95" w14:textId="77777777" w:rsidR="00ED08FF" w:rsidRDefault="00000000">
                                  <w:pPr>
                                    <w:pStyle w:val="TableParagraph"/>
                                    <w:spacing w:before="73" w:line="240" w:lineRule="auto"/>
                                    <w:ind w:right="125"/>
                                    <w:jc w:val="right"/>
                                    <w:rPr>
                                      <w:sz w:val="13"/>
                                    </w:rPr>
                                  </w:pPr>
                                  <w:r>
                                    <w:rPr>
                                      <w:spacing w:val="-2"/>
                                      <w:sz w:val="13"/>
                                    </w:rPr>
                                    <w:t>-0.897</w:t>
                                  </w:r>
                                </w:p>
                              </w:tc>
                            </w:tr>
                            <w:tr w:rsidR="00ED08FF" w14:paraId="3BD23EA6" w14:textId="77777777">
                              <w:trPr>
                                <w:trHeight w:val="220"/>
                              </w:trPr>
                              <w:tc>
                                <w:tcPr>
                                  <w:tcW w:w="947" w:type="dxa"/>
                                </w:tcPr>
                                <w:p w14:paraId="2B3FE806" w14:textId="77777777" w:rsidR="00ED08FF" w:rsidRDefault="00000000">
                                  <w:pPr>
                                    <w:pStyle w:val="TableParagraph"/>
                                    <w:spacing w:before="73"/>
                                    <w:ind w:right="144"/>
                                    <w:rPr>
                                      <w:sz w:val="13"/>
                                    </w:rPr>
                                  </w:pPr>
                                  <w:r>
                                    <w:rPr>
                                      <w:spacing w:val="-2"/>
                                      <w:sz w:val="13"/>
                                    </w:rPr>
                                    <w:t>1.853</w:t>
                                  </w:r>
                                </w:p>
                              </w:tc>
                              <w:tc>
                                <w:tcPr>
                                  <w:tcW w:w="1209" w:type="dxa"/>
                                </w:tcPr>
                                <w:p w14:paraId="4DB4EB8C" w14:textId="77777777" w:rsidR="00ED08FF" w:rsidRDefault="00000000">
                                  <w:pPr>
                                    <w:pStyle w:val="TableParagraph"/>
                                    <w:spacing w:before="73"/>
                                    <w:ind w:left="78" w:right="191"/>
                                    <w:rPr>
                                      <w:sz w:val="13"/>
                                    </w:rPr>
                                  </w:pPr>
                                  <w:r>
                                    <w:rPr>
                                      <w:spacing w:val="-2"/>
                                      <w:sz w:val="13"/>
                                    </w:rPr>
                                    <w:t>7.282</w:t>
                                  </w:r>
                                </w:p>
                              </w:tc>
                              <w:tc>
                                <w:tcPr>
                                  <w:tcW w:w="1482" w:type="dxa"/>
                                </w:tcPr>
                                <w:p w14:paraId="30BD2AA2" w14:textId="77777777" w:rsidR="00ED08FF" w:rsidRDefault="00000000">
                                  <w:pPr>
                                    <w:pStyle w:val="TableParagraph"/>
                                    <w:spacing w:before="73"/>
                                    <w:ind w:right="74"/>
                                    <w:rPr>
                                      <w:sz w:val="13"/>
                                    </w:rPr>
                                  </w:pPr>
                                  <w:r>
                                    <w:rPr>
                                      <w:spacing w:val="-2"/>
                                      <w:sz w:val="13"/>
                                    </w:rPr>
                                    <w:t>-0.394</w:t>
                                  </w:r>
                                </w:p>
                              </w:tc>
                              <w:tc>
                                <w:tcPr>
                                  <w:tcW w:w="1064" w:type="dxa"/>
                                </w:tcPr>
                                <w:p w14:paraId="64195B59" w14:textId="77777777" w:rsidR="00ED08FF" w:rsidRDefault="00000000">
                                  <w:pPr>
                                    <w:pStyle w:val="TableParagraph"/>
                                    <w:spacing w:before="73"/>
                                    <w:ind w:right="125"/>
                                    <w:jc w:val="right"/>
                                    <w:rPr>
                                      <w:sz w:val="13"/>
                                    </w:rPr>
                                  </w:pPr>
                                  <w:r>
                                    <w:rPr>
                                      <w:spacing w:val="-2"/>
                                      <w:sz w:val="13"/>
                                    </w:rPr>
                                    <w:t>-2.836</w:t>
                                  </w:r>
                                </w:p>
                              </w:tc>
                            </w:tr>
                          </w:tbl>
                          <w:p w14:paraId="0BBA2D91" w14:textId="77777777" w:rsidR="00ED08FF" w:rsidRDefault="00ED08FF">
                            <w:pPr>
                              <w:pStyle w:val="BodyText"/>
                              <w:spacing w:before="0"/>
                              <w:ind w:left="0"/>
                            </w:pPr>
                          </w:p>
                        </w:txbxContent>
                      </wps:txbx>
                      <wps:bodyPr wrap="square" lIns="0" tIns="0" rIns="0" bIns="0" rtlCol="0">
                        <a:noAutofit/>
                      </wps:bodyPr>
                    </wps:wsp>
                  </a:graphicData>
                </a:graphic>
              </wp:anchor>
            </w:drawing>
          </mc:Choice>
          <mc:Fallback>
            <w:pict>
              <v:shape w14:anchorId="4224627D" id="Textbox 10" o:spid="_x0000_s1028" type="#_x0000_t202" style="position:absolute;left:0;text-align:left;margin-left:303pt;margin-top:-58.8pt;width:241.15pt;height:51.35pt;z-index:15730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947"/>
                        <w:gridCol w:w="1209"/>
                        <w:gridCol w:w="1482"/>
                        <w:gridCol w:w="1064"/>
                      </w:tblGrid>
                      <w:tr w:rsidR="00ED08FF" w14:paraId="533161BE" w14:textId="77777777">
                        <w:trPr>
                          <w:trHeight w:val="220"/>
                        </w:trPr>
                        <w:tc>
                          <w:tcPr>
                            <w:tcW w:w="947" w:type="dxa"/>
                          </w:tcPr>
                          <w:p w14:paraId="1EE9B740" w14:textId="77777777" w:rsidR="00ED08FF" w:rsidRDefault="00000000">
                            <w:pPr>
                              <w:pStyle w:val="TableParagraph"/>
                              <w:spacing w:line="240" w:lineRule="auto"/>
                              <w:ind w:right="144"/>
                              <w:rPr>
                                <w:sz w:val="13"/>
                              </w:rPr>
                            </w:pPr>
                            <w:r>
                              <w:rPr>
                                <w:sz w:val="13"/>
                              </w:rPr>
                              <w:t>ROA</w:t>
                            </w:r>
                            <w:r>
                              <w:rPr>
                                <w:spacing w:val="-3"/>
                                <w:sz w:val="13"/>
                              </w:rPr>
                              <w:t xml:space="preserve"> </w:t>
                            </w:r>
                            <w:r>
                              <w:rPr>
                                <w:spacing w:val="-2"/>
                                <w:sz w:val="13"/>
                              </w:rPr>
                              <w:t>Coef.</w:t>
                            </w:r>
                          </w:p>
                        </w:tc>
                        <w:tc>
                          <w:tcPr>
                            <w:tcW w:w="1209" w:type="dxa"/>
                          </w:tcPr>
                          <w:p w14:paraId="0727C355" w14:textId="77777777" w:rsidR="00ED08FF" w:rsidRDefault="00000000">
                            <w:pPr>
                              <w:pStyle w:val="TableParagraph"/>
                              <w:spacing w:line="240" w:lineRule="auto"/>
                              <w:ind w:left="78" w:right="191"/>
                              <w:rPr>
                                <w:sz w:val="13"/>
                              </w:rPr>
                            </w:pPr>
                            <w:r>
                              <w:rPr>
                                <w:sz w:val="13"/>
                              </w:rPr>
                              <w:t>DER</w:t>
                            </w:r>
                            <w:r>
                              <w:rPr>
                                <w:spacing w:val="-3"/>
                                <w:sz w:val="13"/>
                              </w:rPr>
                              <w:t xml:space="preserve"> </w:t>
                            </w:r>
                            <w:r>
                              <w:rPr>
                                <w:spacing w:val="-2"/>
                                <w:sz w:val="13"/>
                              </w:rPr>
                              <w:t>Coef.</w:t>
                            </w:r>
                          </w:p>
                        </w:tc>
                        <w:tc>
                          <w:tcPr>
                            <w:tcW w:w="1482" w:type="dxa"/>
                          </w:tcPr>
                          <w:p w14:paraId="1B7D4662" w14:textId="77777777" w:rsidR="00ED08FF" w:rsidRDefault="00000000">
                            <w:pPr>
                              <w:pStyle w:val="TableParagraph"/>
                              <w:spacing w:line="240" w:lineRule="auto"/>
                              <w:ind w:right="74"/>
                              <w:rPr>
                                <w:sz w:val="13"/>
                              </w:rPr>
                            </w:pPr>
                            <w:r>
                              <w:rPr>
                                <w:sz w:val="13"/>
                              </w:rPr>
                              <w:t>SIZE</w:t>
                            </w:r>
                            <w:r>
                              <w:rPr>
                                <w:spacing w:val="-4"/>
                                <w:sz w:val="13"/>
                              </w:rPr>
                              <w:t xml:space="preserve"> </w:t>
                            </w:r>
                            <w:r>
                              <w:rPr>
                                <w:spacing w:val="-2"/>
                                <w:sz w:val="13"/>
                              </w:rPr>
                              <w:t>Coef.</w:t>
                            </w:r>
                          </w:p>
                        </w:tc>
                        <w:tc>
                          <w:tcPr>
                            <w:tcW w:w="1064" w:type="dxa"/>
                          </w:tcPr>
                          <w:p w14:paraId="3001E16A" w14:textId="77777777" w:rsidR="00ED08FF" w:rsidRDefault="00000000">
                            <w:pPr>
                              <w:pStyle w:val="TableParagraph"/>
                              <w:spacing w:line="240" w:lineRule="auto"/>
                              <w:ind w:right="47"/>
                              <w:jc w:val="right"/>
                              <w:rPr>
                                <w:sz w:val="13"/>
                              </w:rPr>
                            </w:pPr>
                            <w:r>
                              <w:rPr>
                                <w:sz w:val="13"/>
                              </w:rPr>
                              <w:t>CR</w:t>
                            </w:r>
                            <w:r>
                              <w:rPr>
                                <w:spacing w:val="-2"/>
                                <w:sz w:val="13"/>
                              </w:rPr>
                              <w:t xml:space="preserve"> Coef.</w:t>
                            </w:r>
                          </w:p>
                        </w:tc>
                      </w:tr>
                      <w:tr w:rsidR="00ED08FF" w14:paraId="34F054DF" w14:textId="77777777">
                        <w:trPr>
                          <w:trHeight w:val="293"/>
                        </w:trPr>
                        <w:tc>
                          <w:tcPr>
                            <w:tcW w:w="947" w:type="dxa"/>
                          </w:tcPr>
                          <w:p w14:paraId="287FA5BE" w14:textId="77777777" w:rsidR="00ED08FF" w:rsidRDefault="00000000">
                            <w:pPr>
                              <w:pStyle w:val="TableParagraph"/>
                              <w:spacing w:before="73" w:line="240" w:lineRule="auto"/>
                              <w:ind w:right="144"/>
                              <w:rPr>
                                <w:sz w:val="13"/>
                              </w:rPr>
                            </w:pPr>
                            <w:r>
                              <w:rPr>
                                <w:spacing w:val="-2"/>
                                <w:sz w:val="13"/>
                              </w:rPr>
                              <w:t>1.924</w:t>
                            </w:r>
                          </w:p>
                        </w:tc>
                        <w:tc>
                          <w:tcPr>
                            <w:tcW w:w="1209" w:type="dxa"/>
                          </w:tcPr>
                          <w:p w14:paraId="44063D32" w14:textId="77777777" w:rsidR="00ED08FF" w:rsidRDefault="00000000">
                            <w:pPr>
                              <w:pStyle w:val="TableParagraph"/>
                              <w:spacing w:before="73" w:line="240" w:lineRule="auto"/>
                              <w:ind w:left="78" w:right="191"/>
                              <w:rPr>
                                <w:sz w:val="13"/>
                              </w:rPr>
                            </w:pPr>
                            <w:r>
                              <w:rPr>
                                <w:spacing w:val="-2"/>
                                <w:sz w:val="13"/>
                              </w:rPr>
                              <w:t>6.998</w:t>
                            </w:r>
                          </w:p>
                        </w:tc>
                        <w:tc>
                          <w:tcPr>
                            <w:tcW w:w="1482" w:type="dxa"/>
                          </w:tcPr>
                          <w:p w14:paraId="3E667278" w14:textId="77777777" w:rsidR="00ED08FF" w:rsidRDefault="00000000">
                            <w:pPr>
                              <w:pStyle w:val="TableParagraph"/>
                              <w:spacing w:before="73" w:line="240" w:lineRule="auto"/>
                              <w:ind w:right="74"/>
                              <w:rPr>
                                <w:sz w:val="13"/>
                              </w:rPr>
                            </w:pPr>
                            <w:r>
                              <w:rPr>
                                <w:spacing w:val="-2"/>
                                <w:sz w:val="13"/>
                              </w:rPr>
                              <w:t>-0.357</w:t>
                            </w:r>
                          </w:p>
                        </w:tc>
                        <w:tc>
                          <w:tcPr>
                            <w:tcW w:w="1064" w:type="dxa"/>
                          </w:tcPr>
                          <w:p w14:paraId="7B422E1F" w14:textId="77777777" w:rsidR="00ED08FF" w:rsidRDefault="00000000">
                            <w:pPr>
                              <w:pStyle w:val="TableParagraph"/>
                              <w:spacing w:before="73" w:line="240" w:lineRule="auto"/>
                              <w:ind w:right="125"/>
                              <w:jc w:val="right"/>
                              <w:rPr>
                                <w:sz w:val="13"/>
                              </w:rPr>
                            </w:pPr>
                            <w:r>
                              <w:rPr>
                                <w:spacing w:val="-2"/>
                                <w:sz w:val="13"/>
                              </w:rPr>
                              <w:t>-2.762</w:t>
                            </w:r>
                          </w:p>
                        </w:tc>
                      </w:tr>
                      <w:tr w:rsidR="00ED08FF" w14:paraId="6BDA2810" w14:textId="77777777">
                        <w:trPr>
                          <w:trHeight w:val="294"/>
                        </w:trPr>
                        <w:tc>
                          <w:tcPr>
                            <w:tcW w:w="947" w:type="dxa"/>
                          </w:tcPr>
                          <w:p w14:paraId="02F4C15D" w14:textId="77777777" w:rsidR="00ED08FF" w:rsidRDefault="00000000">
                            <w:pPr>
                              <w:pStyle w:val="TableParagraph"/>
                              <w:spacing w:before="73" w:line="240" w:lineRule="auto"/>
                              <w:ind w:right="144"/>
                              <w:rPr>
                                <w:sz w:val="13"/>
                              </w:rPr>
                            </w:pPr>
                            <w:r>
                              <w:rPr>
                                <w:spacing w:val="-2"/>
                                <w:sz w:val="13"/>
                              </w:rPr>
                              <w:t>0.326</w:t>
                            </w:r>
                          </w:p>
                        </w:tc>
                        <w:tc>
                          <w:tcPr>
                            <w:tcW w:w="1209" w:type="dxa"/>
                          </w:tcPr>
                          <w:p w14:paraId="02AAB1CE" w14:textId="77777777" w:rsidR="00ED08FF" w:rsidRDefault="00000000">
                            <w:pPr>
                              <w:pStyle w:val="TableParagraph"/>
                              <w:spacing w:before="73" w:line="240" w:lineRule="auto"/>
                              <w:ind w:right="191"/>
                              <w:rPr>
                                <w:sz w:val="13"/>
                              </w:rPr>
                            </w:pPr>
                            <w:r>
                              <w:rPr>
                                <w:spacing w:val="-2"/>
                                <w:sz w:val="13"/>
                              </w:rPr>
                              <w:t>-2.663</w:t>
                            </w:r>
                          </w:p>
                        </w:tc>
                        <w:tc>
                          <w:tcPr>
                            <w:tcW w:w="1482" w:type="dxa"/>
                          </w:tcPr>
                          <w:p w14:paraId="6973D4F9" w14:textId="77777777" w:rsidR="00ED08FF" w:rsidRDefault="00000000">
                            <w:pPr>
                              <w:pStyle w:val="TableParagraph"/>
                              <w:spacing w:before="73" w:line="240" w:lineRule="auto"/>
                              <w:ind w:right="74"/>
                              <w:rPr>
                                <w:sz w:val="13"/>
                              </w:rPr>
                            </w:pPr>
                            <w:r>
                              <w:rPr>
                                <w:spacing w:val="-2"/>
                                <w:sz w:val="13"/>
                              </w:rPr>
                              <w:t>-0.192</w:t>
                            </w:r>
                          </w:p>
                        </w:tc>
                        <w:tc>
                          <w:tcPr>
                            <w:tcW w:w="1064" w:type="dxa"/>
                          </w:tcPr>
                          <w:p w14:paraId="1BBE3A95" w14:textId="77777777" w:rsidR="00ED08FF" w:rsidRDefault="00000000">
                            <w:pPr>
                              <w:pStyle w:val="TableParagraph"/>
                              <w:spacing w:before="73" w:line="240" w:lineRule="auto"/>
                              <w:ind w:right="125"/>
                              <w:jc w:val="right"/>
                              <w:rPr>
                                <w:sz w:val="13"/>
                              </w:rPr>
                            </w:pPr>
                            <w:r>
                              <w:rPr>
                                <w:spacing w:val="-2"/>
                                <w:sz w:val="13"/>
                              </w:rPr>
                              <w:t>-0.897</w:t>
                            </w:r>
                          </w:p>
                        </w:tc>
                      </w:tr>
                      <w:tr w:rsidR="00ED08FF" w14:paraId="3BD23EA6" w14:textId="77777777">
                        <w:trPr>
                          <w:trHeight w:val="220"/>
                        </w:trPr>
                        <w:tc>
                          <w:tcPr>
                            <w:tcW w:w="947" w:type="dxa"/>
                          </w:tcPr>
                          <w:p w14:paraId="2B3FE806" w14:textId="77777777" w:rsidR="00ED08FF" w:rsidRDefault="00000000">
                            <w:pPr>
                              <w:pStyle w:val="TableParagraph"/>
                              <w:spacing w:before="73"/>
                              <w:ind w:right="144"/>
                              <w:rPr>
                                <w:sz w:val="13"/>
                              </w:rPr>
                            </w:pPr>
                            <w:r>
                              <w:rPr>
                                <w:spacing w:val="-2"/>
                                <w:sz w:val="13"/>
                              </w:rPr>
                              <w:t>1.853</w:t>
                            </w:r>
                          </w:p>
                        </w:tc>
                        <w:tc>
                          <w:tcPr>
                            <w:tcW w:w="1209" w:type="dxa"/>
                          </w:tcPr>
                          <w:p w14:paraId="4DB4EB8C" w14:textId="77777777" w:rsidR="00ED08FF" w:rsidRDefault="00000000">
                            <w:pPr>
                              <w:pStyle w:val="TableParagraph"/>
                              <w:spacing w:before="73"/>
                              <w:ind w:left="78" w:right="191"/>
                              <w:rPr>
                                <w:sz w:val="13"/>
                              </w:rPr>
                            </w:pPr>
                            <w:r>
                              <w:rPr>
                                <w:spacing w:val="-2"/>
                                <w:sz w:val="13"/>
                              </w:rPr>
                              <w:t>7.282</w:t>
                            </w:r>
                          </w:p>
                        </w:tc>
                        <w:tc>
                          <w:tcPr>
                            <w:tcW w:w="1482" w:type="dxa"/>
                          </w:tcPr>
                          <w:p w14:paraId="30BD2AA2" w14:textId="77777777" w:rsidR="00ED08FF" w:rsidRDefault="00000000">
                            <w:pPr>
                              <w:pStyle w:val="TableParagraph"/>
                              <w:spacing w:before="73"/>
                              <w:ind w:right="74"/>
                              <w:rPr>
                                <w:sz w:val="13"/>
                              </w:rPr>
                            </w:pPr>
                            <w:r>
                              <w:rPr>
                                <w:spacing w:val="-2"/>
                                <w:sz w:val="13"/>
                              </w:rPr>
                              <w:t>-0.394</w:t>
                            </w:r>
                          </w:p>
                        </w:tc>
                        <w:tc>
                          <w:tcPr>
                            <w:tcW w:w="1064" w:type="dxa"/>
                          </w:tcPr>
                          <w:p w14:paraId="64195B59" w14:textId="77777777" w:rsidR="00ED08FF" w:rsidRDefault="00000000">
                            <w:pPr>
                              <w:pStyle w:val="TableParagraph"/>
                              <w:spacing w:before="73"/>
                              <w:ind w:right="125"/>
                              <w:jc w:val="right"/>
                              <w:rPr>
                                <w:sz w:val="13"/>
                              </w:rPr>
                            </w:pPr>
                            <w:r>
                              <w:rPr>
                                <w:spacing w:val="-2"/>
                                <w:sz w:val="13"/>
                              </w:rPr>
                              <w:t>-2.836</w:t>
                            </w:r>
                          </w:p>
                        </w:tc>
                      </w:tr>
                    </w:tbl>
                    <w:p w14:paraId="0BBA2D91" w14:textId="77777777" w:rsidR="00ED08FF" w:rsidRDefault="00ED08FF">
                      <w:pPr>
                        <w:pStyle w:val="BodyText"/>
                        <w:spacing w:before="0"/>
                        <w:ind w:left="0"/>
                      </w:pPr>
                    </w:p>
                  </w:txbxContent>
                </v:textbox>
                <w10:wrap anchorx="page"/>
              </v:shape>
            </w:pict>
          </mc:Fallback>
        </mc:AlternateContent>
      </w:r>
      <w:r>
        <w:t>The diagnostic summary is included to make the empirical process transparent. Variance inflation factor values indicate whether</w:t>
      </w:r>
      <w:r>
        <w:rPr>
          <w:spacing w:val="-3"/>
        </w:rPr>
        <w:t xml:space="preserve"> </w:t>
      </w:r>
      <w:r>
        <w:t>independent</w:t>
      </w:r>
      <w:r>
        <w:rPr>
          <w:spacing w:val="-4"/>
        </w:rPr>
        <w:t xml:space="preserve"> </w:t>
      </w:r>
      <w:r>
        <w:t>variables</w:t>
      </w:r>
      <w:r>
        <w:rPr>
          <w:spacing w:val="-4"/>
        </w:rPr>
        <w:t xml:space="preserve"> </w:t>
      </w:r>
      <w:r>
        <w:t>are</w:t>
      </w:r>
      <w:r>
        <w:rPr>
          <w:spacing w:val="-4"/>
        </w:rPr>
        <w:t xml:space="preserve"> </w:t>
      </w:r>
      <w:r>
        <w:t>highly</w:t>
      </w:r>
      <w:r>
        <w:rPr>
          <w:spacing w:val="-3"/>
        </w:rPr>
        <w:t xml:space="preserve"> </w:t>
      </w:r>
      <w:r>
        <w:t>correlated</w:t>
      </w:r>
      <w:r>
        <w:rPr>
          <w:spacing w:val="-3"/>
        </w:rPr>
        <w:t xml:space="preserve"> </w:t>
      </w:r>
      <w:r>
        <w:t>with</w:t>
      </w:r>
      <w:r>
        <w:rPr>
          <w:spacing w:val="-3"/>
        </w:rPr>
        <w:t xml:space="preserve"> </w:t>
      </w:r>
      <w:r>
        <w:t>each</w:t>
      </w:r>
      <w:r>
        <w:rPr>
          <w:spacing w:val="-3"/>
        </w:rPr>
        <w:t xml:space="preserve"> </w:t>
      </w:r>
      <w:r>
        <w:t>other.</w:t>
      </w:r>
      <w:r>
        <w:rPr>
          <w:spacing w:val="-3"/>
        </w:rPr>
        <w:t xml:space="preserve"> </w:t>
      </w:r>
      <w:r>
        <w:t>Very</w:t>
      </w:r>
      <w:r>
        <w:rPr>
          <w:spacing w:val="-3"/>
        </w:rPr>
        <w:t xml:space="preserve"> </w:t>
      </w:r>
      <w:r>
        <w:t>high</w:t>
      </w:r>
      <w:r>
        <w:rPr>
          <w:spacing w:val="-3"/>
        </w:rPr>
        <w:t xml:space="preserve"> </w:t>
      </w:r>
      <w:r>
        <w:t>VIF</w:t>
      </w:r>
      <w:r>
        <w:rPr>
          <w:spacing w:val="-4"/>
        </w:rPr>
        <w:t xml:space="preserve"> </w:t>
      </w:r>
      <w:r>
        <w:t>values</w:t>
      </w:r>
      <w:r>
        <w:rPr>
          <w:spacing w:val="-4"/>
        </w:rPr>
        <w:t xml:space="preserve"> </w:t>
      </w:r>
      <w:r>
        <w:t>would</w:t>
      </w:r>
      <w:r>
        <w:rPr>
          <w:spacing w:val="-3"/>
        </w:rPr>
        <w:t xml:space="preserve"> </w:t>
      </w:r>
      <w:r>
        <w:t>suggest</w:t>
      </w:r>
      <w:r>
        <w:rPr>
          <w:spacing w:val="-4"/>
        </w:rPr>
        <w:t xml:space="preserve"> </w:t>
      </w:r>
      <w:r>
        <w:t>multicollinearity, making coefficient interpretation unstable. The reported values do not indicate a severe multicollinearity problem. This supports the use of ROA, DER, SIZE, and CR in the same model.</w:t>
      </w:r>
    </w:p>
    <w:p w14:paraId="47AD2928" w14:textId="77777777" w:rsidR="00ED08FF" w:rsidRDefault="00000000">
      <w:pPr>
        <w:pStyle w:val="BodyText"/>
        <w:spacing w:line="297" w:lineRule="auto"/>
        <w:ind w:right="1903"/>
      </w:pPr>
      <w:r>
        <w:t>The Breusch-Pagan result is used to detect heteroskedasticity. Because small samples and cross-company data often produce unequal error variance, the main model uses robust standard errors. The Jarque-Bera result is reported as a residual</w:t>
      </w:r>
      <w:r>
        <w:rPr>
          <w:spacing w:val="-4"/>
        </w:rPr>
        <w:t xml:space="preserve"> </w:t>
      </w:r>
      <w:r>
        <w:t>normality</w:t>
      </w:r>
      <w:r>
        <w:rPr>
          <w:spacing w:val="-3"/>
        </w:rPr>
        <w:t xml:space="preserve"> </w:t>
      </w:r>
      <w:r>
        <w:t>check.</w:t>
      </w:r>
      <w:r>
        <w:rPr>
          <w:spacing w:val="-3"/>
        </w:rPr>
        <w:t xml:space="preserve"> </w:t>
      </w:r>
      <w:r>
        <w:t>In</w:t>
      </w:r>
      <w:r>
        <w:rPr>
          <w:spacing w:val="-3"/>
        </w:rPr>
        <w:t xml:space="preserve"> </w:t>
      </w:r>
      <w:r>
        <w:t>applied</w:t>
      </w:r>
      <w:r>
        <w:rPr>
          <w:spacing w:val="-3"/>
        </w:rPr>
        <w:t xml:space="preserve"> </w:t>
      </w:r>
      <w:r>
        <w:t>accounting</w:t>
      </w:r>
      <w:r>
        <w:rPr>
          <w:spacing w:val="-3"/>
        </w:rPr>
        <w:t xml:space="preserve"> </w:t>
      </w:r>
      <w:r>
        <w:t>research,</w:t>
      </w:r>
      <w:r>
        <w:rPr>
          <w:spacing w:val="-3"/>
        </w:rPr>
        <w:t xml:space="preserve"> </w:t>
      </w:r>
      <w:r>
        <w:t>perfect</w:t>
      </w:r>
      <w:r>
        <w:rPr>
          <w:spacing w:val="-4"/>
        </w:rPr>
        <w:t xml:space="preserve"> </w:t>
      </w:r>
      <w:r>
        <w:t>residual</w:t>
      </w:r>
      <w:r>
        <w:rPr>
          <w:spacing w:val="-4"/>
        </w:rPr>
        <w:t xml:space="preserve"> </w:t>
      </w:r>
      <w:r>
        <w:t>normality</w:t>
      </w:r>
      <w:r>
        <w:rPr>
          <w:spacing w:val="-3"/>
        </w:rPr>
        <w:t xml:space="preserve"> </w:t>
      </w:r>
      <w:r>
        <w:t>is</w:t>
      </w:r>
      <w:r>
        <w:rPr>
          <w:spacing w:val="-4"/>
        </w:rPr>
        <w:t xml:space="preserve"> </w:t>
      </w:r>
      <w:r>
        <w:t>rarely</w:t>
      </w:r>
      <w:r>
        <w:rPr>
          <w:spacing w:val="-3"/>
        </w:rPr>
        <w:t xml:space="preserve"> </w:t>
      </w:r>
      <w:r>
        <w:t>achieved,</w:t>
      </w:r>
      <w:r>
        <w:rPr>
          <w:spacing w:val="-3"/>
        </w:rPr>
        <w:t xml:space="preserve"> </w:t>
      </w:r>
      <w:r>
        <w:t>especially</w:t>
      </w:r>
      <w:r>
        <w:rPr>
          <w:spacing w:val="-3"/>
        </w:rPr>
        <w:t xml:space="preserve"> </w:t>
      </w:r>
      <w:r>
        <w:t xml:space="preserve">when market valuation ratios are skewed. Robust inference is therefore more relevant than relying solely on classical OLS </w:t>
      </w:r>
      <w:r>
        <w:rPr>
          <w:spacing w:val="-2"/>
        </w:rPr>
        <w:t>assumptions.</w:t>
      </w:r>
    </w:p>
    <w:p w14:paraId="5910C610" w14:textId="77777777" w:rsidR="00ED08FF" w:rsidRDefault="00000000">
      <w:pPr>
        <w:pStyle w:val="BodyText"/>
        <w:spacing w:before="2" w:line="297" w:lineRule="auto"/>
        <w:ind w:right="1951"/>
      </w:pPr>
      <w:r>
        <w:t>The robustness comparison shows that the primary conclusion is sensitive to sample composition, especially because UNVR</w:t>
      </w:r>
      <w:r>
        <w:rPr>
          <w:spacing w:val="-3"/>
        </w:rPr>
        <w:t xml:space="preserve"> </w:t>
      </w:r>
      <w:r>
        <w:t>has</w:t>
      </w:r>
      <w:r>
        <w:rPr>
          <w:spacing w:val="-4"/>
        </w:rPr>
        <w:t xml:space="preserve"> </w:t>
      </w:r>
      <w:r>
        <w:t>unusually</w:t>
      </w:r>
      <w:r>
        <w:rPr>
          <w:spacing w:val="-3"/>
        </w:rPr>
        <w:t xml:space="preserve"> </w:t>
      </w:r>
      <w:r>
        <w:t>high</w:t>
      </w:r>
      <w:r>
        <w:rPr>
          <w:spacing w:val="-3"/>
        </w:rPr>
        <w:t xml:space="preserve"> </w:t>
      </w:r>
      <w:r>
        <w:t>PBV.</w:t>
      </w:r>
      <w:r>
        <w:rPr>
          <w:spacing w:val="-3"/>
        </w:rPr>
        <w:t xml:space="preserve"> </w:t>
      </w:r>
      <w:r>
        <w:t>Excluding</w:t>
      </w:r>
      <w:r>
        <w:rPr>
          <w:spacing w:val="-3"/>
        </w:rPr>
        <w:t xml:space="preserve"> </w:t>
      </w:r>
      <w:r>
        <w:t>UNVR</w:t>
      </w:r>
      <w:r>
        <w:rPr>
          <w:spacing w:val="-4"/>
        </w:rPr>
        <w:t xml:space="preserve"> </w:t>
      </w:r>
      <w:r>
        <w:t>changes</w:t>
      </w:r>
      <w:r>
        <w:rPr>
          <w:spacing w:val="-4"/>
        </w:rPr>
        <w:t xml:space="preserve"> </w:t>
      </w:r>
      <w:r>
        <w:t>the</w:t>
      </w:r>
      <w:r>
        <w:rPr>
          <w:spacing w:val="-4"/>
        </w:rPr>
        <w:t xml:space="preserve"> </w:t>
      </w:r>
      <w:r>
        <w:t>model</w:t>
      </w:r>
      <w:r>
        <w:rPr>
          <w:spacing w:val="-4"/>
        </w:rPr>
        <w:t xml:space="preserve"> </w:t>
      </w:r>
      <w:r>
        <w:t>structure</w:t>
      </w:r>
      <w:r>
        <w:rPr>
          <w:spacing w:val="-4"/>
        </w:rPr>
        <w:t xml:space="preserve"> </w:t>
      </w:r>
      <w:r>
        <w:t>and</w:t>
      </w:r>
      <w:r>
        <w:rPr>
          <w:spacing w:val="-3"/>
        </w:rPr>
        <w:t xml:space="preserve"> </w:t>
      </w:r>
      <w:r>
        <w:t>reduces</w:t>
      </w:r>
      <w:r>
        <w:rPr>
          <w:spacing w:val="-4"/>
        </w:rPr>
        <w:t xml:space="preserve"> </w:t>
      </w:r>
      <w:r>
        <w:t>the</w:t>
      </w:r>
      <w:r>
        <w:rPr>
          <w:spacing w:val="-4"/>
        </w:rPr>
        <w:t xml:space="preserve"> </w:t>
      </w:r>
      <w:r>
        <w:t>explanatory</w:t>
      </w:r>
      <w:r>
        <w:rPr>
          <w:spacing w:val="-3"/>
        </w:rPr>
        <w:t xml:space="preserve"> </w:t>
      </w:r>
      <w:r>
        <w:t>power.</w:t>
      </w:r>
      <w:r>
        <w:rPr>
          <w:spacing w:val="-3"/>
        </w:rPr>
        <w:t xml:space="preserve"> </w:t>
      </w:r>
      <w:r>
        <w:t>This does not invalidate the primary model; it clarifies that consumer non-cyclicals companies are heterogeneous. A mature household-products issuer with strong brand equity can carry valuation characteristics that differ sharply from food producers or retailers.</w:t>
      </w:r>
    </w:p>
    <w:p w14:paraId="738B282E" w14:textId="77777777" w:rsidR="00ED08FF" w:rsidRDefault="00000000">
      <w:pPr>
        <w:pStyle w:val="BodyText"/>
        <w:spacing w:line="297" w:lineRule="auto"/>
        <w:ind w:right="1903"/>
      </w:pPr>
      <w:r>
        <w:t>The winsorized model reduces the influence of extreme values by limiting selected variables at the fifth and ninety-fifth percentiles. This sensitivity check helps assess whether the results depend entirely on outliers. The primary profitability conclusion</w:t>
      </w:r>
      <w:r>
        <w:rPr>
          <w:spacing w:val="-4"/>
        </w:rPr>
        <w:t xml:space="preserve"> </w:t>
      </w:r>
      <w:r>
        <w:t>remains</w:t>
      </w:r>
      <w:r>
        <w:rPr>
          <w:spacing w:val="-5"/>
        </w:rPr>
        <w:t xml:space="preserve"> </w:t>
      </w:r>
      <w:r>
        <w:t>substantively</w:t>
      </w:r>
      <w:r>
        <w:rPr>
          <w:spacing w:val="-4"/>
        </w:rPr>
        <w:t xml:space="preserve"> </w:t>
      </w:r>
      <w:r>
        <w:t>relevant,</w:t>
      </w:r>
      <w:r>
        <w:rPr>
          <w:spacing w:val="-4"/>
        </w:rPr>
        <w:t xml:space="preserve"> </w:t>
      </w:r>
      <w:r>
        <w:t>although</w:t>
      </w:r>
      <w:r>
        <w:rPr>
          <w:spacing w:val="-4"/>
        </w:rPr>
        <w:t xml:space="preserve"> </w:t>
      </w:r>
      <w:r>
        <w:t>coefficient</w:t>
      </w:r>
      <w:r>
        <w:rPr>
          <w:spacing w:val="-5"/>
        </w:rPr>
        <w:t xml:space="preserve"> </w:t>
      </w:r>
      <w:r>
        <w:t>magnitudes</w:t>
      </w:r>
      <w:r>
        <w:rPr>
          <w:spacing w:val="-5"/>
        </w:rPr>
        <w:t xml:space="preserve"> </w:t>
      </w:r>
      <w:r>
        <w:t>change.</w:t>
      </w:r>
      <w:r>
        <w:rPr>
          <w:spacing w:val="-4"/>
        </w:rPr>
        <w:t xml:space="preserve"> </w:t>
      </w:r>
      <w:r>
        <w:t>The</w:t>
      </w:r>
      <w:r>
        <w:rPr>
          <w:spacing w:val="-5"/>
        </w:rPr>
        <w:t xml:space="preserve"> </w:t>
      </w:r>
      <w:r>
        <w:t>appropriate</w:t>
      </w:r>
      <w:r>
        <w:rPr>
          <w:spacing w:val="-5"/>
        </w:rPr>
        <w:t xml:space="preserve"> </w:t>
      </w:r>
      <w:r>
        <w:t>interpretation</w:t>
      </w:r>
      <w:r>
        <w:rPr>
          <w:spacing w:val="-4"/>
        </w:rPr>
        <w:t xml:space="preserve"> </w:t>
      </w:r>
      <w:r>
        <w:t>is</w:t>
      </w:r>
      <w:r>
        <w:rPr>
          <w:spacing w:val="-5"/>
        </w:rPr>
        <w:t xml:space="preserve"> </w:t>
      </w:r>
      <w:r>
        <w:t>that profitability matters, but valuation heterogeneity should be acknowledged rather than hidden.</w:t>
      </w:r>
    </w:p>
    <w:p w14:paraId="3C915AC8" w14:textId="77777777" w:rsidR="00ED08FF" w:rsidRDefault="00ED08FF">
      <w:pPr>
        <w:pStyle w:val="BodyText"/>
        <w:spacing w:before="52"/>
        <w:ind w:left="0"/>
      </w:pPr>
    </w:p>
    <w:p w14:paraId="2F547E0E" w14:textId="77777777" w:rsidR="00ED08FF" w:rsidRDefault="00000000">
      <w:pPr>
        <w:pStyle w:val="Heading2"/>
        <w:numPr>
          <w:ilvl w:val="1"/>
          <w:numId w:val="1"/>
        </w:numPr>
        <w:tabs>
          <w:tab w:val="left" w:pos="415"/>
        </w:tabs>
        <w:ind w:left="415"/>
      </w:pPr>
      <w:r>
        <w:t>Hypothesis</w:t>
      </w:r>
      <w:r>
        <w:rPr>
          <w:spacing w:val="-6"/>
        </w:rPr>
        <w:t xml:space="preserve"> </w:t>
      </w:r>
      <w:r>
        <w:t>Testing</w:t>
      </w:r>
      <w:r>
        <w:rPr>
          <w:spacing w:val="-4"/>
        </w:rPr>
        <w:t xml:space="preserve"> </w:t>
      </w:r>
      <w:r>
        <w:rPr>
          <w:spacing w:val="-2"/>
        </w:rPr>
        <w:t>Summary</w:t>
      </w:r>
    </w:p>
    <w:p w14:paraId="577498EE" w14:textId="77777777" w:rsidR="00ED08FF" w:rsidRDefault="00000000">
      <w:pPr>
        <w:spacing w:before="50"/>
        <w:ind w:left="3882"/>
        <w:rPr>
          <w:b/>
          <w:sz w:val="18"/>
        </w:rPr>
      </w:pPr>
      <w:r>
        <w:rPr>
          <w:b/>
          <w:sz w:val="18"/>
        </w:rPr>
        <w:t>Table</w:t>
      </w:r>
      <w:r>
        <w:rPr>
          <w:b/>
          <w:spacing w:val="-5"/>
          <w:sz w:val="18"/>
        </w:rPr>
        <w:t xml:space="preserve"> </w:t>
      </w:r>
      <w:r>
        <w:rPr>
          <w:b/>
          <w:sz w:val="18"/>
        </w:rPr>
        <w:t>11:</w:t>
      </w:r>
      <w:r>
        <w:rPr>
          <w:b/>
          <w:spacing w:val="-3"/>
          <w:sz w:val="18"/>
        </w:rPr>
        <w:t xml:space="preserve"> </w:t>
      </w:r>
      <w:r>
        <w:rPr>
          <w:b/>
          <w:sz w:val="18"/>
        </w:rPr>
        <w:t>Hypothesis</w:t>
      </w:r>
      <w:r>
        <w:rPr>
          <w:b/>
          <w:spacing w:val="-4"/>
          <w:sz w:val="18"/>
        </w:rPr>
        <w:t xml:space="preserve"> </w:t>
      </w:r>
      <w:r>
        <w:rPr>
          <w:b/>
          <w:sz w:val="18"/>
        </w:rPr>
        <w:t>Testing</w:t>
      </w:r>
      <w:r>
        <w:rPr>
          <w:b/>
          <w:spacing w:val="-3"/>
          <w:sz w:val="18"/>
        </w:rPr>
        <w:t xml:space="preserve"> </w:t>
      </w:r>
      <w:r>
        <w:rPr>
          <w:b/>
          <w:spacing w:val="-2"/>
          <w:sz w:val="18"/>
        </w:rPr>
        <w:t>Summary</w:t>
      </w:r>
    </w:p>
    <w:p w14:paraId="2F1BC4FE" w14:textId="77777777" w:rsidR="00ED08FF" w:rsidRDefault="00ED08FF">
      <w:pPr>
        <w:rPr>
          <w:b/>
          <w:sz w:val="18"/>
        </w:rPr>
        <w:sectPr w:rsidR="00ED08FF">
          <w:type w:val="continuous"/>
          <w:pgSz w:w="12240" w:h="15840"/>
          <w:pgMar w:top="1040" w:right="720" w:bottom="860" w:left="720" w:header="0" w:footer="669" w:gutter="0"/>
          <w:cols w:space="720"/>
        </w:sectPr>
      </w:pPr>
    </w:p>
    <w:p w14:paraId="576118A4" w14:textId="77777777" w:rsidR="00ED08FF" w:rsidRDefault="00ED08FF">
      <w:pPr>
        <w:pStyle w:val="BodyText"/>
        <w:spacing w:before="0"/>
        <w:ind w:left="0"/>
        <w:rPr>
          <w:b/>
          <w:sz w:val="13"/>
        </w:rPr>
      </w:pPr>
    </w:p>
    <w:p w14:paraId="42FB39A6" w14:textId="77777777" w:rsidR="00ED08FF" w:rsidRDefault="00ED08FF">
      <w:pPr>
        <w:pStyle w:val="BodyText"/>
        <w:spacing w:before="0"/>
        <w:ind w:left="0"/>
        <w:rPr>
          <w:b/>
          <w:sz w:val="13"/>
        </w:rPr>
      </w:pPr>
    </w:p>
    <w:p w14:paraId="3ADF68A0" w14:textId="77777777" w:rsidR="00ED08FF" w:rsidRDefault="00ED08FF">
      <w:pPr>
        <w:pStyle w:val="BodyText"/>
        <w:spacing w:before="0"/>
        <w:ind w:left="0"/>
        <w:rPr>
          <w:b/>
          <w:sz w:val="13"/>
        </w:rPr>
      </w:pPr>
    </w:p>
    <w:p w14:paraId="27BD9B5E" w14:textId="77777777" w:rsidR="00ED08FF" w:rsidRDefault="00ED08FF">
      <w:pPr>
        <w:pStyle w:val="BodyText"/>
        <w:spacing w:before="0"/>
        <w:ind w:left="0"/>
        <w:rPr>
          <w:b/>
          <w:sz w:val="13"/>
        </w:rPr>
      </w:pPr>
    </w:p>
    <w:p w14:paraId="2FFE2570" w14:textId="77777777" w:rsidR="00ED08FF" w:rsidRDefault="00ED08FF">
      <w:pPr>
        <w:pStyle w:val="BodyText"/>
        <w:spacing w:before="37"/>
        <w:ind w:left="0"/>
        <w:rPr>
          <w:b/>
          <w:sz w:val="13"/>
        </w:rPr>
      </w:pPr>
    </w:p>
    <w:p w14:paraId="43EF0DAF" w14:textId="77777777" w:rsidR="00ED08FF" w:rsidRDefault="00000000">
      <w:pPr>
        <w:ind w:left="145"/>
        <w:rPr>
          <w:rFonts w:ascii="Courier New"/>
          <w:sz w:val="13"/>
        </w:rPr>
      </w:pPr>
      <w:r>
        <w:rPr>
          <w:rFonts w:ascii="Courier New"/>
          <w:sz w:val="13"/>
        </w:rPr>
        <w:t>is</w:t>
      </w:r>
      <w:r>
        <w:rPr>
          <w:rFonts w:ascii="Courier New"/>
          <w:spacing w:val="-2"/>
          <w:sz w:val="13"/>
        </w:rPr>
        <w:t xml:space="preserve"> negative</w:t>
      </w:r>
    </w:p>
    <w:p w14:paraId="44ECBDCD" w14:textId="77777777" w:rsidR="00ED08FF" w:rsidRDefault="00000000">
      <w:pPr>
        <w:tabs>
          <w:tab w:val="left" w:pos="1393"/>
          <w:tab w:val="left" w:pos="3187"/>
          <w:tab w:val="left" w:pos="3733"/>
          <w:tab w:val="left" w:pos="5138"/>
          <w:tab w:val="left" w:pos="5216"/>
          <w:tab w:val="left" w:pos="6230"/>
          <w:tab w:val="left" w:pos="8258"/>
        </w:tabs>
        <w:spacing w:before="50"/>
        <w:ind w:left="380" w:right="667" w:hanging="234"/>
        <w:rPr>
          <w:rFonts w:ascii="Courier New"/>
          <w:sz w:val="13"/>
        </w:rPr>
      </w:pPr>
      <w:r>
        <w:br w:type="column"/>
      </w:r>
      <w:r>
        <w:rPr>
          <w:rFonts w:ascii="Courier New"/>
          <w:spacing w:val="-2"/>
          <w:sz w:val="13"/>
        </w:rPr>
        <w:t>Hypothesis</w:t>
      </w:r>
      <w:r>
        <w:rPr>
          <w:rFonts w:ascii="Courier New"/>
          <w:sz w:val="13"/>
        </w:rPr>
        <w:tab/>
      </w:r>
      <w:r>
        <w:rPr>
          <w:rFonts w:ascii="Courier New"/>
          <w:spacing w:val="-2"/>
          <w:sz w:val="13"/>
        </w:rPr>
        <w:t>Relationship</w:t>
      </w:r>
      <w:r>
        <w:rPr>
          <w:rFonts w:ascii="Courier New"/>
          <w:sz w:val="13"/>
        </w:rPr>
        <w:tab/>
        <w:t>Coefficient Direction</w:t>
      </w:r>
      <w:r>
        <w:rPr>
          <w:rFonts w:ascii="Courier New"/>
          <w:sz w:val="13"/>
        </w:rPr>
        <w:tab/>
      </w:r>
      <w:r>
        <w:rPr>
          <w:rFonts w:ascii="Courier New"/>
          <w:spacing w:val="-2"/>
          <w:sz w:val="13"/>
        </w:rPr>
        <w:t>p-value</w:t>
      </w:r>
      <w:r>
        <w:rPr>
          <w:rFonts w:ascii="Courier New"/>
          <w:sz w:val="13"/>
        </w:rPr>
        <w:tab/>
      </w:r>
      <w:r>
        <w:rPr>
          <w:rFonts w:ascii="Courier New"/>
          <w:sz w:val="13"/>
        </w:rPr>
        <w:tab/>
      </w:r>
      <w:r>
        <w:rPr>
          <w:rFonts w:ascii="Courier New"/>
          <w:spacing w:val="-2"/>
          <w:sz w:val="13"/>
        </w:rPr>
        <w:t xml:space="preserve">Decision </w:t>
      </w:r>
      <w:r>
        <w:rPr>
          <w:rFonts w:ascii="Courier New"/>
          <w:spacing w:val="-6"/>
          <w:sz w:val="13"/>
        </w:rPr>
        <w:t>H1</w:t>
      </w:r>
      <w:r>
        <w:rPr>
          <w:rFonts w:ascii="Courier New"/>
          <w:sz w:val="13"/>
        </w:rPr>
        <w:tab/>
        <w:t>ROA -&gt; PBV</w:t>
      </w:r>
      <w:r>
        <w:rPr>
          <w:rFonts w:ascii="Courier New"/>
          <w:sz w:val="13"/>
        </w:rPr>
        <w:tab/>
      </w:r>
      <w:r>
        <w:rPr>
          <w:rFonts w:ascii="Courier New"/>
          <w:sz w:val="13"/>
        </w:rPr>
        <w:tab/>
      </w:r>
      <w:r>
        <w:rPr>
          <w:rFonts w:ascii="Courier New"/>
          <w:spacing w:val="-2"/>
          <w:sz w:val="13"/>
        </w:rPr>
        <w:t>Positive</w:t>
      </w:r>
      <w:r>
        <w:rPr>
          <w:rFonts w:ascii="Courier New"/>
          <w:sz w:val="13"/>
        </w:rPr>
        <w:tab/>
      </w:r>
      <w:r>
        <w:rPr>
          <w:rFonts w:ascii="Courier New"/>
          <w:sz w:val="13"/>
        </w:rPr>
        <w:tab/>
      </w:r>
      <w:r>
        <w:rPr>
          <w:rFonts w:ascii="Courier New"/>
          <w:spacing w:val="-2"/>
          <w:sz w:val="13"/>
        </w:rPr>
        <w:t>0.000</w:t>
      </w:r>
      <w:r>
        <w:rPr>
          <w:rFonts w:ascii="Courier New"/>
          <w:sz w:val="13"/>
        </w:rPr>
        <w:tab/>
      </w:r>
      <w:r>
        <w:rPr>
          <w:rFonts w:ascii="Courier New"/>
          <w:spacing w:val="-2"/>
          <w:sz w:val="13"/>
        </w:rPr>
        <w:t>Supported</w:t>
      </w:r>
    </w:p>
    <w:p w14:paraId="493A4966" w14:textId="77777777" w:rsidR="00ED08FF" w:rsidRDefault="00000000">
      <w:pPr>
        <w:tabs>
          <w:tab w:val="left" w:pos="1393"/>
          <w:tab w:val="left" w:pos="3733"/>
          <w:tab w:val="left" w:pos="5216"/>
          <w:tab w:val="left" w:pos="6230"/>
        </w:tabs>
        <w:spacing w:line="147" w:lineRule="exact"/>
        <w:ind w:left="380"/>
        <w:rPr>
          <w:rFonts w:ascii="Courier New"/>
          <w:sz w:val="13"/>
        </w:rPr>
      </w:pPr>
      <w:r>
        <w:rPr>
          <w:rFonts w:ascii="Courier New"/>
          <w:spacing w:val="-5"/>
          <w:sz w:val="13"/>
        </w:rPr>
        <w:t>H2</w:t>
      </w:r>
      <w:r>
        <w:rPr>
          <w:rFonts w:ascii="Courier New"/>
          <w:sz w:val="13"/>
        </w:rPr>
        <w:tab/>
        <w:t>DER</w:t>
      </w:r>
      <w:r>
        <w:rPr>
          <w:rFonts w:ascii="Courier New"/>
          <w:spacing w:val="-3"/>
          <w:sz w:val="13"/>
        </w:rPr>
        <w:t xml:space="preserve"> </w:t>
      </w:r>
      <w:r>
        <w:rPr>
          <w:rFonts w:ascii="Courier New"/>
          <w:sz w:val="13"/>
        </w:rPr>
        <w:t>-&gt;</w:t>
      </w:r>
      <w:r>
        <w:rPr>
          <w:rFonts w:ascii="Courier New"/>
          <w:spacing w:val="-2"/>
          <w:sz w:val="13"/>
        </w:rPr>
        <w:t xml:space="preserve"> </w:t>
      </w:r>
      <w:r>
        <w:rPr>
          <w:rFonts w:ascii="Courier New"/>
          <w:spacing w:val="-5"/>
          <w:sz w:val="13"/>
        </w:rPr>
        <w:t>PBV</w:t>
      </w:r>
      <w:r>
        <w:rPr>
          <w:rFonts w:ascii="Courier New"/>
          <w:sz w:val="13"/>
        </w:rPr>
        <w:tab/>
      </w:r>
      <w:r>
        <w:rPr>
          <w:rFonts w:ascii="Courier New"/>
          <w:spacing w:val="-2"/>
          <w:sz w:val="13"/>
        </w:rPr>
        <w:t>Positive</w:t>
      </w:r>
      <w:r>
        <w:rPr>
          <w:rFonts w:ascii="Courier New"/>
          <w:sz w:val="13"/>
        </w:rPr>
        <w:tab/>
      </w:r>
      <w:r>
        <w:rPr>
          <w:rFonts w:ascii="Courier New"/>
          <w:spacing w:val="-2"/>
          <w:sz w:val="13"/>
        </w:rPr>
        <w:t>0.109</w:t>
      </w:r>
      <w:r>
        <w:rPr>
          <w:rFonts w:ascii="Courier New"/>
          <w:sz w:val="13"/>
        </w:rPr>
        <w:tab/>
        <w:t>Not</w:t>
      </w:r>
      <w:r>
        <w:rPr>
          <w:rFonts w:ascii="Courier New"/>
          <w:spacing w:val="-5"/>
          <w:sz w:val="13"/>
        </w:rPr>
        <w:t xml:space="preserve"> </w:t>
      </w:r>
      <w:r>
        <w:rPr>
          <w:rFonts w:ascii="Courier New"/>
          <w:spacing w:val="-2"/>
          <w:sz w:val="13"/>
        </w:rPr>
        <w:t>supported</w:t>
      </w:r>
    </w:p>
    <w:p w14:paraId="5C1EA56B" w14:textId="77777777" w:rsidR="00ED08FF" w:rsidRDefault="00000000">
      <w:pPr>
        <w:tabs>
          <w:tab w:val="left" w:pos="1393"/>
          <w:tab w:val="left" w:pos="3655"/>
          <w:tab w:val="left" w:pos="5216"/>
          <w:tab w:val="left" w:pos="6230"/>
        </w:tabs>
        <w:spacing w:line="147" w:lineRule="exact"/>
        <w:ind w:left="380"/>
        <w:rPr>
          <w:rFonts w:ascii="Courier New"/>
          <w:sz w:val="13"/>
        </w:rPr>
      </w:pPr>
      <w:r>
        <w:rPr>
          <w:rFonts w:ascii="Courier New"/>
          <w:spacing w:val="-5"/>
          <w:sz w:val="13"/>
        </w:rPr>
        <w:t>H3</w:t>
      </w:r>
      <w:r>
        <w:rPr>
          <w:rFonts w:ascii="Courier New"/>
          <w:sz w:val="13"/>
        </w:rPr>
        <w:tab/>
        <w:t>SIZE</w:t>
      </w:r>
      <w:r>
        <w:rPr>
          <w:rFonts w:ascii="Courier New"/>
          <w:spacing w:val="-3"/>
          <w:sz w:val="13"/>
        </w:rPr>
        <w:t xml:space="preserve"> </w:t>
      </w:r>
      <w:r>
        <w:rPr>
          <w:rFonts w:ascii="Courier New"/>
          <w:sz w:val="13"/>
        </w:rPr>
        <w:t>-&gt;</w:t>
      </w:r>
      <w:r>
        <w:rPr>
          <w:rFonts w:ascii="Courier New"/>
          <w:spacing w:val="-3"/>
          <w:sz w:val="13"/>
        </w:rPr>
        <w:t xml:space="preserve"> </w:t>
      </w:r>
      <w:r>
        <w:rPr>
          <w:rFonts w:ascii="Courier New"/>
          <w:spacing w:val="-5"/>
          <w:sz w:val="13"/>
        </w:rPr>
        <w:t>PBV</w:t>
      </w:r>
      <w:r>
        <w:rPr>
          <w:rFonts w:ascii="Courier New"/>
          <w:sz w:val="13"/>
        </w:rPr>
        <w:tab/>
      </w:r>
      <w:r>
        <w:rPr>
          <w:rFonts w:ascii="Courier New"/>
          <w:spacing w:val="-2"/>
          <w:sz w:val="13"/>
        </w:rPr>
        <w:t>Negative</w:t>
      </w:r>
      <w:r>
        <w:rPr>
          <w:rFonts w:ascii="Courier New"/>
          <w:sz w:val="13"/>
        </w:rPr>
        <w:tab/>
      </w:r>
      <w:r>
        <w:rPr>
          <w:rFonts w:ascii="Courier New"/>
          <w:spacing w:val="-2"/>
          <w:sz w:val="13"/>
        </w:rPr>
        <w:t>0.542</w:t>
      </w:r>
      <w:r>
        <w:rPr>
          <w:rFonts w:ascii="Courier New"/>
          <w:sz w:val="13"/>
        </w:rPr>
        <w:tab/>
        <w:t>Not</w:t>
      </w:r>
      <w:r>
        <w:rPr>
          <w:rFonts w:ascii="Courier New"/>
          <w:spacing w:val="-5"/>
          <w:sz w:val="13"/>
        </w:rPr>
        <w:t xml:space="preserve"> </w:t>
      </w:r>
      <w:r>
        <w:rPr>
          <w:rFonts w:ascii="Courier New"/>
          <w:spacing w:val="-2"/>
          <w:sz w:val="13"/>
        </w:rPr>
        <w:t>supported</w:t>
      </w:r>
    </w:p>
    <w:p w14:paraId="1EBCF222" w14:textId="77777777" w:rsidR="00ED08FF" w:rsidRDefault="00000000">
      <w:pPr>
        <w:tabs>
          <w:tab w:val="left" w:pos="1471"/>
          <w:tab w:val="left" w:pos="3655"/>
          <w:tab w:val="left" w:pos="5216"/>
          <w:tab w:val="left" w:pos="6230"/>
        </w:tabs>
        <w:ind w:left="380"/>
        <w:rPr>
          <w:rFonts w:ascii="Courier New"/>
          <w:sz w:val="13"/>
        </w:rPr>
      </w:pPr>
      <w:r>
        <w:rPr>
          <w:rFonts w:ascii="Courier New"/>
          <w:spacing w:val="-5"/>
          <w:sz w:val="13"/>
        </w:rPr>
        <w:t>H4</w:t>
      </w:r>
      <w:r>
        <w:rPr>
          <w:rFonts w:ascii="Courier New"/>
          <w:sz w:val="13"/>
        </w:rPr>
        <w:tab/>
        <w:t>CR</w:t>
      </w:r>
      <w:r>
        <w:rPr>
          <w:rFonts w:ascii="Courier New"/>
          <w:spacing w:val="-2"/>
          <w:sz w:val="13"/>
        </w:rPr>
        <w:t xml:space="preserve"> </w:t>
      </w:r>
      <w:r>
        <w:rPr>
          <w:rFonts w:ascii="Courier New"/>
          <w:sz w:val="13"/>
        </w:rPr>
        <w:t>-&gt;</w:t>
      </w:r>
      <w:r>
        <w:rPr>
          <w:rFonts w:ascii="Courier New"/>
          <w:spacing w:val="-2"/>
          <w:sz w:val="13"/>
        </w:rPr>
        <w:t xml:space="preserve"> </w:t>
      </w:r>
      <w:r>
        <w:rPr>
          <w:rFonts w:ascii="Courier New"/>
          <w:spacing w:val="-5"/>
          <w:sz w:val="13"/>
        </w:rPr>
        <w:t>PBV</w:t>
      </w:r>
      <w:r>
        <w:rPr>
          <w:rFonts w:ascii="Courier New"/>
          <w:sz w:val="13"/>
        </w:rPr>
        <w:tab/>
      </w:r>
      <w:r>
        <w:rPr>
          <w:rFonts w:ascii="Courier New"/>
          <w:spacing w:val="-2"/>
          <w:sz w:val="13"/>
        </w:rPr>
        <w:t>Negative</w:t>
      </w:r>
      <w:r>
        <w:rPr>
          <w:rFonts w:ascii="Courier New"/>
          <w:sz w:val="13"/>
        </w:rPr>
        <w:tab/>
      </w:r>
      <w:r>
        <w:rPr>
          <w:rFonts w:ascii="Courier New"/>
          <w:spacing w:val="-2"/>
          <w:sz w:val="13"/>
        </w:rPr>
        <w:t>0.000</w:t>
      </w:r>
      <w:r>
        <w:rPr>
          <w:rFonts w:ascii="Courier New"/>
          <w:sz w:val="13"/>
        </w:rPr>
        <w:tab/>
        <w:t>Supported</w:t>
      </w:r>
      <w:r>
        <w:rPr>
          <w:rFonts w:ascii="Courier New"/>
          <w:spacing w:val="-9"/>
          <w:sz w:val="13"/>
        </w:rPr>
        <w:t xml:space="preserve"> </w:t>
      </w:r>
      <w:r>
        <w:rPr>
          <w:rFonts w:ascii="Courier New"/>
          <w:sz w:val="13"/>
        </w:rPr>
        <w:t>as</w:t>
      </w:r>
      <w:r>
        <w:rPr>
          <w:rFonts w:ascii="Courier New"/>
          <w:spacing w:val="-6"/>
          <w:sz w:val="13"/>
        </w:rPr>
        <w:t xml:space="preserve"> </w:t>
      </w:r>
      <w:r>
        <w:rPr>
          <w:rFonts w:ascii="Courier New"/>
          <w:sz w:val="13"/>
        </w:rPr>
        <w:t>significant,</w:t>
      </w:r>
      <w:r>
        <w:rPr>
          <w:rFonts w:ascii="Courier New"/>
          <w:spacing w:val="-7"/>
          <w:sz w:val="13"/>
        </w:rPr>
        <w:t xml:space="preserve"> </w:t>
      </w:r>
      <w:r>
        <w:rPr>
          <w:rFonts w:ascii="Courier New"/>
          <w:sz w:val="13"/>
        </w:rPr>
        <w:t>but</w:t>
      </w:r>
      <w:r>
        <w:rPr>
          <w:rFonts w:ascii="Courier New"/>
          <w:spacing w:val="-6"/>
          <w:sz w:val="13"/>
        </w:rPr>
        <w:t xml:space="preserve"> </w:t>
      </w:r>
      <w:r>
        <w:rPr>
          <w:rFonts w:ascii="Courier New"/>
          <w:spacing w:val="-2"/>
          <w:sz w:val="13"/>
        </w:rPr>
        <w:t>direction</w:t>
      </w:r>
    </w:p>
    <w:p w14:paraId="51A1CA48" w14:textId="77777777" w:rsidR="00ED08FF" w:rsidRDefault="00ED08FF">
      <w:pPr>
        <w:rPr>
          <w:rFonts w:ascii="Courier New"/>
          <w:sz w:val="13"/>
        </w:rPr>
        <w:sectPr w:rsidR="00ED08FF">
          <w:type w:val="continuous"/>
          <w:pgSz w:w="12240" w:h="15840"/>
          <w:pgMar w:top="1040" w:right="720" w:bottom="860" w:left="720" w:header="0" w:footer="669" w:gutter="0"/>
          <w:cols w:num="2" w:space="720" w:equalWidth="0">
            <w:col w:w="1045" w:space="204"/>
            <w:col w:w="9551"/>
          </w:cols>
        </w:sectPr>
      </w:pPr>
    </w:p>
    <w:p w14:paraId="46DA1462" w14:textId="77777777" w:rsidR="00ED08FF" w:rsidRDefault="00000000">
      <w:pPr>
        <w:pStyle w:val="BodyText"/>
        <w:spacing w:before="0" w:line="297" w:lineRule="auto"/>
        <w:ind w:right="1903"/>
      </w:pPr>
      <w:r>
        <w:t>H1</w:t>
      </w:r>
      <w:r>
        <w:rPr>
          <w:spacing w:val="-2"/>
        </w:rPr>
        <w:t xml:space="preserve"> </w:t>
      </w:r>
      <w:r>
        <w:t>is</w:t>
      </w:r>
      <w:r>
        <w:rPr>
          <w:spacing w:val="-3"/>
        </w:rPr>
        <w:t xml:space="preserve"> </w:t>
      </w:r>
      <w:r>
        <w:t>supported</w:t>
      </w:r>
      <w:r>
        <w:rPr>
          <w:spacing w:val="-2"/>
        </w:rPr>
        <w:t xml:space="preserve"> </w:t>
      </w:r>
      <w:r>
        <w:t>because</w:t>
      </w:r>
      <w:r>
        <w:rPr>
          <w:spacing w:val="-3"/>
        </w:rPr>
        <w:t xml:space="preserve"> </w:t>
      </w:r>
      <w:r>
        <w:t>profitability</w:t>
      </w:r>
      <w:r>
        <w:rPr>
          <w:spacing w:val="-2"/>
        </w:rPr>
        <w:t xml:space="preserve"> </w:t>
      </w:r>
      <w:r>
        <w:t>has</w:t>
      </w:r>
      <w:r>
        <w:rPr>
          <w:spacing w:val="-3"/>
        </w:rPr>
        <w:t xml:space="preserve"> </w:t>
      </w:r>
      <w:r>
        <w:t>a</w:t>
      </w:r>
      <w:r>
        <w:rPr>
          <w:spacing w:val="-3"/>
        </w:rPr>
        <w:t xml:space="preserve"> </w:t>
      </w:r>
      <w:r>
        <w:t>positive</w:t>
      </w:r>
      <w:r>
        <w:rPr>
          <w:spacing w:val="-3"/>
        </w:rPr>
        <w:t xml:space="preserve"> </w:t>
      </w:r>
      <w:r>
        <w:t>and</w:t>
      </w:r>
      <w:r>
        <w:rPr>
          <w:spacing w:val="-2"/>
        </w:rPr>
        <w:t xml:space="preserve"> </w:t>
      </w:r>
      <w:r>
        <w:t>significant</w:t>
      </w:r>
      <w:r>
        <w:rPr>
          <w:spacing w:val="-3"/>
        </w:rPr>
        <w:t xml:space="preserve"> </w:t>
      </w:r>
      <w:r>
        <w:t>effect</w:t>
      </w:r>
      <w:r>
        <w:rPr>
          <w:spacing w:val="-3"/>
        </w:rPr>
        <w:t xml:space="preserve"> </w:t>
      </w:r>
      <w:r>
        <w:t>on</w:t>
      </w:r>
      <w:r>
        <w:rPr>
          <w:spacing w:val="-2"/>
        </w:rPr>
        <w:t xml:space="preserve"> </w:t>
      </w:r>
      <w:r>
        <w:t>firm</w:t>
      </w:r>
      <w:r>
        <w:rPr>
          <w:spacing w:val="-3"/>
        </w:rPr>
        <w:t xml:space="preserve"> </w:t>
      </w:r>
      <w:r>
        <w:t>value.</w:t>
      </w:r>
      <w:r>
        <w:rPr>
          <w:spacing w:val="-2"/>
        </w:rPr>
        <w:t xml:space="preserve"> </w:t>
      </w:r>
      <w:r>
        <w:t>This</w:t>
      </w:r>
      <w:r>
        <w:rPr>
          <w:spacing w:val="-3"/>
        </w:rPr>
        <w:t xml:space="preserve"> </w:t>
      </w:r>
      <w:r>
        <w:t>is</w:t>
      </w:r>
      <w:r>
        <w:rPr>
          <w:spacing w:val="-3"/>
        </w:rPr>
        <w:t xml:space="preserve"> </w:t>
      </w:r>
      <w:r>
        <w:t>the</w:t>
      </w:r>
      <w:r>
        <w:rPr>
          <w:spacing w:val="-3"/>
        </w:rPr>
        <w:t xml:space="preserve"> </w:t>
      </w:r>
      <w:r>
        <w:t>strongest</w:t>
      </w:r>
      <w:r>
        <w:rPr>
          <w:spacing w:val="-3"/>
        </w:rPr>
        <w:t xml:space="preserve"> </w:t>
      </w:r>
      <w:r>
        <w:t>result</w:t>
      </w:r>
      <w:r>
        <w:rPr>
          <w:spacing w:val="-3"/>
        </w:rPr>
        <w:t xml:space="preserve"> </w:t>
      </w:r>
      <w:r>
        <w:t>in</w:t>
      </w:r>
      <w:r>
        <w:rPr>
          <w:spacing w:val="-2"/>
        </w:rPr>
        <w:t xml:space="preserve"> </w:t>
      </w:r>
      <w:r>
        <w:t>the study. It confirms that the market attaches importance to asset productivity. For managers, this means that improving</w:t>
      </w:r>
    </w:p>
    <w:p w14:paraId="374CC07B" w14:textId="77777777" w:rsidR="00ED08FF" w:rsidRDefault="00000000">
      <w:pPr>
        <w:pStyle w:val="BodyText"/>
        <w:spacing w:line="297" w:lineRule="auto"/>
        <w:ind w:right="1008"/>
      </w:pPr>
      <w:r>
        <w:rPr>
          <w:color w:val="000000"/>
          <w:highlight w:val="yellow"/>
        </w:rPr>
        <w:t>ROA</w:t>
      </w:r>
      <w:r>
        <w:rPr>
          <w:color w:val="000000"/>
          <w:spacing w:val="-4"/>
          <w:highlight w:val="yellow"/>
        </w:rPr>
        <w:t xml:space="preserve"> </w:t>
      </w:r>
      <w:r>
        <w:rPr>
          <w:color w:val="000000"/>
          <w:highlight w:val="yellow"/>
        </w:rPr>
        <w:t>through</w:t>
      </w:r>
      <w:r>
        <w:rPr>
          <w:color w:val="000000"/>
          <w:spacing w:val="-3"/>
          <w:highlight w:val="yellow"/>
        </w:rPr>
        <w:t xml:space="preserve"> </w:t>
      </w:r>
      <w:r>
        <w:rPr>
          <w:color w:val="000000"/>
          <w:highlight w:val="yellow"/>
        </w:rPr>
        <w:t>margin</w:t>
      </w:r>
      <w:r>
        <w:rPr>
          <w:color w:val="000000"/>
          <w:spacing w:val="-3"/>
          <w:highlight w:val="yellow"/>
        </w:rPr>
        <w:t xml:space="preserve"> </w:t>
      </w:r>
      <w:r>
        <w:rPr>
          <w:color w:val="000000"/>
          <w:highlight w:val="yellow"/>
        </w:rPr>
        <w:t>control,</w:t>
      </w:r>
      <w:r>
        <w:rPr>
          <w:color w:val="000000"/>
          <w:spacing w:val="-3"/>
          <w:highlight w:val="yellow"/>
        </w:rPr>
        <w:t xml:space="preserve"> </w:t>
      </w:r>
      <w:r>
        <w:rPr>
          <w:color w:val="000000"/>
          <w:highlight w:val="yellow"/>
        </w:rPr>
        <w:t>efficient</w:t>
      </w:r>
      <w:r>
        <w:rPr>
          <w:color w:val="000000"/>
          <w:spacing w:val="-4"/>
          <w:highlight w:val="yellow"/>
        </w:rPr>
        <w:t xml:space="preserve"> </w:t>
      </w:r>
      <w:r>
        <w:rPr>
          <w:color w:val="000000"/>
          <w:highlight w:val="yellow"/>
        </w:rPr>
        <w:t>production,</w:t>
      </w:r>
      <w:r>
        <w:rPr>
          <w:color w:val="000000"/>
          <w:spacing w:val="-3"/>
          <w:highlight w:val="yellow"/>
        </w:rPr>
        <w:t xml:space="preserve"> </w:t>
      </w:r>
      <w:r>
        <w:rPr>
          <w:color w:val="000000"/>
          <w:highlight w:val="yellow"/>
        </w:rPr>
        <w:t>distribution</w:t>
      </w:r>
      <w:r>
        <w:rPr>
          <w:color w:val="000000"/>
          <w:spacing w:val="-3"/>
          <w:highlight w:val="yellow"/>
        </w:rPr>
        <w:t xml:space="preserve"> </w:t>
      </w:r>
      <w:r>
        <w:rPr>
          <w:color w:val="000000"/>
          <w:highlight w:val="yellow"/>
        </w:rPr>
        <w:t>optimisation,</w:t>
      </w:r>
      <w:r>
        <w:rPr>
          <w:color w:val="000000"/>
          <w:spacing w:val="-3"/>
          <w:highlight w:val="yellow"/>
        </w:rPr>
        <w:t xml:space="preserve"> </w:t>
      </w:r>
      <w:r>
        <w:rPr>
          <w:color w:val="000000"/>
          <w:highlight w:val="yellow"/>
        </w:rPr>
        <w:t>and</w:t>
      </w:r>
      <w:r>
        <w:rPr>
          <w:color w:val="000000"/>
          <w:spacing w:val="-3"/>
          <w:highlight w:val="yellow"/>
        </w:rPr>
        <w:t xml:space="preserve"> </w:t>
      </w:r>
      <w:r>
        <w:rPr>
          <w:color w:val="000000"/>
          <w:highlight w:val="yellow"/>
        </w:rPr>
        <w:t>disciplined</w:t>
      </w:r>
      <w:r>
        <w:rPr>
          <w:color w:val="000000"/>
          <w:spacing w:val="-3"/>
          <w:highlight w:val="yellow"/>
        </w:rPr>
        <w:t xml:space="preserve"> </w:t>
      </w:r>
      <w:r>
        <w:rPr>
          <w:color w:val="000000"/>
          <w:highlight w:val="yellow"/>
        </w:rPr>
        <w:t>asset</w:t>
      </w:r>
      <w:r>
        <w:rPr>
          <w:color w:val="000000"/>
          <w:spacing w:val="-4"/>
          <w:highlight w:val="yellow"/>
        </w:rPr>
        <w:t xml:space="preserve"> </w:t>
      </w:r>
      <w:r>
        <w:rPr>
          <w:color w:val="000000"/>
          <w:highlight w:val="yellow"/>
        </w:rPr>
        <w:t>use</w:t>
      </w:r>
      <w:r>
        <w:rPr>
          <w:color w:val="000000"/>
          <w:spacing w:val="-4"/>
          <w:highlight w:val="yellow"/>
        </w:rPr>
        <w:t xml:space="preserve"> </w:t>
      </w:r>
      <w:r>
        <w:rPr>
          <w:color w:val="000000"/>
          <w:highlight w:val="yellow"/>
        </w:rPr>
        <w:t>may</w:t>
      </w:r>
      <w:r>
        <w:rPr>
          <w:color w:val="000000"/>
          <w:spacing w:val="-3"/>
          <w:highlight w:val="yellow"/>
        </w:rPr>
        <w:t xml:space="preserve"> </w:t>
      </w:r>
      <w:r>
        <w:rPr>
          <w:color w:val="000000"/>
          <w:highlight w:val="yellow"/>
        </w:rPr>
        <w:t>improve</w:t>
      </w:r>
      <w:r>
        <w:rPr>
          <w:color w:val="000000"/>
          <w:spacing w:val="-4"/>
          <w:highlight w:val="yellow"/>
        </w:rPr>
        <w:t xml:space="preserve"> </w:t>
      </w:r>
      <w:r>
        <w:rPr>
          <w:color w:val="000000"/>
          <w:highlight w:val="yellow"/>
        </w:rPr>
        <w:t>investor</w:t>
      </w:r>
      <w:r>
        <w:rPr>
          <w:color w:val="000000"/>
        </w:rPr>
        <w:t xml:space="preserve"> perception. For investors, ROA remains a useful screening ratio when comparing consumer non-cyclicals issuers.</w:t>
      </w:r>
    </w:p>
    <w:p w14:paraId="1680F019" w14:textId="77777777" w:rsidR="00ED08FF" w:rsidRDefault="00000000">
      <w:pPr>
        <w:pStyle w:val="BodyText"/>
        <w:spacing w:line="297" w:lineRule="auto"/>
        <w:ind w:right="1939"/>
      </w:pPr>
      <w:r>
        <w:t>H2 is not supported because leverage is not statistically significant. The result does not mean that leverage is irrelevant</w:t>
      </w:r>
      <w:r>
        <w:rPr>
          <w:spacing w:val="40"/>
        </w:rPr>
        <w:t xml:space="preserve"> </w:t>
      </w:r>
      <w:r>
        <w:t>in</w:t>
      </w:r>
      <w:r>
        <w:rPr>
          <w:spacing w:val="-2"/>
        </w:rPr>
        <w:t xml:space="preserve"> </w:t>
      </w:r>
      <w:r>
        <w:t>all</w:t>
      </w:r>
      <w:r>
        <w:rPr>
          <w:spacing w:val="-3"/>
        </w:rPr>
        <w:t xml:space="preserve"> </w:t>
      </w:r>
      <w:r>
        <w:t>cases.</w:t>
      </w:r>
      <w:r>
        <w:rPr>
          <w:spacing w:val="-2"/>
        </w:rPr>
        <w:t xml:space="preserve"> </w:t>
      </w:r>
      <w:r>
        <w:t>It</w:t>
      </w:r>
      <w:r>
        <w:rPr>
          <w:spacing w:val="-3"/>
        </w:rPr>
        <w:t xml:space="preserve"> </w:t>
      </w:r>
      <w:r>
        <w:t>means</w:t>
      </w:r>
      <w:r>
        <w:rPr>
          <w:spacing w:val="-3"/>
        </w:rPr>
        <w:t xml:space="preserve"> </w:t>
      </w:r>
      <w:r>
        <w:t>that</w:t>
      </w:r>
      <w:r>
        <w:rPr>
          <w:spacing w:val="-3"/>
        </w:rPr>
        <w:t xml:space="preserve"> </w:t>
      </w:r>
      <w:r>
        <w:t>DER</w:t>
      </w:r>
      <w:r>
        <w:rPr>
          <w:spacing w:val="-3"/>
        </w:rPr>
        <w:t xml:space="preserve"> </w:t>
      </w:r>
      <w:r>
        <w:t>does</w:t>
      </w:r>
      <w:r>
        <w:rPr>
          <w:spacing w:val="-3"/>
        </w:rPr>
        <w:t xml:space="preserve"> </w:t>
      </w:r>
      <w:r>
        <w:t>not</w:t>
      </w:r>
      <w:r>
        <w:rPr>
          <w:spacing w:val="-3"/>
        </w:rPr>
        <w:t xml:space="preserve"> </w:t>
      </w:r>
      <w:r>
        <w:t>independently</w:t>
      </w:r>
      <w:r>
        <w:rPr>
          <w:spacing w:val="-2"/>
        </w:rPr>
        <w:t xml:space="preserve"> </w:t>
      </w:r>
      <w:r>
        <w:t>explain</w:t>
      </w:r>
      <w:r>
        <w:rPr>
          <w:spacing w:val="-2"/>
        </w:rPr>
        <w:t xml:space="preserve"> </w:t>
      </w:r>
      <w:r>
        <w:t>PBV</w:t>
      </w:r>
      <w:r>
        <w:rPr>
          <w:spacing w:val="-3"/>
        </w:rPr>
        <w:t xml:space="preserve"> </w:t>
      </w:r>
      <w:r>
        <w:t>in</w:t>
      </w:r>
      <w:r>
        <w:rPr>
          <w:spacing w:val="-2"/>
        </w:rPr>
        <w:t xml:space="preserve"> </w:t>
      </w:r>
      <w:r>
        <w:t>this</w:t>
      </w:r>
      <w:r>
        <w:rPr>
          <w:spacing w:val="-3"/>
        </w:rPr>
        <w:t xml:space="preserve"> </w:t>
      </w:r>
      <w:r>
        <w:t>sample</w:t>
      </w:r>
      <w:r>
        <w:rPr>
          <w:spacing w:val="-3"/>
        </w:rPr>
        <w:t xml:space="preserve"> </w:t>
      </w:r>
      <w:r>
        <w:t>after</w:t>
      </w:r>
      <w:r>
        <w:rPr>
          <w:spacing w:val="-2"/>
        </w:rPr>
        <w:t xml:space="preserve"> </w:t>
      </w:r>
      <w:r>
        <w:t>other</w:t>
      </w:r>
      <w:r>
        <w:rPr>
          <w:spacing w:val="-2"/>
        </w:rPr>
        <w:t xml:space="preserve"> </w:t>
      </w:r>
      <w:r>
        <w:t>variables</w:t>
      </w:r>
      <w:r>
        <w:rPr>
          <w:spacing w:val="-3"/>
        </w:rPr>
        <w:t xml:space="preserve"> </w:t>
      </w:r>
      <w:r>
        <w:t>are</w:t>
      </w:r>
      <w:r>
        <w:rPr>
          <w:spacing w:val="-3"/>
        </w:rPr>
        <w:t xml:space="preserve"> </w:t>
      </w:r>
      <w:r>
        <w:t>included.</w:t>
      </w:r>
      <w:r>
        <w:rPr>
          <w:spacing w:val="-2"/>
        </w:rPr>
        <w:t xml:space="preserve"> </w:t>
      </w:r>
      <w:r>
        <w:t>The market may tolerate leverage when profitability is strong and cash flows are stable. Conversely, debt may become problematic when performance weakens. Future research could separate short-term debt, long-term debt, and lease liabilities to obtain a sharper leverage measure.</w:t>
      </w:r>
    </w:p>
    <w:p w14:paraId="6B87B882" w14:textId="77777777" w:rsidR="00ED08FF" w:rsidRDefault="00000000">
      <w:pPr>
        <w:pStyle w:val="BodyText"/>
        <w:spacing w:line="297" w:lineRule="auto"/>
        <w:ind w:right="1422"/>
      </w:pPr>
      <w:r>
        <w:rPr>
          <w:color w:val="000000"/>
          <w:highlight w:val="yellow"/>
        </w:rPr>
        <w:t>H3</w:t>
      </w:r>
      <w:r>
        <w:rPr>
          <w:color w:val="000000"/>
          <w:spacing w:val="-2"/>
          <w:highlight w:val="yellow"/>
        </w:rPr>
        <w:t xml:space="preserve"> </w:t>
      </w:r>
      <w:r>
        <w:rPr>
          <w:color w:val="000000"/>
          <w:highlight w:val="yellow"/>
        </w:rPr>
        <w:t>is</w:t>
      </w:r>
      <w:r>
        <w:rPr>
          <w:color w:val="000000"/>
          <w:spacing w:val="-3"/>
          <w:highlight w:val="yellow"/>
        </w:rPr>
        <w:t xml:space="preserve"> </w:t>
      </w:r>
      <w:r>
        <w:rPr>
          <w:color w:val="000000"/>
          <w:highlight w:val="yellow"/>
        </w:rPr>
        <w:t>not</w:t>
      </w:r>
      <w:r>
        <w:rPr>
          <w:color w:val="000000"/>
          <w:spacing w:val="-3"/>
          <w:highlight w:val="yellow"/>
        </w:rPr>
        <w:t xml:space="preserve"> </w:t>
      </w:r>
      <w:r>
        <w:rPr>
          <w:color w:val="000000"/>
          <w:highlight w:val="yellow"/>
        </w:rPr>
        <w:t>supported</w:t>
      </w:r>
      <w:r>
        <w:rPr>
          <w:color w:val="000000"/>
          <w:spacing w:val="-2"/>
          <w:highlight w:val="yellow"/>
        </w:rPr>
        <w:t xml:space="preserve"> </w:t>
      </w:r>
      <w:r>
        <w:rPr>
          <w:color w:val="000000"/>
          <w:highlight w:val="yellow"/>
        </w:rPr>
        <w:t>because</w:t>
      </w:r>
      <w:r>
        <w:rPr>
          <w:color w:val="000000"/>
          <w:spacing w:val="-3"/>
          <w:highlight w:val="yellow"/>
        </w:rPr>
        <w:t xml:space="preserve"> </w:t>
      </w:r>
      <w:r>
        <w:rPr>
          <w:color w:val="000000"/>
          <w:highlight w:val="yellow"/>
        </w:rPr>
        <w:t>firm</w:t>
      </w:r>
      <w:r>
        <w:rPr>
          <w:color w:val="000000"/>
          <w:spacing w:val="-3"/>
          <w:highlight w:val="yellow"/>
        </w:rPr>
        <w:t xml:space="preserve"> </w:t>
      </w:r>
      <w:r>
        <w:rPr>
          <w:color w:val="000000"/>
          <w:highlight w:val="yellow"/>
        </w:rPr>
        <w:t>size</w:t>
      </w:r>
      <w:r>
        <w:rPr>
          <w:color w:val="000000"/>
          <w:spacing w:val="-3"/>
          <w:highlight w:val="yellow"/>
        </w:rPr>
        <w:t xml:space="preserve"> </w:t>
      </w:r>
      <w:r>
        <w:rPr>
          <w:color w:val="000000"/>
          <w:highlight w:val="yellow"/>
        </w:rPr>
        <w:t>is</w:t>
      </w:r>
      <w:r>
        <w:rPr>
          <w:color w:val="000000"/>
          <w:spacing w:val="-3"/>
          <w:highlight w:val="yellow"/>
        </w:rPr>
        <w:t xml:space="preserve"> </w:t>
      </w:r>
      <w:r>
        <w:rPr>
          <w:color w:val="000000"/>
          <w:highlight w:val="yellow"/>
        </w:rPr>
        <w:t>not</w:t>
      </w:r>
      <w:r>
        <w:rPr>
          <w:color w:val="000000"/>
          <w:spacing w:val="-3"/>
          <w:highlight w:val="yellow"/>
        </w:rPr>
        <w:t xml:space="preserve"> </w:t>
      </w:r>
      <w:r>
        <w:rPr>
          <w:color w:val="000000"/>
          <w:highlight w:val="yellow"/>
        </w:rPr>
        <w:t>statistically</w:t>
      </w:r>
      <w:r>
        <w:rPr>
          <w:color w:val="000000"/>
          <w:spacing w:val="-2"/>
          <w:highlight w:val="yellow"/>
        </w:rPr>
        <w:t xml:space="preserve"> </w:t>
      </w:r>
      <w:r>
        <w:rPr>
          <w:color w:val="000000"/>
          <w:highlight w:val="yellow"/>
        </w:rPr>
        <w:t>significant.</w:t>
      </w:r>
      <w:r>
        <w:rPr>
          <w:color w:val="000000"/>
          <w:spacing w:val="-2"/>
          <w:highlight w:val="yellow"/>
        </w:rPr>
        <w:t xml:space="preserve"> </w:t>
      </w:r>
      <w:r>
        <w:rPr>
          <w:color w:val="000000"/>
          <w:highlight w:val="yellow"/>
        </w:rPr>
        <w:t>This</w:t>
      </w:r>
      <w:r>
        <w:rPr>
          <w:color w:val="000000"/>
          <w:spacing w:val="-3"/>
          <w:highlight w:val="yellow"/>
        </w:rPr>
        <w:t xml:space="preserve"> </w:t>
      </w:r>
      <w:r>
        <w:rPr>
          <w:color w:val="000000"/>
          <w:highlight w:val="yellow"/>
        </w:rPr>
        <w:t>result</w:t>
      </w:r>
      <w:r>
        <w:rPr>
          <w:color w:val="000000"/>
          <w:spacing w:val="-3"/>
          <w:highlight w:val="yellow"/>
        </w:rPr>
        <w:t xml:space="preserve"> </w:t>
      </w:r>
      <w:r>
        <w:rPr>
          <w:color w:val="000000"/>
          <w:highlight w:val="yellow"/>
        </w:rPr>
        <w:t>directly</w:t>
      </w:r>
      <w:r>
        <w:rPr>
          <w:color w:val="000000"/>
          <w:spacing w:val="-2"/>
          <w:highlight w:val="yellow"/>
        </w:rPr>
        <w:t xml:space="preserve"> </w:t>
      </w:r>
      <w:r>
        <w:rPr>
          <w:color w:val="000000"/>
          <w:highlight w:val="yellow"/>
        </w:rPr>
        <w:t>challenges</w:t>
      </w:r>
      <w:r>
        <w:rPr>
          <w:color w:val="000000"/>
          <w:spacing w:val="-3"/>
          <w:highlight w:val="yellow"/>
        </w:rPr>
        <w:t xml:space="preserve"> </w:t>
      </w:r>
      <w:r>
        <w:rPr>
          <w:color w:val="000000"/>
          <w:highlight w:val="yellow"/>
        </w:rPr>
        <w:t>the</w:t>
      </w:r>
      <w:r>
        <w:rPr>
          <w:color w:val="000000"/>
          <w:spacing w:val="-3"/>
          <w:highlight w:val="yellow"/>
        </w:rPr>
        <w:t xml:space="preserve"> </w:t>
      </w:r>
      <w:r>
        <w:rPr>
          <w:color w:val="000000"/>
          <w:highlight w:val="yellow"/>
        </w:rPr>
        <w:t>unsupported</w:t>
      </w:r>
      <w:r>
        <w:rPr>
          <w:color w:val="000000"/>
          <w:spacing w:val="-2"/>
          <w:highlight w:val="yellow"/>
        </w:rPr>
        <w:t xml:space="preserve"> </w:t>
      </w:r>
      <w:r>
        <w:rPr>
          <w:color w:val="000000"/>
          <w:highlight w:val="yellow"/>
        </w:rPr>
        <w:t>assumption</w:t>
      </w:r>
      <w:r>
        <w:rPr>
          <w:color w:val="000000"/>
        </w:rPr>
        <w:t xml:space="preserve"> that bigger companies are always better valued. Size may support stability, but investors ultimately reward returns and prospects. The fact that INDF has the largest asset scale but low average PBV illustrates this point. Asset scale without proportionate market expectation does not automatically create valuation premium.</w:t>
      </w:r>
    </w:p>
    <w:p w14:paraId="50BE53BA" w14:textId="77777777" w:rsidR="00ED08FF" w:rsidRDefault="00000000">
      <w:pPr>
        <w:pStyle w:val="BodyText"/>
        <w:spacing w:before="2" w:line="297" w:lineRule="auto"/>
        <w:ind w:right="1771"/>
      </w:pPr>
      <w:r>
        <w:t>H4 is supported statistically, but the direction is negative. This is an important empirical nuance. The relationship exists, but</w:t>
      </w:r>
      <w:r>
        <w:rPr>
          <w:spacing w:val="-4"/>
        </w:rPr>
        <w:t xml:space="preserve"> </w:t>
      </w:r>
      <w:r>
        <w:t>it</w:t>
      </w:r>
      <w:r>
        <w:rPr>
          <w:spacing w:val="-4"/>
        </w:rPr>
        <w:t xml:space="preserve"> </w:t>
      </w:r>
      <w:r>
        <w:t>is</w:t>
      </w:r>
      <w:r>
        <w:rPr>
          <w:spacing w:val="-4"/>
        </w:rPr>
        <w:t xml:space="preserve"> </w:t>
      </w:r>
      <w:r>
        <w:t>not</w:t>
      </w:r>
      <w:r>
        <w:rPr>
          <w:spacing w:val="-4"/>
        </w:rPr>
        <w:t xml:space="preserve"> </w:t>
      </w:r>
      <w:r>
        <w:t>the</w:t>
      </w:r>
      <w:r>
        <w:rPr>
          <w:spacing w:val="-4"/>
        </w:rPr>
        <w:t xml:space="preserve"> </w:t>
      </w:r>
      <w:r>
        <w:t>positive</w:t>
      </w:r>
      <w:r>
        <w:rPr>
          <w:spacing w:val="-4"/>
        </w:rPr>
        <w:t xml:space="preserve"> </w:t>
      </w:r>
      <w:r>
        <w:t>relationship</w:t>
      </w:r>
      <w:r>
        <w:rPr>
          <w:spacing w:val="-3"/>
        </w:rPr>
        <w:t xml:space="preserve"> </w:t>
      </w:r>
      <w:r>
        <w:t>often</w:t>
      </w:r>
      <w:r>
        <w:rPr>
          <w:spacing w:val="-3"/>
        </w:rPr>
        <w:t xml:space="preserve"> </w:t>
      </w:r>
      <w:r>
        <w:t>assumed</w:t>
      </w:r>
      <w:r>
        <w:rPr>
          <w:spacing w:val="-3"/>
        </w:rPr>
        <w:t xml:space="preserve"> </w:t>
      </w:r>
      <w:r>
        <w:t>in</w:t>
      </w:r>
      <w:r>
        <w:rPr>
          <w:spacing w:val="-3"/>
        </w:rPr>
        <w:t xml:space="preserve"> </w:t>
      </w:r>
      <w:r>
        <w:t>simple</w:t>
      </w:r>
      <w:r>
        <w:rPr>
          <w:spacing w:val="-4"/>
        </w:rPr>
        <w:t xml:space="preserve"> </w:t>
      </w:r>
      <w:r>
        <w:t>financial-ratio</w:t>
      </w:r>
      <w:r>
        <w:rPr>
          <w:spacing w:val="-3"/>
        </w:rPr>
        <w:t xml:space="preserve"> </w:t>
      </w:r>
      <w:r>
        <w:t>discussions.</w:t>
      </w:r>
      <w:r>
        <w:rPr>
          <w:spacing w:val="-3"/>
        </w:rPr>
        <w:t xml:space="preserve"> </w:t>
      </w:r>
      <w:r>
        <w:t>In</w:t>
      </w:r>
      <w:r>
        <w:rPr>
          <w:spacing w:val="-3"/>
        </w:rPr>
        <w:t xml:space="preserve"> </w:t>
      </w:r>
      <w:r>
        <w:t>this</w:t>
      </w:r>
      <w:r>
        <w:rPr>
          <w:spacing w:val="-4"/>
        </w:rPr>
        <w:t xml:space="preserve"> </w:t>
      </w:r>
      <w:r>
        <w:t>sample,</w:t>
      </w:r>
      <w:r>
        <w:rPr>
          <w:spacing w:val="-3"/>
        </w:rPr>
        <w:t xml:space="preserve"> </w:t>
      </w:r>
      <w:r>
        <w:t>higher</w:t>
      </w:r>
      <w:r>
        <w:rPr>
          <w:spacing w:val="-3"/>
        </w:rPr>
        <w:t xml:space="preserve"> </w:t>
      </w:r>
      <w:r>
        <w:t>current</w:t>
      </w:r>
      <w:r>
        <w:rPr>
          <w:spacing w:val="-4"/>
        </w:rPr>
        <w:t xml:space="preserve"> </w:t>
      </w:r>
      <w:r>
        <w:t>ratio corresponds</w:t>
      </w:r>
      <w:r>
        <w:rPr>
          <w:spacing w:val="-1"/>
        </w:rPr>
        <w:t xml:space="preserve"> </w:t>
      </w:r>
      <w:r>
        <w:t>to lower PBV</w:t>
      </w:r>
      <w:r>
        <w:rPr>
          <w:spacing w:val="-1"/>
        </w:rPr>
        <w:t xml:space="preserve"> </w:t>
      </w:r>
      <w:r>
        <w:t>after controls. The</w:t>
      </w:r>
      <w:r>
        <w:rPr>
          <w:spacing w:val="-1"/>
        </w:rPr>
        <w:t xml:space="preserve"> </w:t>
      </w:r>
      <w:r>
        <w:t>result</w:t>
      </w:r>
      <w:r>
        <w:rPr>
          <w:spacing w:val="-1"/>
        </w:rPr>
        <w:t xml:space="preserve"> </w:t>
      </w:r>
      <w:r>
        <w:t>suggests</w:t>
      </w:r>
      <w:r>
        <w:rPr>
          <w:spacing w:val="-1"/>
        </w:rPr>
        <w:t xml:space="preserve"> </w:t>
      </w:r>
      <w:r>
        <w:t>that</w:t>
      </w:r>
      <w:r>
        <w:rPr>
          <w:spacing w:val="-1"/>
        </w:rPr>
        <w:t xml:space="preserve"> </w:t>
      </w:r>
      <w:r>
        <w:t>investors may prefer efficient</w:t>
      </w:r>
      <w:r>
        <w:rPr>
          <w:spacing w:val="-1"/>
        </w:rPr>
        <w:t xml:space="preserve"> </w:t>
      </w:r>
      <w:r>
        <w:t>working capital</w:t>
      </w:r>
      <w:r>
        <w:rPr>
          <w:spacing w:val="-1"/>
        </w:rPr>
        <w:t xml:space="preserve"> </w:t>
      </w:r>
      <w:r>
        <w:t>rather than excessive liquidity. A healthy firm needs enough liquidity, but value creation requires productive use of resources.</w:t>
      </w:r>
    </w:p>
    <w:p w14:paraId="309EF431" w14:textId="77777777" w:rsidR="00ED08FF" w:rsidRDefault="00ED08FF">
      <w:pPr>
        <w:pStyle w:val="BodyText"/>
        <w:spacing w:before="51"/>
        <w:ind w:left="0"/>
      </w:pPr>
    </w:p>
    <w:p w14:paraId="5D0ACBAC" w14:textId="77777777" w:rsidR="00ED08FF" w:rsidRDefault="00000000">
      <w:pPr>
        <w:pStyle w:val="Heading2"/>
        <w:numPr>
          <w:ilvl w:val="1"/>
          <w:numId w:val="1"/>
        </w:numPr>
        <w:tabs>
          <w:tab w:val="left" w:pos="415"/>
        </w:tabs>
        <w:ind w:left="415"/>
      </w:pPr>
      <w:r>
        <w:t>Discussion</w:t>
      </w:r>
      <w:r>
        <w:rPr>
          <w:spacing w:val="-4"/>
        </w:rPr>
        <w:t xml:space="preserve"> </w:t>
      </w:r>
      <w:r>
        <w:t>and</w:t>
      </w:r>
      <w:r>
        <w:rPr>
          <w:spacing w:val="-4"/>
        </w:rPr>
        <w:t xml:space="preserve"> </w:t>
      </w:r>
      <w:r>
        <w:t>Accounting</w:t>
      </w:r>
      <w:r>
        <w:rPr>
          <w:spacing w:val="-3"/>
        </w:rPr>
        <w:t xml:space="preserve"> </w:t>
      </w:r>
      <w:r>
        <w:rPr>
          <w:spacing w:val="-2"/>
        </w:rPr>
        <w:t>Interpretation</w:t>
      </w:r>
    </w:p>
    <w:p w14:paraId="02347774" w14:textId="77777777" w:rsidR="00ED08FF" w:rsidRDefault="00000000">
      <w:pPr>
        <w:pStyle w:val="BodyText"/>
        <w:spacing w:before="50" w:line="297" w:lineRule="auto"/>
        <w:ind w:right="1903"/>
      </w:pPr>
      <w:r>
        <w:t>The</w:t>
      </w:r>
      <w:r>
        <w:rPr>
          <w:spacing w:val="-4"/>
        </w:rPr>
        <w:t xml:space="preserve"> </w:t>
      </w:r>
      <w:r>
        <w:t>findings</w:t>
      </w:r>
      <w:r>
        <w:rPr>
          <w:spacing w:val="-4"/>
        </w:rPr>
        <w:t xml:space="preserve"> </w:t>
      </w:r>
      <w:r>
        <w:t>provide</w:t>
      </w:r>
      <w:r>
        <w:rPr>
          <w:spacing w:val="-4"/>
        </w:rPr>
        <w:t xml:space="preserve"> </w:t>
      </w:r>
      <w:r>
        <w:t>an</w:t>
      </w:r>
      <w:r>
        <w:rPr>
          <w:spacing w:val="-3"/>
        </w:rPr>
        <w:t xml:space="preserve"> </w:t>
      </w:r>
      <w:r>
        <w:t>accounting</w:t>
      </w:r>
      <w:r>
        <w:rPr>
          <w:spacing w:val="-3"/>
        </w:rPr>
        <w:t xml:space="preserve"> </w:t>
      </w:r>
      <w:r>
        <w:t>interpretation</w:t>
      </w:r>
      <w:r>
        <w:rPr>
          <w:spacing w:val="-3"/>
        </w:rPr>
        <w:t xml:space="preserve"> </w:t>
      </w:r>
      <w:r>
        <w:t>of</w:t>
      </w:r>
      <w:r>
        <w:rPr>
          <w:spacing w:val="-3"/>
        </w:rPr>
        <w:t xml:space="preserve"> </w:t>
      </w:r>
      <w:r>
        <w:t>market</w:t>
      </w:r>
      <w:r>
        <w:rPr>
          <w:spacing w:val="-4"/>
        </w:rPr>
        <w:t xml:space="preserve"> </w:t>
      </w:r>
      <w:r>
        <w:t>valuation</w:t>
      </w:r>
      <w:r>
        <w:rPr>
          <w:spacing w:val="-3"/>
        </w:rPr>
        <w:t xml:space="preserve"> </w:t>
      </w:r>
      <w:r>
        <w:t>in</w:t>
      </w:r>
      <w:r>
        <w:rPr>
          <w:spacing w:val="-3"/>
        </w:rPr>
        <w:t xml:space="preserve"> </w:t>
      </w:r>
      <w:r>
        <w:t>the</w:t>
      </w:r>
      <w:r>
        <w:rPr>
          <w:spacing w:val="-4"/>
        </w:rPr>
        <w:t xml:space="preserve"> </w:t>
      </w:r>
      <w:r>
        <w:t>Indonesian</w:t>
      </w:r>
      <w:r>
        <w:rPr>
          <w:spacing w:val="-3"/>
        </w:rPr>
        <w:t xml:space="preserve"> </w:t>
      </w:r>
      <w:r>
        <w:t>consumer</w:t>
      </w:r>
      <w:r>
        <w:rPr>
          <w:spacing w:val="-3"/>
        </w:rPr>
        <w:t xml:space="preserve"> </w:t>
      </w:r>
      <w:r>
        <w:t>non-cyclicals</w:t>
      </w:r>
      <w:r>
        <w:rPr>
          <w:spacing w:val="-4"/>
        </w:rPr>
        <w:t xml:space="preserve"> </w:t>
      </w:r>
      <w:r>
        <w:t>sector. The</w:t>
      </w:r>
      <w:r>
        <w:rPr>
          <w:spacing w:val="-1"/>
        </w:rPr>
        <w:t xml:space="preserve"> </w:t>
      </w:r>
      <w:r>
        <w:t>market</w:t>
      </w:r>
      <w:r>
        <w:rPr>
          <w:spacing w:val="-1"/>
        </w:rPr>
        <w:t xml:space="preserve"> </w:t>
      </w:r>
      <w:r>
        <w:t>appears</w:t>
      </w:r>
      <w:r>
        <w:rPr>
          <w:spacing w:val="-1"/>
        </w:rPr>
        <w:t xml:space="preserve"> </w:t>
      </w:r>
      <w:r>
        <w:t>to reward profitability more</w:t>
      </w:r>
      <w:r>
        <w:rPr>
          <w:spacing w:val="-1"/>
        </w:rPr>
        <w:t xml:space="preserve"> </w:t>
      </w:r>
      <w:r>
        <w:t>consistently than size</w:t>
      </w:r>
      <w:r>
        <w:rPr>
          <w:spacing w:val="-1"/>
        </w:rPr>
        <w:t xml:space="preserve"> </w:t>
      </w:r>
      <w:r>
        <w:t>or leverage. This</w:t>
      </w:r>
      <w:r>
        <w:rPr>
          <w:spacing w:val="-1"/>
        </w:rPr>
        <w:t xml:space="preserve"> </w:t>
      </w:r>
      <w:r>
        <w:t>is</w:t>
      </w:r>
      <w:r>
        <w:rPr>
          <w:spacing w:val="-1"/>
        </w:rPr>
        <w:t xml:space="preserve"> </w:t>
      </w:r>
      <w:r>
        <w:t>logical</w:t>
      </w:r>
      <w:r>
        <w:rPr>
          <w:spacing w:val="-1"/>
        </w:rPr>
        <w:t xml:space="preserve"> </w:t>
      </w:r>
      <w:r>
        <w:t>because</w:t>
      </w:r>
      <w:r>
        <w:rPr>
          <w:spacing w:val="-1"/>
        </w:rPr>
        <w:t xml:space="preserve"> </w:t>
      </w:r>
      <w:r>
        <w:t>profitability</w:t>
      </w:r>
    </w:p>
    <w:p w14:paraId="31D75B2F" w14:textId="77777777" w:rsidR="00ED08FF" w:rsidRDefault="00ED08FF">
      <w:pPr>
        <w:pStyle w:val="BodyText"/>
        <w:spacing w:before="51"/>
        <w:ind w:left="0"/>
      </w:pPr>
    </w:p>
    <w:p w14:paraId="2DD1DCD7" w14:textId="77777777" w:rsidR="00ED08FF" w:rsidRDefault="00000000">
      <w:pPr>
        <w:pStyle w:val="BodyText"/>
        <w:spacing w:before="0" w:line="297" w:lineRule="auto"/>
        <w:ind w:right="1903"/>
      </w:pPr>
      <w:r>
        <w:t>captures</w:t>
      </w:r>
      <w:r>
        <w:rPr>
          <w:spacing w:val="-3"/>
        </w:rPr>
        <w:t xml:space="preserve"> </w:t>
      </w:r>
      <w:r>
        <w:t>the</w:t>
      </w:r>
      <w:r>
        <w:rPr>
          <w:spacing w:val="-3"/>
        </w:rPr>
        <w:t xml:space="preserve"> </w:t>
      </w:r>
      <w:r>
        <w:t>output</w:t>
      </w:r>
      <w:r>
        <w:rPr>
          <w:spacing w:val="-3"/>
        </w:rPr>
        <w:t xml:space="preserve"> </w:t>
      </w:r>
      <w:r>
        <w:t>of</w:t>
      </w:r>
      <w:r>
        <w:rPr>
          <w:spacing w:val="-2"/>
        </w:rPr>
        <w:t xml:space="preserve"> </w:t>
      </w:r>
      <w:r>
        <w:t>management</w:t>
      </w:r>
      <w:r>
        <w:rPr>
          <w:spacing w:val="-3"/>
        </w:rPr>
        <w:t xml:space="preserve"> </w:t>
      </w:r>
      <w:r>
        <w:t>decisions.</w:t>
      </w:r>
      <w:r>
        <w:rPr>
          <w:spacing w:val="-2"/>
        </w:rPr>
        <w:t xml:space="preserve"> </w:t>
      </w:r>
      <w:r>
        <w:t>Investors</w:t>
      </w:r>
      <w:r>
        <w:rPr>
          <w:spacing w:val="-3"/>
        </w:rPr>
        <w:t xml:space="preserve"> </w:t>
      </w:r>
      <w:r>
        <w:t>do</w:t>
      </w:r>
      <w:r>
        <w:rPr>
          <w:spacing w:val="-2"/>
        </w:rPr>
        <w:t xml:space="preserve"> </w:t>
      </w:r>
      <w:r>
        <w:t>not</w:t>
      </w:r>
      <w:r>
        <w:rPr>
          <w:spacing w:val="-3"/>
        </w:rPr>
        <w:t xml:space="preserve"> </w:t>
      </w:r>
      <w:r>
        <w:t>only</w:t>
      </w:r>
      <w:r>
        <w:rPr>
          <w:spacing w:val="-2"/>
        </w:rPr>
        <w:t xml:space="preserve"> </w:t>
      </w:r>
      <w:r>
        <w:t>see</w:t>
      </w:r>
      <w:r>
        <w:rPr>
          <w:spacing w:val="-3"/>
        </w:rPr>
        <w:t xml:space="preserve"> </w:t>
      </w:r>
      <w:r>
        <w:t>how</w:t>
      </w:r>
      <w:r>
        <w:rPr>
          <w:spacing w:val="-3"/>
        </w:rPr>
        <w:t xml:space="preserve"> </w:t>
      </w:r>
      <w:r>
        <w:t>much</w:t>
      </w:r>
      <w:r>
        <w:rPr>
          <w:spacing w:val="-2"/>
        </w:rPr>
        <w:t xml:space="preserve"> </w:t>
      </w:r>
      <w:r>
        <w:t>a</w:t>
      </w:r>
      <w:r>
        <w:rPr>
          <w:spacing w:val="-3"/>
        </w:rPr>
        <w:t xml:space="preserve"> </w:t>
      </w:r>
      <w:r>
        <w:t>company</w:t>
      </w:r>
      <w:r>
        <w:rPr>
          <w:spacing w:val="-2"/>
        </w:rPr>
        <w:t xml:space="preserve"> </w:t>
      </w:r>
      <w:r>
        <w:t>owns;</w:t>
      </w:r>
      <w:r>
        <w:rPr>
          <w:spacing w:val="-3"/>
        </w:rPr>
        <w:t xml:space="preserve"> </w:t>
      </w:r>
      <w:r>
        <w:t>they</w:t>
      </w:r>
      <w:r>
        <w:rPr>
          <w:spacing w:val="-2"/>
        </w:rPr>
        <w:t xml:space="preserve"> </w:t>
      </w:r>
      <w:r>
        <w:t>see</w:t>
      </w:r>
      <w:r>
        <w:rPr>
          <w:spacing w:val="-3"/>
        </w:rPr>
        <w:t xml:space="preserve"> </w:t>
      </w:r>
      <w:r>
        <w:t>what</w:t>
      </w:r>
      <w:r>
        <w:rPr>
          <w:spacing w:val="-3"/>
        </w:rPr>
        <w:t xml:space="preserve"> </w:t>
      </w:r>
      <w:r>
        <w:t>the company earns from what it owns. ROA therefore has a stronger valuation message than total assets alone.</w:t>
      </w:r>
    </w:p>
    <w:p w14:paraId="6711E883" w14:textId="77777777" w:rsidR="00ED08FF" w:rsidRDefault="00000000">
      <w:pPr>
        <w:pStyle w:val="BodyText"/>
        <w:spacing w:before="0"/>
      </w:pPr>
      <w:r>
        <w:t>The</w:t>
      </w:r>
      <w:r>
        <w:rPr>
          <w:spacing w:val="-4"/>
        </w:rPr>
        <w:t xml:space="preserve"> </w:t>
      </w:r>
      <w:r>
        <w:t>insignificance</w:t>
      </w:r>
      <w:r>
        <w:rPr>
          <w:spacing w:val="-3"/>
        </w:rPr>
        <w:t xml:space="preserve"> </w:t>
      </w:r>
      <w:r>
        <w:t>of</w:t>
      </w:r>
      <w:r>
        <w:rPr>
          <w:spacing w:val="-2"/>
        </w:rPr>
        <w:t xml:space="preserve"> </w:t>
      </w:r>
      <w:r>
        <w:t>firm</w:t>
      </w:r>
      <w:r>
        <w:rPr>
          <w:spacing w:val="-4"/>
        </w:rPr>
        <w:t xml:space="preserve"> </w:t>
      </w:r>
      <w:r>
        <w:t>size</w:t>
      </w:r>
      <w:r>
        <w:rPr>
          <w:spacing w:val="-3"/>
        </w:rPr>
        <w:t xml:space="preserve"> </w:t>
      </w:r>
      <w:r>
        <w:t>also</w:t>
      </w:r>
      <w:r>
        <w:rPr>
          <w:spacing w:val="-2"/>
        </w:rPr>
        <w:t xml:space="preserve"> </w:t>
      </w:r>
      <w:r>
        <w:t>shows</w:t>
      </w:r>
      <w:r>
        <w:rPr>
          <w:spacing w:val="-4"/>
        </w:rPr>
        <w:t xml:space="preserve"> </w:t>
      </w:r>
      <w:r>
        <w:t>that</w:t>
      </w:r>
      <w:r>
        <w:rPr>
          <w:spacing w:val="-3"/>
        </w:rPr>
        <w:t xml:space="preserve"> </w:t>
      </w:r>
      <w:r>
        <w:t>scale</w:t>
      </w:r>
      <w:r>
        <w:rPr>
          <w:spacing w:val="-3"/>
        </w:rPr>
        <w:t xml:space="preserve"> </w:t>
      </w:r>
      <w:r>
        <w:t>should</w:t>
      </w:r>
      <w:r>
        <w:rPr>
          <w:spacing w:val="-3"/>
        </w:rPr>
        <w:t xml:space="preserve"> </w:t>
      </w:r>
      <w:r>
        <w:t>be</w:t>
      </w:r>
      <w:r>
        <w:rPr>
          <w:spacing w:val="-3"/>
        </w:rPr>
        <w:t xml:space="preserve"> </w:t>
      </w:r>
      <w:r>
        <w:t>treated</w:t>
      </w:r>
      <w:r>
        <w:rPr>
          <w:spacing w:val="-2"/>
        </w:rPr>
        <w:t xml:space="preserve"> </w:t>
      </w:r>
      <w:r>
        <w:t>carefully</w:t>
      </w:r>
      <w:r>
        <w:rPr>
          <w:spacing w:val="-3"/>
        </w:rPr>
        <w:t xml:space="preserve"> </w:t>
      </w:r>
      <w:r>
        <w:t>in</w:t>
      </w:r>
      <w:r>
        <w:rPr>
          <w:spacing w:val="-2"/>
        </w:rPr>
        <w:t xml:space="preserve"> </w:t>
      </w:r>
      <w:r>
        <w:t>accounting</w:t>
      </w:r>
      <w:r>
        <w:rPr>
          <w:spacing w:val="-3"/>
        </w:rPr>
        <w:t xml:space="preserve"> </w:t>
      </w:r>
      <w:r>
        <w:t>analysis.</w:t>
      </w:r>
      <w:r>
        <w:rPr>
          <w:spacing w:val="-2"/>
        </w:rPr>
        <w:t xml:space="preserve"> </w:t>
      </w:r>
      <w:r>
        <w:t>Large</w:t>
      </w:r>
      <w:r>
        <w:rPr>
          <w:spacing w:val="-3"/>
        </w:rPr>
        <w:t xml:space="preserve"> </w:t>
      </w:r>
      <w:r>
        <w:t>firms</w:t>
      </w:r>
      <w:r>
        <w:rPr>
          <w:spacing w:val="-3"/>
        </w:rPr>
        <w:t xml:space="preserve"> </w:t>
      </w:r>
      <w:r>
        <w:rPr>
          <w:spacing w:val="-5"/>
        </w:rPr>
        <w:t>may</w:t>
      </w:r>
    </w:p>
    <w:p w14:paraId="3511E393" w14:textId="77777777" w:rsidR="00ED08FF" w:rsidRDefault="00ED08FF">
      <w:pPr>
        <w:pStyle w:val="BodyText"/>
        <w:sectPr w:rsidR="00ED08FF">
          <w:type w:val="continuous"/>
          <w:pgSz w:w="12240" w:h="15840"/>
          <w:pgMar w:top="1040" w:right="720" w:bottom="860" w:left="720" w:header="0" w:footer="669" w:gutter="0"/>
          <w:cols w:space="720"/>
        </w:sectPr>
      </w:pPr>
    </w:p>
    <w:p w14:paraId="0A544D28" w14:textId="77777777" w:rsidR="00ED08FF" w:rsidRDefault="00000000">
      <w:pPr>
        <w:pStyle w:val="BodyText"/>
        <w:spacing w:before="64" w:line="297" w:lineRule="auto"/>
        <w:ind w:right="2140"/>
      </w:pPr>
      <w:r>
        <w:lastRenderedPageBreak/>
        <w:t>have</w:t>
      </w:r>
      <w:r>
        <w:rPr>
          <w:spacing w:val="-4"/>
        </w:rPr>
        <w:t xml:space="preserve"> </w:t>
      </w:r>
      <w:r>
        <w:t>advantages,</w:t>
      </w:r>
      <w:r>
        <w:rPr>
          <w:spacing w:val="-3"/>
        </w:rPr>
        <w:t xml:space="preserve"> </w:t>
      </w:r>
      <w:r>
        <w:t>but</w:t>
      </w:r>
      <w:r>
        <w:rPr>
          <w:spacing w:val="-4"/>
        </w:rPr>
        <w:t xml:space="preserve"> </w:t>
      </w:r>
      <w:r>
        <w:t>they</w:t>
      </w:r>
      <w:r>
        <w:rPr>
          <w:spacing w:val="-3"/>
        </w:rPr>
        <w:t xml:space="preserve"> </w:t>
      </w:r>
      <w:r>
        <w:t>may</w:t>
      </w:r>
      <w:r>
        <w:rPr>
          <w:spacing w:val="-3"/>
        </w:rPr>
        <w:t xml:space="preserve"> </w:t>
      </w:r>
      <w:r>
        <w:t>also</w:t>
      </w:r>
      <w:r>
        <w:rPr>
          <w:spacing w:val="-3"/>
        </w:rPr>
        <w:t xml:space="preserve"> </w:t>
      </w:r>
      <w:r>
        <w:t>face</w:t>
      </w:r>
      <w:r>
        <w:rPr>
          <w:spacing w:val="-4"/>
        </w:rPr>
        <w:t xml:space="preserve"> </w:t>
      </w:r>
      <w:r>
        <w:t>slower</w:t>
      </w:r>
      <w:r>
        <w:rPr>
          <w:spacing w:val="-3"/>
        </w:rPr>
        <w:t xml:space="preserve"> </w:t>
      </w:r>
      <w:r>
        <w:t>growth,</w:t>
      </w:r>
      <w:r>
        <w:rPr>
          <w:spacing w:val="-3"/>
        </w:rPr>
        <w:t xml:space="preserve"> </w:t>
      </w:r>
      <w:r>
        <w:t>mature</w:t>
      </w:r>
      <w:r>
        <w:rPr>
          <w:spacing w:val="-4"/>
        </w:rPr>
        <w:t xml:space="preserve"> </w:t>
      </w:r>
      <w:r>
        <w:t>markets,</w:t>
      </w:r>
      <w:r>
        <w:rPr>
          <w:spacing w:val="-3"/>
        </w:rPr>
        <w:t xml:space="preserve"> </w:t>
      </w:r>
      <w:r>
        <w:t>and</w:t>
      </w:r>
      <w:r>
        <w:rPr>
          <w:spacing w:val="-3"/>
        </w:rPr>
        <w:t xml:space="preserve"> </w:t>
      </w:r>
      <w:r>
        <w:t>lower</w:t>
      </w:r>
      <w:r>
        <w:rPr>
          <w:spacing w:val="-3"/>
        </w:rPr>
        <w:t xml:space="preserve"> </w:t>
      </w:r>
      <w:r>
        <w:t>valuation</w:t>
      </w:r>
      <w:r>
        <w:rPr>
          <w:spacing w:val="-3"/>
        </w:rPr>
        <w:t xml:space="preserve"> </w:t>
      </w:r>
      <w:r>
        <w:t>multiples.</w:t>
      </w:r>
      <w:r>
        <w:rPr>
          <w:spacing w:val="-3"/>
        </w:rPr>
        <w:t xml:space="preserve"> </w:t>
      </w:r>
      <w:r>
        <w:t>In</w:t>
      </w:r>
      <w:r>
        <w:rPr>
          <w:spacing w:val="-3"/>
        </w:rPr>
        <w:t xml:space="preserve"> </w:t>
      </w:r>
      <w:r>
        <w:t>the</w:t>
      </w:r>
      <w:r>
        <w:rPr>
          <w:spacing w:val="-4"/>
        </w:rPr>
        <w:t xml:space="preserve"> </w:t>
      </w:r>
      <w:r>
        <w:t>sample, large-scale food conglomerates do not necessarily have the highest PBV. This means that researchers should not use size as a superficial indicator of strength. Size is a control variable, not a substitute for performance.</w:t>
      </w:r>
    </w:p>
    <w:p w14:paraId="5F20A755" w14:textId="77777777" w:rsidR="00ED08FF" w:rsidRDefault="00000000">
      <w:pPr>
        <w:pStyle w:val="BodyText"/>
        <w:spacing w:line="297" w:lineRule="auto"/>
        <w:ind w:right="1903"/>
      </w:pPr>
      <w:r>
        <w:t>The</w:t>
      </w:r>
      <w:r>
        <w:rPr>
          <w:spacing w:val="-4"/>
        </w:rPr>
        <w:t xml:space="preserve"> </w:t>
      </w:r>
      <w:r>
        <w:t>leverage</w:t>
      </w:r>
      <w:r>
        <w:rPr>
          <w:spacing w:val="-4"/>
        </w:rPr>
        <w:t xml:space="preserve"> </w:t>
      </w:r>
      <w:r>
        <w:t>result</w:t>
      </w:r>
      <w:r>
        <w:rPr>
          <w:spacing w:val="-4"/>
        </w:rPr>
        <w:t xml:space="preserve"> </w:t>
      </w:r>
      <w:r>
        <w:t>suggests</w:t>
      </w:r>
      <w:r>
        <w:rPr>
          <w:spacing w:val="-4"/>
        </w:rPr>
        <w:t xml:space="preserve"> </w:t>
      </w:r>
      <w:r>
        <w:t>that</w:t>
      </w:r>
      <w:r>
        <w:rPr>
          <w:spacing w:val="-4"/>
        </w:rPr>
        <w:t xml:space="preserve"> </w:t>
      </w:r>
      <w:r>
        <w:t>debt</w:t>
      </w:r>
      <w:r>
        <w:rPr>
          <w:spacing w:val="-4"/>
        </w:rPr>
        <w:t xml:space="preserve"> </w:t>
      </w:r>
      <w:r>
        <w:t>is</w:t>
      </w:r>
      <w:r>
        <w:rPr>
          <w:spacing w:val="-4"/>
        </w:rPr>
        <w:t xml:space="preserve"> </w:t>
      </w:r>
      <w:r>
        <w:t>not</w:t>
      </w:r>
      <w:r>
        <w:rPr>
          <w:spacing w:val="-4"/>
        </w:rPr>
        <w:t xml:space="preserve"> </w:t>
      </w:r>
      <w:r>
        <w:t>automatically</w:t>
      </w:r>
      <w:r>
        <w:rPr>
          <w:spacing w:val="-3"/>
        </w:rPr>
        <w:t xml:space="preserve"> </w:t>
      </w:r>
      <w:r>
        <w:t>penalized</w:t>
      </w:r>
      <w:r>
        <w:rPr>
          <w:spacing w:val="-3"/>
        </w:rPr>
        <w:t xml:space="preserve"> </w:t>
      </w:r>
      <w:r>
        <w:t>or</w:t>
      </w:r>
      <w:r>
        <w:rPr>
          <w:spacing w:val="-3"/>
        </w:rPr>
        <w:t xml:space="preserve"> </w:t>
      </w:r>
      <w:r>
        <w:t>rewarded.</w:t>
      </w:r>
      <w:r>
        <w:rPr>
          <w:spacing w:val="-3"/>
        </w:rPr>
        <w:t xml:space="preserve"> </w:t>
      </w:r>
      <w:r>
        <w:t>Investors</w:t>
      </w:r>
      <w:r>
        <w:rPr>
          <w:spacing w:val="-4"/>
        </w:rPr>
        <w:t xml:space="preserve"> </w:t>
      </w:r>
      <w:r>
        <w:t>likely</w:t>
      </w:r>
      <w:r>
        <w:rPr>
          <w:spacing w:val="-3"/>
        </w:rPr>
        <w:t xml:space="preserve"> </w:t>
      </w:r>
      <w:r>
        <w:t>interpret</w:t>
      </w:r>
      <w:r>
        <w:rPr>
          <w:spacing w:val="-4"/>
        </w:rPr>
        <w:t xml:space="preserve"> </w:t>
      </w:r>
      <w:r>
        <w:t>leverage</w:t>
      </w:r>
      <w:r>
        <w:rPr>
          <w:spacing w:val="-4"/>
        </w:rPr>
        <w:t xml:space="preserve"> </w:t>
      </w:r>
      <w:r>
        <w:t>in relation to cash-flow</w:t>
      </w:r>
      <w:r>
        <w:rPr>
          <w:spacing w:val="-1"/>
        </w:rPr>
        <w:t xml:space="preserve"> </w:t>
      </w:r>
      <w:r>
        <w:t>stability and profitability. A</w:t>
      </w:r>
      <w:r>
        <w:rPr>
          <w:spacing w:val="-1"/>
        </w:rPr>
        <w:t xml:space="preserve"> </w:t>
      </w:r>
      <w:r>
        <w:t>food producer with stable</w:t>
      </w:r>
      <w:r>
        <w:rPr>
          <w:spacing w:val="-1"/>
        </w:rPr>
        <w:t xml:space="preserve"> </w:t>
      </w:r>
      <w:r>
        <w:t>demand and manageable</w:t>
      </w:r>
      <w:r>
        <w:rPr>
          <w:spacing w:val="-1"/>
        </w:rPr>
        <w:t xml:space="preserve"> </w:t>
      </w:r>
      <w:r>
        <w:t>debt</w:t>
      </w:r>
      <w:r>
        <w:rPr>
          <w:spacing w:val="-1"/>
        </w:rPr>
        <w:t xml:space="preserve"> </w:t>
      </w:r>
      <w:r>
        <w:t>may not</w:t>
      </w:r>
      <w:r>
        <w:rPr>
          <w:spacing w:val="-1"/>
        </w:rPr>
        <w:t xml:space="preserve"> </w:t>
      </w:r>
      <w:r>
        <w:t>be viewed as</w:t>
      </w:r>
      <w:r>
        <w:rPr>
          <w:spacing w:val="-1"/>
        </w:rPr>
        <w:t xml:space="preserve"> </w:t>
      </w:r>
      <w:r>
        <w:t>risky. A</w:t>
      </w:r>
      <w:r>
        <w:rPr>
          <w:spacing w:val="-1"/>
        </w:rPr>
        <w:t xml:space="preserve"> </w:t>
      </w:r>
      <w:r>
        <w:t>company with weak earnings</w:t>
      </w:r>
      <w:r>
        <w:rPr>
          <w:spacing w:val="-1"/>
        </w:rPr>
        <w:t xml:space="preserve"> </w:t>
      </w:r>
      <w:r>
        <w:t>and high debt</w:t>
      </w:r>
      <w:r>
        <w:rPr>
          <w:spacing w:val="-1"/>
        </w:rPr>
        <w:t xml:space="preserve"> </w:t>
      </w:r>
      <w:r>
        <w:t>would be</w:t>
      </w:r>
      <w:r>
        <w:rPr>
          <w:spacing w:val="-1"/>
        </w:rPr>
        <w:t xml:space="preserve"> </w:t>
      </w:r>
      <w:r>
        <w:t>treated differently. The</w:t>
      </w:r>
      <w:r>
        <w:rPr>
          <w:spacing w:val="-1"/>
        </w:rPr>
        <w:t xml:space="preserve"> </w:t>
      </w:r>
      <w:r>
        <w:t>use</w:t>
      </w:r>
      <w:r>
        <w:rPr>
          <w:spacing w:val="-1"/>
        </w:rPr>
        <w:t xml:space="preserve"> </w:t>
      </w:r>
      <w:r>
        <w:t>of one</w:t>
      </w:r>
      <w:r>
        <w:rPr>
          <w:spacing w:val="-1"/>
        </w:rPr>
        <w:t xml:space="preserve"> </w:t>
      </w:r>
      <w:r>
        <w:t>aggregate DER variable may be too broad to capture this nuance. A future study could distinguish interest-bearing debt, trade payables, and lease liabilities.</w:t>
      </w:r>
    </w:p>
    <w:p w14:paraId="02C063BD" w14:textId="77777777" w:rsidR="00ED08FF" w:rsidRDefault="00000000">
      <w:pPr>
        <w:pStyle w:val="BodyText"/>
      </w:pPr>
      <w:r>
        <w:t>The</w:t>
      </w:r>
      <w:r>
        <w:rPr>
          <w:spacing w:val="-7"/>
        </w:rPr>
        <w:t xml:space="preserve"> </w:t>
      </w:r>
      <w:r>
        <w:t>negative</w:t>
      </w:r>
      <w:r>
        <w:rPr>
          <w:spacing w:val="-5"/>
        </w:rPr>
        <w:t xml:space="preserve"> </w:t>
      </w:r>
      <w:r>
        <w:t>liquidity</w:t>
      </w:r>
      <w:r>
        <w:rPr>
          <w:spacing w:val="-3"/>
        </w:rPr>
        <w:t xml:space="preserve"> </w:t>
      </w:r>
      <w:r>
        <w:t>finding</w:t>
      </w:r>
      <w:r>
        <w:rPr>
          <w:spacing w:val="-4"/>
        </w:rPr>
        <w:t xml:space="preserve"> </w:t>
      </w:r>
      <w:r>
        <w:t>deserves</w:t>
      </w:r>
      <w:r>
        <w:rPr>
          <w:spacing w:val="-5"/>
        </w:rPr>
        <w:t xml:space="preserve"> </w:t>
      </w:r>
      <w:r>
        <w:t>particular</w:t>
      </w:r>
      <w:r>
        <w:rPr>
          <w:spacing w:val="-4"/>
        </w:rPr>
        <w:t xml:space="preserve"> </w:t>
      </w:r>
      <w:r>
        <w:t>attention.</w:t>
      </w:r>
      <w:r>
        <w:rPr>
          <w:spacing w:val="-3"/>
        </w:rPr>
        <w:t xml:space="preserve"> </w:t>
      </w:r>
      <w:r>
        <w:t>Many</w:t>
      </w:r>
      <w:r>
        <w:rPr>
          <w:spacing w:val="-4"/>
        </w:rPr>
        <w:t xml:space="preserve"> </w:t>
      </w:r>
      <w:r>
        <w:t>basic</w:t>
      </w:r>
      <w:r>
        <w:rPr>
          <w:spacing w:val="-5"/>
        </w:rPr>
        <w:t xml:space="preserve"> </w:t>
      </w:r>
      <w:r>
        <w:t>finance</w:t>
      </w:r>
      <w:r>
        <w:rPr>
          <w:spacing w:val="-4"/>
        </w:rPr>
        <w:t xml:space="preserve"> </w:t>
      </w:r>
      <w:r>
        <w:t>textbooks</w:t>
      </w:r>
      <w:r>
        <w:rPr>
          <w:spacing w:val="-5"/>
        </w:rPr>
        <w:t xml:space="preserve"> </w:t>
      </w:r>
      <w:r>
        <w:t>describe</w:t>
      </w:r>
      <w:r>
        <w:rPr>
          <w:spacing w:val="-4"/>
        </w:rPr>
        <w:t xml:space="preserve"> </w:t>
      </w:r>
      <w:r>
        <w:t>high</w:t>
      </w:r>
      <w:r>
        <w:rPr>
          <w:spacing w:val="-4"/>
        </w:rPr>
        <w:t xml:space="preserve"> </w:t>
      </w:r>
      <w:r>
        <w:t>current</w:t>
      </w:r>
      <w:r>
        <w:rPr>
          <w:spacing w:val="-5"/>
        </w:rPr>
        <w:t xml:space="preserve"> </w:t>
      </w:r>
      <w:r>
        <w:t>ratio</w:t>
      </w:r>
      <w:r>
        <w:rPr>
          <w:spacing w:val="-3"/>
        </w:rPr>
        <w:t xml:space="preserve"> </w:t>
      </w:r>
      <w:r>
        <w:rPr>
          <w:spacing w:val="-5"/>
        </w:rPr>
        <w:t>as</w:t>
      </w:r>
    </w:p>
    <w:p w14:paraId="29BF06CE" w14:textId="77777777" w:rsidR="00ED08FF" w:rsidRDefault="00000000">
      <w:pPr>
        <w:pStyle w:val="BodyText"/>
        <w:spacing w:before="50" w:line="297" w:lineRule="auto"/>
        <w:ind w:right="1825"/>
      </w:pPr>
      <w:r>
        <w:t>a</w:t>
      </w:r>
      <w:r>
        <w:rPr>
          <w:spacing w:val="-3"/>
        </w:rPr>
        <w:t xml:space="preserve"> </w:t>
      </w:r>
      <w:r>
        <w:t>positive</w:t>
      </w:r>
      <w:r>
        <w:rPr>
          <w:spacing w:val="-3"/>
        </w:rPr>
        <w:t xml:space="preserve"> </w:t>
      </w:r>
      <w:r>
        <w:t>sign.</w:t>
      </w:r>
      <w:r>
        <w:rPr>
          <w:spacing w:val="-2"/>
        </w:rPr>
        <w:t xml:space="preserve"> </w:t>
      </w:r>
      <w:r>
        <w:t>That</w:t>
      </w:r>
      <w:r>
        <w:rPr>
          <w:spacing w:val="-3"/>
        </w:rPr>
        <w:t xml:space="preserve"> </w:t>
      </w:r>
      <w:r>
        <w:t>is</w:t>
      </w:r>
      <w:r>
        <w:rPr>
          <w:spacing w:val="-3"/>
        </w:rPr>
        <w:t xml:space="preserve"> </w:t>
      </w:r>
      <w:r>
        <w:t>true</w:t>
      </w:r>
      <w:r>
        <w:rPr>
          <w:spacing w:val="-3"/>
        </w:rPr>
        <w:t xml:space="preserve"> </w:t>
      </w:r>
      <w:r>
        <w:t>from</w:t>
      </w:r>
      <w:r>
        <w:rPr>
          <w:spacing w:val="-3"/>
        </w:rPr>
        <w:t xml:space="preserve"> </w:t>
      </w:r>
      <w:r>
        <w:t>a</w:t>
      </w:r>
      <w:r>
        <w:rPr>
          <w:spacing w:val="-3"/>
        </w:rPr>
        <w:t xml:space="preserve"> </w:t>
      </w:r>
      <w:r>
        <w:t>short-term</w:t>
      </w:r>
      <w:r>
        <w:rPr>
          <w:spacing w:val="-3"/>
        </w:rPr>
        <w:t xml:space="preserve"> </w:t>
      </w:r>
      <w:r>
        <w:t>solvency</w:t>
      </w:r>
      <w:r>
        <w:rPr>
          <w:spacing w:val="-2"/>
        </w:rPr>
        <w:t xml:space="preserve"> </w:t>
      </w:r>
      <w:r>
        <w:t>perspective,</w:t>
      </w:r>
      <w:r>
        <w:rPr>
          <w:spacing w:val="-2"/>
        </w:rPr>
        <w:t xml:space="preserve"> </w:t>
      </w:r>
      <w:r>
        <w:t>but</w:t>
      </w:r>
      <w:r>
        <w:rPr>
          <w:spacing w:val="-3"/>
        </w:rPr>
        <w:t xml:space="preserve"> </w:t>
      </w:r>
      <w:r>
        <w:t>equity</w:t>
      </w:r>
      <w:r>
        <w:rPr>
          <w:spacing w:val="-2"/>
        </w:rPr>
        <w:t xml:space="preserve"> </w:t>
      </w:r>
      <w:r>
        <w:t>investors</w:t>
      </w:r>
      <w:r>
        <w:rPr>
          <w:spacing w:val="-3"/>
        </w:rPr>
        <w:t xml:space="preserve"> </w:t>
      </w:r>
      <w:r>
        <w:t>may</w:t>
      </w:r>
      <w:r>
        <w:rPr>
          <w:spacing w:val="-2"/>
        </w:rPr>
        <w:t xml:space="preserve"> </w:t>
      </w:r>
      <w:r>
        <w:t>have</w:t>
      </w:r>
      <w:r>
        <w:rPr>
          <w:spacing w:val="-3"/>
        </w:rPr>
        <w:t xml:space="preserve"> </w:t>
      </w:r>
      <w:r>
        <w:t>a</w:t>
      </w:r>
      <w:r>
        <w:rPr>
          <w:spacing w:val="-3"/>
        </w:rPr>
        <w:t xml:space="preserve"> </w:t>
      </w:r>
      <w:r>
        <w:t>different</w:t>
      </w:r>
      <w:r>
        <w:rPr>
          <w:spacing w:val="-3"/>
        </w:rPr>
        <w:t xml:space="preserve"> </w:t>
      </w:r>
      <w:r>
        <w:t>perspective. They want liquidity to support operations, not to sit idle. If a company holds too much current assets and fails to convert them into profit, PBV may not rise. This explains why liquidity can show a negative association with market valuation. The results also carry implications for how students should write accounting papers. A good empirical paper should not merely list ratios and run regression. It must interpret why the coefficients make sense in a business context. The same variable can have different meanings across sectors. In banking, liquidity has one meaning; in retail and food manufacturing, working capital has another. The sectoral context must guide interpretation.</w:t>
      </w:r>
    </w:p>
    <w:p w14:paraId="2074C8B5" w14:textId="77777777" w:rsidR="00ED08FF" w:rsidRDefault="00000000">
      <w:pPr>
        <w:pStyle w:val="BodyText"/>
        <w:spacing w:before="3"/>
      </w:pPr>
      <w:r>
        <w:t>For</w:t>
      </w:r>
      <w:r>
        <w:rPr>
          <w:spacing w:val="-6"/>
        </w:rPr>
        <w:t xml:space="preserve"> </w:t>
      </w:r>
      <w:r>
        <w:t>managers</w:t>
      </w:r>
      <w:r>
        <w:rPr>
          <w:spacing w:val="-4"/>
        </w:rPr>
        <w:t xml:space="preserve"> </w:t>
      </w:r>
      <w:r>
        <w:t>of</w:t>
      </w:r>
      <w:r>
        <w:rPr>
          <w:spacing w:val="-3"/>
        </w:rPr>
        <w:t xml:space="preserve"> </w:t>
      </w:r>
      <w:r>
        <w:t>consumer</w:t>
      </w:r>
      <w:r>
        <w:rPr>
          <w:spacing w:val="-3"/>
        </w:rPr>
        <w:t xml:space="preserve"> </w:t>
      </w:r>
      <w:r>
        <w:t>non-cyclicals</w:t>
      </w:r>
      <w:r>
        <w:rPr>
          <w:spacing w:val="-3"/>
        </w:rPr>
        <w:t xml:space="preserve"> </w:t>
      </w:r>
      <w:r>
        <w:t>companies,</w:t>
      </w:r>
      <w:r>
        <w:rPr>
          <w:spacing w:val="-4"/>
        </w:rPr>
        <w:t xml:space="preserve"> </w:t>
      </w:r>
      <w:r>
        <w:t>the</w:t>
      </w:r>
      <w:r>
        <w:rPr>
          <w:spacing w:val="-4"/>
        </w:rPr>
        <w:t xml:space="preserve"> </w:t>
      </w:r>
      <w:r>
        <w:t>findings</w:t>
      </w:r>
      <w:r>
        <w:rPr>
          <w:spacing w:val="-4"/>
        </w:rPr>
        <w:t xml:space="preserve"> </w:t>
      </w:r>
      <w:r>
        <w:t>suggest</w:t>
      </w:r>
      <w:r>
        <w:rPr>
          <w:spacing w:val="-4"/>
        </w:rPr>
        <w:t xml:space="preserve"> </w:t>
      </w:r>
      <w:r>
        <w:t>that</w:t>
      </w:r>
      <w:r>
        <w:rPr>
          <w:spacing w:val="-4"/>
        </w:rPr>
        <w:t xml:space="preserve"> </w:t>
      </w:r>
      <w:r>
        <w:t>investor</w:t>
      </w:r>
      <w:r>
        <w:rPr>
          <w:spacing w:val="-3"/>
        </w:rPr>
        <w:t xml:space="preserve"> </w:t>
      </w:r>
      <w:r>
        <w:t>communication</w:t>
      </w:r>
      <w:r>
        <w:rPr>
          <w:spacing w:val="-3"/>
        </w:rPr>
        <w:t xml:space="preserve"> </w:t>
      </w:r>
      <w:r>
        <w:rPr>
          <w:spacing w:val="-2"/>
        </w:rPr>
        <w:t>should</w:t>
      </w:r>
    </w:p>
    <w:p w14:paraId="3B449741" w14:textId="77777777" w:rsidR="00ED08FF" w:rsidRDefault="00000000">
      <w:pPr>
        <w:pStyle w:val="BodyText"/>
        <w:spacing w:before="50" w:line="297" w:lineRule="auto"/>
        <w:ind w:right="1787"/>
      </w:pPr>
      <w:r>
        <w:t>emphasize</w:t>
      </w:r>
      <w:r>
        <w:rPr>
          <w:spacing w:val="-4"/>
        </w:rPr>
        <w:t xml:space="preserve"> </w:t>
      </w:r>
      <w:r>
        <w:t>profitability</w:t>
      </w:r>
      <w:r>
        <w:rPr>
          <w:spacing w:val="-3"/>
        </w:rPr>
        <w:t xml:space="preserve"> </w:t>
      </w:r>
      <w:r>
        <w:t>quality,</w:t>
      </w:r>
      <w:r>
        <w:rPr>
          <w:spacing w:val="-3"/>
        </w:rPr>
        <w:t xml:space="preserve"> </w:t>
      </w:r>
      <w:r>
        <w:t>asset</w:t>
      </w:r>
      <w:r>
        <w:rPr>
          <w:spacing w:val="-4"/>
        </w:rPr>
        <w:t xml:space="preserve"> </w:t>
      </w:r>
      <w:r>
        <w:t>productivity,</w:t>
      </w:r>
      <w:r>
        <w:rPr>
          <w:spacing w:val="-3"/>
        </w:rPr>
        <w:t xml:space="preserve"> </w:t>
      </w:r>
      <w:r>
        <w:t>working</w:t>
      </w:r>
      <w:r>
        <w:rPr>
          <w:spacing w:val="-3"/>
        </w:rPr>
        <w:t xml:space="preserve"> </w:t>
      </w:r>
      <w:r>
        <w:t>capital</w:t>
      </w:r>
      <w:r>
        <w:rPr>
          <w:spacing w:val="-4"/>
        </w:rPr>
        <w:t xml:space="preserve"> </w:t>
      </w:r>
      <w:r>
        <w:t>efficiency,</w:t>
      </w:r>
      <w:r>
        <w:rPr>
          <w:spacing w:val="-3"/>
        </w:rPr>
        <w:t xml:space="preserve"> </w:t>
      </w:r>
      <w:r>
        <w:t>and</w:t>
      </w:r>
      <w:r>
        <w:rPr>
          <w:spacing w:val="-3"/>
        </w:rPr>
        <w:t xml:space="preserve"> </w:t>
      </w:r>
      <w:r>
        <w:t>strategic</w:t>
      </w:r>
      <w:r>
        <w:rPr>
          <w:spacing w:val="-4"/>
        </w:rPr>
        <w:t xml:space="preserve"> </w:t>
      </w:r>
      <w:r>
        <w:t>use</w:t>
      </w:r>
      <w:r>
        <w:rPr>
          <w:spacing w:val="-4"/>
        </w:rPr>
        <w:t xml:space="preserve"> </w:t>
      </w:r>
      <w:r>
        <w:t>of</w:t>
      </w:r>
      <w:r>
        <w:rPr>
          <w:spacing w:val="-3"/>
        </w:rPr>
        <w:t xml:space="preserve"> </w:t>
      </w:r>
      <w:r>
        <w:t>capital.</w:t>
      </w:r>
      <w:r>
        <w:rPr>
          <w:spacing w:val="-3"/>
        </w:rPr>
        <w:t xml:space="preserve"> </w:t>
      </w:r>
      <w:r>
        <w:t>Merely</w:t>
      </w:r>
      <w:r>
        <w:rPr>
          <w:spacing w:val="-3"/>
        </w:rPr>
        <w:t xml:space="preserve"> </w:t>
      </w:r>
      <w:r>
        <w:t>reporting large assets or high current ratios is not enough. Investors need evidence that resources are being converted into</w:t>
      </w:r>
      <w:r>
        <w:rPr>
          <w:spacing w:val="40"/>
        </w:rPr>
        <w:t xml:space="preserve"> </w:t>
      </w:r>
      <w:r>
        <w:t>sustainable earnings. Operational discipline is therefore a valuation issue, not only an internal management issue.</w:t>
      </w:r>
    </w:p>
    <w:p w14:paraId="516B67BD" w14:textId="77777777" w:rsidR="00ED08FF" w:rsidRDefault="00000000">
      <w:pPr>
        <w:pStyle w:val="BodyText"/>
        <w:spacing w:line="297" w:lineRule="auto"/>
        <w:ind w:right="1762"/>
      </w:pPr>
      <w:r>
        <w:rPr>
          <w:color w:val="000000"/>
          <w:highlight w:val="yellow"/>
        </w:rPr>
        <w:t>For investors, the findings suggest that PBV should be analysed together with ROA and liquidity indicators. A low PBV</w:t>
      </w:r>
      <w:r>
        <w:rPr>
          <w:color w:val="000000"/>
        </w:rPr>
        <w:t xml:space="preserve"> may reflect undervaluation, but it may also reflect weak profitability expectations. A high PBV may reflect strong brand equity</w:t>
      </w:r>
      <w:r>
        <w:rPr>
          <w:color w:val="000000"/>
          <w:spacing w:val="-3"/>
        </w:rPr>
        <w:t xml:space="preserve"> </w:t>
      </w:r>
      <w:r>
        <w:rPr>
          <w:color w:val="000000"/>
        </w:rPr>
        <w:t>and</w:t>
      </w:r>
      <w:r>
        <w:rPr>
          <w:color w:val="000000"/>
          <w:spacing w:val="-3"/>
        </w:rPr>
        <w:t xml:space="preserve"> </w:t>
      </w:r>
      <w:r>
        <w:rPr>
          <w:color w:val="000000"/>
        </w:rPr>
        <w:t>profitability,</w:t>
      </w:r>
      <w:r>
        <w:rPr>
          <w:color w:val="000000"/>
          <w:spacing w:val="-3"/>
        </w:rPr>
        <w:t xml:space="preserve"> </w:t>
      </w:r>
      <w:r>
        <w:rPr>
          <w:color w:val="000000"/>
        </w:rPr>
        <w:t>but</w:t>
      </w:r>
      <w:r>
        <w:rPr>
          <w:color w:val="000000"/>
          <w:spacing w:val="-4"/>
        </w:rPr>
        <w:t xml:space="preserve"> </w:t>
      </w:r>
      <w:r>
        <w:rPr>
          <w:color w:val="000000"/>
        </w:rPr>
        <w:t>it</w:t>
      </w:r>
      <w:r>
        <w:rPr>
          <w:color w:val="000000"/>
          <w:spacing w:val="-4"/>
        </w:rPr>
        <w:t xml:space="preserve"> </w:t>
      </w:r>
      <w:r>
        <w:rPr>
          <w:color w:val="000000"/>
        </w:rPr>
        <w:t>may</w:t>
      </w:r>
      <w:r>
        <w:rPr>
          <w:color w:val="000000"/>
          <w:spacing w:val="-3"/>
        </w:rPr>
        <w:t xml:space="preserve"> </w:t>
      </w:r>
      <w:r>
        <w:rPr>
          <w:color w:val="000000"/>
        </w:rPr>
        <w:t>also</w:t>
      </w:r>
      <w:r>
        <w:rPr>
          <w:color w:val="000000"/>
          <w:spacing w:val="-3"/>
        </w:rPr>
        <w:t xml:space="preserve"> </w:t>
      </w:r>
      <w:r>
        <w:rPr>
          <w:color w:val="000000"/>
        </w:rPr>
        <w:t>be</w:t>
      </w:r>
      <w:r>
        <w:rPr>
          <w:color w:val="000000"/>
          <w:spacing w:val="-4"/>
        </w:rPr>
        <w:t xml:space="preserve"> </w:t>
      </w:r>
      <w:r>
        <w:rPr>
          <w:color w:val="000000"/>
        </w:rPr>
        <w:t>vulnerable</w:t>
      </w:r>
      <w:r>
        <w:rPr>
          <w:color w:val="000000"/>
          <w:spacing w:val="-4"/>
        </w:rPr>
        <w:t xml:space="preserve"> </w:t>
      </w:r>
      <w:r>
        <w:rPr>
          <w:color w:val="000000"/>
        </w:rPr>
        <w:t>if</w:t>
      </w:r>
      <w:r>
        <w:rPr>
          <w:color w:val="000000"/>
          <w:spacing w:val="-3"/>
        </w:rPr>
        <w:t xml:space="preserve"> </w:t>
      </w:r>
      <w:r>
        <w:rPr>
          <w:color w:val="000000"/>
        </w:rPr>
        <w:t>growth</w:t>
      </w:r>
      <w:r>
        <w:rPr>
          <w:color w:val="000000"/>
          <w:spacing w:val="-3"/>
        </w:rPr>
        <w:t xml:space="preserve"> </w:t>
      </w:r>
      <w:r>
        <w:rPr>
          <w:color w:val="000000"/>
        </w:rPr>
        <w:t>expectations</w:t>
      </w:r>
      <w:r>
        <w:rPr>
          <w:color w:val="000000"/>
          <w:spacing w:val="-4"/>
        </w:rPr>
        <w:t xml:space="preserve"> </w:t>
      </w:r>
      <w:r>
        <w:rPr>
          <w:color w:val="000000"/>
        </w:rPr>
        <w:t>decline.</w:t>
      </w:r>
      <w:r>
        <w:rPr>
          <w:color w:val="000000"/>
          <w:spacing w:val="-3"/>
        </w:rPr>
        <w:t xml:space="preserve"> </w:t>
      </w:r>
      <w:r>
        <w:rPr>
          <w:color w:val="000000"/>
        </w:rPr>
        <w:t>Ratio</w:t>
      </w:r>
      <w:r>
        <w:rPr>
          <w:color w:val="000000"/>
          <w:spacing w:val="-3"/>
        </w:rPr>
        <w:t xml:space="preserve"> </w:t>
      </w:r>
      <w:r>
        <w:rPr>
          <w:color w:val="000000"/>
        </w:rPr>
        <w:t>analysis</w:t>
      </w:r>
      <w:r>
        <w:rPr>
          <w:color w:val="000000"/>
          <w:spacing w:val="-4"/>
        </w:rPr>
        <w:t xml:space="preserve"> </w:t>
      </w:r>
      <w:r>
        <w:rPr>
          <w:color w:val="000000"/>
        </w:rPr>
        <w:t>should</w:t>
      </w:r>
      <w:r>
        <w:rPr>
          <w:color w:val="000000"/>
          <w:spacing w:val="-3"/>
        </w:rPr>
        <w:t xml:space="preserve"> </w:t>
      </w:r>
      <w:r>
        <w:rPr>
          <w:color w:val="000000"/>
        </w:rPr>
        <w:t>be</w:t>
      </w:r>
      <w:r>
        <w:rPr>
          <w:color w:val="000000"/>
          <w:spacing w:val="-4"/>
        </w:rPr>
        <w:t xml:space="preserve"> </w:t>
      </w:r>
      <w:r>
        <w:rPr>
          <w:color w:val="000000"/>
        </w:rPr>
        <w:t>comparative and contextual. No single ratio is sufficient for investment judgment.</w:t>
      </w:r>
    </w:p>
    <w:p w14:paraId="2077904F" w14:textId="77777777" w:rsidR="00ED08FF" w:rsidRDefault="00000000">
      <w:pPr>
        <w:pStyle w:val="BodyText"/>
        <w:spacing w:line="297" w:lineRule="auto"/>
        <w:ind w:right="1903"/>
      </w:pPr>
      <w:r>
        <w:t>For academics, the study demonstrates that simple accounting variables remain useful when the research design is transparent.</w:t>
      </w:r>
      <w:r>
        <w:rPr>
          <w:spacing w:val="-3"/>
        </w:rPr>
        <w:t xml:space="preserve"> </w:t>
      </w:r>
      <w:r>
        <w:t>The</w:t>
      </w:r>
      <w:r>
        <w:rPr>
          <w:spacing w:val="-4"/>
        </w:rPr>
        <w:t xml:space="preserve"> </w:t>
      </w:r>
      <w:r>
        <w:t>model</w:t>
      </w:r>
      <w:r>
        <w:rPr>
          <w:spacing w:val="-4"/>
        </w:rPr>
        <w:t xml:space="preserve"> </w:t>
      </w:r>
      <w:r>
        <w:t>is</w:t>
      </w:r>
      <w:r>
        <w:rPr>
          <w:spacing w:val="-4"/>
        </w:rPr>
        <w:t xml:space="preserve"> </w:t>
      </w:r>
      <w:r>
        <w:t>not</w:t>
      </w:r>
      <w:r>
        <w:rPr>
          <w:spacing w:val="-4"/>
        </w:rPr>
        <w:t xml:space="preserve"> </w:t>
      </w:r>
      <w:r>
        <w:t>mathematically</w:t>
      </w:r>
      <w:r>
        <w:rPr>
          <w:spacing w:val="-3"/>
        </w:rPr>
        <w:t xml:space="preserve"> </w:t>
      </w:r>
      <w:r>
        <w:t>complex,</w:t>
      </w:r>
      <w:r>
        <w:rPr>
          <w:spacing w:val="-3"/>
        </w:rPr>
        <w:t xml:space="preserve"> </w:t>
      </w:r>
      <w:r>
        <w:t>but</w:t>
      </w:r>
      <w:r>
        <w:rPr>
          <w:spacing w:val="-4"/>
        </w:rPr>
        <w:t xml:space="preserve"> </w:t>
      </w:r>
      <w:r>
        <w:t>it</w:t>
      </w:r>
      <w:r>
        <w:rPr>
          <w:spacing w:val="-4"/>
        </w:rPr>
        <w:t xml:space="preserve"> </w:t>
      </w:r>
      <w:r>
        <w:t>is</w:t>
      </w:r>
      <w:r>
        <w:rPr>
          <w:spacing w:val="-4"/>
        </w:rPr>
        <w:t xml:space="preserve"> </w:t>
      </w:r>
      <w:r>
        <w:t>empirically</w:t>
      </w:r>
      <w:r>
        <w:rPr>
          <w:spacing w:val="-3"/>
        </w:rPr>
        <w:t xml:space="preserve"> </w:t>
      </w:r>
      <w:r>
        <w:t>meaningful.</w:t>
      </w:r>
      <w:r>
        <w:rPr>
          <w:spacing w:val="-3"/>
        </w:rPr>
        <w:t xml:space="preserve"> </w:t>
      </w:r>
      <w:r>
        <w:t>In</w:t>
      </w:r>
      <w:r>
        <w:rPr>
          <w:spacing w:val="-3"/>
        </w:rPr>
        <w:t xml:space="preserve"> </w:t>
      </w:r>
      <w:r>
        <w:t>many</w:t>
      </w:r>
      <w:r>
        <w:rPr>
          <w:spacing w:val="-3"/>
        </w:rPr>
        <w:t xml:space="preserve"> </w:t>
      </w:r>
      <w:r>
        <w:t>undergraduate</w:t>
      </w:r>
      <w:r>
        <w:rPr>
          <w:spacing w:val="-4"/>
        </w:rPr>
        <w:t xml:space="preserve"> </w:t>
      </w:r>
      <w:r>
        <w:t>and</w:t>
      </w:r>
      <w:r>
        <w:rPr>
          <w:spacing w:val="-3"/>
        </w:rPr>
        <w:t xml:space="preserve"> </w:t>
      </w:r>
      <w:r>
        <w:t>early graduate papers, the real problem is not the lack of sophisticated variables; it is unclear data, inconsistent measurement, and weak interpretation. This paper prioritizes clarity and replicability.</w:t>
      </w:r>
    </w:p>
    <w:p w14:paraId="25E7E797" w14:textId="77777777" w:rsidR="00ED08FF" w:rsidRDefault="00ED08FF">
      <w:pPr>
        <w:pStyle w:val="BodyText"/>
        <w:spacing w:before="51"/>
        <w:ind w:left="0"/>
      </w:pPr>
    </w:p>
    <w:p w14:paraId="4CAC4ADF" w14:textId="77777777" w:rsidR="00ED08FF" w:rsidRDefault="00000000">
      <w:pPr>
        <w:pStyle w:val="Heading2"/>
        <w:numPr>
          <w:ilvl w:val="1"/>
          <w:numId w:val="1"/>
        </w:numPr>
        <w:tabs>
          <w:tab w:val="left" w:pos="415"/>
        </w:tabs>
        <w:spacing w:before="1"/>
        <w:ind w:left="415"/>
      </w:pPr>
      <w:r>
        <w:t>Firm-Year</w:t>
      </w:r>
      <w:r>
        <w:rPr>
          <w:spacing w:val="-4"/>
        </w:rPr>
        <w:t xml:space="preserve"> </w:t>
      </w:r>
      <w:r>
        <w:t>Dataset</w:t>
      </w:r>
      <w:r>
        <w:rPr>
          <w:spacing w:val="-3"/>
        </w:rPr>
        <w:t xml:space="preserve"> </w:t>
      </w:r>
      <w:r>
        <w:t>Used</w:t>
      </w:r>
      <w:r>
        <w:rPr>
          <w:spacing w:val="-4"/>
        </w:rPr>
        <w:t xml:space="preserve"> </w:t>
      </w:r>
      <w:r>
        <w:t>in</w:t>
      </w:r>
      <w:r>
        <w:rPr>
          <w:spacing w:val="-4"/>
        </w:rPr>
        <w:t xml:space="preserve"> </w:t>
      </w:r>
      <w:r>
        <w:t>the</w:t>
      </w:r>
      <w:r>
        <w:rPr>
          <w:spacing w:val="-3"/>
        </w:rPr>
        <w:t xml:space="preserve"> </w:t>
      </w:r>
      <w:r>
        <w:rPr>
          <w:spacing w:val="-2"/>
        </w:rPr>
        <w:t>Estimation</w:t>
      </w:r>
    </w:p>
    <w:p w14:paraId="08C11DA3" w14:textId="77777777" w:rsidR="00ED08FF" w:rsidRDefault="00000000">
      <w:pPr>
        <w:spacing w:before="50" w:after="50"/>
        <w:ind w:left="3498"/>
        <w:rPr>
          <w:b/>
          <w:sz w:val="18"/>
        </w:rPr>
      </w:pPr>
      <w:r>
        <w:rPr>
          <w:b/>
          <w:sz w:val="18"/>
        </w:rPr>
        <w:t>Table</w:t>
      </w:r>
      <w:r>
        <w:rPr>
          <w:b/>
          <w:spacing w:val="-6"/>
          <w:sz w:val="18"/>
        </w:rPr>
        <w:t xml:space="preserve"> </w:t>
      </w:r>
      <w:r>
        <w:rPr>
          <w:b/>
          <w:sz w:val="18"/>
        </w:rPr>
        <w:t>12:</w:t>
      </w:r>
      <w:r>
        <w:rPr>
          <w:b/>
          <w:spacing w:val="-3"/>
          <w:sz w:val="18"/>
        </w:rPr>
        <w:t xml:space="preserve"> </w:t>
      </w:r>
      <w:r>
        <w:rPr>
          <w:b/>
          <w:sz w:val="18"/>
        </w:rPr>
        <w:t>Firm-Year</w:t>
      </w:r>
      <w:r>
        <w:rPr>
          <w:b/>
          <w:spacing w:val="-4"/>
          <w:sz w:val="18"/>
        </w:rPr>
        <w:t xml:space="preserve"> </w:t>
      </w:r>
      <w:r>
        <w:rPr>
          <w:b/>
          <w:sz w:val="18"/>
        </w:rPr>
        <w:t>Dataset</w:t>
      </w:r>
      <w:r>
        <w:rPr>
          <w:b/>
          <w:spacing w:val="-3"/>
          <w:sz w:val="18"/>
        </w:rPr>
        <w:t xml:space="preserve"> </w:t>
      </w:r>
      <w:r>
        <w:rPr>
          <w:b/>
          <w:sz w:val="18"/>
        </w:rPr>
        <w:t>Used</w:t>
      </w:r>
      <w:r>
        <w:rPr>
          <w:b/>
          <w:spacing w:val="-4"/>
          <w:sz w:val="18"/>
        </w:rPr>
        <w:t xml:space="preserve"> </w:t>
      </w:r>
      <w:r>
        <w:rPr>
          <w:b/>
          <w:sz w:val="18"/>
        </w:rPr>
        <w:t>for</w:t>
      </w:r>
      <w:r>
        <w:rPr>
          <w:b/>
          <w:spacing w:val="-3"/>
          <w:sz w:val="18"/>
        </w:rPr>
        <w:t xml:space="preserve"> </w:t>
      </w:r>
      <w:r>
        <w:rPr>
          <w:b/>
          <w:spacing w:val="-2"/>
          <w:sz w:val="18"/>
        </w:rPr>
        <w:t>Estimation</w:t>
      </w:r>
    </w:p>
    <w:tbl>
      <w:tblPr>
        <w:tblW w:w="0" w:type="auto"/>
        <w:tblInd w:w="3457" w:type="dxa"/>
        <w:tblLayout w:type="fixed"/>
        <w:tblCellMar>
          <w:left w:w="0" w:type="dxa"/>
          <w:right w:w="0" w:type="dxa"/>
        </w:tblCellMar>
        <w:tblLook w:val="01E0" w:firstRow="1" w:lastRow="1" w:firstColumn="1" w:lastColumn="1" w:noHBand="0" w:noVBand="0"/>
      </w:tblPr>
      <w:tblGrid>
        <w:gridCol w:w="635"/>
        <w:gridCol w:w="546"/>
        <w:gridCol w:w="624"/>
        <w:gridCol w:w="702"/>
        <w:gridCol w:w="625"/>
        <w:gridCol w:w="702"/>
        <w:gridCol w:w="557"/>
      </w:tblGrid>
      <w:tr w:rsidR="00ED08FF" w14:paraId="2C404035" w14:textId="77777777">
        <w:trPr>
          <w:trHeight w:val="147"/>
        </w:trPr>
        <w:tc>
          <w:tcPr>
            <w:tcW w:w="635" w:type="dxa"/>
          </w:tcPr>
          <w:p w14:paraId="739ABAC5" w14:textId="77777777" w:rsidR="00ED08FF" w:rsidRDefault="00000000">
            <w:pPr>
              <w:pStyle w:val="TableParagraph"/>
              <w:ind w:left="50"/>
              <w:jc w:val="left"/>
              <w:rPr>
                <w:sz w:val="13"/>
              </w:rPr>
            </w:pPr>
            <w:r>
              <w:rPr>
                <w:spacing w:val="-2"/>
                <w:sz w:val="13"/>
              </w:rPr>
              <w:t>Ticker</w:t>
            </w:r>
          </w:p>
        </w:tc>
        <w:tc>
          <w:tcPr>
            <w:tcW w:w="546" w:type="dxa"/>
          </w:tcPr>
          <w:p w14:paraId="11FC1F7D" w14:textId="77777777" w:rsidR="00ED08FF" w:rsidRDefault="00000000">
            <w:pPr>
              <w:pStyle w:val="TableParagraph"/>
              <w:rPr>
                <w:sz w:val="13"/>
              </w:rPr>
            </w:pPr>
            <w:r>
              <w:rPr>
                <w:spacing w:val="-4"/>
                <w:sz w:val="13"/>
              </w:rPr>
              <w:t>Year</w:t>
            </w:r>
          </w:p>
        </w:tc>
        <w:tc>
          <w:tcPr>
            <w:tcW w:w="624" w:type="dxa"/>
          </w:tcPr>
          <w:p w14:paraId="1050C512" w14:textId="77777777" w:rsidR="00ED08FF" w:rsidRDefault="00000000">
            <w:pPr>
              <w:pStyle w:val="TableParagraph"/>
              <w:ind w:left="117"/>
              <w:jc w:val="left"/>
              <w:rPr>
                <w:sz w:val="13"/>
              </w:rPr>
            </w:pPr>
            <w:r>
              <w:rPr>
                <w:spacing w:val="-5"/>
                <w:sz w:val="13"/>
              </w:rPr>
              <w:t>PBV</w:t>
            </w:r>
          </w:p>
        </w:tc>
        <w:tc>
          <w:tcPr>
            <w:tcW w:w="702" w:type="dxa"/>
          </w:tcPr>
          <w:p w14:paraId="05A50208" w14:textId="77777777" w:rsidR="00ED08FF" w:rsidRDefault="00000000">
            <w:pPr>
              <w:pStyle w:val="TableParagraph"/>
              <w:ind w:right="77"/>
              <w:rPr>
                <w:sz w:val="13"/>
              </w:rPr>
            </w:pPr>
            <w:r>
              <w:rPr>
                <w:spacing w:val="-5"/>
                <w:sz w:val="13"/>
              </w:rPr>
              <w:t>ROA</w:t>
            </w:r>
          </w:p>
        </w:tc>
        <w:tc>
          <w:tcPr>
            <w:tcW w:w="625" w:type="dxa"/>
          </w:tcPr>
          <w:p w14:paraId="264BB31E" w14:textId="77777777" w:rsidR="00ED08FF" w:rsidRDefault="00000000">
            <w:pPr>
              <w:pStyle w:val="TableParagraph"/>
              <w:ind w:left="117"/>
              <w:jc w:val="left"/>
              <w:rPr>
                <w:sz w:val="13"/>
              </w:rPr>
            </w:pPr>
            <w:r>
              <w:rPr>
                <w:spacing w:val="-5"/>
                <w:sz w:val="13"/>
              </w:rPr>
              <w:t>DER</w:t>
            </w:r>
          </w:p>
        </w:tc>
        <w:tc>
          <w:tcPr>
            <w:tcW w:w="702" w:type="dxa"/>
          </w:tcPr>
          <w:p w14:paraId="412340F1" w14:textId="77777777" w:rsidR="00ED08FF" w:rsidRDefault="00000000">
            <w:pPr>
              <w:pStyle w:val="TableParagraph"/>
              <w:ind w:left="78" w:right="78"/>
              <w:rPr>
                <w:sz w:val="13"/>
              </w:rPr>
            </w:pPr>
            <w:r>
              <w:rPr>
                <w:spacing w:val="-4"/>
                <w:sz w:val="13"/>
              </w:rPr>
              <w:t>SIZE</w:t>
            </w:r>
          </w:p>
        </w:tc>
        <w:tc>
          <w:tcPr>
            <w:tcW w:w="557" w:type="dxa"/>
          </w:tcPr>
          <w:p w14:paraId="007F3C7D" w14:textId="77777777" w:rsidR="00ED08FF" w:rsidRDefault="00000000">
            <w:pPr>
              <w:pStyle w:val="TableParagraph"/>
              <w:ind w:right="9"/>
              <w:rPr>
                <w:sz w:val="13"/>
              </w:rPr>
            </w:pPr>
            <w:r>
              <w:rPr>
                <w:spacing w:val="-5"/>
                <w:sz w:val="13"/>
              </w:rPr>
              <w:t>CR</w:t>
            </w:r>
          </w:p>
        </w:tc>
      </w:tr>
      <w:tr w:rsidR="00ED08FF" w14:paraId="651A2607" w14:textId="77777777">
        <w:trPr>
          <w:trHeight w:val="147"/>
        </w:trPr>
        <w:tc>
          <w:tcPr>
            <w:tcW w:w="635" w:type="dxa"/>
          </w:tcPr>
          <w:p w14:paraId="37EBFEF5" w14:textId="77777777" w:rsidR="00ED08FF" w:rsidRDefault="00000000">
            <w:pPr>
              <w:pStyle w:val="TableParagraph"/>
              <w:ind w:left="50"/>
              <w:jc w:val="left"/>
              <w:rPr>
                <w:sz w:val="13"/>
              </w:rPr>
            </w:pPr>
            <w:r>
              <w:rPr>
                <w:spacing w:val="-4"/>
                <w:sz w:val="13"/>
              </w:rPr>
              <w:t>AMRT</w:t>
            </w:r>
          </w:p>
        </w:tc>
        <w:tc>
          <w:tcPr>
            <w:tcW w:w="546" w:type="dxa"/>
          </w:tcPr>
          <w:p w14:paraId="73A0C9D7" w14:textId="77777777" w:rsidR="00ED08FF" w:rsidRDefault="00000000">
            <w:pPr>
              <w:pStyle w:val="TableParagraph"/>
              <w:rPr>
                <w:sz w:val="13"/>
              </w:rPr>
            </w:pPr>
            <w:r>
              <w:rPr>
                <w:spacing w:val="-4"/>
                <w:sz w:val="13"/>
              </w:rPr>
              <w:t>2021</w:t>
            </w:r>
          </w:p>
        </w:tc>
        <w:tc>
          <w:tcPr>
            <w:tcW w:w="624" w:type="dxa"/>
          </w:tcPr>
          <w:p w14:paraId="7A6C348A" w14:textId="77777777" w:rsidR="00ED08FF" w:rsidRDefault="00000000">
            <w:pPr>
              <w:pStyle w:val="TableParagraph"/>
              <w:ind w:left="117"/>
              <w:jc w:val="left"/>
              <w:rPr>
                <w:sz w:val="13"/>
              </w:rPr>
            </w:pPr>
            <w:r>
              <w:rPr>
                <w:spacing w:val="-2"/>
                <w:sz w:val="13"/>
              </w:rPr>
              <w:t>5.350</w:t>
            </w:r>
          </w:p>
        </w:tc>
        <w:tc>
          <w:tcPr>
            <w:tcW w:w="702" w:type="dxa"/>
          </w:tcPr>
          <w:p w14:paraId="242880A7" w14:textId="77777777" w:rsidR="00ED08FF" w:rsidRDefault="00000000">
            <w:pPr>
              <w:pStyle w:val="TableParagraph"/>
              <w:ind w:left="78"/>
              <w:rPr>
                <w:sz w:val="13"/>
              </w:rPr>
            </w:pPr>
            <w:r>
              <w:rPr>
                <w:spacing w:val="-2"/>
                <w:sz w:val="13"/>
              </w:rPr>
              <w:t>6.420</w:t>
            </w:r>
          </w:p>
        </w:tc>
        <w:tc>
          <w:tcPr>
            <w:tcW w:w="625" w:type="dxa"/>
          </w:tcPr>
          <w:p w14:paraId="40DC5D83" w14:textId="77777777" w:rsidR="00ED08FF" w:rsidRDefault="00000000">
            <w:pPr>
              <w:pStyle w:val="TableParagraph"/>
              <w:ind w:left="117"/>
              <w:jc w:val="left"/>
              <w:rPr>
                <w:sz w:val="13"/>
              </w:rPr>
            </w:pPr>
            <w:r>
              <w:rPr>
                <w:spacing w:val="-2"/>
                <w:sz w:val="13"/>
              </w:rPr>
              <w:t>0.330</w:t>
            </w:r>
          </w:p>
        </w:tc>
        <w:tc>
          <w:tcPr>
            <w:tcW w:w="702" w:type="dxa"/>
          </w:tcPr>
          <w:p w14:paraId="60FC3212" w14:textId="77777777" w:rsidR="00ED08FF" w:rsidRDefault="00000000">
            <w:pPr>
              <w:pStyle w:val="TableParagraph"/>
              <w:ind w:left="78" w:right="78"/>
              <w:rPr>
                <w:sz w:val="13"/>
              </w:rPr>
            </w:pPr>
            <w:r>
              <w:rPr>
                <w:spacing w:val="-2"/>
                <w:sz w:val="13"/>
              </w:rPr>
              <w:t>17.125</w:t>
            </w:r>
          </w:p>
        </w:tc>
        <w:tc>
          <w:tcPr>
            <w:tcW w:w="557" w:type="dxa"/>
          </w:tcPr>
          <w:p w14:paraId="4619C151" w14:textId="77777777" w:rsidR="00ED08FF" w:rsidRDefault="00000000">
            <w:pPr>
              <w:pStyle w:val="TableParagraph"/>
              <w:ind w:left="75" w:right="9"/>
              <w:rPr>
                <w:sz w:val="13"/>
              </w:rPr>
            </w:pPr>
            <w:r>
              <w:rPr>
                <w:spacing w:val="-2"/>
                <w:sz w:val="13"/>
              </w:rPr>
              <w:t>0.870</w:t>
            </w:r>
          </w:p>
        </w:tc>
      </w:tr>
      <w:tr w:rsidR="00ED08FF" w14:paraId="583B9773" w14:textId="77777777">
        <w:trPr>
          <w:trHeight w:val="146"/>
        </w:trPr>
        <w:tc>
          <w:tcPr>
            <w:tcW w:w="635" w:type="dxa"/>
          </w:tcPr>
          <w:p w14:paraId="3731C012" w14:textId="77777777" w:rsidR="00ED08FF" w:rsidRDefault="00000000">
            <w:pPr>
              <w:pStyle w:val="TableParagraph"/>
              <w:ind w:left="50"/>
              <w:jc w:val="left"/>
              <w:rPr>
                <w:sz w:val="13"/>
              </w:rPr>
            </w:pPr>
            <w:r>
              <w:rPr>
                <w:spacing w:val="-4"/>
                <w:sz w:val="13"/>
              </w:rPr>
              <w:t>AMRT</w:t>
            </w:r>
          </w:p>
        </w:tc>
        <w:tc>
          <w:tcPr>
            <w:tcW w:w="546" w:type="dxa"/>
          </w:tcPr>
          <w:p w14:paraId="0AA2511A" w14:textId="77777777" w:rsidR="00ED08FF" w:rsidRDefault="00000000">
            <w:pPr>
              <w:pStyle w:val="TableParagraph"/>
              <w:rPr>
                <w:sz w:val="13"/>
              </w:rPr>
            </w:pPr>
            <w:r>
              <w:rPr>
                <w:spacing w:val="-4"/>
                <w:sz w:val="13"/>
              </w:rPr>
              <w:t>2022</w:t>
            </w:r>
          </w:p>
        </w:tc>
        <w:tc>
          <w:tcPr>
            <w:tcW w:w="624" w:type="dxa"/>
          </w:tcPr>
          <w:p w14:paraId="100E0EC4" w14:textId="77777777" w:rsidR="00ED08FF" w:rsidRDefault="00000000">
            <w:pPr>
              <w:pStyle w:val="TableParagraph"/>
              <w:ind w:left="117"/>
              <w:jc w:val="left"/>
              <w:rPr>
                <w:sz w:val="13"/>
              </w:rPr>
            </w:pPr>
            <w:r>
              <w:rPr>
                <w:spacing w:val="-2"/>
                <w:sz w:val="13"/>
              </w:rPr>
              <w:t>9.590</w:t>
            </w:r>
          </w:p>
        </w:tc>
        <w:tc>
          <w:tcPr>
            <w:tcW w:w="702" w:type="dxa"/>
          </w:tcPr>
          <w:p w14:paraId="06593126" w14:textId="77777777" w:rsidR="00ED08FF" w:rsidRDefault="00000000">
            <w:pPr>
              <w:pStyle w:val="TableParagraph"/>
              <w:ind w:left="78"/>
              <w:rPr>
                <w:sz w:val="13"/>
              </w:rPr>
            </w:pPr>
            <w:r>
              <w:rPr>
                <w:spacing w:val="-2"/>
                <w:sz w:val="13"/>
              </w:rPr>
              <w:t>7.990</w:t>
            </w:r>
          </w:p>
        </w:tc>
        <w:tc>
          <w:tcPr>
            <w:tcW w:w="625" w:type="dxa"/>
          </w:tcPr>
          <w:p w14:paraId="26BF3E45" w14:textId="77777777" w:rsidR="00ED08FF" w:rsidRDefault="00000000">
            <w:pPr>
              <w:pStyle w:val="TableParagraph"/>
              <w:ind w:left="117"/>
              <w:jc w:val="left"/>
              <w:rPr>
                <w:sz w:val="13"/>
              </w:rPr>
            </w:pPr>
            <w:r>
              <w:rPr>
                <w:spacing w:val="-2"/>
                <w:sz w:val="13"/>
              </w:rPr>
              <w:t>0.270</w:t>
            </w:r>
          </w:p>
        </w:tc>
        <w:tc>
          <w:tcPr>
            <w:tcW w:w="702" w:type="dxa"/>
          </w:tcPr>
          <w:p w14:paraId="11C4B124" w14:textId="77777777" w:rsidR="00ED08FF" w:rsidRDefault="00000000">
            <w:pPr>
              <w:pStyle w:val="TableParagraph"/>
              <w:ind w:left="78" w:right="78"/>
              <w:rPr>
                <w:sz w:val="13"/>
              </w:rPr>
            </w:pPr>
            <w:r>
              <w:rPr>
                <w:spacing w:val="-2"/>
                <w:sz w:val="13"/>
              </w:rPr>
              <w:t>17.241</w:t>
            </w:r>
          </w:p>
        </w:tc>
        <w:tc>
          <w:tcPr>
            <w:tcW w:w="557" w:type="dxa"/>
          </w:tcPr>
          <w:p w14:paraId="41CC5DE9" w14:textId="77777777" w:rsidR="00ED08FF" w:rsidRDefault="00000000">
            <w:pPr>
              <w:pStyle w:val="TableParagraph"/>
              <w:ind w:left="75" w:right="9"/>
              <w:rPr>
                <w:sz w:val="13"/>
              </w:rPr>
            </w:pPr>
            <w:r>
              <w:rPr>
                <w:spacing w:val="-2"/>
                <w:sz w:val="13"/>
              </w:rPr>
              <w:t>0.900</w:t>
            </w:r>
          </w:p>
        </w:tc>
      </w:tr>
      <w:tr w:rsidR="00ED08FF" w14:paraId="7D5F79F9" w14:textId="77777777">
        <w:trPr>
          <w:trHeight w:val="147"/>
        </w:trPr>
        <w:tc>
          <w:tcPr>
            <w:tcW w:w="635" w:type="dxa"/>
          </w:tcPr>
          <w:p w14:paraId="012DEE86" w14:textId="77777777" w:rsidR="00ED08FF" w:rsidRDefault="00000000">
            <w:pPr>
              <w:pStyle w:val="TableParagraph"/>
              <w:ind w:left="50"/>
              <w:jc w:val="left"/>
              <w:rPr>
                <w:sz w:val="13"/>
              </w:rPr>
            </w:pPr>
            <w:r>
              <w:rPr>
                <w:spacing w:val="-4"/>
                <w:sz w:val="13"/>
              </w:rPr>
              <w:t>AMRT</w:t>
            </w:r>
          </w:p>
        </w:tc>
        <w:tc>
          <w:tcPr>
            <w:tcW w:w="546" w:type="dxa"/>
          </w:tcPr>
          <w:p w14:paraId="5A2432B1" w14:textId="77777777" w:rsidR="00ED08FF" w:rsidRDefault="00000000">
            <w:pPr>
              <w:pStyle w:val="TableParagraph"/>
              <w:rPr>
                <w:sz w:val="13"/>
              </w:rPr>
            </w:pPr>
            <w:r>
              <w:rPr>
                <w:spacing w:val="-4"/>
                <w:sz w:val="13"/>
              </w:rPr>
              <w:t>2023</w:t>
            </w:r>
          </w:p>
        </w:tc>
        <w:tc>
          <w:tcPr>
            <w:tcW w:w="624" w:type="dxa"/>
          </w:tcPr>
          <w:p w14:paraId="39B989FE" w14:textId="77777777" w:rsidR="00ED08FF" w:rsidRDefault="00000000">
            <w:pPr>
              <w:pStyle w:val="TableParagraph"/>
              <w:ind w:left="117"/>
              <w:jc w:val="left"/>
              <w:rPr>
                <w:sz w:val="13"/>
              </w:rPr>
            </w:pPr>
            <w:r>
              <w:rPr>
                <w:spacing w:val="-2"/>
                <w:sz w:val="13"/>
              </w:rPr>
              <w:t>7.750</w:t>
            </w:r>
          </w:p>
        </w:tc>
        <w:tc>
          <w:tcPr>
            <w:tcW w:w="702" w:type="dxa"/>
          </w:tcPr>
          <w:p w14:paraId="1DEFA47A" w14:textId="77777777" w:rsidR="00ED08FF" w:rsidRDefault="00000000">
            <w:pPr>
              <w:pStyle w:val="TableParagraph"/>
              <w:ind w:left="78"/>
              <w:rPr>
                <w:sz w:val="13"/>
              </w:rPr>
            </w:pPr>
            <w:r>
              <w:rPr>
                <w:spacing w:val="-2"/>
                <w:sz w:val="13"/>
              </w:rPr>
              <w:t>8.480</w:t>
            </w:r>
          </w:p>
        </w:tc>
        <w:tc>
          <w:tcPr>
            <w:tcW w:w="625" w:type="dxa"/>
          </w:tcPr>
          <w:p w14:paraId="0D858F93" w14:textId="77777777" w:rsidR="00ED08FF" w:rsidRDefault="00000000">
            <w:pPr>
              <w:pStyle w:val="TableParagraph"/>
              <w:ind w:left="117"/>
              <w:jc w:val="left"/>
              <w:rPr>
                <w:sz w:val="13"/>
              </w:rPr>
            </w:pPr>
            <w:r>
              <w:rPr>
                <w:spacing w:val="-2"/>
                <w:sz w:val="13"/>
              </w:rPr>
              <w:t>0.120</w:t>
            </w:r>
          </w:p>
        </w:tc>
        <w:tc>
          <w:tcPr>
            <w:tcW w:w="702" w:type="dxa"/>
          </w:tcPr>
          <w:p w14:paraId="57E1B72B" w14:textId="77777777" w:rsidR="00ED08FF" w:rsidRDefault="00000000">
            <w:pPr>
              <w:pStyle w:val="TableParagraph"/>
              <w:ind w:left="78" w:right="78"/>
              <w:rPr>
                <w:sz w:val="13"/>
              </w:rPr>
            </w:pPr>
            <w:r>
              <w:rPr>
                <w:spacing w:val="-2"/>
                <w:sz w:val="13"/>
              </w:rPr>
              <w:t>17.349</w:t>
            </w:r>
          </w:p>
        </w:tc>
        <w:tc>
          <w:tcPr>
            <w:tcW w:w="557" w:type="dxa"/>
          </w:tcPr>
          <w:p w14:paraId="093CD261" w14:textId="77777777" w:rsidR="00ED08FF" w:rsidRDefault="00000000">
            <w:pPr>
              <w:pStyle w:val="TableParagraph"/>
              <w:ind w:left="75" w:right="9"/>
              <w:rPr>
                <w:sz w:val="13"/>
              </w:rPr>
            </w:pPr>
            <w:r>
              <w:rPr>
                <w:spacing w:val="-2"/>
                <w:sz w:val="13"/>
              </w:rPr>
              <w:t>1.000</w:t>
            </w:r>
          </w:p>
        </w:tc>
      </w:tr>
      <w:tr w:rsidR="00ED08FF" w14:paraId="31B74BE2" w14:textId="77777777">
        <w:trPr>
          <w:trHeight w:val="146"/>
        </w:trPr>
        <w:tc>
          <w:tcPr>
            <w:tcW w:w="635" w:type="dxa"/>
          </w:tcPr>
          <w:p w14:paraId="52D74223" w14:textId="77777777" w:rsidR="00ED08FF" w:rsidRDefault="00000000">
            <w:pPr>
              <w:pStyle w:val="TableParagraph"/>
              <w:ind w:left="50"/>
              <w:jc w:val="left"/>
              <w:rPr>
                <w:sz w:val="13"/>
              </w:rPr>
            </w:pPr>
            <w:r>
              <w:rPr>
                <w:spacing w:val="-4"/>
                <w:sz w:val="13"/>
              </w:rPr>
              <w:t>AMRT</w:t>
            </w:r>
          </w:p>
        </w:tc>
        <w:tc>
          <w:tcPr>
            <w:tcW w:w="546" w:type="dxa"/>
          </w:tcPr>
          <w:p w14:paraId="27111C26" w14:textId="77777777" w:rsidR="00ED08FF" w:rsidRDefault="00000000">
            <w:pPr>
              <w:pStyle w:val="TableParagraph"/>
              <w:rPr>
                <w:sz w:val="13"/>
              </w:rPr>
            </w:pPr>
            <w:r>
              <w:rPr>
                <w:spacing w:val="-4"/>
                <w:sz w:val="13"/>
              </w:rPr>
              <w:t>2024</w:t>
            </w:r>
          </w:p>
        </w:tc>
        <w:tc>
          <w:tcPr>
            <w:tcW w:w="624" w:type="dxa"/>
          </w:tcPr>
          <w:p w14:paraId="567192B4" w14:textId="77777777" w:rsidR="00ED08FF" w:rsidRDefault="00000000">
            <w:pPr>
              <w:pStyle w:val="TableParagraph"/>
              <w:ind w:left="117"/>
              <w:jc w:val="left"/>
              <w:rPr>
                <w:sz w:val="13"/>
              </w:rPr>
            </w:pPr>
            <w:r>
              <w:rPr>
                <w:spacing w:val="-2"/>
                <w:sz w:val="13"/>
              </w:rPr>
              <w:t>6.690</w:t>
            </w:r>
          </w:p>
        </w:tc>
        <w:tc>
          <w:tcPr>
            <w:tcW w:w="702" w:type="dxa"/>
          </w:tcPr>
          <w:p w14:paraId="5E15E65F" w14:textId="77777777" w:rsidR="00ED08FF" w:rsidRDefault="00000000">
            <w:pPr>
              <w:pStyle w:val="TableParagraph"/>
              <w:ind w:left="78"/>
              <w:rPr>
                <w:sz w:val="13"/>
              </w:rPr>
            </w:pPr>
            <w:r>
              <w:rPr>
                <w:spacing w:val="-2"/>
                <w:sz w:val="13"/>
              </w:rPr>
              <w:t>6.960</w:t>
            </w:r>
          </w:p>
        </w:tc>
        <w:tc>
          <w:tcPr>
            <w:tcW w:w="625" w:type="dxa"/>
          </w:tcPr>
          <w:p w14:paraId="0933A255" w14:textId="77777777" w:rsidR="00ED08FF" w:rsidRDefault="00000000">
            <w:pPr>
              <w:pStyle w:val="TableParagraph"/>
              <w:ind w:left="117"/>
              <w:jc w:val="left"/>
              <w:rPr>
                <w:sz w:val="13"/>
              </w:rPr>
            </w:pPr>
            <w:r>
              <w:rPr>
                <w:spacing w:val="-2"/>
                <w:sz w:val="13"/>
              </w:rPr>
              <w:t>0.110</w:t>
            </w:r>
          </w:p>
        </w:tc>
        <w:tc>
          <w:tcPr>
            <w:tcW w:w="702" w:type="dxa"/>
          </w:tcPr>
          <w:p w14:paraId="1CE745DD" w14:textId="77777777" w:rsidR="00ED08FF" w:rsidRDefault="00000000">
            <w:pPr>
              <w:pStyle w:val="TableParagraph"/>
              <w:ind w:left="78" w:right="78"/>
              <w:rPr>
                <w:sz w:val="13"/>
              </w:rPr>
            </w:pPr>
            <w:r>
              <w:rPr>
                <w:spacing w:val="-2"/>
                <w:sz w:val="13"/>
              </w:rPr>
              <w:t>17.474</w:t>
            </w:r>
          </w:p>
        </w:tc>
        <w:tc>
          <w:tcPr>
            <w:tcW w:w="557" w:type="dxa"/>
          </w:tcPr>
          <w:p w14:paraId="6F6FDE7D" w14:textId="77777777" w:rsidR="00ED08FF" w:rsidRDefault="00000000">
            <w:pPr>
              <w:pStyle w:val="TableParagraph"/>
              <w:ind w:left="75" w:right="9"/>
              <w:rPr>
                <w:sz w:val="13"/>
              </w:rPr>
            </w:pPr>
            <w:r>
              <w:rPr>
                <w:spacing w:val="-2"/>
                <w:sz w:val="13"/>
              </w:rPr>
              <w:t>1.050</w:t>
            </w:r>
          </w:p>
        </w:tc>
      </w:tr>
      <w:tr w:rsidR="00ED08FF" w14:paraId="1123FBB8" w14:textId="77777777">
        <w:trPr>
          <w:trHeight w:val="147"/>
        </w:trPr>
        <w:tc>
          <w:tcPr>
            <w:tcW w:w="635" w:type="dxa"/>
          </w:tcPr>
          <w:p w14:paraId="5FE6FB49" w14:textId="77777777" w:rsidR="00ED08FF" w:rsidRDefault="00000000">
            <w:pPr>
              <w:pStyle w:val="TableParagraph"/>
              <w:ind w:left="50"/>
              <w:jc w:val="left"/>
              <w:rPr>
                <w:sz w:val="13"/>
              </w:rPr>
            </w:pPr>
            <w:r>
              <w:rPr>
                <w:spacing w:val="-4"/>
                <w:sz w:val="13"/>
              </w:rPr>
              <w:t>AMRT</w:t>
            </w:r>
          </w:p>
        </w:tc>
        <w:tc>
          <w:tcPr>
            <w:tcW w:w="546" w:type="dxa"/>
          </w:tcPr>
          <w:p w14:paraId="3B4305B9" w14:textId="77777777" w:rsidR="00ED08FF" w:rsidRDefault="00000000">
            <w:pPr>
              <w:pStyle w:val="TableParagraph"/>
              <w:rPr>
                <w:sz w:val="13"/>
              </w:rPr>
            </w:pPr>
            <w:r>
              <w:rPr>
                <w:spacing w:val="-4"/>
                <w:sz w:val="13"/>
              </w:rPr>
              <w:t>2025</w:t>
            </w:r>
          </w:p>
        </w:tc>
        <w:tc>
          <w:tcPr>
            <w:tcW w:w="624" w:type="dxa"/>
          </w:tcPr>
          <w:p w14:paraId="153F5AC2" w14:textId="77777777" w:rsidR="00ED08FF" w:rsidRDefault="00000000">
            <w:pPr>
              <w:pStyle w:val="TableParagraph"/>
              <w:ind w:left="117"/>
              <w:jc w:val="left"/>
              <w:rPr>
                <w:sz w:val="13"/>
              </w:rPr>
            </w:pPr>
            <w:r>
              <w:rPr>
                <w:spacing w:val="-2"/>
                <w:sz w:val="13"/>
              </w:rPr>
              <w:t>4.230</w:t>
            </w:r>
          </w:p>
        </w:tc>
        <w:tc>
          <w:tcPr>
            <w:tcW w:w="702" w:type="dxa"/>
          </w:tcPr>
          <w:p w14:paraId="3A898211" w14:textId="77777777" w:rsidR="00ED08FF" w:rsidRDefault="00000000">
            <w:pPr>
              <w:pStyle w:val="TableParagraph"/>
              <w:ind w:left="78"/>
              <w:rPr>
                <w:sz w:val="13"/>
              </w:rPr>
            </w:pPr>
            <w:r>
              <w:rPr>
                <w:spacing w:val="-2"/>
                <w:sz w:val="13"/>
              </w:rPr>
              <w:t>6.960</w:t>
            </w:r>
          </w:p>
        </w:tc>
        <w:tc>
          <w:tcPr>
            <w:tcW w:w="625" w:type="dxa"/>
          </w:tcPr>
          <w:p w14:paraId="484FABDA" w14:textId="77777777" w:rsidR="00ED08FF" w:rsidRDefault="00000000">
            <w:pPr>
              <w:pStyle w:val="TableParagraph"/>
              <w:ind w:left="117"/>
              <w:jc w:val="left"/>
              <w:rPr>
                <w:sz w:val="13"/>
              </w:rPr>
            </w:pPr>
            <w:r>
              <w:rPr>
                <w:spacing w:val="-2"/>
                <w:sz w:val="13"/>
              </w:rPr>
              <w:t>0.140</w:t>
            </w:r>
          </w:p>
        </w:tc>
        <w:tc>
          <w:tcPr>
            <w:tcW w:w="702" w:type="dxa"/>
          </w:tcPr>
          <w:p w14:paraId="3380B6B1" w14:textId="77777777" w:rsidR="00ED08FF" w:rsidRDefault="00000000">
            <w:pPr>
              <w:pStyle w:val="TableParagraph"/>
              <w:ind w:left="78" w:right="78"/>
              <w:rPr>
                <w:sz w:val="13"/>
              </w:rPr>
            </w:pPr>
            <w:r>
              <w:rPr>
                <w:spacing w:val="-2"/>
                <w:sz w:val="13"/>
              </w:rPr>
              <w:t>17.567</w:t>
            </w:r>
          </w:p>
        </w:tc>
        <w:tc>
          <w:tcPr>
            <w:tcW w:w="557" w:type="dxa"/>
          </w:tcPr>
          <w:p w14:paraId="6BED7EBD" w14:textId="77777777" w:rsidR="00ED08FF" w:rsidRDefault="00000000">
            <w:pPr>
              <w:pStyle w:val="TableParagraph"/>
              <w:ind w:left="75" w:right="9"/>
              <w:rPr>
                <w:sz w:val="13"/>
              </w:rPr>
            </w:pPr>
            <w:r>
              <w:rPr>
                <w:spacing w:val="-2"/>
                <w:sz w:val="13"/>
              </w:rPr>
              <w:t>1.070</w:t>
            </w:r>
          </w:p>
        </w:tc>
      </w:tr>
      <w:tr w:rsidR="00ED08FF" w14:paraId="238409E8" w14:textId="77777777">
        <w:trPr>
          <w:trHeight w:val="147"/>
        </w:trPr>
        <w:tc>
          <w:tcPr>
            <w:tcW w:w="635" w:type="dxa"/>
          </w:tcPr>
          <w:p w14:paraId="2C7C7A6B" w14:textId="77777777" w:rsidR="00ED08FF" w:rsidRDefault="00000000">
            <w:pPr>
              <w:pStyle w:val="TableParagraph"/>
              <w:ind w:left="50"/>
              <w:jc w:val="left"/>
              <w:rPr>
                <w:sz w:val="13"/>
              </w:rPr>
            </w:pPr>
            <w:r>
              <w:rPr>
                <w:spacing w:val="-4"/>
                <w:sz w:val="13"/>
              </w:rPr>
              <w:t>CMRY</w:t>
            </w:r>
          </w:p>
        </w:tc>
        <w:tc>
          <w:tcPr>
            <w:tcW w:w="546" w:type="dxa"/>
          </w:tcPr>
          <w:p w14:paraId="3E7113AB" w14:textId="77777777" w:rsidR="00ED08FF" w:rsidRDefault="00000000">
            <w:pPr>
              <w:pStyle w:val="TableParagraph"/>
              <w:rPr>
                <w:sz w:val="13"/>
              </w:rPr>
            </w:pPr>
            <w:r>
              <w:rPr>
                <w:spacing w:val="-4"/>
                <w:sz w:val="13"/>
              </w:rPr>
              <w:t>2021</w:t>
            </w:r>
          </w:p>
        </w:tc>
        <w:tc>
          <w:tcPr>
            <w:tcW w:w="624" w:type="dxa"/>
          </w:tcPr>
          <w:p w14:paraId="130C54D3" w14:textId="77777777" w:rsidR="00ED08FF" w:rsidRDefault="00000000">
            <w:pPr>
              <w:pStyle w:val="TableParagraph"/>
              <w:ind w:left="117"/>
              <w:jc w:val="left"/>
              <w:rPr>
                <w:sz w:val="13"/>
              </w:rPr>
            </w:pPr>
            <w:r>
              <w:rPr>
                <w:spacing w:val="-2"/>
                <w:sz w:val="13"/>
              </w:rPr>
              <w:t>5.740</w:t>
            </w:r>
          </w:p>
        </w:tc>
        <w:tc>
          <w:tcPr>
            <w:tcW w:w="702" w:type="dxa"/>
          </w:tcPr>
          <w:p w14:paraId="5B1EE3FD" w14:textId="77777777" w:rsidR="00ED08FF" w:rsidRDefault="00000000">
            <w:pPr>
              <w:pStyle w:val="TableParagraph"/>
              <w:ind w:left="78" w:right="78"/>
              <w:rPr>
                <w:sz w:val="13"/>
              </w:rPr>
            </w:pPr>
            <w:r>
              <w:rPr>
                <w:spacing w:val="-2"/>
                <w:sz w:val="13"/>
              </w:rPr>
              <w:t>18.800</w:t>
            </w:r>
          </w:p>
        </w:tc>
        <w:tc>
          <w:tcPr>
            <w:tcW w:w="625" w:type="dxa"/>
          </w:tcPr>
          <w:p w14:paraId="4B1D49BC" w14:textId="77777777" w:rsidR="00ED08FF" w:rsidRDefault="00000000">
            <w:pPr>
              <w:pStyle w:val="TableParagraph"/>
              <w:ind w:left="117"/>
              <w:jc w:val="left"/>
              <w:rPr>
                <w:sz w:val="13"/>
              </w:rPr>
            </w:pPr>
            <w:r>
              <w:rPr>
                <w:spacing w:val="-2"/>
                <w:sz w:val="13"/>
              </w:rPr>
              <w:t>0.010</w:t>
            </w:r>
          </w:p>
        </w:tc>
        <w:tc>
          <w:tcPr>
            <w:tcW w:w="702" w:type="dxa"/>
          </w:tcPr>
          <w:p w14:paraId="3DA28F8F" w14:textId="77777777" w:rsidR="00ED08FF" w:rsidRDefault="00000000">
            <w:pPr>
              <w:pStyle w:val="TableParagraph"/>
              <w:ind w:left="78" w:right="78"/>
              <w:rPr>
                <w:sz w:val="13"/>
              </w:rPr>
            </w:pPr>
            <w:r>
              <w:rPr>
                <w:spacing w:val="-2"/>
                <w:sz w:val="13"/>
              </w:rPr>
              <w:t>15.539</w:t>
            </w:r>
          </w:p>
        </w:tc>
        <w:tc>
          <w:tcPr>
            <w:tcW w:w="557" w:type="dxa"/>
          </w:tcPr>
          <w:p w14:paraId="206A27C2" w14:textId="77777777" w:rsidR="00ED08FF" w:rsidRDefault="00000000">
            <w:pPr>
              <w:pStyle w:val="TableParagraph"/>
              <w:ind w:left="75" w:right="9"/>
              <w:rPr>
                <w:sz w:val="13"/>
              </w:rPr>
            </w:pPr>
            <w:r>
              <w:rPr>
                <w:spacing w:val="-2"/>
                <w:sz w:val="13"/>
              </w:rPr>
              <w:t>5.720</w:t>
            </w:r>
          </w:p>
        </w:tc>
      </w:tr>
      <w:tr w:rsidR="00ED08FF" w14:paraId="18FE188F" w14:textId="77777777">
        <w:trPr>
          <w:trHeight w:val="146"/>
        </w:trPr>
        <w:tc>
          <w:tcPr>
            <w:tcW w:w="635" w:type="dxa"/>
          </w:tcPr>
          <w:p w14:paraId="1B7CC740" w14:textId="77777777" w:rsidR="00ED08FF" w:rsidRDefault="00000000">
            <w:pPr>
              <w:pStyle w:val="TableParagraph"/>
              <w:ind w:left="50"/>
              <w:jc w:val="left"/>
              <w:rPr>
                <w:sz w:val="13"/>
              </w:rPr>
            </w:pPr>
            <w:r>
              <w:rPr>
                <w:spacing w:val="-4"/>
                <w:sz w:val="13"/>
              </w:rPr>
              <w:t>CMRY</w:t>
            </w:r>
          </w:p>
        </w:tc>
        <w:tc>
          <w:tcPr>
            <w:tcW w:w="546" w:type="dxa"/>
          </w:tcPr>
          <w:p w14:paraId="1CF49E0C" w14:textId="77777777" w:rsidR="00ED08FF" w:rsidRDefault="00000000">
            <w:pPr>
              <w:pStyle w:val="TableParagraph"/>
              <w:rPr>
                <w:sz w:val="13"/>
              </w:rPr>
            </w:pPr>
            <w:r>
              <w:rPr>
                <w:spacing w:val="-4"/>
                <w:sz w:val="13"/>
              </w:rPr>
              <w:t>2022</w:t>
            </w:r>
          </w:p>
        </w:tc>
        <w:tc>
          <w:tcPr>
            <w:tcW w:w="624" w:type="dxa"/>
          </w:tcPr>
          <w:p w14:paraId="6F5FE3E2" w14:textId="77777777" w:rsidR="00ED08FF" w:rsidRDefault="00000000">
            <w:pPr>
              <w:pStyle w:val="TableParagraph"/>
              <w:ind w:left="117"/>
              <w:jc w:val="left"/>
              <w:rPr>
                <w:sz w:val="13"/>
              </w:rPr>
            </w:pPr>
            <w:r>
              <w:rPr>
                <w:spacing w:val="-2"/>
                <w:sz w:val="13"/>
              </w:rPr>
              <w:t>6.410</w:t>
            </w:r>
          </w:p>
        </w:tc>
        <w:tc>
          <w:tcPr>
            <w:tcW w:w="702" w:type="dxa"/>
          </w:tcPr>
          <w:p w14:paraId="4CB657C7" w14:textId="77777777" w:rsidR="00ED08FF" w:rsidRDefault="00000000">
            <w:pPr>
              <w:pStyle w:val="TableParagraph"/>
              <w:ind w:left="78" w:right="78"/>
              <w:rPr>
                <w:sz w:val="13"/>
              </w:rPr>
            </w:pPr>
            <w:r>
              <w:rPr>
                <w:spacing w:val="-2"/>
                <w:sz w:val="13"/>
              </w:rPr>
              <w:t>13.270</w:t>
            </w:r>
          </w:p>
        </w:tc>
        <w:tc>
          <w:tcPr>
            <w:tcW w:w="625" w:type="dxa"/>
          </w:tcPr>
          <w:p w14:paraId="0A523EBE" w14:textId="77777777" w:rsidR="00ED08FF" w:rsidRDefault="00000000">
            <w:pPr>
              <w:pStyle w:val="TableParagraph"/>
              <w:ind w:left="117"/>
              <w:jc w:val="left"/>
              <w:rPr>
                <w:sz w:val="13"/>
              </w:rPr>
            </w:pPr>
            <w:r>
              <w:rPr>
                <w:spacing w:val="-2"/>
                <w:sz w:val="13"/>
              </w:rPr>
              <w:t>0.010</w:t>
            </w:r>
          </w:p>
        </w:tc>
        <w:tc>
          <w:tcPr>
            <w:tcW w:w="702" w:type="dxa"/>
          </w:tcPr>
          <w:p w14:paraId="103DC383" w14:textId="77777777" w:rsidR="00ED08FF" w:rsidRDefault="00000000">
            <w:pPr>
              <w:pStyle w:val="TableParagraph"/>
              <w:ind w:left="78" w:right="78"/>
              <w:rPr>
                <w:sz w:val="13"/>
              </w:rPr>
            </w:pPr>
            <w:r>
              <w:rPr>
                <w:spacing w:val="-2"/>
                <w:sz w:val="13"/>
              </w:rPr>
              <w:t>15.644</w:t>
            </w:r>
          </w:p>
        </w:tc>
        <w:tc>
          <w:tcPr>
            <w:tcW w:w="557" w:type="dxa"/>
          </w:tcPr>
          <w:p w14:paraId="2C822CD1" w14:textId="77777777" w:rsidR="00ED08FF" w:rsidRDefault="00000000">
            <w:pPr>
              <w:pStyle w:val="TableParagraph"/>
              <w:ind w:left="75" w:right="9"/>
              <w:rPr>
                <w:sz w:val="13"/>
              </w:rPr>
            </w:pPr>
            <w:r>
              <w:rPr>
                <w:spacing w:val="-2"/>
                <w:sz w:val="13"/>
              </w:rPr>
              <w:t>4.390</w:t>
            </w:r>
          </w:p>
        </w:tc>
      </w:tr>
      <w:tr w:rsidR="00ED08FF" w14:paraId="54E8EDBB" w14:textId="77777777">
        <w:trPr>
          <w:trHeight w:val="147"/>
        </w:trPr>
        <w:tc>
          <w:tcPr>
            <w:tcW w:w="635" w:type="dxa"/>
          </w:tcPr>
          <w:p w14:paraId="6700D620" w14:textId="77777777" w:rsidR="00ED08FF" w:rsidRDefault="00000000">
            <w:pPr>
              <w:pStyle w:val="TableParagraph"/>
              <w:ind w:left="50"/>
              <w:jc w:val="left"/>
              <w:rPr>
                <w:sz w:val="13"/>
              </w:rPr>
            </w:pPr>
            <w:r>
              <w:rPr>
                <w:spacing w:val="-4"/>
                <w:sz w:val="13"/>
              </w:rPr>
              <w:t>CMRY</w:t>
            </w:r>
          </w:p>
        </w:tc>
        <w:tc>
          <w:tcPr>
            <w:tcW w:w="546" w:type="dxa"/>
          </w:tcPr>
          <w:p w14:paraId="262381F6" w14:textId="77777777" w:rsidR="00ED08FF" w:rsidRDefault="00000000">
            <w:pPr>
              <w:pStyle w:val="TableParagraph"/>
              <w:rPr>
                <w:sz w:val="13"/>
              </w:rPr>
            </w:pPr>
            <w:r>
              <w:rPr>
                <w:spacing w:val="-4"/>
                <w:sz w:val="13"/>
              </w:rPr>
              <w:t>2023</w:t>
            </w:r>
          </w:p>
        </w:tc>
        <w:tc>
          <w:tcPr>
            <w:tcW w:w="624" w:type="dxa"/>
          </w:tcPr>
          <w:p w14:paraId="3B3D8944" w14:textId="77777777" w:rsidR="00ED08FF" w:rsidRDefault="00000000">
            <w:pPr>
              <w:pStyle w:val="TableParagraph"/>
              <w:ind w:left="117"/>
              <w:jc w:val="left"/>
              <w:rPr>
                <w:sz w:val="13"/>
              </w:rPr>
            </w:pPr>
            <w:r>
              <w:rPr>
                <w:spacing w:val="-2"/>
                <w:sz w:val="13"/>
              </w:rPr>
              <w:t>5.360</w:t>
            </w:r>
          </w:p>
        </w:tc>
        <w:tc>
          <w:tcPr>
            <w:tcW w:w="702" w:type="dxa"/>
          </w:tcPr>
          <w:p w14:paraId="42C7D9CF" w14:textId="77777777" w:rsidR="00ED08FF" w:rsidRDefault="00000000">
            <w:pPr>
              <w:pStyle w:val="TableParagraph"/>
              <w:ind w:left="78" w:right="78"/>
              <w:rPr>
                <w:sz w:val="13"/>
              </w:rPr>
            </w:pPr>
            <w:r>
              <w:rPr>
                <w:spacing w:val="-2"/>
                <w:sz w:val="13"/>
              </w:rPr>
              <w:t>13.320</w:t>
            </w:r>
          </w:p>
        </w:tc>
        <w:tc>
          <w:tcPr>
            <w:tcW w:w="625" w:type="dxa"/>
          </w:tcPr>
          <w:p w14:paraId="07FBA774" w14:textId="77777777" w:rsidR="00ED08FF" w:rsidRDefault="00000000">
            <w:pPr>
              <w:pStyle w:val="TableParagraph"/>
              <w:ind w:left="117"/>
              <w:jc w:val="left"/>
              <w:rPr>
                <w:sz w:val="13"/>
              </w:rPr>
            </w:pPr>
            <w:r>
              <w:rPr>
                <w:spacing w:val="-2"/>
                <w:sz w:val="13"/>
              </w:rPr>
              <w:t>0.000</w:t>
            </w:r>
          </w:p>
        </w:tc>
        <w:tc>
          <w:tcPr>
            <w:tcW w:w="702" w:type="dxa"/>
          </w:tcPr>
          <w:p w14:paraId="5C53CB08" w14:textId="77777777" w:rsidR="00ED08FF" w:rsidRDefault="00000000">
            <w:pPr>
              <w:pStyle w:val="TableParagraph"/>
              <w:ind w:left="78" w:right="78"/>
              <w:rPr>
                <w:sz w:val="13"/>
              </w:rPr>
            </w:pPr>
            <w:r>
              <w:rPr>
                <w:spacing w:val="-2"/>
                <w:sz w:val="13"/>
              </w:rPr>
              <w:t>15.768</w:t>
            </w:r>
          </w:p>
        </w:tc>
        <w:tc>
          <w:tcPr>
            <w:tcW w:w="557" w:type="dxa"/>
          </w:tcPr>
          <w:p w14:paraId="15A0CD19" w14:textId="77777777" w:rsidR="00ED08FF" w:rsidRDefault="00000000">
            <w:pPr>
              <w:pStyle w:val="TableParagraph"/>
              <w:ind w:left="75" w:right="9"/>
              <w:rPr>
                <w:sz w:val="13"/>
              </w:rPr>
            </w:pPr>
            <w:r>
              <w:rPr>
                <w:spacing w:val="-2"/>
                <w:sz w:val="13"/>
              </w:rPr>
              <w:t>4.280</w:t>
            </w:r>
          </w:p>
        </w:tc>
      </w:tr>
      <w:tr w:rsidR="00ED08FF" w14:paraId="5A257103" w14:textId="77777777">
        <w:trPr>
          <w:trHeight w:val="146"/>
        </w:trPr>
        <w:tc>
          <w:tcPr>
            <w:tcW w:w="635" w:type="dxa"/>
          </w:tcPr>
          <w:p w14:paraId="06F4FAE0" w14:textId="77777777" w:rsidR="00ED08FF" w:rsidRDefault="00000000">
            <w:pPr>
              <w:pStyle w:val="TableParagraph"/>
              <w:ind w:left="50"/>
              <w:jc w:val="left"/>
              <w:rPr>
                <w:sz w:val="13"/>
              </w:rPr>
            </w:pPr>
            <w:r>
              <w:rPr>
                <w:spacing w:val="-4"/>
                <w:sz w:val="13"/>
              </w:rPr>
              <w:t>CMRY</w:t>
            </w:r>
          </w:p>
        </w:tc>
        <w:tc>
          <w:tcPr>
            <w:tcW w:w="546" w:type="dxa"/>
          </w:tcPr>
          <w:p w14:paraId="7F4911FA" w14:textId="77777777" w:rsidR="00ED08FF" w:rsidRDefault="00000000">
            <w:pPr>
              <w:pStyle w:val="TableParagraph"/>
              <w:rPr>
                <w:sz w:val="13"/>
              </w:rPr>
            </w:pPr>
            <w:r>
              <w:rPr>
                <w:spacing w:val="-4"/>
                <w:sz w:val="13"/>
              </w:rPr>
              <w:t>2024</w:t>
            </w:r>
          </w:p>
        </w:tc>
        <w:tc>
          <w:tcPr>
            <w:tcW w:w="624" w:type="dxa"/>
          </w:tcPr>
          <w:p w14:paraId="3143A346" w14:textId="77777777" w:rsidR="00ED08FF" w:rsidRDefault="00000000">
            <w:pPr>
              <w:pStyle w:val="TableParagraph"/>
              <w:ind w:left="117"/>
              <w:jc w:val="left"/>
              <w:rPr>
                <w:sz w:val="13"/>
              </w:rPr>
            </w:pPr>
            <w:r>
              <w:rPr>
                <w:spacing w:val="-2"/>
                <w:sz w:val="13"/>
              </w:rPr>
              <w:t>6.350</w:t>
            </w:r>
          </w:p>
        </w:tc>
        <w:tc>
          <w:tcPr>
            <w:tcW w:w="702" w:type="dxa"/>
          </w:tcPr>
          <w:p w14:paraId="0ADB8D39" w14:textId="77777777" w:rsidR="00ED08FF" w:rsidRDefault="00000000">
            <w:pPr>
              <w:pStyle w:val="TableParagraph"/>
              <w:ind w:left="78" w:right="78"/>
              <w:rPr>
                <w:sz w:val="13"/>
              </w:rPr>
            </w:pPr>
            <w:r>
              <w:rPr>
                <w:spacing w:val="-2"/>
                <w:sz w:val="13"/>
              </w:rPr>
              <w:t>13.700</w:t>
            </w:r>
          </w:p>
        </w:tc>
        <w:tc>
          <w:tcPr>
            <w:tcW w:w="625" w:type="dxa"/>
          </w:tcPr>
          <w:p w14:paraId="23C5808D" w14:textId="77777777" w:rsidR="00ED08FF" w:rsidRDefault="00000000">
            <w:pPr>
              <w:pStyle w:val="TableParagraph"/>
              <w:ind w:left="117"/>
              <w:jc w:val="left"/>
              <w:rPr>
                <w:sz w:val="13"/>
              </w:rPr>
            </w:pPr>
            <w:r>
              <w:rPr>
                <w:spacing w:val="-2"/>
                <w:sz w:val="13"/>
              </w:rPr>
              <w:t>0.000</w:t>
            </w:r>
          </w:p>
        </w:tc>
        <w:tc>
          <w:tcPr>
            <w:tcW w:w="702" w:type="dxa"/>
          </w:tcPr>
          <w:p w14:paraId="6AE16794" w14:textId="77777777" w:rsidR="00ED08FF" w:rsidRDefault="00000000">
            <w:pPr>
              <w:pStyle w:val="TableParagraph"/>
              <w:ind w:left="78" w:right="78"/>
              <w:rPr>
                <w:sz w:val="13"/>
              </w:rPr>
            </w:pPr>
            <w:r>
              <w:rPr>
                <w:spacing w:val="-2"/>
                <w:sz w:val="13"/>
              </w:rPr>
              <w:t>15.919</w:t>
            </w:r>
          </w:p>
        </w:tc>
        <w:tc>
          <w:tcPr>
            <w:tcW w:w="557" w:type="dxa"/>
          </w:tcPr>
          <w:p w14:paraId="644F881B" w14:textId="77777777" w:rsidR="00ED08FF" w:rsidRDefault="00000000">
            <w:pPr>
              <w:pStyle w:val="TableParagraph"/>
              <w:ind w:left="75" w:right="9"/>
              <w:rPr>
                <w:sz w:val="13"/>
              </w:rPr>
            </w:pPr>
            <w:r>
              <w:rPr>
                <w:spacing w:val="-2"/>
                <w:sz w:val="13"/>
              </w:rPr>
              <w:t>3.160</w:t>
            </w:r>
          </w:p>
        </w:tc>
      </w:tr>
      <w:tr w:rsidR="00ED08FF" w14:paraId="1D025A66" w14:textId="77777777">
        <w:trPr>
          <w:trHeight w:val="147"/>
        </w:trPr>
        <w:tc>
          <w:tcPr>
            <w:tcW w:w="635" w:type="dxa"/>
          </w:tcPr>
          <w:p w14:paraId="696D6DEF" w14:textId="77777777" w:rsidR="00ED08FF" w:rsidRDefault="00000000">
            <w:pPr>
              <w:pStyle w:val="TableParagraph"/>
              <w:ind w:left="50"/>
              <w:jc w:val="left"/>
              <w:rPr>
                <w:sz w:val="13"/>
              </w:rPr>
            </w:pPr>
            <w:r>
              <w:rPr>
                <w:spacing w:val="-4"/>
                <w:sz w:val="13"/>
              </w:rPr>
              <w:t>CMRY</w:t>
            </w:r>
          </w:p>
        </w:tc>
        <w:tc>
          <w:tcPr>
            <w:tcW w:w="546" w:type="dxa"/>
          </w:tcPr>
          <w:p w14:paraId="261F4E9B" w14:textId="77777777" w:rsidR="00ED08FF" w:rsidRDefault="00000000">
            <w:pPr>
              <w:pStyle w:val="TableParagraph"/>
              <w:rPr>
                <w:sz w:val="13"/>
              </w:rPr>
            </w:pPr>
            <w:r>
              <w:rPr>
                <w:spacing w:val="-4"/>
                <w:sz w:val="13"/>
              </w:rPr>
              <w:t>2025</w:t>
            </w:r>
          </w:p>
        </w:tc>
        <w:tc>
          <w:tcPr>
            <w:tcW w:w="624" w:type="dxa"/>
          </w:tcPr>
          <w:p w14:paraId="1A174F8D" w14:textId="77777777" w:rsidR="00ED08FF" w:rsidRDefault="00000000">
            <w:pPr>
              <w:pStyle w:val="TableParagraph"/>
              <w:ind w:left="117"/>
              <w:jc w:val="left"/>
              <w:rPr>
                <w:sz w:val="13"/>
              </w:rPr>
            </w:pPr>
            <w:r>
              <w:rPr>
                <w:spacing w:val="-2"/>
                <w:sz w:val="13"/>
              </w:rPr>
              <w:t>6.610</w:t>
            </w:r>
          </w:p>
        </w:tc>
        <w:tc>
          <w:tcPr>
            <w:tcW w:w="702" w:type="dxa"/>
          </w:tcPr>
          <w:p w14:paraId="0B539364" w14:textId="77777777" w:rsidR="00ED08FF" w:rsidRDefault="00000000">
            <w:pPr>
              <w:pStyle w:val="TableParagraph"/>
              <w:ind w:left="78" w:right="78"/>
              <w:rPr>
                <w:sz w:val="13"/>
              </w:rPr>
            </w:pPr>
            <w:r>
              <w:rPr>
                <w:spacing w:val="-2"/>
                <w:sz w:val="13"/>
              </w:rPr>
              <w:t>16.800</w:t>
            </w:r>
          </w:p>
        </w:tc>
        <w:tc>
          <w:tcPr>
            <w:tcW w:w="625" w:type="dxa"/>
          </w:tcPr>
          <w:p w14:paraId="204A1B87" w14:textId="77777777" w:rsidR="00ED08FF" w:rsidRDefault="00000000">
            <w:pPr>
              <w:pStyle w:val="TableParagraph"/>
              <w:ind w:left="117"/>
              <w:jc w:val="left"/>
              <w:rPr>
                <w:sz w:val="13"/>
              </w:rPr>
            </w:pPr>
            <w:r>
              <w:rPr>
                <w:spacing w:val="-2"/>
                <w:sz w:val="13"/>
              </w:rPr>
              <w:t>0.000</w:t>
            </w:r>
          </w:p>
        </w:tc>
        <w:tc>
          <w:tcPr>
            <w:tcW w:w="702" w:type="dxa"/>
          </w:tcPr>
          <w:p w14:paraId="560EC65C" w14:textId="77777777" w:rsidR="00ED08FF" w:rsidRDefault="00000000">
            <w:pPr>
              <w:pStyle w:val="TableParagraph"/>
              <w:ind w:left="78" w:right="78"/>
              <w:rPr>
                <w:sz w:val="13"/>
              </w:rPr>
            </w:pPr>
            <w:r>
              <w:rPr>
                <w:spacing w:val="-2"/>
                <w:sz w:val="13"/>
              </w:rPr>
              <w:t>15.984</w:t>
            </w:r>
          </w:p>
        </w:tc>
        <w:tc>
          <w:tcPr>
            <w:tcW w:w="557" w:type="dxa"/>
          </w:tcPr>
          <w:p w14:paraId="0FDC99BB" w14:textId="77777777" w:rsidR="00ED08FF" w:rsidRDefault="00000000">
            <w:pPr>
              <w:pStyle w:val="TableParagraph"/>
              <w:ind w:left="75" w:right="9"/>
              <w:rPr>
                <w:sz w:val="13"/>
              </w:rPr>
            </w:pPr>
            <w:r>
              <w:rPr>
                <w:spacing w:val="-2"/>
                <w:sz w:val="13"/>
              </w:rPr>
              <w:t>2.230</w:t>
            </w:r>
          </w:p>
        </w:tc>
      </w:tr>
      <w:tr w:rsidR="00ED08FF" w14:paraId="1A9D8F05" w14:textId="77777777">
        <w:trPr>
          <w:trHeight w:val="147"/>
        </w:trPr>
        <w:tc>
          <w:tcPr>
            <w:tcW w:w="635" w:type="dxa"/>
          </w:tcPr>
          <w:p w14:paraId="7E52CF1F" w14:textId="77777777" w:rsidR="00ED08FF" w:rsidRDefault="00000000">
            <w:pPr>
              <w:pStyle w:val="TableParagraph"/>
              <w:ind w:left="50"/>
              <w:jc w:val="left"/>
              <w:rPr>
                <w:sz w:val="13"/>
              </w:rPr>
            </w:pPr>
            <w:r>
              <w:rPr>
                <w:spacing w:val="-4"/>
                <w:sz w:val="13"/>
              </w:rPr>
              <w:t>GOOD</w:t>
            </w:r>
          </w:p>
        </w:tc>
        <w:tc>
          <w:tcPr>
            <w:tcW w:w="546" w:type="dxa"/>
          </w:tcPr>
          <w:p w14:paraId="49E0D0D2" w14:textId="77777777" w:rsidR="00ED08FF" w:rsidRDefault="00000000">
            <w:pPr>
              <w:pStyle w:val="TableParagraph"/>
              <w:rPr>
                <w:sz w:val="13"/>
              </w:rPr>
            </w:pPr>
            <w:r>
              <w:rPr>
                <w:spacing w:val="-4"/>
                <w:sz w:val="13"/>
              </w:rPr>
              <w:t>2021</w:t>
            </w:r>
          </w:p>
        </w:tc>
        <w:tc>
          <w:tcPr>
            <w:tcW w:w="624" w:type="dxa"/>
          </w:tcPr>
          <w:p w14:paraId="50B7EC2B" w14:textId="77777777" w:rsidR="00ED08FF" w:rsidRDefault="00000000">
            <w:pPr>
              <w:pStyle w:val="TableParagraph"/>
              <w:ind w:left="117"/>
              <w:jc w:val="left"/>
              <w:rPr>
                <w:sz w:val="13"/>
              </w:rPr>
            </w:pPr>
            <w:r>
              <w:rPr>
                <w:spacing w:val="-2"/>
                <w:sz w:val="13"/>
              </w:rPr>
              <w:t>6.310</w:t>
            </w:r>
          </w:p>
        </w:tc>
        <w:tc>
          <w:tcPr>
            <w:tcW w:w="702" w:type="dxa"/>
          </w:tcPr>
          <w:p w14:paraId="3AEC0C55" w14:textId="77777777" w:rsidR="00ED08FF" w:rsidRDefault="00000000">
            <w:pPr>
              <w:pStyle w:val="TableParagraph"/>
              <w:ind w:left="78"/>
              <w:rPr>
                <w:sz w:val="13"/>
              </w:rPr>
            </w:pPr>
            <w:r>
              <w:rPr>
                <w:spacing w:val="-2"/>
                <w:sz w:val="13"/>
              </w:rPr>
              <w:t>6.600</w:t>
            </w:r>
          </w:p>
        </w:tc>
        <w:tc>
          <w:tcPr>
            <w:tcW w:w="625" w:type="dxa"/>
          </w:tcPr>
          <w:p w14:paraId="0CA1E323" w14:textId="77777777" w:rsidR="00ED08FF" w:rsidRDefault="00000000">
            <w:pPr>
              <w:pStyle w:val="TableParagraph"/>
              <w:ind w:left="117"/>
              <w:jc w:val="left"/>
              <w:rPr>
                <w:sz w:val="13"/>
              </w:rPr>
            </w:pPr>
            <w:r>
              <w:rPr>
                <w:spacing w:val="-2"/>
                <w:sz w:val="13"/>
              </w:rPr>
              <w:t>0.740</w:t>
            </w:r>
          </w:p>
        </w:tc>
        <w:tc>
          <w:tcPr>
            <w:tcW w:w="702" w:type="dxa"/>
          </w:tcPr>
          <w:p w14:paraId="3993696B" w14:textId="77777777" w:rsidR="00ED08FF" w:rsidRDefault="00000000">
            <w:pPr>
              <w:pStyle w:val="TableParagraph"/>
              <w:ind w:left="78" w:right="78"/>
              <w:rPr>
                <w:sz w:val="13"/>
              </w:rPr>
            </w:pPr>
            <w:r>
              <w:rPr>
                <w:spacing w:val="-2"/>
                <w:sz w:val="13"/>
              </w:rPr>
              <w:t>15.728</w:t>
            </w:r>
          </w:p>
        </w:tc>
        <w:tc>
          <w:tcPr>
            <w:tcW w:w="557" w:type="dxa"/>
          </w:tcPr>
          <w:p w14:paraId="673FEE15" w14:textId="77777777" w:rsidR="00ED08FF" w:rsidRDefault="00000000">
            <w:pPr>
              <w:pStyle w:val="TableParagraph"/>
              <w:ind w:left="75" w:right="9"/>
              <w:rPr>
                <w:sz w:val="13"/>
              </w:rPr>
            </w:pPr>
            <w:r>
              <w:rPr>
                <w:spacing w:val="-2"/>
                <w:sz w:val="13"/>
              </w:rPr>
              <w:t>1.480</w:t>
            </w:r>
          </w:p>
        </w:tc>
      </w:tr>
      <w:tr w:rsidR="00ED08FF" w14:paraId="58A4FDF4" w14:textId="77777777">
        <w:trPr>
          <w:trHeight w:val="146"/>
        </w:trPr>
        <w:tc>
          <w:tcPr>
            <w:tcW w:w="635" w:type="dxa"/>
          </w:tcPr>
          <w:p w14:paraId="2984822B" w14:textId="77777777" w:rsidR="00ED08FF" w:rsidRDefault="00000000">
            <w:pPr>
              <w:pStyle w:val="TableParagraph"/>
              <w:ind w:left="50"/>
              <w:jc w:val="left"/>
              <w:rPr>
                <w:sz w:val="13"/>
              </w:rPr>
            </w:pPr>
            <w:r>
              <w:rPr>
                <w:spacing w:val="-4"/>
                <w:sz w:val="13"/>
              </w:rPr>
              <w:t>GOOD</w:t>
            </w:r>
          </w:p>
        </w:tc>
        <w:tc>
          <w:tcPr>
            <w:tcW w:w="546" w:type="dxa"/>
          </w:tcPr>
          <w:p w14:paraId="5B826CCF" w14:textId="77777777" w:rsidR="00ED08FF" w:rsidRDefault="00000000">
            <w:pPr>
              <w:pStyle w:val="TableParagraph"/>
              <w:rPr>
                <w:sz w:val="13"/>
              </w:rPr>
            </w:pPr>
            <w:r>
              <w:rPr>
                <w:spacing w:val="-4"/>
                <w:sz w:val="13"/>
              </w:rPr>
              <w:t>2022</w:t>
            </w:r>
          </w:p>
        </w:tc>
        <w:tc>
          <w:tcPr>
            <w:tcW w:w="624" w:type="dxa"/>
          </w:tcPr>
          <w:p w14:paraId="35951C17" w14:textId="77777777" w:rsidR="00ED08FF" w:rsidRDefault="00000000">
            <w:pPr>
              <w:pStyle w:val="TableParagraph"/>
              <w:ind w:left="117"/>
              <w:jc w:val="left"/>
              <w:rPr>
                <w:sz w:val="13"/>
              </w:rPr>
            </w:pPr>
            <w:r>
              <w:rPr>
                <w:spacing w:val="-2"/>
                <w:sz w:val="13"/>
              </w:rPr>
              <w:t>5.720</w:t>
            </w:r>
          </w:p>
        </w:tc>
        <w:tc>
          <w:tcPr>
            <w:tcW w:w="702" w:type="dxa"/>
          </w:tcPr>
          <w:p w14:paraId="34635E7F" w14:textId="77777777" w:rsidR="00ED08FF" w:rsidRDefault="00000000">
            <w:pPr>
              <w:pStyle w:val="TableParagraph"/>
              <w:ind w:left="78"/>
              <w:rPr>
                <w:sz w:val="13"/>
              </w:rPr>
            </w:pPr>
            <w:r>
              <w:rPr>
                <w:spacing w:val="-2"/>
                <w:sz w:val="13"/>
              </w:rPr>
              <w:t>6.320</w:t>
            </w:r>
          </w:p>
        </w:tc>
        <w:tc>
          <w:tcPr>
            <w:tcW w:w="625" w:type="dxa"/>
          </w:tcPr>
          <w:p w14:paraId="632CF431" w14:textId="77777777" w:rsidR="00ED08FF" w:rsidRDefault="00000000">
            <w:pPr>
              <w:pStyle w:val="TableParagraph"/>
              <w:ind w:left="117"/>
              <w:jc w:val="left"/>
              <w:rPr>
                <w:sz w:val="13"/>
              </w:rPr>
            </w:pPr>
            <w:r>
              <w:rPr>
                <w:spacing w:val="-2"/>
                <w:sz w:val="13"/>
              </w:rPr>
              <w:t>0.690</w:t>
            </w:r>
          </w:p>
        </w:tc>
        <w:tc>
          <w:tcPr>
            <w:tcW w:w="702" w:type="dxa"/>
          </w:tcPr>
          <w:p w14:paraId="4EA0F5A2" w14:textId="77777777" w:rsidR="00ED08FF" w:rsidRDefault="00000000">
            <w:pPr>
              <w:pStyle w:val="TableParagraph"/>
              <w:ind w:left="78" w:right="78"/>
              <w:rPr>
                <w:sz w:val="13"/>
              </w:rPr>
            </w:pPr>
            <w:r>
              <w:rPr>
                <w:spacing w:val="-2"/>
                <w:sz w:val="13"/>
              </w:rPr>
              <w:t>15.807</w:t>
            </w:r>
          </w:p>
        </w:tc>
        <w:tc>
          <w:tcPr>
            <w:tcW w:w="557" w:type="dxa"/>
          </w:tcPr>
          <w:p w14:paraId="0FFC2F08" w14:textId="77777777" w:rsidR="00ED08FF" w:rsidRDefault="00000000">
            <w:pPr>
              <w:pStyle w:val="TableParagraph"/>
              <w:ind w:left="75" w:right="9"/>
              <w:rPr>
                <w:sz w:val="13"/>
              </w:rPr>
            </w:pPr>
            <w:r>
              <w:rPr>
                <w:spacing w:val="-2"/>
                <w:sz w:val="13"/>
              </w:rPr>
              <w:t>1.740</w:t>
            </w:r>
          </w:p>
        </w:tc>
      </w:tr>
      <w:tr w:rsidR="00ED08FF" w14:paraId="47C3B04E" w14:textId="77777777">
        <w:trPr>
          <w:trHeight w:val="147"/>
        </w:trPr>
        <w:tc>
          <w:tcPr>
            <w:tcW w:w="635" w:type="dxa"/>
          </w:tcPr>
          <w:p w14:paraId="4CAF4E62" w14:textId="77777777" w:rsidR="00ED08FF" w:rsidRDefault="00000000">
            <w:pPr>
              <w:pStyle w:val="TableParagraph"/>
              <w:ind w:left="50"/>
              <w:jc w:val="left"/>
              <w:rPr>
                <w:sz w:val="13"/>
              </w:rPr>
            </w:pPr>
            <w:r>
              <w:rPr>
                <w:spacing w:val="-4"/>
                <w:sz w:val="13"/>
              </w:rPr>
              <w:t>GOOD</w:t>
            </w:r>
          </w:p>
        </w:tc>
        <w:tc>
          <w:tcPr>
            <w:tcW w:w="546" w:type="dxa"/>
          </w:tcPr>
          <w:p w14:paraId="7C5EF025" w14:textId="77777777" w:rsidR="00ED08FF" w:rsidRDefault="00000000">
            <w:pPr>
              <w:pStyle w:val="TableParagraph"/>
              <w:rPr>
                <w:sz w:val="13"/>
              </w:rPr>
            </w:pPr>
            <w:r>
              <w:rPr>
                <w:spacing w:val="-4"/>
                <w:sz w:val="13"/>
              </w:rPr>
              <w:t>2023</w:t>
            </w:r>
          </w:p>
        </w:tc>
        <w:tc>
          <w:tcPr>
            <w:tcW w:w="624" w:type="dxa"/>
          </w:tcPr>
          <w:p w14:paraId="612FC6E2" w14:textId="77777777" w:rsidR="00ED08FF" w:rsidRDefault="00000000">
            <w:pPr>
              <w:pStyle w:val="TableParagraph"/>
              <w:ind w:left="117"/>
              <w:jc w:val="left"/>
              <w:rPr>
                <w:sz w:val="13"/>
              </w:rPr>
            </w:pPr>
            <w:r>
              <w:rPr>
                <w:spacing w:val="-2"/>
                <w:sz w:val="13"/>
              </w:rPr>
              <w:t>4.060</w:t>
            </w:r>
          </w:p>
        </w:tc>
        <w:tc>
          <w:tcPr>
            <w:tcW w:w="702" w:type="dxa"/>
          </w:tcPr>
          <w:p w14:paraId="00EDA74B" w14:textId="77777777" w:rsidR="00ED08FF" w:rsidRDefault="00000000">
            <w:pPr>
              <w:pStyle w:val="TableParagraph"/>
              <w:ind w:left="78"/>
              <w:rPr>
                <w:sz w:val="13"/>
              </w:rPr>
            </w:pPr>
            <w:r>
              <w:rPr>
                <w:spacing w:val="-2"/>
                <w:sz w:val="13"/>
              </w:rPr>
              <w:t>7.570</w:t>
            </w:r>
          </w:p>
        </w:tc>
        <w:tc>
          <w:tcPr>
            <w:tcW w:w="625" w:type="dxa"/>
          </w:tcPr>
          <w:p w14:paraId="38379DE5" w14:textId="77777777" w:rsidR="00ED08FF" w:rsidRDefault="00000000">
            <w:pPr>
              <w:pStyle w:val="TableParagraph"/>
              <w:ind w:left="117"/>
              <w:jc w:val="left"/>
              <w:rPr>
                <w:sz w:val="13"/>
              </w:rPr>
            </w:pPr>
            <w:r>
              <w:rPr>
                <w:spacing w:val="-2"/>
                <w:sz w:val="13"/>
              </w:rPr>
              <w:t>0.490</w:t>
            </w:r>
          </w:p>
        </w:tc>
        <w:tc>
          <w:tcPr>
            <w:tcW w:w="702" w:type="dxa"/>
          </w:tcPr>
          <w:p w14:paraId="48B13621" w14:textId="77777777" w:rsidR="00ED08FF" w:rsidRDefault="00000000">
            <w:pPr>
              <w:pStyle w:val="TableParagraph"/>
              <w:ind w:left="78" w:right="78"/>
              <w:rPr>
                <w:sz w:val="13"/>
              </w:rPr>
            </w:pPr>
            <w:r>
              <w:rPr>
                <w:spacing w:val="-2"/>
                <w:sz w:val="13"/>
              </w:rPr>
              <w:t>15.821</w:t>
            </w:r>
          </w:p>
        </w:tc>
        <w:tc>
          <w:tcPr>
            <w:tcW w:w="557" w:type="dxa"/>
          </w:tcPr>
          <w:p w14:paraId="5176706C" w14:textId="77777777" w:rsidR="00ED08FF" w:rsidRDefault="00000000">
            <w:pPr>
              <w:pStyle w:val="TableParagraph"/>
              <w:ind w:left="75" w:right="9"/>
              <w:rPr>
                <w:sz w:val="13"/>
              </w:rPr>
            </w:pPr>
            <w:r>
              <w:rPr>
                <w:spacing w:val="-2"/>
                <w:sz w:val="13"/>
              </w:rPr>
              <w:t>1.780</w:t>
            </w:r>
          </w:p>
        </w:tc>
      </w:tr>
      <w:tr w:rsidR="00ED08FF" w14:paraId="36702B07" w14:textId="77777777">
        <w:trPr>
          <w:trHeight w:val="146"/>
        </w:trPr>
        <w:tc>
          <w:tcPr>
            <w:tcW w:w="635" w:type="dxa"/>
          </w:tcPr>
          <w:p w14:paraId="394F8EB5" w14:textId="77777777" w:rsidR="00ED08FF" w:rsidRDefault="00000000">
            <w:pPr>
              <w:pStyle w:val="TableParagraph"/>
              <w:ind w:left="50"/>
              <w:jc w:val="left"/>
              <w:rPr>
                <w:sz w:val="13"/>
              </w:rPr>
            </w:pPr>
            <w:r>
              <w:rPr>
                <w:spacing w:val="-4"/>
                <w:sz w:val="13"/>
              </w:rPr>
              <w:t>GOOD</w:t>
            </w:r>
          </w:p>
        </w:tc>
        <w:tc>
          <w:tcPr>
            <w:tcW w:w="546" w:type="dxa"/>
          </w:tcPr>
          <w:p w14:paraId="3C227E96" w14:textId="77777777" w:rsidR="00ED08FF" w:rsidRDefault="00000000">
            <w:pPr>
              <w:pStyle w:val="TableParagraph"/>
              <w:rPr>
                <w:sz w:val="13"/>
              </w:rPr>
            </w:pPr>
            <w:r>
              <w:rPr>
                <w:spacing w:val="-4"/>
                <w:sz w:val="13"/>
              </w:rPr>
              <w:t>2024</w:t>
            </w:r>
          </w:p>
        </w:tc>
        <w:tc>
          <w:tcPr>
            <w:tcW w:w="624" w:type="dxa"/>
          </w:tcPr>
          <w:p w14:paraId="125F0940" w14:textId="77777777" w:rsidR="00ED08FF" w:rsidRDefault="00000000">
            <w:pPr>
              <w:pStyle w:val="TableParagraph"/>
              <w:ind w:left="117"/>
              <w:jc w:val="left"/>
              <w:rPr>
                <w:sz w:val="13"/>
              </w:rPr>
            </w:pPr>
            <w:r>
              <w:rPr>
                <w:spacing w:val="-2"/>
                <w:sz w:val="13"/>
              </w:rPr>
              <w:t>3.790</w:t>
            </w:r>
          </w:p>
        </w:tc>
        <w:tc>
          <w:tcPr>
            <w:tcW w:w="702" w:type="dxa"/>
          </w:tcPr>
          <w:p w14:paraId="62F29E09" w14:textId="77777777" w:rsidR="00ED08FF" w:rsidRDefault="00000000">
            <w:pPr>
              <w:pStyle w:val="TableParagraph"/>
              <w:ind w:left="78"/>
              <w:rPr>
                <w:sz w:val="13"/>
              </w:rPr>
            </w:pPr>
            <w:r>
              <w:rPr>
                <w:spacing w:val="-2"/>
                <w:sz w:val="13"/>
              </w:rPr>
              <w:t>7.220</w:t>
            </w:r>
          </w:p>
        </w:tc>
        <w:tc>
          <w:tcPr>
            <w:tcW w:w="625" w:type="dxa"/>
          </w:tcPr>
          <w:p w14:paraId="10A5AB8B" w14:textId="77777777" w:rsidR="00ED08FF" w:rsidRDefault="00000000">
            <w:pPr>
              <w:pStyle w:val="TableParagraph"/>
              <w:ind w:left="117"/>
              <w:jc w:val="left"/>
              <w:rPr>
                <w:sz w:val="13"/>
              </w:rPr>
            </w:pPr>
            <w:r>
              <w:rPr>
                <w:spacing w:val="-2"/>
                <w:sz w:val="13"/>
              </w:rPr>
              <w:t>0.510</w:t>
            </w:r>
          </w:p>
        </w:tc>
        <w:tc>
          <w:tcPr>
            <w:tcW w:w="702" w:type="dxa"/>
          </w:tcPr>
          <w:p w14:paraId="3EB2B908" w14:textId="77777777" w:rsidR="00ED08FF" w:rsidRDefault="00000000">
            <w:pPr>
              <w:pStyle w:val="TableParagraph"/>
              <w:ind w:left="78" w:right="78"/>
              <w:rPr>
                <w:sz w:val="13"/>
              </w:rPr>
            </w:pPr>
            <w:r>
              <w:rPr>
                <w:spacing w:val="-2"/>
                <w:sz w:val="13"/>
              </w:rPr>
              <w:t>15.948</w:t>
            </w:r>
          </w:p>
        </w:tc>
        <w:tc>
          <w:tcPr>
            <w:tcW w:w="557" w:type="dxa"/>
          </w:tcPr>
          <w:p w14:paraId="697130F6" w14:textId="77777777" w:rsidR="00ED08FF" w:rsidRDefault="00000000">
            <w:pPr>
              <w:pStyle w:val="TableParagraph"/>
              <w:ind w:left="75" w:right="9"/>
              <w:rPr>
                <w:sz w:val="13"/>
              </w:rPr>
            </w:pPr>
            <w:r>
              <w:rPr>
                <w:spacing w:val="-2"/>
                <w:sz w:val="13"/>
              </w:rPr>
              <w:t>1.370</w:t>
            </w:r>
          </w:p>
        </w:tc>
      </w:tr>
      <w:tr w:rsidR="00ED08FF" w14:paraId="2775F6BE" w14:textId="77777777">
        <w:trPr>
          <w:trHeight w:val="147"/>
        </w:trPr>
        <w:tc>
          <w:tcPr>
            <w:tcW w:w="635" w:type="dxa"/>
          </w:tcPr>
          <w:p w14:paraId="082F8755" w14:textId="77777777" w:rsidR="00ED08FF" w:rsidRDefault="00000000">
            <w:pPr>
              <w:pStyle w:val="TableParagraph"/>
              <w:ind w:left="50"/>
              <w:jc w:val="left"/>
              <w:rPr>
                <w:sz w:val="13"/>
              </w:rPr>
            </w:pPr>
            <w:r>
              <w:rPr>
                <w:spacing w:val="-4"/>
                <w:sz w:val="13"/>
              </w:rPr>
              <w:t>GOOD</w:t>
            </w:r>
          </w:p>
        </w:tc>
        <w:tc>
          <w:tcPr>
            <w:tcW w:w="546" w:type="dxa"/>
          </w:tcPr>
          <w:p w14:paraId="22678EEA" w14:textId="77777777" w:rsidR="00ED08FF" w:rsidRDefault="00000000">
            <w:pPr>
              <w:pStyle w:val="TableParagraph"/>
              <w:rPr>
                <w:sz w:val="13"/>
              </w:rPr>
            </w:pPr>
            <w:r>
              <w:rPr>
                <w:spacing w:val="-4"/>
                <w:sz w:val="13"/>
              </w:rPr>
              <w:t>2025</w:t>
            </w:r>
          </w:p>
        </w:tc>
        <w:tc>
          <w:tcPr>
            <w:tcW w:w="624" w:type="dxa"/>
          </w:tcPr>
          <w:p w14:paraId="79E261F9" w14:textId="77777777" w:rsidR="00ED08FF" w:rsidRDefault="00000000">
            <w:pPr>
              <w:pStyle w:val="TableParagraph"/>
              <w:ind w:left="117"/>
              <w:jc w:val="left"/>
              <w:rPr>
                <w:sz w:val="13"/>
              </w:rPr>
            </w:pPr>
            <w:r>
              <w:rPr>
                <w:spacing w:val="-2"/>
                <w:sz w:val="13"/>
              </w:rPr>
              <w:t>3.130</w:t>
            </w:r>
          </w:p>
        </w:tc>
        <w:tc>
          <w:tcPr>
            <w:tcW w:w="702" w:type="dxa"/>
          </w:tcPr>
          <w:p w14:paraId="7CD58BC8" w14:textId="77777777" w:rsidR="00ED08FF" w:rsidRDefault="00000000">
            <w:pPr>
              <w:pStyle w:val="TableParagraph"/>
              <w:ind w:left="78"/>
              <w:rPr>
                <w:sz w:val="13"/>
              </w:rPr>
            </w:pPr>
            <w:r>
              <w:rPr>
                <w:spacing w:val="-2"/>
                <w:sz w:val="13"/>
              </w:rPr>
              <w:t>7.200</w:t>
            </w:r>
          </w:p>
        </w:tc>
        <w:tc>
          <w:tcPr>
            <w:tcW w:w="625" w:type="dxa"/>
          </w:tcPr>
          <w:p w14:paraId="27608174" w14:textId="77777777" w:rsidR="00ED08FF" w:rsidRDefault="00000000">
            <w:pPr>
              <w:pStyle w:val="TableParagraph"/>
              <w:ind w:left="117"/>
              <w:jc w:val="left"/>
              <w:rPr>
                <w:sz w:val="13"/>
              </w:rPr>
            </w:pPr>
            <w:r>
              <w:rPr>
                <w:spacing w:val="-2"/>
                <w:sz w:val="13"/>
              </w:rPr>
              <w:t>0.510</w:t>
            </w:r>
          </w:p>
        </w:tc>
        <w:tc>
          <w:tcPr>
            <w:tcW w:w="702" w:type="dxa"/>
          </w:tcPr>
          <w:p w14:paraId="3C52F41E" w14:textId="77777777" w:rsidR="00ED08FF" w:rsidRDefault="00000000">
            <w:pPr>
              <w:pStyle w:val="TableParagraph"/>
              <w:ind w:left="78" w:right="78"/>
              <w:rPr>
                <w:sz w:val="13"/>
              </w:rPr>
            </w:pPr>
            <w:r>
              <w:rPr>
                <w:spacing w:val="-2"/>
                <w:sz w:val="13"/>
              </w:rPr>
              <w:t>16.049</w:t>
            </w:r>
          </w:p>
        </w:tc>
        <w:tc>
          <w:tcPr>
            <w:tcW w:w="557" w:type="dxa"/>
          </w:tcPr>
          <w:p w14:paraId="556BE67C" w14:textId="77777777" w:rsidR="00ED08FF" w:rsidRDefault="00000000">
            <w:pPr>
              <w:pStyle w:val="TableParagraph"/>
              <w:ind w:left="75" w:right="9"/>
              <w:rPr>
                <w:sz w:val="13"/>
              </w:rPr>
            </w:pPr>
            <w:r>
              <w:rPr>
                <w:spacing w:val="-2"/>
                <w:sz w:val="13"/>
              </w:rPr>
              <w:t>1.380</w:t>
            </w:r>
          </w:p>
        </w:tc>
      </w:tr>
      <w:tr w:rsidR="00ED08FF" w14:paraId="2F2DFEAC" w14:textId="77777777">
        <w:trPr>
          <w:trHeight w:val="147"/>
        </w:trPr>
        <w:tc>
          <w:tcPr>
            <w:tcW w:w="635" w:type="dxa"/>
          </w:tcPr>
          <w:p w14:paraId="7387ACBD" w14:textId="77777777" w:rsidR="00ED08FF" w:rsidRDefault="00000000">
            <w:pPr>
              <w:pStyle w:val="TableParagraph"/>
              <w:ind w:left="50"/>
              <w:jc w:val="left"/>
              <w:rPr>
                <w:sz w:val="13"/>
              </w:rPr>
            </w:pPr>
            <w:r>
              <w:rPr>
                <w:spacing w:val="-4"/>
                <w:sz w:val="13"/>
              </w:rPr>
              <w:t>ICBP</w:t>
            </w:r>
          </w:p>
        </w:tc>
        <w:tc>
          <w:tcPr>
            <w:tcW w:w="546" w:type="dxa"/>
          </w:tcPr>
          <w:p w14:paraId="36FAC712" w14:textId="77777777" w:rsidR="00ED08FF" w:rsidRDefault="00000000">
            <w:pPr>
              <w:pStyle w:val="TableParagraph"/>
              <w:rPr>
                <w:sz w:val="13"/>
              </w:rPr>
            </w:pPr>
            <w:r>
              <w:rPr>
                <w:spacing w:val="-4"/>
                <w:sz w:val="13"/>
              </w:rPr>
              <w:t>2021</w:t>
            </w:r>
          </w:p>
        </w:tc>
        <w:tc>
          <w:tcPr>
            <w:tcW w:w="624" w:type="dxa"/>
          </w:tcPr>
          <w:p w14:paraId="4DB3D37B" w14:textId="77777777" w:rsidR="00ED08FF" w:rsidRDefault="00000000">
            <w:pPr>
              <w:pStyle w:val="TableParagraph"/>
              <w:ind w:left="117"/>
              <w:jc w:val="left"/>
              <w:rPr>
                <w:sz w:val="13"/>
              </w:rPr>
            </w:pPr>
            <w:r>
              <w:rPr>
                <w:spacing w:val="-2"/>
                <w:sz w:val="13"/>
              </w:rPr>
              <w:t>1.850</w:t>
            </w:r>
          </w:p>
        </w:tc>
        <w:tc>
          <w:tcPr>
            <w:tcW w:w="702" w:type="dxa"/>
          </w:tcPr>
          <w:p w14:paraId="06C4FCA4" w14:textId="77777777" w:rsidR="00ED08FF" w:rsidRDefault="00000000">
            <w:pPr>
              <w:pStyle w:val="TableParagraph"/>
              <w:ind w:left="78"/>
              <w:rPr>
                <w:sz w:val="13"/>
              </w:rPr>
            </w:pPr>
            <w:r>
              <w:rPr>
                <w:spacing w:val="-2"/>
                <w:sz w:val="13"/>
              </w:rPr>
              <w:t>6.630</w:t>
            </w:r>
          </w:p>
        </w:tc>
        <w:tc>
          <w:tcPr>
            <w:tcW w:w="625" w:type="dxa"/>
          </w:tcPr>
          <w:p w14:paraId="4E1CC2B8" w14:textId="77777777" w:rsidR="00ED08FF" w:rsidRDefault="00000000">
            <w:pPr>
              <w:pStyle w:val="TableParagraph"/>
              <w:ind w:left="117"/>
              <w:jc w:val="left"/>
              <w:rPr>
                <w:sz w:val="13"/>
              </w:rPr>
            </w:pPr>
            <w:r>
              <w:rPr>
                <w:spacing w:val="-2"/>
                <w:sz w:val="13"/>
              </w:rPr>
              <w:t>0.760</w:t>
            </w:r>
          </w:p>
        </w:tc>
        <w:tc>
          <w:tcPr>
            <w:tcW w:w="702" w:type="dxa"/>
          </w:tcPr>
          <w:p w14:paraId="4066EDF3" w14:textId="77777777" w:rsidR="00ED08FF" w:rsidRDefault="00000000">
            <w:pPr>
              <w:pStyle w:val="TableParagraph"/>
              <w:ind w:left="78" w:right="78"/>
              <w:rPr>
                <w:sz w:val="13"/>
              </w:rPr>
            </w:pPr>
            <w:r>
              <w:rPr>
                <w:spacing w:val="-2"/>
                <w:sz w:val="13"/>
              </w:rPr>
              <w:t>18.586</w:t>
            </w:r>
          </w:p>
        </w:tc>
        <w:tc>
          <w:tcPr>
            <w:tcW w:w="557" w:type="dxa"/>
          </w:tcPr>
          <w:p w14:paraId="47C36CB4" w14:textId="77777777" w:rsidR="00ED08FF" w:rsidRDefault="00000000">
            <w:pPr>
              <w:pStyle w:val="TableParagraph"/>
              <w:ind w:left="75" w:right="9"/>
              <w:rPr>
                <w:sz w:val="13"/>
              </w:rPr>
            </w:pPr>
            <w:r>
              <w:rPr>
                <w:spacing w:val="-2"/>
                <w:sz w:val="13"/>
              </w:rPr>
              <w:t>1.800</w:t>
            </w:r>
          </w:p>
        </w:tc>
      </w:tr>
      <w:tr w:rsidR="00ED08FF" w14:paraId="60E5FB65" w14:textId="77777777">
        <w:trPr>
          <w:trHeight w:val="146"/>
        </w:trPr>
        <w:tc>
          <w:tcPr>
            <w:tcW w:w="635" w:type="dxa"/>
          </w:tcPr>
          <w:p w14:paraId="128FD8B1" w14:textId="77777777" w:rsidR="00ED08FF" w:rsidRDefault="00000000">
            <w:pPr>
              <w:pStyle w:val="TableParagraph"/>
              <w:ind w:left="50"/>
              <w:jc w:val="left"/>
              <w:rPr>
                <w:sz w:val="13"/>
              </w:rPr>
            </w:pPr>
            <w:r>
              <w:rPr>
                <w:spacing w:val="-4"/>
                <w:sz w:val="13"/>
              </w:rPr>
              <w:t>ICBP</w:t>
            </w:r>
          </w:p>
        </w:tc>
        <w:tc>
          <w:tcPr>
            <w:tcW w:w="546" w:type="dxa"/>
          </w:tcPr>
          <w:p w14:paraId="3378A75D" w14:textId="77777777" w:rsidR="00ED08FF" w:rsidRDefault="00000000">
            <w:pPr>
              <w:pStyle w:val="TableParagraph"/>
              <w:rPr>
                <w:sz w:val="13"/>
              </w:rPr>
            </w:pPr>
            <w:r>
              <w:rPr>
                <w:spacing w:val="-4"/>
                <w:sz w:val="13"/>
              </w:rPr>
              <w:t>2022</w:t>
            </w:r>
          </w:p>
        </w:tc>
        <w:tc>
          <w:tcPr>
            <w:tcW w:w="624" w:type="dxa"/>
          </w:tcPr>
          <w:p w14:paraId="36B962F1" w14:textId="77777777" w:rsidR="00ED08FF" w:rsidRDefault="00000000">
            <w:pPr>
              <w:pStyle w:val="TableParagraph"/>
              <w:ind w:left="117"/>
              <w:jc w:val="left"/>
              <w:rPr>
                <w:sz w:val="13"/>
              </w:rPr>
            </w:pPr>
            <w:r>
              <w:rPr>
                <w:spacing w:val="-2"/>
                <w:sz w:val="13"/>
              </w:rPr>
              <w:t>2.030</w:t>
            </w:r>
          </w:p>
        </w:tc>
        <w:tc>
          <w:tcPr>
            <w:tcW w:w="702" w:type="dxa"/>
          </w:tcPr>
          <w:p w14:paraId="01158E52" w14:textId="77777777" w:rsidR="00ED08FF" w:rsidRDefault="00000000">
            <w:pPr>
              <w:pStyle w:val="TableParagraph"/>
              <w:ind w:left="78"/>
              <w:rPr>
                <w:sz w:val="13"/>
              </w:rPr>
            </w:pPr>
            <w:r>
              <w:rPr>
                <w:spacing w:val="-2"/>
                <w:sz w:val="13"/>
              </w:rPr>
              <w:t>6.770</w:t>
            </w:r>
          </w:p>
        </w:tc>
        <w:tc>
          <w:tcPr>
            <w:tcW w:w="625" w:type="dxa"/>
          </w:tcPr>
          <w:p w14:paraId="3301A04E" w14:textId="77777777" w:rsidR="00ED08FF" w:rsidRDefault="00000000">
            <w:pPr>
              <w:pStyle w:val="TableParagraph"/>
              <w:ind w:left="117"/>
              <w:jc w:val="left"/>
              <w:rPr>
                <w:sz w:val="13"/>
              </w:rPr>
            </w:pPr>
            <w:r>
              <w:rPr>
                <w:spacing w:val="-2"/>
                <w:sz w:val="13"/>
              </w:rPr>
              <w:t>0.800</w:t>
            </w:r>
          </w:p>
        </w:tc>
        <w:tc>
          <w:tcPr>
            <w:tcW w:w="702" w:type="dxa"/>
          </w:tcPr>
          <w:p w14:paraId="606F92DF" w14:textId="77777777" w:rsidR="00ED08FF" w:rsidRDefault="00000000">
            <w:pPr>
              <w:pStyle w:val="TableParagraph"/>
              <w:ind w:left="78" w:right="78"/>
              <w:rPr>
                <w:sz w:val="13"/>
              </w:rPr>
            </w:pPr>
            <w:r>
              <w:rPr>
                <w:spacing w:val="-2"/>
                <w:sz w:val="13"/>
              </w:rPr>
              <w:t>18.563</w:t>
            </w:r>
          </w:p>
        </w:tc>
        <w:tc>
          <w:tcPr>
            <w:tcW w:w="557" w:type="dxa"/>
          </w:tcPr>
          <w:p w14:paraId="336265BE" w14:textId="77777777" w:rsidR="00ED08FF" w:rsidRDefault="00000000">
            <w:pPr>
              <w:pStyle w:val="TableParagraph"/>
              <w:ind w:left="75" w:right="9"/>
              <w:rPr>
                <w:sz w:val="13"/>
              </w:rPr>
            </w:pPr>
            <w:r>
              <w:rPr>
                <w:spacing w:val="-2"/>
                <w:sz w:val="13"/>
              </w:rPr>
              <w:t>3.100</w:t>
            </w:r>
          </w:p>
        </w:tc>
      </w:tr>
      <w:tr w:rsidR="00ED08FF" w14:paraId="3A0FA526" w14:textId="77777777">
        <w:trPr>
          <w:trHeight w:val="147"/>
        </w:trPr>
        <w:tc>
          <w:tcPr>
            <w:tcW w:w="635" w:type="dxa"/>
          </w:tcPr>
          <w:p w14:paraId="71EA3591" w14:textId="77777777" w:rsidR="00ED08FF" w:rsidRDefault="00000000">
            <w:pPr>
              <w:pStyle w:val="TableParagraph"/>
              <w:ind w:left="50"/>
              <w:jc w:val="left"/>
              <w:rPr>
                <w:sz w:val="13"/>
              </w:rPr>
            </w:pPr>
            <w:r>
              <w:rPr>
                <w:spacing w:val="-4"/>
                <w:sz w:val="13"/>
              </w:rPr>
              <w:t>ICBP</w:t>
            </w:r>
          </w:p>
        </w:tc>
        <w:tc>
          <w:tcPr>
            <w:tcW w:w="546" w:type="dxa"/>
          </w:tcPr>
          <w:p w14:paraId="411600C0" w14:textId="77777777" w:rsidR="00ED08FF" w:rsidRDefault="00000000">
            <w:pPr>
              <w:pStyle w:val="TableParagraph"/>
              <w:rPr>
                <w:sz w:val="13"/>
              </w:rPr>
            </w:pPr>
            <w:r>
              <w:rPr>
                <w:spacing w:val="-4"/>
                <w:sz w:val="13"/>
              </w:rPr>
              <w:t>2023</w:t>
            </w:r>
          </w:p>
        </w:tc>
        <w:tc>
          <w:tcPr>
            <w:tcW w:w="624" w:type="dxa"/>
          </w:tcPr>
          <w:p w14:paraId="04279002" w14:textId="77777777" w:rsidR="00ED08FF" w:rsidRDefault="00000000">
            <w:pPr>
              <w:pStyle w:val="TableParagraph"/>
              <w:ind w:left="117"/>
              <w:jc w:val="left"/>
              <w:rPr>
                <w:sz w:val="13"/>
              </w:rPr>
            </w:pPr>
            <w:r>
              <w:rPr>
                <w:spacing w:val="-2"/>
                <w:sz w:val="13"/>
              </w:rPr>
              <w:t>1.990</w:t>
            </w:r>
          </w:p>
        </w:tc>
        <w:tc>
          <w:tcPr>
            <w:tcW w:w="702" w:type="dxa"/>
          </w:tcPr>
          <w:p w14:paraId="7CCC506C" w14:textId="77777777" w:rsidR="00ED08FF" w:rsidRDefault="00000000">
            <w:pPr>
              <w:pStyle w:val="TableParagraph"/>
              <w:ind w:left="78"/>
              <w:rPr>
                <w:sz w:val="13"/>
              </w:rPr>
            </w:pPr>
            <w:r>
              <w:rPr>
                <w:spacing w:val="-2"/>
                <w:sz w:val="13"/>
              </w:rPr>
              <w:t>7.890</w:t>
            </w:r>
          </w:p>
        </w:tc>
        <w:tc>
          <w:tcPr>
            <w:tcW w:w="625" w:type="dxa"/>
          </w:tcPr>
          <w:p w14:paraId="45364C2D" w14:textId="77777777" w:rsidR="00ED08FF" w:rsidRDefault="00000000">
            <w:pPr>
              <w:pStyle w:val="TableParagraph"/>
              <w:ind w:left="117"/>
              <w:jc w:val="left"/>
              <w:rPr>
                <w:sz w:val="13"/>
              </w:rPr>
            </w:pPr>
            <w:r>
              <w:rPr>
                <w:spacing w:val="-2"/>
                <w:sz w:val="13"/>
              </w:rPr>
              <w:t>0.710</w:t>
            </w:r>
          </w:p>
        </w:tc>
        <w:tc>
          <w:tcPr>
            <w:tcW w:w="702" w:type="dxa"/>
          </w:tcPr>
          <w:p w14:paraId="4F152773" w14:textId="77777777" w:rsidR="00ED08FF" w:rsidRDefault="00000000">
            <w:pPr>
              <w:pStyle w:val="TableParagraph"/>
              <w:ind w:left="78" w:right="78"/>
              <w:rPr>
                <w:sz w:val="13"/>
              </w:rPr>
            </w:pPr>
            <w:r>
              <w:rPr>
                <w:spacing w:val="-2"/>
                <w:sz w:val="13"/>
              </w:rPr>
              <w:t>18.597</w:t>
            </w:r>
          </w:p>
        </w:tc>
        <w:tc>
          <w:tcPr>
            <w:tcW w:w="557" w:type="dxa"/>
          </w:tcPr>
          <w:p w14:paraId="79973D17" w14:textId="77777777" w:rsidR="00ED08FF" w:rsidRDefault="00000000">
            <w:pPr>
              <w:pStyle w:val="TableParagraph"/>
              <w:ind w:left="75" w:right="9"/>
              <w:rPr>
                <w:sz w:val="13"/>
              </w:rPr>
            </w:pPr>
            <w:r>
              <w:rPr>
                <w:spacing w:val="-2"/>
                <w:sz w:val="13"/>
              </w:rPr>
              <w:t>3.510</w:t>
            </w:r>
          </w:p>
        </w:tc>
      </w:tr>
      <w:tr w:rsidR="00ED08FF" w14:paraId="02F6ABC7" w14:textId="77777777">
        <w:trPr>
          <w:trHeight w:val="146"/>
        </w:trPr>
        <w:tc>
          <w:tcPr>
            <w:tcW w:w="635" w:type="dxa"/>
          </w:tcPr>
          <w:p w14:paraId="053F7E25" w14:textId="77777777" w:rsidR="00ED08FF" w:rsidRDefault="00000000">
            <w:pPr>
              <w:pStyle w:val="TableParagraph"/>
              <w:ind w:left="50"/>
              <w:jc w:val="left"/>
              <w:rPr>
                <w:sz w:val="13"/>
              </w:rPr>
            </w:pPr>
            <w:r>
              <w:rPr>
                <w:spacing w:val="-4"/>
                <w:sz w:val="13"/>
              </w:rPr>
              <w:t>ICBP</w:t>
            </w:r>
          </w:p>
        </w:tc>
        <w:tc>
          <w:tcPr>
            <w:tcW w:w="546" w:type="dxa"/>
          </w:tcPr>
          <w:p w14:paraId="6FD71506" w14:textId="77777777" w:rsidR="00ED08FF" w:rsidRDefault="00000000">
            <w:pPr>
              <w:pStyle w:val="TableParagraph"/>
              <w:rPr>
                <w:sz w:val="13"/>
              </w:rPr>
            </w:pPr>
            <w:r>
              <w:rPr>
                <w:spacing w:val="-4"/>
                <w:sz w:val="13"/>
              </w:rPr>
              <w:t>2024</w:t>
            </w:r>
          </w:p>
        </w:tc>
        <w:tc>
          <w:tcPr>
            <w:tcW w:w="624" w:type="dxa"/>
          </w:tcPr>
          <w:p w14:paraId="294E813D" w14:textId="77777777" w:rsidR="00ED08FF" w:rsidRDefault="00000000">
            <w:pPr>
              <w:pStyle w:val="TableParagraph"/>
              <w:ind w:left="117"/>
              <w:jc w:val="left"/>
              <w:rPr>
                <w:sz w:val="13"/>
              </w:rPr>
            </w:pPr>
            <w:r>
              <w:rPr>
                <w:spacing w:val="-2"/>
                <w:sz w:val="13"/>
              </w:rPr>
              <w:t>1.980</w:t>
            </w:r>
          </w:p>
        </w:tc>
        <w:tc>
          <w:tcPr>
            <w:tcW w:w="702" w:type="dxa"/>
          </w:tcPr>
          <w:p w14:paraId="43C0D6F4" w14:textId="77777777" w:rsidR="00ED08FF" w:rsidRDefault="00000000">
            <w:pPr>
              <w:pStyle w:val="TableParagraph"/>
              <w:ind w:left="78"/>
              <w:rPr>
                <w:sz w:val="13"/>
              </w:rPr>
            </w:pPr>
            <w:r>
              <w:rPr>
                <w:spacing w:val="-2"/>
                <w:sz w:val="13"/>
              </w:rPr>
              <w:t>8.310</w:t>
            </w:r>
          </w:p>
        </w:tc>
        <w:tc>
          <w:tcPr>
            <w:tcW w:w="625" w:type="dxa"/>
          </w:tcPr>
          <w:p w14:paraId="580327A7" w14:textId="77777777" w:rsidR="00ED08FF" w:rsidRDefault="00000000">
            <w:pPr>
              <w:pStyle w:val="TableParagraph"/>
              <w:ind w:left="117"/>
              <w:jc w:val="left"/>
              <w:rPr>
                <w:sz w:val="13"/>
              </w:rPr>
            </w:pPr>
            <w:r>
              <w:rPr>
                <w:spacing w:val="-2"/>
                <w:sz w:val="13"/>
              </w:rPr>
              <w:t>0.680</w:t>
            </w:r>
          </w:p>
        </w:tc>
        <w:tc>
          <w:tcPr>
            <w:tcW w:w="702" w:type="dxa"/>
          </w:tcPr>
          <w:p w14:paraId="0C1529C8" w14:textId="77777777" w:rsidR="00ED08FF" w:rsidRDefault="00000000">
            <w:pPr>
              <w:pStyle w:val="TableParagraph"/>
              <w:ind w:left="78" w:right="78"/>
              <w:rPr>
                <w:sz w:val="13"/>
              </w:rPr>
            </w:pPr>
            <w:r>
              <w:rPr>
                <w:spacing w:val="-2"/>
                <w:sz w:val="13"/>
              </w:rPr>
              <w:t>18.652</w:t>
            </w:r>
          </w:p>
        </w:tc>
        <w:tc>
          <w:tcPr>
            <w:tcW w:w="557" w:type="dxa"/>
          </w:tcPr>
          <w:p w14:paraId="22F097A7" w14:textId="77777777" w:rsidR="00ED08FF" w:rsidRDefault="00000000">
            <w:pPr>
              <w:pStyle w:val="TableParagraph"/>
              <w:ind w:left="75" w:right="9"/>
              <w:rPr>
                <w:sz w:val="13"/>
              </w:rPr>
            </w:pPr>
            <w:r>
              <w:rPr>
                <w:spacing w:val="-2"/>
                <w:sz w:val="13"/>
              </w:rPr>
              <w:t>4.090</w:t>
            </w:r>
          </w:p>
        </w:tc>
      </w:tr>
      <w:tr w:rsidR="00ED08FF" w14:paraId="3E0C1BFE" w14:textId="77777777">
        <w:trPr>
          <w:trHeight w:val="147"/>
        </w:trPr>
        <w:tc>
          <w:tcPr>
            <w:tcW w:w="635" w:type="dxa"/>
          </w:tcPr>
          <w:p w14:paraId="4C28970E" w14:textId="77777777" w:rsidR="00ED08FF" w:rsidRDefault="00000000">
            <w:pPr>
              <w:pStyle w:val="TableParagraph"/>
              <w:ind w:left="50"/>
              <w:jc w:val="left"/>
              <w:rPr>
                <w:sz w:val="13"/>
              </w:rPr>
            </w:pPr>
            <w:r>
              <w:rPr>
                <w:spacing w:val="-4"/>
                <w:sz w:val="13"/>
              </w:rPr>
              <w:t>ICBP</w:t>
            </w:r>
          </w:p>
        </w:tc>
        <w:tc>
          <w:tcPr>
            <w:tcW w:w="546" w:type="dxa"/>
          </w:tcPr>
          <w:p w14:paraId="4C37E2E8" w14:textId="77777777" w:rsidR="00ED08FF" w:rsidRDefault="00000000">
            <w:pPr>
              <w:pStyle w:val="TableParagraph"/>
              <w:rPr>
                <w:sz w:val="13"/>
              </w:rPr>
            </w:pPr>
            <w:r>
              <w:rPr>
                <w:spacing w:val="-4"/>
                <w:sz w:val="13"/>
              </w:rPr>
              <w:t>2025</w:t>
            </w:r>
          </w:p>
        </w:tc>
        <w:tc>
          <w:tcPr>
            <w:tcW w:w="624" w:type="dxa"/>
          </w:tcPr>
          <w:p w14:paraId="1708C190" w14:textId="77777777" w:rsidR="00ED08FF" w:rsidRDefault="00000000">
            <w:pPr>
              <w:pStyle w:val="TableParagraph"/>
              <w:ind w:left="117"/>
              <w:jc w:val="left"/>
              <w:rPr>
                <w:sz w:val="13"/>
              </w:rPr>
            </w:pPr>
            <w:r>
              <w:rPr>
                <w:spacing w:val="-2"/>
                <w:sz w:val="13"/>
              </w:rPr>
              <w:t>1.300</w:t>
            </w:r>
          </w:p>
        </w:tc>
        <w:tc>
          <w:tcPr>
            <w:tcW w:w="702" w:type="dxa"/>
          </w:tcPr>
          <w:p w14:paraId="45F67EA3" w14:textId="77777777" w:rsidR="00ED08FF" w:rsidRDefault="00000000">
            <w:pPr>
              <w:pStyle w:val="TableParagraph"/>
              <w:ind w:left="78"/>
              <w:rPr>
                <w:sz w:val="13"/>
              </w:rPr>
            </w:pPr>
            <w:r>
              <w:rPr>
                <w:spacing w:val="-2"/>
                <w:sz w:val="13"/>
              </w:rPr>
              <w:t>7.580</w:t>
            </w:r>
          </w:p>
        </w:tc>
        <w:tc>
          <w:tcPr>
            <w:tcW w:w="625" w:type="dxa"/>
          </w:tcPr>
          <w:p w14:paraId="1C651E71" w14:textId="77777777" w:rsidR="00ED08FF" w:rsidRDefault="00000000">
            <w:pPr>
              <w:pStyle w:val="TableParagraph"/>
              <w:ind w:left="117"/>
              <w:jc w:val="left"/>
              <w:rPr>
                <w:sz w:val="13"/>
              </w:rPr>
            </w:pPr>
            <w:r>
              <w:rPr>
                <w:spacing w:val="-2"/>
                <w:sz w:val="13"/>
              </w:rPr>
              <w:t>0.640</w:t>
            </w:r>
          </w:p>
        </w:tc>
        <w:tc>
          <w:tcPr>
            <w:tcW w:w="702" w:type="dxa"/>
          </w:tcPr>
          <w:p w14:paraId="6E4D85C0" w14:textId="77777777" w:rsidR="00ED08FF" w:rsidRDefault="00000000">
            <w:pPr>
              <w:pStyle w:val="TableParagraph"/>
              <w:ind w:left="78" w:right="78"/>
              <w:rPr>
                <w:sz w:val="13"/>
              </w:rPr>
            </w:pPr>
            <w:r>
              <w:rPr>
                <w:spacing w:val="-2"/>
                <w:sz w:val="13"/>
              </w:rPr>
              <w:t>18.725</w:t>
            </w:r>
          </w:p>
        </w:tc>
        <w:tc>
          <w:tcPr>
            <w:tcW w:w="557" w:type="dxa"/>
          </w:tcPr>
          <w:p w14:paraId="2F111980" w14:textId="77777777" w:rsidR="00ED08FF" w:rsidRDefault="00000000">
            <w:pPr>
              <w:pStyle w:val="TableParagraph"/>
              <w:ind w:left="75" w:right="9"/>
              <w:rPr>
                <w:sz w:val="13"/>
              </w:rPr>
            </w:pPr>
            <w:r>
              <w:rPr>
                <w:spacing w:val="-2"/>
                <w:sz w:val="13"/>
              </w:rPr>
              <w:t>4.150</w:t>
            </w:r>
          </w:p>
        </w:tc>
      </w:tr>
      <w:tr w:rsidR="00ED08FF" w14:paraId="7A87BAAF" w14:textId="77777777">
        <w:trPr>
          <w:trHeight w:val="147"/>
        </w:trPr>
        <w:tc>
          <w:tcPr>
            <w:tcW w:w="635" w:type="dxa"/>
          </w:tcPr>
          <w:p w14:paraId="719AA69A" w14:textId="77777777" w:rsidR="00ED08FF" w:rsidRDefault="00000000">
            <w:pPr>
              <w:pStyle w:val="TableParagraph"/>
              <w:ind w:left="50"/>
              <w:jc w:val="left"/>
              <w:rPr>
                <w:sz w:val="13"/>
              </w:rPr>
            </w:pPr>
            <w:r>
              <w:rPr>
                <w:spacing w:val="-4"/>
                <w:sz w:val="13"/>
              </w:rPr>
              <w:t>INDF</w:t>
            </w:r>
          </w:p>
        </w:tc>
        <w:tc>
          <w:tcPr>
            <w:tcW w:w="546" w:type="dxa"/>
          </w:tcPr>
          <w:p w14:paraId="54F65F26" w14:textId="77777777" w:rsidR="00ED08FF" w:rsidRDefault="00000000">
            <w:pPr>
              <w:pStyle w:val="TableParagraph"/>
              <w:rPr>
                <w:sz w:val="13"/>
              </w:rPr>
            </w:pPr>
            <w:r>
              <w:rPr>
                <w:spacing w:val="-4"/>
                <w:sz w:val="13"/>
              </w:rPr>
              <w:t>2021</w:t>
            </w:r>
          </w:p>
        </w:tc>
        <w:tc>
          <w:tcPr>
            <w:tcW w:w="624" w:type="dxa"/>
          </w:tcPr>
          <w:p w14:paraId="0AAD22BA" w14:textId="77777777" w:rsidR="00ED08FF" w:rsidRDefault="00000000">
            <w:pPr>
              <w:pStyle w:val="TableParagraph"/>
              <w:ind w:left="117"/>
              <w:jc w:val="left"/>
              <w:rPr>
                <w:sz w:val="13"/>
              </w:rPr>
            </w:pPr>
            <w:r>
              <w:rPr>
                <w:spacing w:val="-2"/>
                <w:sz w:val="13"/>
              </w:rPr>
              <w:t>0.640</w:t>
            </w:r>
          </w:p>
        </w:tc>
        <w:tc>
          <w:tcPr>
            <w:tcW w:w="702" w:type="dxa"/>
          </w:tcPr>
          <w:p w14:paraId="2F19FEF5" w14:textId="77777777" w:rsidR="00ED08FF" w:rsidRDefault="00000000">
            <w:pPr>
              <w:pStyle w:val="TableParagraph"/>
              <w:ind w:left="78"/>
              <w:rPr>
                <w:sz w:val="13"/>
              </w:rPr>
            </w:pPr>
            <w:r>
              <w:rPr>
                <w:spacing w:val="-2"/>
                <w:sz w:val="13"/>
              </w:rPr>
              <w:t>6.370</w:t>
            </w:r>
          </w:p>
        </w:tc>
        <w:tc>
          <w:tcPr>
            <w:tcW w:w="625" w:type="dxa"/>
          </w:tcPr>
          <w:p w14:paraId="1356B820" w14:textId="77777777" w:rsidR="00ED08FF" w:rsidRDefault="00000000">
            <w:pPr>
              <w:pStyle w:val="TableParagraph"/>
              <w:ind w:left="117"/>
              <w:jc w:val="left"/>
              <w:rPr>
                <w:sz w:val="13"/>
              </w:rPr>
            </w:pPr>
            <w:r>
              <w:rPr>
                <w:spacing w:val="-2"/>
                <w:sz w:val="13"/>
              </w:rPr>
              <w:t>0.720</w:t>
            </w:r>
          </w:p>
        </w:tc>
        <w:tc>
          <w:tcPr>
            <w:tcW w:w="702" w:type="dxa"/>
          </w:tcPr>
          <w:p w14:paraId="00E2632B" w14:textId="77777777" w:rsidR="00ED08FF" w:rsidRDefault="00000000">
            <w:pPr>
              <w:pStyle w:val="TableParagraph"/>
              <w:ind w:left="78" w:right="78"/>
              <w:rPr>
                <w:sz w:val="13"/>
              </w:rPr>
            </w:pPr>
            <w:r>
              <w:rPr>
                <w:spacing w:val="-2"/>
                <w:sz w:val="13"/>
              </w:rPr>
              <w:t>19.004</w:t>
            </w:r>
          </w:p>
        </w:tc>
        <w:tc>
          <w:tcPr>
            <w:tcW w:w="557" w:type="dxa"/>
          </w:tcPr>
          <w:p w14:paraId="08031D4D" w14:textId="77777777" w:rsidR="00ED08FF" w:rsidRDefault="00000000">
            <w:pPr>
              <w:pStyle w:val="TableParagraph"/>
              <w:ind w:left="75" w:right="9"/>
              <w:rPr>
                <w:sz w:val="13"/>
              </w:rPr>
            </w:pPr>
            <w:r>
              <w:rPr>
                <w:spacing w:val="-2"/>
                <w:sz w:val="13"/>
              </w:rPr>
              <w:t>1.340</w:t>
            </w:r>
          </w:p>
        </w:tc>
      </w:tr>
      <w:tr w:rsidR="00ED08FF" w14:paraId="0169DC4B" w14:textId="77777777">
        <w:trPr>
          <w:trHeight w:val="146"/>
        </w:trPr>
        <w:tc>
          <w:tcPr>
            <w:tcW w:w="635" w:type="dxa"/>
          </w:tcPr>
          <w:p w14:paraId="4411BB41" w14:textId="77777777" w:rsidR="00ED08FF" w:rsidRDefault="00000000">
            <w:pPr>
              <w:pStyle w:val="TableParagraph"/>
              <w:ind w:left="50"/>
              <w:jc w:val="left"/>
              <w:rPr>
                <w:sz w:val="13"/>
              </w:rPr>
            </w:pPr>
            <w:r>
              <w:rPr>
                <w:spacing w:val="-4"/>
                <w:sz w:val="13"/>
              </w:rPr>
              <w:t>INDF</w:t>
            </w:r>
          </w:p>
        </w:tc>
        <w:tc>
          <w:tcPr>
            <w:tcW w:w="546" w:type="dxa"/>
          </w:tcPr>
          <w:p w14:paraId="77498F97" w14:textId="77777777" w:rsidR="00ED08FF" w:rsidRDefault="00000000">
            <w:pPr>
              <w:pStyle w:val="TableParagraph"/>
              <w:rPr>
                <w:sz w:val="13"/>
              </w:rPr>
            </w:pPr>
            <w:r>
              <w:rPr>
                <w:spacing w:val="-4"/>
                <w:sz w:val="13"/>
              </w:rPr>
              <w:t>2022</w:t>
            </w:r>
          </w:p>
        </w:tc>
        <w:tc>
          <w:tcPr>
            <w:tcW w:w="624" w:type="dxa"/>
          </w:tcPr>
          <w:p w14:paraId="5C169209" w14:textId="77777777" w:rsidR="00ED08FF" w:rsidRDefault="00000000">
            <w:pPr>
              <w:pStyle w:val="TableParagraph"/>
              <w:ind w:left="117"/>
              <w:jc w:val="left"/>
              <w:rPr>
                <w:sz w:val="13"/>
              </w:rPr>
            </w:pPr>
            <w:r>
              <w:rPr>
                <w:spacing w:val="-2"/>
                <w:sz w:val="13"/>
              </w:rPr>
              <w:t>0.630</w:t>
            </w:r>
          </w:p>
        </w:tc>
        <w:tc>
          <w:tcPr>
            <w:tcW w:w="702" w:type="dxa"/>
          </w:tcPr>
          <w:p w14:paraId="68ED389C" w14:textId="77777777" w:rsidR="00ED08FF" w:rsidRDefault="00000000">
            <w:pPr>
              <w:pStyle w:val="TableParagraph"/>
              <w:ind w:left="78"/>
              <w:rPr>
                <w:sz w:val="13"/>
              </w:rPr>
            </w:pPr>
            <w:r>
              <w:rPr>
                <w:spacing w:val="-2"/>
                <w:sz w:val="13"/>
              </w:rPr>
              <w:t>6.530</w:t>
            </w:r>
          </w:p>
        </w:tc>
        <w:tc>
          <w:tcPr>
            <w:tcW w:w="625" w:type="dxa"/>
          </w:tcPr>
          <w:p w14:paraId="6FA1B49A" w14:textId="77777777" w:rsidR="00ED08FF" w:rsidRDefault="00000000">
            <w:pPr>
              <w:pStyle w:val="TableParagraph"/>
              <w:ind w:left="117"/>
              <w:jc w:val="left"/>
              <w:rPr>
                <w:sz w:val="13"/>
              </w:rPr>
            </w:pPr>
            <w:r>
              <w:rPr>
                <w:spacing w:val="-2"/>
                <w:sz w:val="13"/>
              </w:rPr>
              <w:t>0.710</w:t>
            </w:r>
          </w:p>
        </w:tc>
        <w:tc>
          <w:tcPr>
            <w:tcW w:w="702" w:type="dxa"/>
          </w:tcPr>
          <w:p w14:paraId="299A626C" w14:textId="77777777" w:rsidR="00ED08FF" w:rsidRDefault="00000000">
            <w:pPr>
              <w:pStyle w:val="TableParagraph"/>
              <w:ind w:left="78" w:right="78"/>
              <w:rPr>
                <w:sz w:val="13"/>
              </w:rPr>
            </w:pPr>
            <w:r>
              <w:rPr>
                <w:spacing w:val="-2"/>
                <w:sz w:val="13"/>
              </w:rPr>
              <w:t>19.011</w:t>
            </w:r>
          </w:p>
        </w:tc>
        <w:tc>
          <w:tcPr>
            <w:tcW w:w="557" w:type="dxa"/>
          </w:tcPr>
          <w:p w14:paraId="22BE810F" w14:textId="77777777" w:rsidR="00ED08FF" w:rsidRDefault="00000000">
            <w:pPr>
              <w:pStyle w:val="TableParagraph"/>
              <w:ind w:left="75" w:right="9"/>
              <w:rPr>
                <w:sz w:val="13"/>
              </w:rPr>
            </w:pPr>
            <w:r>
              <w:rPr>
                <w:spacing w:val="-2"/>
                <w:sz w:val="13"/>
              </w:rPr>
              <w:t>1.790</w:t>
            </w:r>
          </w:p>
        </w:tc>
      </w:tr>
      <w:tr w:rsidR="00ED08FF" w14:paraId="0E6C79C0" w14:textId="77777777">
        <w:trPr>
          <w:trHeight w:val="147"/>
        </w:trPr>
        <w:tc>
          <w:tcPr>
            <w:tcW w:w="635" w:type="dxa"/>
          </w:tcPr>
          <w:p w14:paraId="5534D36E" w14:textId="77777777" w:rsidR="00ED08FF" w:rsidRDefault="00000000">
            <w:pPr>
              <w:pStyle w:val="TableParagraph"/>
              <w:ind w:left="50"/>
              <w:jc w:val="left"/>
              <w:rPr>
                <w:sz w:val="13"/>
              </w:rPr>
            </w:pPr>
            <w:r>
              <w:rPr>
                <w:spacing w:val="-4"/>
                <w:sz w:val="13"/>
              </w:rPr>
              <w:t>INDF</w:t>
            </w:r>
          </w:p>
        </w:tc>
        <w:tc>
          <w:tcPr>
            <w:tcW w:w="546" w:type="dxa"/>
          </w:tcPr>
          <w:p w14:paraId="66A006EA" w14:textId="77777777" w:rsidR="00ED08FF" w:rsidRDefault="00000000">
            <w:pPr>
              <w:pStyle w:val="TableParagraph"/>
              <w:rPr>
                <w:sz w:val="13"/>
              </w:rPr>
            </w:pPr>
            <w:r>
              <w:rPr>
                <w:spacing w:val="-4"/>
                <w:sz w:val="13"/>
              </w:rPr>
              <w:t>2023</w:t>
            </w:r>
          </w:p>
        </w:tc>
        <w:tc>
          <w:tcPr>
            <w:tcW w:w="624" w:type="dxa"/>
          </w:tcPr>
          <w:p w14:paraId="24363027" w14:textId="77777777" w:rsidR="00ED08FF" w:rsidRDefault="00000000">
            <w:pPr>
              <w:pStyle w:val="TableParagraph"/>
              <w:ind w:left="117"/>
              <w:jc w:val="left"/>
              <w:rPr>
                <w:sz w:val="13"/>
              </w:rPr>
            </w:pPr>
            <w:r>
              <w:rPr>
                <w:spacing w:val="-2"/>
                <w:sz w:val="13"/>
              </w:rPr>
              <w:t>0.560</w:t>
            </w:r>
          </w:p>
        </w:tc>
        <w:tc>
          <w:tcPr>
            <w:tcW w:w="702" w:type="dxa"/>
          </w:tcPr>
          <w:p w14:paraId="4DE20648" w14:textId="77777777" w:rsidR="00ED08FF" w:rsidRDefault="00000000">
            <w:pPr>
              <w:pStyle w:val="TableParagraph"/>
              <w:ind w:left="78"/>
              <w:rPr>
                <w:sz w:val="13"/>
              </w:rPr>
            </w:pPr>
            <w:r>
              <w:rPr>
                <w:spacing w:val="-2"/>
                <w:sz w:val="13"/>
              </w:rPr>
              <w:t>6.860</w:t>
            </w:r>
          </w:p>
        </w:tc>
        <w:tc>
          <w:tcPr>
            <w:tcW w:w="625" w:type="dxa"/>
          </w:tcPr>
          <w:p w14:paraId="7317E83F" w14:textId="77777777" w:rsidR="00ED08FF" w:rsidRDefault="00000000">
            <w:pPr>
              <w:pStyle w:val="TableParagraph"/>
              <w:ind w:left="117"/>
              <w:jc w:val="left"/>
              <w:rPr>
                <w:sz w:val="13"/>
              </w:rPr>
            </w:pPr>
            <w:r>
              <w:rPr>
                <w:spacing w:val="-2"/>
                <w:sz w:val="13"/>
              </w:rPr>
              <w:t>0.650</w:t>
            </w:r>
          </w:p>
        </w:tc>
        <w:tc>
          <w:tcPr>
            <w:tcW w:w="702" w:type="dxa"/>
          </w:tcPr>
          <w:p w14:paraId="7735AEE5" w14:textId="77777777" w:rsidR="00ED08FF" w:rsidRDefault="00000000">
            <w:pPr>
              <w:pStyle w:val="TableParagraph"/>
              <w:ind w:left="78" w:right="78"/>
              <w:rPr>
                <w:sz w:val="13"/>
              </w:rPr>
            </w:pPr>
            <w:r>
              <w:rPr>
                <w:spacing w:val="-2"/>
                <w:sz w:val="13"/>
              </w:rPr>
              <w:t>19.044</w:t>
            </w:r>
          </w:p>
        </w:tc>
        <w:tc>
          <w:tcPr>
            <w:tcW w:w="557" w:type="dxa"/>
          </w:tcPr>
          <w:p w14:paraId="61838AB0" w14:textId="77777777" w:rsidR="00ED08FF" w:rsidRDefault="00000000">
            <w:pPr>
              <w:pStyle w:val="TableParagraph"/>
              <w:ind w:left="75" w:right="9"/>
              <w:rPr>
                <w:sz w:val="13"/>
              </w:rPr>
            </w:pPr>
            <w:r>
              <w:rPr>
                <w:spacing w:val="-2"/>
                <w:sz w:val="13"/>
              </w:rPr>
              <w:t>1.920</w:t>
            </w:r>
          </w:p>
        </w:tc>
      </w:tr>
      <w:tr w:rsidR="00ED08FF" w14:paraId="485CB69D" w14:textId="77777777">
        <w:trPr>
          <w:trHeight w:val="146"/>
        </w:trPr>
        <w:tc>
          <w:tcPr>
            <w:tcW w:w="635" w:type="dxa"/>
          </w:tcPr>
          <w:p w14:paraId="72877F3B" w14:textId="77777777" w:rsidR="00ED08FF" w:rsidRDefault="00000000">
            <w:pPr>
              <w:pStyle w:val="TableParagraph"/>
              <w:ind w:left="50"/>
              <w:jc w:val="left"/>
              <w:rPr>
                <w:sz w:val="13"/>
              </w:rPr>
            </w:pPr>
            <w:r>
              <w:rPr>
                <w:spacing w:val="-4"/>
                <w:sz w:val="13"/>
              </w:rPr>
              <w:t>INDF</w:t>
            </w:r>
          </w:p>
        </w:tc>
        <w:tc>
          <w:tcPr>
            <w:tcW w:w="546" w:type="dxa"/>
          </w:tcPr>
          <w:p w14:paraId="5328FB62" w14:textId="77777777" w:rsidR="00ED08FF" w:rsidRDefault="00000000">
            <w:pPr>
              <w:pStyle w:val="TableParagraph"/>
              <w:rPr>
                <w:sz w:val="13"/>
              </w:rPr>
            </w:pPr>
            <w:r>
              <w:rPr>
                <w:spacing w:val="-4"/>
                <w:sz w:val="13"/>
              </w:rPr>
              <w:t>2024</w:t>
            </w:r>
          </w:p>
        </w:tc>
        <w:tc>
          <w:tcPr>
            <w:tcW w:w="624" w:type="dxa"/>
          </w:tcPr>
          <w:p w14:paraId="6640CFAB" w14:textId="77777777" w:rsidR="00ED08FF" w:rsidRDefault="00000000">
            <w:pPr>
              <w:pStyle w:val="TableParagraph"/>
              <w:ind w:left="117"/>
              <w:jc w:val="left"/>
              <w:rPr>
                <w:sz w:val="13"/>
              </w:rPr>
            </w:pPr>
            <w:r>
              <w:rPr>
                <w:spacing w:val="-2"/>
                <w:sz w:val="13"/>
              </w:rPr>
              <w:t>0.620</w:t>
            </w:r>
          </w:p>
        </w:tc>
        <w:tc>
          <w:tcPr>
            <w:tcW w:w="702" w:type="dxa"/>
          </w:tcPr>
          <w:p w14:paraId="5F6BB0A1" w14:textId="77777777" w:rsidR="00ED08FF" w:rsidRDefault="00000000">
            <w:pPr>
              <w:pStyle w:val="TableParagraph"/>
              <w:ind w:left="78"/>
              <w:rPr>
                <w:sz w:val="13"/>
              </w:rPr>
            </w:pPr>
            <w:r>
              <w:rPr>
                <w:spacing w:val="-2"/>
                <w:sz w:val="13"/>
              </w:rPr>
              <w:t>7.610</w:t>
            </w:r>
          </w:p>
        </w:tc>
        <w:tc>
          <w:tcPr>
            <w:tcW w:w="625" w:type="dxa"/>
          </w:tcPr>
          <w:p w14:paraId="416404B4" w14:textId="77777777" w:rsidR="00ED08FF" w:rsidRDefault="00000000">
            <w:pPr>
              <w:pStyle w:val="TableParagraph"/>
              <w:ind w:left="117"/>
              <w:jc w:val="left"/>
              <w:rPr>
                <w:sz w:val="13"/>
              </w:rPr>
            </w:pPr>
            <w:r>
              <w:rPr>
                <w:spacing w:val="-2"/>
                <w:sz w:val="13"/>
              </w:rPr>
              <w:t>0.660</w:t>
            </w:r>
          </w:p>
        </w:tc>
        <w:tc>
          <w:tcPr>
            <w:tcW w:w="702" w:type="dxa"/>
          </w:tcPr>
          <w:p w14:paraId="35153CAA" w14:textId="77777777" w:rsidR="00ED08FF" w:rsidRDefault="00000000">
            <w:pPr>
              <w:pStyle w:val="TableParagraph"/>
              <w:ind w:left="78" w:right="78"/>
              <w:rPr>
                <w:sz w:val="13"/>
              </w:rPr>
            </w:pPr>
            <w:r>
              <w:rPr>
                <w:spacing w:val="-2"/>
                <w:sz w:val="13"/>
              </w:rPr>
              <w:t>19.122</w:t>
            </w:r>
          </w:p>
        </w:tc>
        <w:tc>
          <w:tcPr>
            <w:tcW w:w="557" w:type="dxa"/>
          </w:tcPr>
          <w:p w14:paraId="0AC52658" w14:textId="77777777" w:rsidR="00ED08FF" w:rsidRDefault="00000000">
            <w:pPr>
              <w:pStyle w:val="TableParagraph"/>
              <w:ind w:left="75" w:right="9"/>
              <w:rPr>
                <w:sz w:val="13"/>
              </w:rPr>
            </w:pPr>
            <w:r>
              <w:rPr>
                <w:spacing w:val="-2"/>
                <w:sz w:val="13"/>
              </w:rPr>
              <w:t>2.150</w:t>
            </w:r>
          </w:p>
        </w:tc>
      </w:tr>
      <w:tr w:rsidR="00ED08FF" w14:paraId="3C5E3469" w14:textId="77777777">
        <w:trPr>
          <w:trHeight w:val="147"/>
        </w:trPr>
        <w:tc>
          <w:tcPr>
            <w:tcW w:w="635" w:type="dxa"/>
          </w:tcPr>
          <w:p w14:paraId="27D68B2A" w14:textId="77777777" w:rsidR="00ED08FF" w:rsidRDefault="00000000">
            <w:pPr>
              <w:pStyle w:val="TableParagraph"/>
              <w:ind w:left="50"/>
              <w:jc w:val="left"/>
              <w:rPr>
                <w:sz w:val="13"/>
              </w:rPr>
            </w:pPr>
            <w:r>
              <w:rPr>
                <w:spacing w:val="-4"/>
                <w:sz w:val="13"/>
              </w:rPr>
              <w:t>INDF</w:t>
            </w:r>
          </w:p>
        </w:tc>
        <w:tc>
          <w:tcPr>
            <w:tcW w:w="546" w:type="dxa"/>
          </w:tcPr>
          <w:p w14:paraId="6CA593D6" w14:textId="77777777" w:rsidR="00ED08FF" w:rsidRDefault="00000000">
            <w:pPr>
              <w:pStyle w:val="TableParagraph"/>
              <w:rPr>
                <w:sz w:val="13"/>
              </w:rPr>
            </w:pPr>
            <w:r>
              <w:rPr>
                <w:spacing w:val="-4"/>
                <w:sz w:val="13"/>
              </w:rPr>
              <w:t>2025</w:t>
            </w:r>
          </w:p>
        </w:tc>
        <w:tc>
          <w:tcPr>
            <w:tcW w:w="624" w:type="dxa"/>
          </w:tcPr>
          <w:p w14:paraId="272560D2" w14:textId="77777777" w:rsidR="00ED08FF" w:rsidRDefault="00000000">
            <w:pPr>
              <w:pStyle w:val="TableParagraph"/>
              <w:ind w:left="117"/>
              <w:jc w:val="left"/>
              <w:rPr>
                <w:sz w:val="13"/>
              </w:rPr>
            </w:pPr>
            <w:r>
              <w:rPr>
                <w:spacing w:val="-2"/>
                <w:sz w:val="13"/>
              </w:rPr>
              <w:t>0.500</w:t>
            </w:r>
          </w:p>
        </w:tc>
        <w:tc>
          <w:tcPr>
            <w:tcW w:w="702" w:type="dxa"/>
          </w:tcPr>
          <w:p w14:paraId="6000174D" w14:textId="77777777" w:rsidR="00ED08FF" w:rsidRDefault="00000000">
            <w:pPr>
              <w:pStyle w:val="TableParagraph"/>
              <w:ind w:left="78"/>
              <w:rPr>
                <w:sz w:val="13"/>
              </w:rPr>
            </w:pPr>
            <w:r>
              <w:rPr>
                <w:spacing w:val="-2"/>
                <w:sz w:val="13"/>
              </w:rPr>
              <w:t>7.070</w:t>
            </w:r>
          </w:p>
        </w:tc>
        <w:tc>
          <w:tcPr>
            <w:tcW w:w="625" w:type="dxa"/>
          </w:tcPr>
          <w:p w14:paraId="7E8ADBF5" w14:textId="77777777" w:rsidR="00ED08FF" w:rsidRDefault="00000000">
            <w:pPr>
              <w:pStyle w:val="TableParagraph"/>
              <w:ind w:left="117"/>
              <w:jc w:val="left"/>
              <w:rPr>
                <w:sz w:val="13"/>
              </w:rPr>
            </w:pPr>
            <w:r>
              <w:rPr>
                <w:spacing w:val="-2"/>
                <w:sz w:val="13"/>
              </w:rPr>
              <w:t>0.630</w:t>
            </w:r>
          </w:p>
        </w:tc>
        <w:tc>
          <w:tcPr>
            <w:tcW w:w="702" w:type="dxa"/>
          </w:tcPr>
          <w:p w14:paraId="302530EE" w14:textId="77777777" w:rsidR="00ED08FF" w:rsidRDefault="00000000">
            <w:pPr>
              <w:pStyle w:val="TableParagraph"/>
              <w:ind w:left="78" w:right="78"/>
              <w:rPr>
                <w:sz w:val="13"/>
              </w:rPr>
            </w:pPr>
            <w:r>
              <w:rPr>
                <w:spacing w:val="-2"/>
                <w:sz w:val="13"/>
              </w:rPr>
              <w:t>19.200</w:t>
            </w:r>
          </w:p>
        </w:tc>
        <w:tc>
          <w:tcPr>
            <w:tcW w:w="557" w:type="dxa"/>
          </w:tcPr>
          <w:p w14:paraId="1DD2D5BB" w14:textId="77777777" w:rsidR="00ED08FF" w:rsidRDefault="00000000">
            <w:pPr>
              <w:pStyle w:val="TableParagraph"/>
              <w:ind w:left="75" w:right="9"/>
              <w:rPr>
                <w:sz w:val="13"/>
              </w:rPr>
            </w:pPr>
            <w:r>
              <w:rPr>
                <w:spacing w:val="-2"/>
                <w:sz w:val="13"/>
              </w:rPr>
              <w:t>2.130</w:t>
            </w:r>
          </w:p>
        </w:tc>
      </w:tr>
      <w:tr w:rsidR="00ED08FF" w14:paraId="3D8F4BAD" w14:textId="77777777">
        <w:trPr>
          <w:trHeight w:val="147"/>
        </w:trPr>
        <w:tc>
          <w:tcPr>
            <w:tcW w:w="635" w:type="dxa"/>
          </w:tcPr>
          <w:p w14:paraId="050D72F2" w14:textId="77777777" w:rsidR="00ED08FF" w:rsidRDefault="00000000">
            <w:pPr>
              <w:pStyle w:val="TableParagraph"/>
              <w:ind w:left="50"/>
              <w:jc w:val="left"/>
              <w:rPr>
                <w:sz w:val="13"/>
              </w:rPr>
            </w:pPr>
            <w:r>
              <w:rPr>
                <w:spacing w:val="-4"/>
                <w:sz w:val="13"/>
              </w:rPr>
              <w:t>ROTI</w:t>
            </w:r>
          </w:p>
        </w:tc>
        <w:tc>
          <w:tcPr>
            <w:tcW w:w="546" w:type="dxa"/>
          </w:tcPr>
          <w:p w14:paraId="6FFF565F" w14:textId="77777777" w:rsidR="00ED08FF" w:rsidRDefault="00000000">
            <w:pPr>
              <w:pStyle w:val="TableParagraph"/>
              <w:rPr>
                <w:sz w:val="13"/>
              </w:rPr>
            </w:pPr>
            <w:r>
              <w:rPr>
                <w:spacing w:val="-4"/>
                <w:sz w:val="13"/>
              </w:rPr>
              <w:t>2021</w:t>
            </w:r>
          </w:p>
        </w:tc>
        <w:tc>
          <w:tcPr>
            <w:tcW w:w="624" w:type="dxa"/>
          </w:tcPr>
          <w:p w14:paraId="31A17E03" w14:textId="77777777" w:rsidR="00ED08FF" w:rsidRDefault="00000000">
            <w:pPr>
              <w:pStyle w:val="TableParagraph"/>
              <w:ind w:left="117"/>
              <w:jc w:val="left"/>
              <w:rPr>
                <w:sz w:val="13"/>
              </w:rPr>
            </w:pPr>
            <w:r>
              <w:rPr>
                <w:spacing w:val="-2"/>
                <w:sz w:val="13"/>
              </w:rPr>
              <w:t>2.870</w:t>
            </w:r>
          </w:p>
        </w:tc>
        <w:tc>
          <w:tcPr>
            <w:tcW w:w="702" w:type="dxa"/>
          </w:tcPr>
          <w:p w14:paraId="1B6C0A8A" w14:textId="77777777" w:rsidR="00ED08FF" w:rsidRDefault="00000000">
            <w:pPr>
              <w:pStyle w:val="TableParagraph"/>
              <w:ind w:left="78"/>
              <w:rPr>
                <w:sz w:val="13"/>
              </w:rPr>
            </w:pPr>
            <w:r>
              <w:rPr>
                <w:spacing w:val="-2"/>
                <w:sz w:val="13"/>
              </w:rPr>
              <w:t>5.950</w:t>
            </w:r>
          </w:p>
        </w:tc>
        <w:tc>
          <w:tcPr>
            <w:tcW w:w="625" w:type="dxa"/>
          </w:tcPr>
          <w:p w14:paraId="1ADD149F" w14:textId="77777777" w:rsidR="00ED08FF" w:rsidRDefault="00000000">
            <w:pPr>
              <w:pStyle w:val="TableParagraph"/>
              <w:ind w:left="117"/>
              <w:jc w:val="left"/>
              <w:rPr>
                <w:sz w:val="13"/>
              </w:rPr>
            </w:pPr>
            <w:r>
              <w:rPr>
                <w:spacing w:val="-2"/>
                <w:sz w:val="13"/>
              </w:rPr>
              <w:t>0.190</w:t>
            </w:r>
          </w:p>
        </w:tc>
        <w:tc>
          <w:tcPr>
            <w:tcW w:w="702" w:type="dxa"/>
          </w:tcPr>
          <w:p w14:paraId="2E6CCBFD" w14:textId="77777777" w:rsidR="00ED08FF" w:rsidRDefault="00000000">
            <w:pPr>
              <w:pStyle w:val="TableParagraph"/>
              <w:ind w:left="78" w:right="78"/>
              <w:rPr>
                <w:sz w:val="13"/>
              </w:rPr>
            </w:pPr>
            <w:r>
              <w:rPr>
                <w:spacing w:val="-2"/>
                <w:sz w:val="13"/>
              </w:rPr>
              <w:t>15.249</w:t>
            </w:r>
          </w:p>
        </w:tc>
        <w:tc>
          <w:tcPr>
            <w:tcW w:w="557" w:type="dxa"/>
          </w:tcPr>
          <w:p w14:paraId="1EDA738B" w14:textId="77777777" w:rsidR="00ED08FF" w:rsidRDefault="00000000">
            <w:pPr>
              <w:pStyle w:val="TableParagraph"/>
              <w:ind w:left="75" w:right="9"/>
              <w:rPr>
                <w:sz w:val="13"/>
              </w:rPr>
            </w:pPr>
            <w:r>
              <w:rPr>
                <w:spacing w:val="-2"/>
                <w:sz w:val="13"/>
              </w:rPr>
              <w:t>2.650</w:t>
            </w:r>
          </w:p>
        </w:tc>
      </w:tr>
      <w:tr w:rsidR="00ED08FF" w14:paraId="7B6707EA" w14:textId="77777777">
        <w:trPr>
          <w:trHeight w:val="146"/>
        </w:trPr>
        <w:tc>
          <w:tcPr>
            <w:tcW w:w="635" w:type="dxa"/>
          </w:tcPr>
          <w:p w14:paraId="3D56FDD2" w14:textId="77777777" w:rsidR="00ED08FF" w:rsidRDefault="00000000">
            <w:pPr>
              <w:pStyle w:val="TableParagraph"/>
              <w:ind w:left="50"/>
              <w:jc w:val="left"/>
              <w:rPr>
                <w:sz w:val="13"/>
              </w:rPr>
            </w:pPr>
            <w:r>
              <w:rPr>
                <w:spacing w:val="-4"/>
                <w:sz w:val="13"/>
              </w:rPr>
              <w:t>ROTI</w:t>
            </w:r>
          </w:p>
        </w:tc>
        <w:tc>
          <w:tcPr>
            <w:tcW w:w="546" w:type="dxa"/>
          </w:tcPr>
          <w:p w14:paraId="4D543030" w14:textId="77777777" w:rsidR="00ED08FF" w:rsidRDefault="00000000">
            <w:pPr>
              <w:pStyle w:val="TableParagraph"/>
              <w:rPr>
                <w:sz w:val="13"/>
              </w:rPr>
            </w:pPr>
            <w:r>
              <w:rPr>
                <w:spacing w:val="-4"/>
                <w:sz w:val="13"/>
              </w:rPr>
              <w:t>2022</w:t>
            </w:r>
          </w:p>
        </w:tc>
        <w:tc>
          <w:tcPr>
            <w:tcW w:w="624" w:type="dxa"/>
          </w:tcPr>
          <w:p w14:paraId="31C9858B" w14:textId="77777777" w:rsidR="00ED08FF" w:rsidRDefault="00000000">
            <w:pPr>
              <w:pStyle w:val="TableParagraph"/>
              <w:ind w:left="117"/>
              <w:jc w:val="left"/>
              <w:rPr>
                <w:sz w:val="13"/>
              </w:rPr>
            </w:pPr>
            <w:r>
              <w:rPr>
                <w:spacing w:val="-2"/>
                <w:sz w:val="13"/>
              </w:rPr>
              <w:t>2.820</w:t>
            </w:r>
          </w:p>
        </w:tc>
        <w:tc>
          <w:tcPr>
            <w:tcW w:w="702" w:type="dxa"/>
          </w:tcPr>
          <w:p w14:paraId="1B14F2C0" w14:textId="77777777" w:rsidR="00ED08FF" w:rsidRDefault="00000000">
            <w:pPr>
              <w:pStyle w:val="TableParagraph"/>
              <w:ind w:left="78"/>
              <w:rPr>
                <w:sz w:val="13"/>
              </w:rPr>
            </w:pPr>
            <w:r>
              <w:rPr>
                <w:spacing w:val="-2"/>
                <w:sz w:val="13"/>
              </w:rPr>
              <w:t>9.540</w:t>
            </w:r>
          </w:p>
        </w:tc>
        <w:tc>
          <w:tcPr>
            <w:tcW w:w="625" w:type="dxa"/>
          </w:tcPr>
          <w:p w14:paraId="0DB16DA5" w14:textId="77777777" w:rsidR="00ED08FF" w:rsidRDefault="00000000">
            <w:pPr>
              <w:pStyle w:val="TableParagraph"/>
              <w:ind w:left="117"/>
              <w:jc w:val="left"/>
              <w:rPr>
                <w:sz w:val="13"/>
              </w:rPr>
            </w:pPr>
            <w:r>
              <w:rPr>
                <w:spacing w:val="-2"/>
                <w:sz w:val="13"/>
              </w:rPr>
              <w:t>0.200</w:t>
            </w:r>
          </w:p>
        </w:tc>
        <w:tc>
          <w:tcPr>
            <w:tcW w:w="702" w:type="dxa"/>
          </w:tcPr>
          <w:p w14:paraId="6AC807C3" w14:textId="77777777" w:rsidR="00ED08FF" w:rsidRDefault="00000000">
            <w:pPr>
              <w:pStyle w:val="TableParagraph"/>
              <w:ind w:left="78" w:right="78"/>
              <w:rPr>
                <w:sz w:val="13"/>
              </w:rPr>
            </w:pPr>
            <w:r>
              <w:rPr>
                <w:spacing w:val="-2"/>
                <w:sz w:val="13"/>
              </w:rPr>
              <w:t>15.234</w:t>
            </w:r>
          </w:p>
        </w:tc>
        <w:tc>
          <w:tcPr>
            <w:tcW w:w="557" w:type="dxa"/>
          </w:tcPr>
          <w:p w14:paraId="16DEC638" w14:textId="77777777" w:rsidR="00ED08FF" w:rsidRDefault="00000000">
            <w:pPr>
              <w:pStyle w:val="TableParagraph"/>
              <w:ind w:left="75" w:right="9"/>
              <w:rPr>
                <w:sz w:val="13"/>
              </w:rPr>
            </w:pPr>
            <w:r>
              <w:rPr>
                <w:spacing w:val="-2"/>
                <w:sz w:val="13"/>
              </w:rPr>
              <w:t>2.100</w:t>
            </w:r>
          </w:p>
        </w:tc>
      </w:tr>
      <w:tr w:rsidR="00ED08FF" w14:paraId="0B162004" w14:textId="77777777">
        <w:trPr>
          <w:trHeight w:val="147"/>
        </w:trPr>
        <w:tc>
          <w:tcPr>
            <w:tcW w:w="635" w:type="dxa"/>
          </w:tcPr>
          <w:p w14:paraId="3AA79757" w14:textId="77777777" w:rsidR="00ED08FF" w:rsidRDefault="00000000">
            <w:pPr>
              <w:pStyle w:val="TableParagraph"/>
              <w:ind w:left="50"/>
              <w:jc w:val="left"/>
              <w:rPr>
                <w:sz w:val="13"/>
              </w:rPr>
            </w:pPr>
            <w:r>
              <w:rPr>
                <w:spacing w:val="-4"/>
                <w:sz w:val="13"/>
              </w:rPr>
              <w:t>ROTI</w:t>
            </w:r>
          </w:p>
        </w:tc>
        <w:tc>
          <w:tcPr>
            <w:tcW w:w="546" w:type="dxa"/>
          </w:tcPr>
          <w:p w14:paraId="4A65BDD8" w14:textId="77777777" w:rsidR="00ED08FF" w:rsidRDefault="00000000">
            <w:pPr>
              <w:pStyle w:val="TableParagraph"/>
              <w:rPr>
                <w:sz w:val="13"/>
              </w:rPr>
            </w:pPr>
            <w:r>
              <w:rPr>
                <w:spacing w:val="-4"/>
                <w:sz w:val="13"/>
              </w:rPr>
              <w:t>2023</w:t>
            </w:r>
          </w:p>
        </w:tc>
        <w:tc>
          <w:tcPr>
            <w:tcW w:w="624" w:type="dxa"/>
          </w:tcPr>
          <w:p w14:paraId="3C30EE1F" w14:textId="77777777" w:rsidR="00ED08FF" w:rsidRDefault="00000000">
            <w:pPr>
              <w:pStyle w:val="TableParagraph"/>
              <w:ind w:left="117"/>
              <w:jc w:val="left"/>
              <w:rPr>
                <w:sz w:val="13"/>
              </w:rPr>
            </w:pPr>
            <w:r>
              <w:rPr>
                <w:spacing w:val="-2"/>
                <w:sz w:val="13"/>
              </w:rPr>
              <w:t>2.740</w:t>
            </w:r>
          </w:p>
        </w:tc>
        <w:tc>
          <w:tcPr>
            <w:tcW w:w="702" w:type="dxa"/>
          </w:tcPr>
          <w:p w14:paraId="3C2BEF42" w14:textId="77777777" w:rsidR="00ED08FF" w:rsidRDefault="00000000">
            <w:pPr>
              <w:pStyle w:val="TableParagraph"/>
              <w:ind w:left="78"/>
              <w:rPr>
                <w:sz w:val="13"/>
              </w:rPr>
            </w:pPr>
            <w:r>
              <w:rPr>
                <w:spacing w:val="-2"/>
                <w:sz w:val="13"/>
              </w:rPr>
              <w:t>7.350</w:t>
            </w:r>
          </w:p>
        </w:tc>
        <w:tc>
          <w:tcPr>
            <w:tcW w:w="625" w:type="dxa"/>
          </w:tcPr>
          <w:p w14:paraId="7C868234" w14:textId="77777777" w:rsidR="00ED08FF" w:rsidRDefault="00000000">
            <w:pPr>
              <w:pStyle w:val="TableParagraph"/>
              <w:ind w:left="117"/>
              <w:jc w:val="left"/>
              <w:rPr>
                <w:sz w:val="13"/>
              </w:rPr>
            </w:pPr>
            <w:r>
              <w:rPr>
                <w:spacing w:val="-2"/>
                <w:sz w:val="13"/>
              </w:rPr>
              <w:t>0.270</w:t>
            </w:r>
          </w:p>
        </w:tc>
        <w:tc>
          <w:tcPr>
            <w:tcW w:w="702" w:type="dxa"/>
          </w:tcPr>
          <w:p w14:paraId="4F3DECD1" w14:textId="77777777" w:rsidR="00ED08FF" w:rsidRDefault="00000000">
            <w:pPr>
              <w:pStyle w:val="TableParagraph"/>
              <w:ind w:left="78" w:right="78"/>
              <w:rPr>
                <w:sz w:val="13"/>
              </w:rPr>
            </w:pPr>
            <w:r>
              <w:rPr>
                <w:spacing w:val="-2"/>
                <w:sz w:val="13"/>
              </w:rPr>
              <w:t>15.188</w:t>
            </w:r>
          </w:p>
        </w:tc>
        <w:tc>
          <w:tcPr>
            <w:tcW w:w="557" w:type="dxa"/>
          </w:tcPr>
          <w:p w14:paraId="15B2E55F" w14:textId="77777777" w:rsidR="00ED08FF" w:rsidRDefault="00000000">
            <w:pPr>
              <w:pStyle w:val="TableParagraph"/>
              <w:ind w:left="75" w:right="9"/>
              <w:rPr>
                <w:sz w:val="13"/>
              </w:rPr>
            </w:pPr>
            <w:r>
              <w:rPr>
                <w:spacing w:val="-2"/>
                <w:sz w:val="13"/>
              </w:rPr>
              <w:t>1.740</w:t>
            </w:r>
          </w:p>
        </w:tc>
      </w:tr>
      <w:tr w:rsidR="00ED08FF" w14:paraId="7108502A" w14:textId="77777777">
        <w:trPr>
          <w:trHeight w:val="146"/>
        </w:trPr>
        <w:tc>
          <w:tcPr>
            <w:tcW w:w="635" w:type="dxa"/>
          </w:tcPr>
          <w:p w14:paraId="6AD6FD43" w14:textId="77777777" w:rsidR="00ED08FF" w:rsidRDefault="00000000">
            <w:pPr>
              <w:pStyle w:val="TableParagraph"/>
              <w:ind w:left="50"/>
              <w:jc w:val="left"/>
              <w:rPr>
                <w:sz w:val="13"/>
              </w:rPr>
            </w:pPr>
            <w:r>
              <w:rPr>
                <w:spacing w:val="-4"/>
                <w:sz w:val="13"/>
              </w:rPr>
              <w:t>ROTI</w:t>
            </w:r>
          </w:p>
        </w:tc>
        <w:tc>
          <w:tcPr>
            <w:tcW w:w="546" w:type="dxa"/>
          </w:tcPr>
          <w:p w14:paraId="54BEDBF0" w14:textId="77777777" w:rsidR="00ED08FF" w:rsidRDefault="00000000">
            <w:pPr>
              <w:pStyle w:val="TableParagraph"/>
              <w:rPr>
                <w:sz w:val="13"/>
              </w:rPr>
            </w:pPr>
            <w:r>
              <w:rPr>
                <w:spacing w:val="-4"/>
                <w:sz w:val="13"/>
              </w:rPr>
              <w:t>2024</w:t>
            </w:r>
          </w:p>
        </w:tc>
        <w:tc>
          <w:tcPr>
            <w:tcW w:w="624" w:type="dxa"/>
          </w:tcPr>
          <w:p w14:paraId="390875E8" w14:textId="77777777" w:rsidR="00ED08FF" w:rsidRDefault="00000000">
            <w:pPr>
              <w:pStyle w:val="TableParagraph"/>
              <w:ind w:left="117"/>
              <w:jc w:val="left"/>
              <w:rPr>
                <w:sz w:val="13"/>
              </w:rPr>
            </w:pPr>
            <w:r>
              <w:rPr>
                <w:spacing w:val="-2"/>
                <w:sz w:val="13"/>
              </w:rPr>
              <w:t>2.400</w:t>
            </w:r>
          </w:p>
        </w:tc>
        <w:tc>
          <w:tcPr>
            <w:tcW w:w="702" w:type="dxa"/>
          </w:tcPr>
          <w:p w14:paraId="14A01874" w14:textId="77777777" w:rsidR="00ED08FF" w:rsidRDefault="00000000">
            <w:pPr>
              <w:pStyle w:val="TableParagraph"/>
              <w:ind w:left="78"/>
              <w:rPr>
                <w:sz w:val="13"/>
              </w:rPr>
            </w:pPr>
            <w:r>
              <w:rPr>
                <w:spacing w:val="-2"/>
                <w:sz w:val="13"/>
              </w:rPr>
              <w:t>8.330</w:t>
            </w:r>
          </w:p>
        </w:tc>
        <w:tc>
          <w:tcPr>
            <w:tcW w:w="625" w:type="dxa"/>
          </w:tcPr>
          <w:p w14:paraId="5CD6E571" w14:textId="77777777" w:rsidR="00ED08FF" w:rsidRDefault="00000000">
            <w:pPr>
              <w:pStyle w:val="TableParagraph"/>
              <w:ind w:left="117"/>
              <w:jc w:val="left"/>
              <w:rPr>
                <w:sz w:val="13"/>
              </w:rPr>
            </w:pPr>
            <w:r>
              <w:rPr>
                <w:spacing w:val="-2"/>
                <w:sz w:val="13"/>
              </w:rPr>
              <w:t>0.270</w:t>
            </w:r>
          </w:p>
        </w:tc>
        <w:tc>
          <w:tcPr>
            <w:tcW w:w="702" w:type="dxa"/>
          </w:tcPr>
          <w:p w14:paraId="3B2D0EF2" w14:textId="77777777" w:rsidR="00ED08FF" w:rsidRDefault="00000000">
            <w:pPr>
              <w:pStyle w:val="TableParagraph"/>
              <w:ind w:left="78" w:right="78"/>
              <w:rPr>
                <w:sz w:val="13"/>
              </w:rPr>
            </w:pPr>
            <w:r>
              <w:rPr>
                <w:spacing w:val="-2"/>
                <w:sz w:val="13"/>
              </w:rPr>
              <w:t>15.136</w:t>
            </w:r>
          </w:p>
        </w:tc>
        <w:tc>
          <w:tcPr>
            <w:tcW w:w="557" w:type="dxa"/>
          </w:tcPr>
          <w:p w14:paraId="4AA32D29" w14:textId="77777777" w:rsidR="00ED08FF" w:rsidRDefault="00000000">
            <w:pPr>
              <w:pStyle w:val="TableParagraph"/>
              <w:ind w:left="75" w:right="9"/>
              <w:rPr>
                <w:sz w:val="13"/>
              </w:rPr>
            </w:pPr>
            <w:r>
              <w:rPr>
                <w:spacing w:val="-2"/>
                <w:sz w:val="13"/>
              </w:rPr>
              <w:t>1.710</w:t>
            </w:r>
          </w:p>
        </w:tc>
      </w:tr>
      <w:tr w:rsidR="00ED08FF" w14:paraId="311D881B" w14:textId="77777777">
        <w:trPr>
          <w:trHeight w:val="147"/>
        </w:trPr>
        <w:tc>
          <w:tcPr>
            <w:tcW w:w="635" w:type="dxa"/>
          </w:tcPr>
          <w:p w14:paraId="66F84607" w14:textId="77777777" w:rsidR="00ED08FF" w:rsidRDefault="00000000">
            <w:pPr>
              <w:pStyle w:val="TableParagraph"/>
              <w:ind w:left="50"/>
              <w:jc w:val="left"/>
              <w:rPr>
                <w:sz w:val="13"/>
              </w:rPr>
            </w:pPr>
            <w:r>
              <w:rPr>
                <w:spacing w:val="-4"/>
                <w:sz w:val="13"/>
              </w:rPr>
              <w:t>ROTI</w:t>
            </w:r>
          </w:p>
        </w:tc>
        <w:tc>
          <w:tcPr>
            <w:tcW w:w="546" w:type="dxa"/>
          </w:tcPr>
          <w:p w14:paraId="5DA3749A" w14:textId="77777777" w:rsidR="00ED08FF" w:rsidRDefault="00000000">
            <w:pPr>
              <w:pStyle w:val="TableParagraph"/>
              <w:rPr>
                <w:sz w:val="13"/>
              </w:rPr>
            </w:pPr>
            <w:r>
              <w:rPr>
                <w:spacing w:val="-4"/>
                <w:sz w:val="13"/>
              </w:rPr>
              <w:t>2025</w:t>
            </w:r>
          </w:p>
        </w:tc>
        <w:tc>
          <w:tcPr>
            <w:tcW w:w="624" w:type="dxa"/>
          </w:tcPr>
          <w:p w14:paraId="62BD0DA9" w14:textId="77777777" w:rsidR="00ED08FF" w:rsidRDefault="00000000">
            <w:pPr>
              <w:pStyle w:val="TableParagraph"/>
              <w:ind w:left="117"/>
              <w:jc w:val="left"/>
              <w:rPr>
                <w:sz w:val="13"/>
              </w:rPr>
            </w:pPr>
            <w:r>
              <w:rPr>
                <w:spacing w:val="-2"/>
                <w:sz w:val="13"/>
              </w:rPr>
              <w:t>2.170</w:t>
            </w:r>
          </w:p>
        </w:tc>
        <w:tc>
          <w:tcPr>
            <w:tcW w:w="702" w:type="dxa"/>
          </w:tcPr>
          <w:p w14:paraId="09C204CF" w14:textId="77777777" w:rsidR="00ED08FF" w:rsidRDefault="00000000">
            <w:pPr>
              <w:pStyle w:val="TableParagraph"/>
              <w:ind w:left="78"/>
              <w:rPr>
                <w:sz w:val="13"/>
              </w:rPr>
            </w:pPr>
            <w:r>
              <w:rPr>
                <w:spacing w:val="-2"/>
                <w:sz w:val="13"/>
              </w:rPr>
              <w:t>6.420</w:t>
            </w:r>
          </w:p>
        </w:tc>
        <w:tc>
          <w:tcPr>
            <w:tcW w:w="625" w:type="dxa"/>
          </w:tcPr>
          <w:p w14:paraId="733F28B3" w14:textId="77777777" w:rsidR="00ED08FF" w:rsidRDefault="00000000">
            <w:pPr>
              <w:pStyle w:val="TableParagraph"/>
              <w:ind w:left="117"/>
              <w:jc w:val="left"/>
              <w:rPr>
                <w:sz w:val="13"/>
              </w:rPr>
            </w:pPr>
            <w:r>
              <w:rPr>
                <w:spacing w:val="-2"/>
                <w:sz w:val="13"/>
              </w:rPr>
              <w:t>0.310</w:t>
            </w:r>
          </w:p>
        </w:tc>
        <w:tc>
          <w:tcPr>
            <w:tcW w:w="702" w:type="dxa"/>
          </w:tcPr>
          <w:p w14:paraId="5909615F" w14:textId="77777777" w:rsidR="00ED08FF" w:rsidRDefault="00000000">
            <w:pPr>
              <w:pStyle w:val="TableParagraph"/>
              <w:ind w:left="78" w:right="78"/>
              <w:rPr>
                <w:sz w:val="13"/>
              </w:rPr>
            </w:pPr>
            <w:r>
              <w:rPr>
                <w:spacing w:val="-2"/>
                <w:sz w:val="13"/>
              </w:rPr>
              <w:t>15.079</w:t>
            </w:r>
          </w:p>
        </w:tc>
        <w:tc>
          <w:tcPr>
            <w:tcW w:w="557" w:type="dxa"/>
          </w:tcPr>
          <w:p w14:paraId="57E96D93" w14:textId="77777777" w:rsidR="00ED08FF" w:rsidRDefault="00000000">
            <w:pPr>
              <w:pStyle w:val="TableParagraph"/>
              <w:ind w:left="75" w:right="9"/>
              <w:rPr>
                <w:sz w:val="13"/>
              </w:rPr>
            </w:pPr>
            <w:r>
              <w:rPr>
                <w:spacing w:val="-2"/>
                <w:sz w:val="13"/>
              </w:rPr>
              <w:t>1.370</w:t>
            </w:r>
          </w:p>
        </w:tc>
      </w:tr>
      <w:tr w:rsidR="00ED08FF" w14:paraId="4D690604" w14:textId="77777777">
        <w:trPr>
          <w:trHeight w:val="147"/>
        </w:trPr>
        <w:tc>
          <w:tcPr>
            <w:tcW w:w="635" w:type="dxa"/>
          </w:tcPr>
          <w:p w14:paraId="54FB3645" w14:textId="77777777" w:rsidR="00ED08FF" w:rsidRDefault="00000000">
            <w:pPr>
              <w:pStyle w:val="TableParagraph"/>
              <w:ind w:left="50"/>
              <w:jc w:val="left"/>
              <w:rPr>
                <w:sz w:val="13"/>
              </w:rPr>
            </w:pPr>
            <w:r>
              <w:rPr>
                <w:spacing w:val="-4"/>
                <w:sz w:val="13"/>
              </w:rPr>
              <w:t>ULTJ</w:t>
            </w:r>
          </w:p>
        </w:tc>
        <w:tc>
          <w:tcPr>
            <w:tcW w:w="546" w:type="dxa"/>
          </w:tcPr>
          <w:p w14:paraId="445DD354" w14:textId="77777777" w:rsidR="00ED08FF" w:rsidRDefault="00000000">
            <w:pPr>
              <w:pStyle w:val="TableParagraph"/>
              <w:rPr>
                <w:sz w:val="13"/>
              </w:rPr>
            </w:pPr>
            <w:r>
              <w:rPr>
                <w:spacing w:val="-4"/>
                <w:sz w:val="13"/>
              </w:rPr>
              <w:t>2021</w:t>
            </w:r>
          </w:p>
        </w:tc>
        <w:tc>
          <w:tcPr>
            <w:tcW w:w="624" w:type="dxa"/>
          </w:tcPr>
          <w:p w14:paraId="5E810452" w14:textId="77777777" w:rsidR="00ED08FF" w:rsidRDefault="00000000">
            <w:pPr>
              <w:pStyle w:val="TableParagraph"/>
              <w:ind w:left="117"/>
              <w:jc w:val="left"/>
              <w:rPr>
                <w:sz w:val="13"/>
              </w:rPr>
            </w:pPr>
            <w:r>
              <w:rPr>
                <w:spacing w:val="-2"/>
                <w:sz w:val="13"/>
              </w:rPr>
              <w:t>3.180</w:t>
            </w:r>
          </w:p>
        </w:tc>
        <w:tc>
          <w:tcPr>
            <w:tcW w:w="702" w:type="dxa"/>
          </w:tcPr>
          <w:p w14:paraId="168FB095" w14:textId="77777777" w:rsidR="00ED08FF" w:rsidRDefault="00000000">
            <w:pPr>
              <w:pStyle w:val="TableParagraph"/>
              <w:ind w:left="78" w:right="78"/>
              <w:rPr>
                <w:sz w:val="13"/>
              </w:rPr>
            </w:pPr>
            <w:r>
              <w:rPr>
                <w:spacing w:val="-2"/>
                <w:sz w:val="13"/>
              </w:rPr>
              <w:t>12.560</w:t>
            </w:r>
          </w:p>
        </w:tc>
        <w:tc>
          <w:tcPr>
            <w:tcW w:w="625" w:type="dxa"/>
          </w:tcPr>
          <w:p w14:paraId="21760219" w14:textId="77777777" w:rsidR="00ED08FF" w:rsidRDefault="00000000">
            <w:pPr>
              <w:pStyle w:val="TableParagraph"/>
              <w:ind w:left="117"/>
              <w:jc w:val="left"/>
              <w:rPr>
                <w:sz w:val="13"/>
              </w:rPr>
            </w:pPr>
            <w:r>
              <w:rPr>
                <w:spacing w:val="-2"/>
                <w:sz w:val="13"/>
              </w:rPr>
              <w:t>0.300</w:t>
            </w:r>
          </w:p>
        </w:tc>
        <w:tc>
          <w:tcPr>
            <w:tcW w:w="702" w:type="dxa"/>
          </w:tcPr>
          <w:p w14:paraId="473B34E0" w14:textId="77777777" w:rsidR="00ED08FF" w:rsidRDefault="00000000">
            <w:pPr>
              <w:pStyle w:val="TableParagraph"/>
              <w:ind w:left="78" w:right="78"/>
              <w:rPr>
                <w:sz w:val="13"/>
              </w:rPr>
            </w:pPr>
            <w:r>
              <w:rPr>
                <w:spacing w:val="-2"/>
                <w:sz w:val="13"/>
              </w:rPr>
              <w:t>15.818</w:t>
            </w:r>
          </w:p>
        </w:tc>
        <w:tc>
          <w:tcPr>
            <w:tcW w:w="557" w:type="dxa"/>
          </w:tcPr>
          <w:p w14:paraId="45684D44" w14:textId="77777777" w:rsidR="00ED08FF" w:rsidRDefault="00000000">
            <w:pPr>
              <w:pStyle w:val="TableParagraph"/>
              <w:ind w:left="75" w:right="9"/>
              <w:rPr>
                <w:sz w:val="13"/>
              </w:rPr>
            </w:pPr>
            <w:r>
              <w:rPr>
                <w:spacing w:val="-2"/>
                <w:sz w:val="13"/>
              </w:rPr>
              <w:t>3.110</w:t>
            </w:r>
          </w:p>
        </w:tc>
      </w:tr>
    </w:tbl>
    <w:p w14:paraId="511898E6" w14:textId="77777777" w:rsidR="00ED08FF" w:rsidRDefault="00ED08FF">
      <w:pPr>
        <w:pStyle w:val="BodyText"/>
        <w:spacing w:before="39"/>
        <w:ind w:left="0"/>
        <w:rPr>
          <w:b/>
          <w:sz w:val="20"/>
        </w:rPr>
      </w:pPr>
    </w:p>
    <w:tbl>
      <w:tblPr>
        <w:tblW w:w="0" w:type="auto"/>
        <w:tblInd w:w="3925" w:type="dxa"/>
        <w:tblLayout w:type="fixed"/>
        <w:tblCellMar>
          <w:left w:w="0" w:type="dxa"/>
          <w:right w:w="0" w:type="dxa"/>
        </w:tblCellMar>
        <w:tblLook w:val="01E0" w:firstRow="1" w:lastRow="1" w:firstColumn="1" w:lastColumn="1" w:noHBand="0" w:noVBand="0"/>
      </w:tblPr>
      <w:tblGrid>
        <w:gridCol w:w="557"/>
        <w:gridCol w:w="702"/>
        <w:gridCol w:w="780"/>
        <w:gridCol w:w="742"/>
        <w:gridCol w:w="663"/>
        <w:gridCol w:w="741"/>
        <w:gridCol w:w="596"/>
      </w:tblGrid>
      <w:tr w:rsidR="00ED08FF" w14:paraId="360DF33D" w14:textId="77777777">
        <w:trPr>
          <w:trHeight w:val="147"/>
        </w:trPr>
        <w:tc>
          <w:tcPr>
            <w:tcW w:w="557" w:type="dxa"/>
          </w:tcPr>
          <w:p w14:paraId="37AE9A67" w14:textId="77777777" w:rsidR="00ED08FF" w:rsidRDefault="00000000">
            <w:pPr>
              <w:pStyle w:val="TableParagraph"/>
              <w:ind w:right="144"/>
              <w:rPr>
                <w:sz w:val="13"/>
              </w:rPr>
            </w:pPr>
            <w:r>
              <w:rPr>
                <w:spacing w:val="-4"/>
                <w:sz w:val="13"/>
              </w:rPr>
              <w:t>ULTJ</w:t>
            </w:r>
          </w:p>
        </w:tc>
        <w:tc>
          <w:tcPr>
            <w:tcW w:w="702" w:type="dxa"/>
          </w:tcPr>
          <w:p w14:paraId="40663C02" w14:textId="77777777" w:rsidR="00ED08FF" w:rsidRDefault="00000000">
            <w:pPr>
              <w:pStyle w:val="TableParagraph"/>
              <w:ind w:left="78" w:right="78"/>
              <w:rPr>
                <w:sz w:val="13"/>
              </w:rPr>
            </w:pPr>
            <w:r>
              <w:rPr>
                <w:spacing w:val="-4"/>
                <w:sz w:val="13"/>
              </w:rPr>
              <w:t>2022</w:t>
            </w:r>
          </w:p>
        </w:tc>
        <w:tc>
          <w:tcPr>
            <w:tcW w:w="780" w:type="dxa"/>
          </w:tcPr>
          <w:p w14:paraId="2D18E35B" w14:textId="77777777" w:rsidR="00ED08FF" w:rsidRDefault="00000000">
            <w:pPr>
              <w:pStyle w:val="TableParagraph"/>
              <w:ind w:left="156"/>
              <w:rPr>
                <w:sz w:val="13"/>
              </w:rPr>
            </w:pPr>
            <w:r>
              <w:rPr>
                <w:spacing w:val="-2"/>
                <w:sz w:val="13"/>
              </w:rPr>
              <w:t>2.630</w:t>
            </w:r>
          </w:p>
        </w:tc>
        <w:tc>
          <w:tcPr>
            <w:tcW w:w="742" w:type="dxa"/>
          </w:tcPr>
          <w:p w14:paraId="2ED6F09A" w14:textId="77777777" w:rsidR="00ED08FF" w:rsidRDefault="00000000">
            <w:pPr>
              <w:pStyle w:val="TableParagraph"/>
              <w:ind w:right="37"/>
              <w:rPr>
                <w:sz w:val="13"/>
              </w:rPr>
            </w:pPr>
            <w:r>
              <w:rPr>
                <w:spacing w:val="-2"/>
                <w:sz w:val="13"/>
              </w:rPr>
              <w:t>10.400</w:t>
            </w:r>
          </w:p>
        </w:tc>
        <w:tc>
          <w:tcPr>
            <w:tcW w:w="663" w:type="dxa"/>
          </w:tcPr>
          <w:p w14:paraId="06D915EC" w14:textId="77777777" w:rsidR="00ED08FF" w:rsidRDefault="00000000">
            <w:pPr>
              <w:pStyle w:val="TableParagraph"/>
              <w:ind w:left="38"/>
              <w:rPr>
                <w:sz w:val="13"/>
              </w:rPr>
            </w:pPr>
            <w:r>
              <w:rPr>
                <w:spacing w:val="-2"/>
                <w:sz w:val="13"/>
              </w:rPr>
              <w:t>0.110</w:t>
            </w:r>
          </w:p>
        </w:tc>
        <w:tc>
          <w:tcPr>
            <w:tcW w:w="741" w:type="dxa"/>
          </w:tcPr>
          <w:p w14:paraId="512AA745" w14:textId="77777777" w:rsidR="00ED08FF" w:rsidRDefault="00000000">
            <w:pPr>
              <w:pStyle w:val="TableParagraph"/>
              <w:ind w:right="37"/>
              <w:rPr>
                <w:sz w:val="13"/>
              </w:rPr>
            </w:pPr>
            <w:r>
              <w:rPr>
                <w:spacing w:val="-2"/>
                <w:sz w:val="13"/>
              </w:rPr>
              <w:t>15.814</w:t>
            </w:r>
          </w:p>
        </w:tc>
        <w:tc>
          <w:tcPr>
            <w:tcW w:w="596" w:type="dxa"/>
          </w:tcPr>
          <w:p w14:paraId="6C5FE62B" w14:textId="77777777" w:rsidR="00ED08FF" w:rsidRDefault="00000000">
            <w:pPr>
              <w:pStyle w:val="TableParagraph"/>
              <w:ind w:left="105"/>
              <w:rPr>
                <w:sz w:val="13"/>
              </w:rPr>
            </w:pPr>
            <w:r>
              <w:rPr>
                <w:spacing w:val="-2"/>
                <w:sz w:val="13"/>
              </w:rPr>
              <w:t>3.170</w:t>
            </w:r>
          </w:p>
        </w:tc>
      </w:tr>
      <w:tr w:rsidR="00ED08FF" w14:paraId="08268F04" w14:textId="77777777">
        <w:trPr>
          <w:trHeight w:val="147"/>
        </w:trPr>
        <w:tc>
          <w:tcPr>
            <w:tcW w:w="557" w:type="dxa"/>
          </w:tcPr>
          <w:p w14:paraId="50392920" w14:textId="77777777" w:rsidR="00ED08FF" w:rsidRDefault="00000000">
            <w:pPr>
              <w:pStyle w:val="TableParagraph"/>
              <w:ind w:right="144"/>
              <w:rPr>
                <w:sz w:val="13"/>
              </w:rPr>
            </w:pPr>
            <w:r>
              <w:rPr>
                <w:spacing w:val="-4"/>
                <w:sz w:val="13"/>
              </w:rPr>
              <w:t>ULTJ</w:t>
            </w:r>
          </w:p>
        </w:tc>
        <w:tc>
          <w:tcPr>
            <w:tcW w:w="702" w:type="dxa"/>
          </w:tcPr>
          <w:p w14:paraId="3BEB92C8" w14:textId="77777777" w:rsidR="00ED08FF" w:rsidRDefault="00000000">
            <w:pPr>
              <w:pStyle w:val="TableParagraph"/>
              <w:ind w:left="78" w:right="78"/>
              <w:rPr>
                <w:sz w:val="13"/>
              </w:rPr>
            </w:pPr>
            <w:r>
              <w:rPr>
                <w:spacing w:val="-4"/>
                <w:sz w:val="13"/>
              </w:rPr>
              <w:t>2023</w:t>
            </w:r>
          </w:p>
        </w:tc>
        <w:tc>
          <w:tcPr>
            <w:tcW w:w="780" w:type="dxa"/>
          </w:tcPr>
          <w:p w14:paraId="576ADA8C" w14:textId="77777777" w:rsidR="00ED08FF" w:rsidRDefault="00000000">
            <w:pPr>
              <w:pStyle w:val="TableParagraph"/>
              <w:ind w:left="156"/>
              <w:rPr>
                <w:sz w:val="13"/>
              </w:rPr>
            </w:pPr>
            <w:r>
              <w:rPr>
                <w:spacing w:val="-2"/>
                <w:sz w:val="13"/>
              </w:rPr>
              <w:t>2.490</w:t>
            </w:r>
          </w:p>
        </w:tc>
        <w:tc>
          <w:tcPr>
            <w:tcW w:w="742" w:type="dxa"/>
          </w:tcPr>
          <w:p w14:paraId="394F092C" w14:textId="77777777" w:rsidR="00ED08FF" w:rsidRDefault="00000000">
            <w:pPr>
              <w:pStyle w:val="TableParagraph"/>
              <w:ind w:right="37"/>
              <w:rPr>
                <w:sz w:val="13"/>
              </w:rPr>
            </w:pPr>
            <w:r>
              <w:rPr>
                <w:spacing w:val="-2"/>
                <w:sz w:val="13"/>
              </w:rPr>
              <w:t>12.550</w:t>
            </w:r>
          </w:p>
        </w:tc>
        <w:tc>
          <w:tcPr>
            <w:tcW w:w="663" w:type="dxa"/>
          </w:tcPr>
          <w:p w14:paraId="281FAE6F" w14:textId="77777777" w:rsidR="00ED08FF" w:rsidRDefault="00000000">
            <w:pPr>
              <w:pStyle w:val="TableParagraph"/>
              <w:ind w:left="38"/>
              <w:rPr>
                <w:sz w:val="13"/>
              </w:rPr>
            </w:pPr>
            <w:r>
              <w:rPr>
                <w:spacing w:val="-2"/>
                <w:sz w:val="13"/>
              </w:rPr>
              <w:t>0.010</w:t>
            </w:r>
          </w:p>
        </w:tc>
        <w:tc>
          <w:tcPr>
            <w:tcW w:w="741" w:type="dxa"/>
          </w:tcPr>
          <w:p w14:paraId="62739CCF" w14:textId="77777777" w:rsidR="00ED08FF" w:rsidRDefault="00000000">
            <w:pPr>
              <w:pStyle w:val="TableParagraph"/>
              <w:ind w:right="37"/>
              <w:rPr>
                <w:sz w:val="13"/>
              </w:rPr>
            </w:pPr>
            <w:r>
              <w:rPr>
                <w:spacing w:val="-2"/>
                <w:sz w:val="13"/>
              </w:rPr>
              <w:t>15.834</w:t>
            </w:r>
          </w:p>
        </w:tc>
        <w:tc>
          <w:tcPr>
            <w:tcW w:w="596" w:type="dxa"/>
          </w:tcPr>
          <w:p w14:paraId="08538BCB" w14:textId="77777777" w:rsidR="00ED08FF" w:rsidRDefault="00000000">
            <w:pPr>
              <w:pStyle w:val="TableParagraph"/>
              <w:ind w:left="105"/>
              <w:rPr>
                <w:sz w:val="13"/>
              </w:rPr>
            </w:pPr>
            <w:r>
              <w:rPr>
                <w:spacing w:val="-2"/>
                <w:sz w:val="13"/>
              </w:rPr>
              <w:t>6.180</w:t>
            </w:r>
          </w:p>
        </w:tc>
      </w:tr>
      <w:tr w:rsidR="00ED08FF" w14:paraId="419BFCAF" w14:textId="77777777">
        <w:trPr>
          <w:trHeight w:val="146"/>
        </w:trPr>
        <w:tc>
          <w:tcPr>
            <w:tcW w:w="557" w:type="dxa"/>
          </w:tcPr>
          <w:p w14:paraId="4A493CA2" w14:textId="77777777" w:rsidR="00ED08FF" w:rsidRDefault="00000000">
            <w:pPr>
              <w:pStyle w:val="TableParagraph"/>
              <w:ind w:right="144"/>
              <w:rPr>
                <w:sz w:val="13"/>
              </w:rPr>
            </w:pPr>
            <w:r>
              <w:rPr>
                <w:spacing w:val="-4"/>
                <w:sz w:val="13"/>
              </w:rPr>
              <w:t>ULTJ</w:t>
            </w:r>
          </w:p>
        </w:tc>
        <w:tc>
          <w:tcPr>
            <w:tcW w:w="702" w:type="dxa"/>
          </w:tcPr>
          <w:p w14:paraId="76A7E4D2" w14:textId="77777777" w:rsidR="00ED08FF" w:rsidRDefault="00000000">
            <w:pPr>
              <w:pStyle w:val="TableParagraph"/>
              <w:ind w:left="78" w:right="78"/>
              <w:rPr>
                <w:sz w:val="13"/>
              </w:rPr>
            </w:pPr>
            <w:r>
              <w:rPr>
                <w:spacing w:val="-4"/>
                <w:sz w:val="13"/>
              </w:rPr>
              <w:t>2024</w:t>
            </w:r>
          </w:p>
        </w:tc>
        <w:tc>
          <w:tcPr>
            <w:tcW w:w="780" w:type="dxa"/>
          </w:tcPr>
          <w:p w14:paraId="2202418E" w14:textId="77777777" w:rsidR="00ED08FF" w:rsidRDefault="00000000">
            <w:pPr>
              <w:pStyle w:val="TableParagraph"/>
              <w:ind w:left="156"/>
              <w:rPr>
                <w:sz w:val="13"/>
              </w:rPr>
            </w:pPr>
            <w:r>
              <w:rPr>
                <w:spacing w:val="-2"/>
                <w:sz w:val="13"/>
              </w:rPr>
              <w:t>2.530</w:t>
            </w:r>
          </w:p>
        </w:tc>
        <w:tc>
          <w:tcPr>
            <w:tcW w:w="742" w:type="dxa"/>
          </w:tcPr>
          <w:p w14:paraId="4B99A267" w14:textId="77777777" w:rsidR="00ED08FF" w:rsidRDefault="00000000">
            <w:pPr>
              <w:pStyle w:val="TableParagraph"/>
              <w:ind w:right="37"/>
              <w:rPr>
                <w:sz w:val="13"/>
              </w:rPr>
            </w:pPr>
            <w:r>
              <w:rPr>
                <w:spacing w:val="-2"/>
                <w:sz w:val="13"/>
              </w:rPr>
              <w:t>11.250</w:t>
            </w:r>
          </w:p>
        </w:tc>
        <w:tc>
          <w:tcPr>
            <w:tcW w:w="663" w:type="dxa"/>
          </w:tcPr>
          <w:p w14:paraId="5FF81DA3" w14:textId="77777777" w:rsidR="00ED08FF" w:rsidRDefault="00000000">
            <w:pPr>
              <w:pStyle w:val="TableParagraph"/>
              <w:ind w:left="38"/>
              <w:rPr>
                <w:sz w:val="13"/>
              </w:rPr>
            </w:pPr>
            <w:r>
              <w:rPr>
                <w:spacing w:val="-2"/>
                <w:sz w:val="13"/>
              </w:rPr>
              <w:t>0.010</w:t>
            </w:r>
          </w:p>
        </w:tc>
        <w:tc>
          <w:tcPr>
            <w:tcW w:w="741" w:type="dxa"/>
          </w:tcPr>
          <w:p w14:paraId="4C95D659" w14:textId="77777777" w:rsidR="00ED08FF" w:rsidRDefault="00000000">
            <w:pPr>
              <w:pStyle w:val="TableParagraph"/>
              <w:ind w:right="37"/>
              <w:rPr>
                <w:sz w:val="13"/>
              </w:rPr>
            </w:pPr>
            <w:r>
              <w:rPr>
                <w:spacing w:val="-2"/>
                <w:sz w:val="13"/>
              </w:rPr>
              <w:t>15.951</w:t>
            </w:r>
          </w:p>
        </w:tc>
        <w:tc>
          <w:tcPr>
            <w:tcW w:w="596" w:type="dxa"/>
          </w:tcPr>
          <w:p w14:paraId="2B4CEFE5" w14:textId="77777777" w:rsidR="00ED08FF" w:rsidRDefault="00000000">
            <w:pPr>
              <w:pStyle w:val="TableParagraph"/>
              <w:ind w:left="105"/>
              <w:rPr>
                <w:sz w:val="13"/>
              </w:rPr>
            </w:pPr>
            <w:r>
              <w:rPr>
                <w:spacing w:val="-2"/>
                <w:sz w:val="13"/>
              </w:rPr>
              <w:t>5.390</w:t>
            </w:r>
          </w:p>
        </w:tc>
      </w:tr>
      <w:tr w:rsidR="00ED08FF" w14:paraId="24D20D76" w14:textId="77777777">
        <w:trPr>
          <w:trHeight w:val="146"/>
        </w:trPr>
        <w:tc>
          <w:tcPr>
            <w:tcW w:w="557" w:type="dxa"/>
          </w:tcPr>
          <w:p w14:paraId="18398CE9" w14:textId="77777777" w:rsidR="00ED08FF" w:rsidRDefault="00000000">
            <w:pPr>
              <w:pStyle w:val="TableParagraph"/>
              <w:ind w:right="144"/>
              <w:rPr>
                <w:sz w:val="13"/>
              </w:rPr>
            </w:pPr>
            <w:r>
              <w:rPr>
                <w:spacing w:val="-4"/>
                <w:sz w:val="13"/>
              </w:rPr>
              <w:t>ULTJ</w:t>
            </w:r>
          </w:p>
        </w:tc>
        <w:tc>
          <w:tcPr>
            <w:tcW w:w="702" w:type="dxa"/>
          </w:tcPr>
          <w:p w14:paraId="72DF771F" w14:textId="77777777" w:rsidR="00ED08FF" w:rsidRDefault="00000000">
            <w:pPr>
              <w:pStyle w:val="TableParagraph"/>
              <w:ind w:left="78" w:right="78"/>
              <w:rPr>
                <w:sz w:val="13"/>
              </w:rPr>
            </w:pPr>
            <w:r>
              <w:rPr>
                <w:spacing w:val="-4"/>
                <w:sz w:val="13"/>
              </w:rPr>
              <w:t>2025</w:t>
            </w:r>
          </w:p>
        </w:tc>
        <w:tc>
          <w:tcPr>
            <w:tcW w:w="780" w:type="dxa"/>
          </w:tcPr>
          <w:p w14:paraId="01E9CE1C" w14:textId="77777777" w:rsidR="00ED08FF" w:rsidRDefault="00000000">
            <w:pPr>
              <w:pStyle w:val="TableParagraph"/>
              <w:ind w:left="156"/>
              <w:rPr>
                <w:sz w:val="13"/>
              </w:rPr>
            </w:pPr>
            <w:r>
              <w:rPr>
                <w:spacing w:val="-2"/>
                <w:sz w:val="13"/>
              </w:rPr>
              <w:t>1.800</w:t>
            </w:r>
          </w:p>
        </w:tc>
        <w:tc>
          <w:tcPr>
            <w:tcW w:w="742" w:type="dxa"/>
          </w:tcPr>
          <w:p w14:paraId="0194C6BE" w14:textId="77777777" w:rsidR="00ED08FF" w:rsidRDefault="00000000">
            <w:pPr>
              <w:pStyle w:val="TableParagraph"/>
              <w:ind w:right="37"/>
              <w:rPr>
                <w:sz w:val="13"/>
              </w:rPr>
            </w:pPr>
            <w:r>
              <w:rPr>
                <w:spacing w:val="-2"/>
                <w:sz w:val="13"/>
              </w:rPr>
              <w:t>11.460</w:t>
            </w:r>
          </w:p>
        </w:tc>
        <w:tc>
          <w:tcPr>
            <w:tcW w:w="663" w:type="dxa"/>
          </w:tcPr>
          <w:p w14:paraId="43990DD7" w14:textId="77777777" w:rsidR="00ED08FF" w:rsidRDefault="00000000">
            <w:pPr>
              <w:pStyle w:val="TableParagraph"/>
              <w:ind w:left="38"/>
              <w:rPr>
                <w:sz w:val="13"/>
              </w:rPr>
            </w:pPr>
            <w:r>
              <w:rPr>
                <w:spacing w:val="-2"/>
                <w:sz w:val="13"/>
              </w:rPr>
              <w:t>0.010</w:t>
            </w:r>
          </w:p>
        </w:tc>
        <w:tc>
          <w:tcPr>
            <w:tcW w:w="741" w:type="dxa"/>
          </w:tcPr>
          <w:p w14:paraId="61B4BF06" w14:textId="77777777" w:rsidR="00ED08FF" w:rsidRDefault="00000000">
            <w:pPr>
              <w:pStyle w:val="TableParagraph"/>
              <w:ind w:right="37"/>
              <w:rPr>
                <w:sz w:val="13"/>
              </w:rPr>
            </w:pPr>
            <w:r>
              <w:rPr>
                <w:spacing w:val="-2"/>
                <w:sz w:val="13"/>
              </w:rPr>
              <w:t>16.041</w:t>
            </w:r>
          </w:p>
        </w:tc>
        <w:tc>
          <w:tcPr>
            <w:tcW w:w="596" w:type="dxa"/>
          </w:tcPr>
          <w:p w14:paraId="6E1132AD" w14:textId="77777777" w:rsidR="00ED08FF" w:rsidRDefault="00000000">
            <w:pPr>
              <w:pStyle w:val="TableParagraph"/>
              <w:ind w:left="105"/>
              <w:rPr>
                <w:sz w:val="13"/>
              </w:rPr>
            </w:pPr>
            <w:r>
              <w:rPr>
                <w:spacing w:val="-2"/>
                <w:sz w:val="13"/>
              </w:rPr>
              <w:t>6.590</w:t>
            </w:r>
          </w:p>
        </w:tc>
      </w:tr>
      <w:tr w:rsidR="00ED08FF" w14:paraId="0CC00268" w14:textId="77777777">
        <w:trPr>
          <w:trHeight w:val="147"/>
        </w:trPr>
        <w:tc>
          <w:tcPr>
            <w:tcW w:w="557" w:type="dxa"/>
          </w:tcPr>
          <w:p w14:paraId="295B3006" w14:textId="77777777" w:rsidR="00ED08FF" w:rsidRDefault="00000000">
            <w:pPr>
              <w:pStyle w:val="TableParagraph"/>
              <w:ind w:right="144"/>
              <w:rPr>
                <w:sz w:val="13"/>
              </w:rPr>
            </w:pPr>
            <w:r>
              <w:rPr>
                <w:spacing w:val="-4"/>
                <w:sz w:val="13"/>
              </w:rPr>
              <w:t>UNVR</w:t>
            </w:r>
          </w:p>
        </w:tc>
        <w:tc>
          <w:tcPr>
            <w:tcW w:w="702" w:type="dxa"/>
          </w:tcPr>
          <w:p w14:paraId="2A4E2CF3" w14:textId="77777777" w:rsidR="00ED08FF" w:rsidRDefault="00000000">
            <w:pPr>
              <w:pStyle w:val="TableParagraph"/>
              <w:ind w:left="78" w:right="78"/>
              <w:rPr>
                <w:sz w:val="13"/>
              </w:rPr>
            </w:pPr>
            <w:r>
              <w:rPr>
                <w:spacing w:val="-4"/>
                <w:sz w:val="13"/>
              </w:rPr>
              <w:t>2021</w:t>
            </w:r>
          </w:p>
        </w:tc>
        <w:tc>
          <w:tcPr>
            <w:tcW w:w="780" w:type="dxa"/>
          </w:tcPr>
          <w:p w14:paraId="141F26CB" w14:textId="77777777" w:rsidR="00ED08FF" w:rsidRDefault="00000000">
            <w:pPr>
              <w:pStyle w:val="TableParagraph"/>
              <w:ind w:left="156" w:right="78"/>
              <w:rPr>
                <w:sz w:val="13"/>
              </w:rPr>
            </w:pPr>
            <w:r>
              <w:rPr>
                <w:spacing w:val="-2"/>
                <w:sz w:val="13"/>
              </w:rPr>
              <w:t>36.280</w:t>
            </w:r>
          </w:p>
        </w:tc>
        <w:tc>
          <w:tcPr>
            <w:tcW w:w="742" w:type="dxa"/>
          </w:tcPr>
          <w:p w14:paraId="0A1FFC49" w14:textId="77777777" w:rsidR="00ED08FF" w:rsidRDefault="00000000">
            <w:pPr>
              <w:pStyle w:val="TableParagraph"/>
              <w:ind w:right="37"/>
              <w:rPr>
                <w:sz w:val="13"/>
              </w:rPr>
            </w:pPr>
            <w:r>
              <w:rPr>
                <w:spacing w:val="-2"/>
                <w:sz w:val="13"/>
              </w:rPr>
              <w:t>24.250</w:t>
            </w:r>
          </w:p>
        </w:tc>
        <w:tc>
          <w:tcPr>
            <w:tcW w:w="663" w:type="dxa"/>
          </w:tcPr>
          <w:p w14:paraId="081E3B63" w14:textId="77777777" w:rsidR="00ED08FF" w:rsidRDefault="00000000">
            <w:pPr>
              <w:pStyle w:val="TableParagraph"/>
              <w:ind w:left="38"/>
              <w:rPr>
                <w:sz w:val="13"/>
              </w:rPr>
            </w:pPr>
            <w:r>
              <w:rPr>
                <w:spacing w:val="-2"/>
                <w:sz w:val="13"/>
              </w:rPr>
              <w:t>0.630</w:t>
            </w:r>
          </w:p>
        </w:tc>
        <w:tc>
          <w:tcPr>
            <w:tcW w:w="741" w:type="dxa"/>
          </w:tcPr>
          <w:p w14:paraId="0AD907A8" w14:textId="77777777" w:rsidR="00ED08FF" w:rsidRDefault="00000000">
            <w:pPr>
              <w:pStyle w:val="TableParagraph"/>
              <w:ind w:right="37"/>
              <w:rPr>
                <w:sz w:val="13"/>
              </w:rPr>
            </w:pPr>
            <w:r>
              <w:rPr>
                <w:spacing w:val="-2"/>
                <w:sz w:val="13"/>
              </w:rPr>
              <w:t>16.764</w:t>
            </w:r>
          </w:p>
        </w:tc>
        <w:tc>
          <w:tcPr>
            <w:tcW w:w="596" w:type="dxa"/>
          </w:tcPr>
          <w:p w14:paraId="43075E78" w14:textId="77777777" w:rsidR="00ED08FF" w:rsidRDefault="00000000">
            <w:pPr>
              <w:pStyle w:val="TableParagraph"/>
              <w:ind w:left="105"/>
              <w:rPr>
                <w:sz w:val="13"/>
              </w:rPr>
            </w:pPr>
            <w:r>
              <w:rPr>
                <w:spacing w:val="-2"/>
                <w:sz w:val="13"/>
              </w:rPr>
              <w:t>0.610</w:t>
            </w:r>
          </w:p>
        </w:tc>
      </w:tr>
      <w:tr w:rsidR="00ED08FF" w14:paraId="2344086F" w14:textId="77777777">
        <w:trPr>
          <w:trHeight w:val="146"/>
        </w:trPr>
        <w:tc>
          <w:tcPr>
            <w:tcW w:w="557" w:type="dxa"/>
          </w:tcPr>
          <w:p w14:paraId="3D28F6F8" w14:textId="77777777" w:rsidR="00ED08FF" w:rsidRDefault="00000000">
            <w:pPr>
              <w:pStyle w:val="TableParagraph"/>
              <w:ind w:right="144"/>
              <w:rPr>
                <w:sz w:val="13"/>
              </w:rPr>
            </w:pPr>
            <w:r>
              <w:rPr>
                <w:spacing w:val="-4"/>
                <w:sz w:val="13"/>
              </w:rPr>
              <w:t>UNVR</w:t>
            </w:r>
          </w:p>
        </w:tc>
        <w:tc>
          <w:tcPr>
            <w:tcW w:w="702" w:type="dxa"/>
          </w:tcPr>
          <w:p w14:paraId="679761DB" w14:textId="77777777" w:rsidR="00ED08FF" w:rsidRDefault="00000000">
            <w:pPr>
              <w:pStyle w:val="TableParagraph"/>
              <w:ind w:left="78" w:right="78"/>
              <w:rPr>
                <w:sz w:val="13"/>
              </w:rPr>
            </w:pPr>
            <w:r>
              <w:rPr>
                <w:spacing w:val="-4"/>
                <w:sz w:val="13"/>
              </w:rPr>
              <w:t>2022</w:t>
            </w:r>
          </w:p>
        </w:tc>
        <w:tc>
          <w:tcPr>
            <w:tcW w:w="780" w:type="dxa"/>
          </w:tcPr>
          <w:p w14:paraId="3591FFA0" w14:textId="77777777" w:rsidR="00ED08FF" w:rsidRDefault="00000000">
            <w:pPr>
              <w:pStyle w:val="TableParagraph"/>
              <w:ind w:left="156" w:right="78"/>
              <w:rPr>
                <w:sz w:val="13"/>
              </w:rPr>
            </w:pPr>
            <w:r>
              <w:rPr>
                <w:spacing w:val="-2"/>
                <w:sz w:val="13"/>
              </w:rPr>
              <w:t>44.860</w:t>
            </w:r>
          </w:p>
        </w:tc>
        <w:tc>
          <w:tcPr>
            <w:tcW w:w="742" w:type="dxa"/>
          </w:tcPr>
          <w:p w14:paraId="3D087AA3" w14:textId="77777777" w:rsidR="00ED08FF" w:rsidRDefault="00000000">
            <w:pPr>
              <w:pStyle w:val="TableParagraph"/>
              <w:ind w:right="37"/>
              <w:rPr>
                <w:sz w:val="13"/>
              </w:rPr>
            </w:pPr>
            <w:r>
              <w:rPr>
                <w:spacing w:val="-2"/>
                <w:sz w:val="13"/>
              </w:rPr>
              <w:t>23.670</w:t>
            </w:r>
          </w:p>
        </w:tc>
        <w:tc>
          <w:tcPr>
            <w:tcW w:w="663" w:type="dxa"/>
          </w:tcPr>
          <w:p w14:paraId="09558D12" w14:textId="77777777" w:rsidR="00ED08FF" w:rsidRDefault="00000000">
            <w:pPr>
              <w:pStyle w:val="TableParagraph"/>
              <w:ind w:left="38"/>
              <w:rPr>
                <w:sz w:val="13"/>
              </w:rPr>
            </w:pPr>
            <w:r>
              <w:rPr>
                <w:spacing w:val="-2"/>
                <w:sz w:val="13"/>
              </w:rPr>
              <w:t>0.320</w:t>
            </w:r>
          </w:p>
        </w:tc>
        <w:tc>
          <w:tcPr>
            <w:tcW w:w="741" w:type="dxa"/>
          </w:tcPr>
          <w:p w14:paraId="32119473" w14:textId="77777777" w:rsidR="00ED08FF" w:rsidRDefault="00000000">
            <w:pPr>
              <w:pStyle w:val="TableParagraph"/>
              <w:ind w:right="37"/>
              <w:rPr>
                <w:sz w:val="13"/>
              </w:rPr>
            </w:pPr>
            <w:r>
              <w:rPr>
                <w:spacing w:val="-2"/>
                <w:sz w:val="13"/>
              </w:rPr>
              <w:t>16.723</w:t>
            </w:r>
          </w:p>
        </w:tc>
        <w:tc>
          <w:tcPr>
            <w:tcW w:w="596" w:type="dxa"/>
          </w:tcPr>
          <w:p w14:paraId="6778E05C" w14:textId="77777777" w:rsidR="00ED08FF" w:rsidRDefault="00000000">
            <w:pPr>
              <w:pStyle w:val="TableParagraph"/>
              <w:ind w:left="105"/>
              <w:rPr>
                <w:sz w:val="13"/>
              </w:rPr>
            </w:pPr>
            <w:r>
              <w:rPr>
                <w:spacing w:val="-2"/>
                <w:sz w:val="13"/>
              </w:rPr>
              <w:t>0.610</w:t>
            </w:r>
          </w:p>
        </w:tc>
      </w:tr>
      <w:tr w:rsidR="00ED08FF" w14:paraId="4EE6499C" w14:textId="77777777">
        <w:trPr>
          <w:trHeight w:val="147"/>
        </w:trPr>
        <w:tc>
          <w:tcPr>
            <w:tcW w:w="557" w:type="dxa"/>
          </w:tcPr>
          <w:p w14:paraId="04044A18" w14:textId="77777777" w:rsidR="00ED08FF" w:rsidRDefault="00000000">
            <w:pPr>
              <w:pStyle w:val="TableParagraph"/>
              <w:ind w:right="144"/>
              <w:rPr>
                <w:sz w:val="13"/>
              </w:rPr>
            </w:pPr>
            <w:r>
              <w:rPr>
                <w:spacing w:val="-4"/>
                <w:sz w:val="13"/>
              </w:rPr>
              <w:t>UNVR</w:t>
            </w:r>
          </w:p>
        </w:tc>
        <w:tc>
          <w:tcPr>
            <w:tcW w:w="702" w:type="dxa"/>
          </w:tcPr>
          <w:p w14:paraId="339B1DF0" w14:textId="77777777" w:rsidR="00ED08FF" w:rsidRDefault="00000000">
            <w:pPr>
              <w:pStyle w:val="TableParagraph"/>
              <w:ind w:left="78" w:right="78"/>
              <w:rPr>
                <w:sz w:val="13"/>
              </w:rPr>
            </w:pPr>
            <w:r>
              <w:rPr>
                <w:spacing w:val="-4"/>
                <w:sz w:val="13"/>
              </w:rPr>
              <w:t>2023</w:t>
            </w:r>
          </w:p>
        </w:tc>
        <w:tc>
          <w:tcPr>
            <w:tcW w:w="780" w:type="dxa"/>
          </w:tcPr>
          <w:p w14:paraId="60D841E6" w14:textId="77777777" w:rsidR="00ED08FF" w:rsidRDefault="00000000">
            <w:pPr>
              <w:pStyle w:val="TableParagraph"/>
              <w:ind w:left="156" w:right="78"/>
              <w:rPr>
                <w:sz w:val="13"/>
              </w:rPr>
            </w:pPr>
            <w:r>
              <w:rPr>
                <w:spacing w:val="-2"/>
                <w:sz w:val="13"/>
              </w:rPr>
              <w:t>39.830</w:t>
            </w:r>
          </w:p>
        </w:tc>
        <w:tc>
          <w:tcPr>
            <w:tcW w:w="742" w:type="dxa"/>
          </w:tcPr>
          <w:p w14:paraId="6364F9DB" w14:textId="77777777" w:rsidR="00ED08FF" w:rsidRDefault="00000000">
            <w:pPr>
              <w:pStyle w:val="TableParagraph"/>
              <w:ind w:right="37"/>
              <w:rPr>
                <w:sz w:val="13"/>
              </w:rPr>
            </w:pPr>
            <w:r>
              <w:rPr>
                <w:spacing w:val="-2"/>
                <w:sz w:val="13"/>
              </w:rPr>
              <w:t>22.440</w:t>
            </w:r>
          </w:p>
        </w:tc>
        <w:tc>
          <w:tcPr>
            <w:tcW w:w="663" w:type="dxa"/>
          </w:tcPr>
          <w:p w14:paraId="33D23694" w14:textId="77777777" w:rsidR="00ED08FF" w:rsidRDefault="00000000">
            <w:pPr>
              <w:pStyle w:val="TableParagraph"/>
              <w:ind w:left="38"/>
              <w:rPr>
                <w:sz w:val="13"/>
              </w:rPr>
            </w:pPr>
            <w:r>
              <w:rPr>
                <w:spacing w:val="-2"/>
                <w:sz w:val="13"/>
              </w:rPr>
              <w:t>0.220</w:t>
            </w:r>
          </w:p>
        </w:tc>
        <w:tc>
          <w:tcPr>
            <w:tcW w:w="741" w:type="dxa"/>
          </w:tcPr>
          <w:p w14:paraId="22849473" w14:textId="77777777" w:rsidR="00ED08FF" w:rsidRDefault="00000000">
            <w:pPr>
              <w:pStyle w:val="TableParagraph"/>
              <w:ind w:right="37"/>
              <w:rPr>
                <w:sz w:val="13"/>
              </w:rPr>
            </w:pPr>
            <w:r>
              <w:rPr>
                <w:spacing w:val="-2"/>
                <w:sz w:val="13"/>
              </w:rPr>
              <w:t>16.629</w:t>
            </w:r>
          </w:p>
        </w:tc>
        <w:tc>
          <w:tcPr>
            <w:tcW w:w="596" w:type="dxa"/>
          </w:tcPr>
          <w:p w14:paraId="533FBA98" w14:textId="77777777" w:rsidR="00ED08FF" w:rsidRDefault="00000000">
            <w:pPr>
              <w:pStyle w:val="TableParagraph"/>
              <w:ind w:left="105"/>
              <w:rPr>
                <w:sz w:val="13"/>
              </w:rPr>
            </w:pPr>
            <w:r>
              <w:rPr>
                <w:spacing w:val="-2"/>
                <w:sz w:val="13"/>
              </w:rPr>
              <w:t>0.550</w:t>
            </w:r>
          </w:p>
        </w:tc>
      </w:tr>
    </w:tbl>
    <w:p w14:paraId="73A2D131" w14:textId="77777777" w:rsidR="00ED08FF" w:rsidRDefault="00ED08FF">
      <w:pPr>
        <w:pStyle w:val="TableParagraph"/>
        <w:rPr>
          <w:sz w:val="13"/>
        </w:rPr>
        <w:sectPr w:rsidR="00ED08FF">
          <w:pgSz w:w="12240" w:h="15840"/>
          <w:pgMar w:top="800" w:right="720" w:bottom="949" w:left="720" w:header="0" w:footer="669" w:gutter="0"/>
          <w:cols w:space="720"/>
        </w:sectPr>
      </w:pPr>
    </w:p>
    <w:tbl>
      <w:tblPr>
        <w:tblW w:w="0" w:type="auto"/>
        <w:tblInd w:w="3925" w:type="dxa"/>
        <w:tblLayout w:type="fixed"/>
        <w:tblCellMar>
          <w:left w:w="0" w:type="dxa"/>
          <w:right w:w="0" w:type="dxa"/>
        </w:tblCellMar>
        <w:tblLook w:val="01E0" w:firstRow="1" w:lastRow="1" w:firstColumn="1" w:lastColumn="1" w:noHBand="0" w:noVBand="0"/>
      </w:tblPr>
      <w:tblGrid>
        <w:gridCol w:w="557"/>
        <w:gridCol w:w="702"/>
        <w:gridCol w:w="1522"/>
        <w:gridCol w:w="1404"/>
        <w:gridCol w:w="596"/>
      </w:tblGrid>
      <w:tr w:rsidR="00ED08FF" w14:paraId="19C3FF3B" w14:textId="77777777">
        <w:trPr>
          <w:trHeight w:val="147"/>
        </w:trPr>
        <w:tc>
          <w:tcPr>
            <w:tcW w:w="557" w:type="dxa"/>
          </w:tcPr>
          <w:p w14:paraId="484037BE" w14:textId="77777777" w:rsidR="00ED08FF" w:rsidRDefault="00000000">
            <w:pPr>
              <w:pStyle w:val="TableParagraph"/>
              <w:ind w:right="144"/>
              <w:rPr>
                <w:sz w:val="13"/>
              </w:rPr>
            </w:pPr>
            <w:r>
              <w:rPr>
                <w:spacing w:val="-4"/>
                <w:sz w:val="13"/>
              </w:rPr>
              <w:lastRenderedPageBreak/>
              <w:t>UNVR</w:t>
            </w:r>
          </w:p>
        </w:tc>
        <w:tc>
          <w:tcPr>
            <w:tcW w:w="702" w:type="dxa"/>
          </w:tcPr>
          <w:p w14:paraId="62A74013" w14:textId="77777777" w:rsidR="00ED08FF" w:rsidRDefault="00000000">
            <w:pPr>
              <w:pStyle w:val="TableParagraph"/>
              <w:ind w:left="78" w:right="78"/>
              <w:rPr>
                <w:sz w:val="13"/>
              </w:rPr>
            </w:pPr>
            <w:r>
              <w:rPr>
                <w:spacing w:val="-4"/>
                <w:sz w:val="13"/>
              </w:rPr>
              <w:t>2024</w:t>
            </w:r>
          </w:p>
        </w:tc>
        <w:tc>
          <w:tcPr>
            <w:tcW w:w="1522" w:type="dxa"/>
          </w:tcPr>
          <w:p w14:paraId="455200C1" w14:textId="77777777" w:rsidR="00ED08FF" w:rsidRDefault="00000000">
            <w:pPr>
              <w:pStyle w:val="TableParagraph"/>
              <w:tabs>
                <w:tab w:val="left" w:pos="896"/>
              </w:tabs>
              <w:ind w:left="195"/>
              <w:jc w:val="left"/>
              <w:rPr>
                <w:sz w:val="13"/>
              </w:rPr>
            </w:pPr>
            <w:r>
              <w:rPr>
                <w:spacing w:val="-2"/>
                <w:sz w:val="13"/>
              </w:rPr>
              <w:t>33.460</w:t>
            </w:r>
            <w:r>
              <w:rPr>
                <w:sz w:val="13"/>
              </w:rPr>
              <w:tab/>
            </w:r>
            <w:r>
              <w:rPr>
                <w:spacing w:val="-2"/>
                <w:sz w:val="13"/>
              </w:rPr>
              <w:t>14.570</w:t>
            </w:r>
          </w:p>
        </w:tc>
        <w:tc>
          <w:tcPr>
            <w:tcW w:w="1404" w:type="dxa"/>
          </w:tcPr>
          <w:p w14:paraId="75F3BC82" w14:textId="77777777" w:rsidR="00ED08FF" w:rsidRDefault="00000000">
            <w:pPr>
              <w:pStyle w:val="TableParagraph"/>
              <w:tabs>
                <w:tab w:val="left" w:pos="623"/>
              </w:tabs>
              <w:rPr>
                <w:sz w:val="13"/>
              </w:rPr>
            </w:pPr>
            <w:r>
              <w:rPr>
                <w:spacing w:val="-2"/>
                <w:sz w:val="13"/>
              </w:rPr>
              <w:t>0.920</w:t>
            </w:r>
            <w:r>
              <w:rPr>
                <w:sz w:val="13"/>
              </w:rPr>
              <w:tab/>
            </w:r>
            <w:r>
              <w:rPr>
                <w:spacing w:val="-2"/>
                <w:sz w:val="13"/>
              </w:rPr>
              <w:t>16.591</w:t>
            </w:r>
          </w:p>
        </w:tc>
        <w:tc>
          <w:tcPr>
            <w:tcW w:w="596" w:type="dxa"/>
          </w:tcPr>
          <w:p w14:paraId="2293C39C" w14:textId="77777777" w:rsidR="00ED08FF" w:rsidRDefault="00000000">
            <w:pPr>
              <w:pStyle w:val="TableParagraph"/>
              <w:ind w:left="105"/>
              <w:rPr>
                <w:sz w:val="13"/>
              </w:rPr>
            </w:pPr>
            <w:r>
              <w:rPr>
                <w:spacing w:val="-2"/>
                <w:sz w:val="13"/>
              </w:rPr>
              <w:t>0.450</w:t>
            </w:r>
          </w:p>
        </w:tc>
      </w:tr>
      <w:tr w:rsidR="00ED08FF" w14:paraId="2B7DE84C" w14:textId="77777777">
        <w:trPr>
          <w:trHeight w:val="147"/>
        </w:trPr>
        <w:tc>
          <w:tcPr>
            <w:tcW w:w="557" w:type="dxa"/>
          </w:tcPr>
          <w:p w14:paraId="0F233FD2" w14:textId="77777777" w:rsidR="00ED08FF" w:rsidRDefault="00000000">
            <w:pPr>
              <w:pStyle w:val="TableParagraph"/>
              <w:ind w:right="144"/>
              <w:rPr>
                <w:sz w:val="13"/>
              </w:rPr>
            </w:pPr>
            <w:r>
              <w:rPr>
                <w:spacing w:val="-4"/>
                <w:sz w:val="13"/>
              </w:rPr>
              <w:t>UNVR</w:t>
            </w:r>
          </w:p>
        </w:tc>
        <w:tc>
          <w:tcPr>
            <w:tcW w:w="702" w:type="dxa"/>
          </w:tcPr>
          <w:p w14:paraId="56541668" w14:textId="77777777" w:rsidR="00ED08FF" w:rsidRDefault="00000000">
            <w:pPr>
              <w:pStyle w:val="TableParagraph"/>
              <w:ind w:left="78" w:right="78"/>
              <w:rPr>
                <w:sz w:val="13"/>
              </w:rPr>
            </w:pPr>
            <w:r>
              <w:rPr>
                <w:spacing w:val="-4"/>
                <w:sz w:val="13"/>
              </w:rPr>
              <w:t>2025</w:t>
            </w:r>
          </w:p>
        </w:tc>
        <w:tc>
          <w:tcPr>
            <w:tcW w:w="1522" w:type="dxa"/>
          </w:tcPr>
          <w:p w14:paraId="72EC79AE" w14:textId="77777777" w:rsidR="00ED08FF" w:rsidRDefault="00000000">
            <w:pPr>
              <w:pStyle w:val="TableParagraph"/>
              <w:tabs>
                <w:tab w:val="left" w:pos="896"/>
              </w:tabs>
              <w:ind w:left="195"/>
              <w:jc w:val="left"/>
              <w:rPr>
                <w:sz w:val="13"/>
              </w:rPr>
            </w:pPr>
            <w:r>
              <w:rPr>
                <w:spacing w:val="-2"/>
                <w:sz w:val="13"/>
              </w:rPr>
              <w:t>22.070</w:t>
            </w:r>
            <w:r>
              <w:rPr>
                <w:sz w:val="13"/>
              </w:rPr>
              <w:tab/>
            </w:r>
            <w:r>
              <w:rPr>
                <w:spacing w:val="-2"/>
                <w:sz w:val="13"/>
              </w:rPr>
              <w:t>15.920</w:t>
            </w:r>
          </w:p>
        </w:tc>
        <w:tc>
          <w:tcPr>
            <w:tcW w:w="1404" w:type="dxa"/>
          </w:tcPr>
          <w:p w14:paraId="7505099C" w14:textId="77777777" w:rsidR="00ED08FF" w:rsidRDefault="00000000">
            <w:pPr>
              <w:pStyle w:val="TableParagraph"/>
              <w:tabs>
                <w:tab w:val="left" w:pos="779"/>
              </w:tabs>
              <w:ind w:left="155"/>
              <w:jc w:val="left"/>
              <w:rPr>
                <w:sz w:val="13"/>
              </w:rPr>
            </w:pPr>
            <w:r>
              <w:rPr>
                <w:spacing w:val="-2"/>
                <w:sz w:val="13"/>
              </w:rPr>
              <w:t>0.140</w:t>
            </w:r>
            <w:r>
              <w:rPr>
                <w:sz w:val="13"/>
              </w:rPr>
              <w:tab/>
            </w:r>
            <w:r>
              <w:rPr>
                <w:spacing w:val="-2"/>
                <w:sz w:val="13"/>
              </w:rPr>
              <w:t>16.812</w:t>
            </w:r>
          </w:p>
        </w:tc>
        <w:tc>
          <w:tcPr>
            <w:tcW w:w="596" w:type="dxa"/>
          </w:tcPr>
          <w:p w14:paraId="5D4E9A2F" w14:textId="77777777" w:rsidR="00ED08FF" w:rsidRDefault="00000000">
            <w:pPr>
              <w:pStyle w:val="TableParagraph"/>
              <w:ind w:left="105"/>
              <w:rPr>
                <w:sz w:val="13"/>
              </w:rPr>
            </w:pPr>
            <w:r>
              <w:rPr>
                <w:spacing w:val="-2"/>
                <w:sz w:val="13"/>
              </w:rPr>
              <w:t>0.740</w:t>
            </w:r>
          </w:p>
        </w:tc>
      </w:tr>
    </w:tbl>
    <w:p w14:paraId="184582AE" w14:textId="77777777" w:rsidR="00ED08FF" w:rsidRDefault="00000000">
      <w:pPr>
        <w:pStyle w:val="BodyText"/>
        <w:spacing w:before="24"/>
      </w:pPr>
      <w:r>
        <w:t>Note:</w:t>
      </w:r>
      <w:r>
        <w:rPr>
          <w:spacing w:val="-5"/>
        </w:rPr>
        <w:t xml:space="preserve"> </w:t>
      </w:r>
      <w:r>
        <w:t>The</w:t>
      </w:r>
      <w:r>
        <w:rPr>
          <w:spacing w:val="-3"/>
        </w:rPr>
        <w:t xml:space="preserve"> </w:t>
      </w:r>
      <w:r>
        <w:t>table</w:t>
      </w:r>
      <w:r>
        <w:rPr>
          <w:spacing w:val="-3"/>
        </w:rPr>
        <w:t xml:space="preserve"> </w:t>
      </w:r>
      <w:r>
        <w:t>is</w:t>
      </w:r>
      <w:r>
        <w:rPr>
          <w:spacing w:val="-3"/>
        </w:rPr>
        <w:t xml:space="preserve"> </w:t>
      </w:r>
      <w:r>
        <w:t>included</w:t>
      </w:r>
      <w:r>
        <w:rPr>
          <w:spacing w:val="-2"/>
        </w:rPr>
        <w:t xml:space="preserve"> </w:t>
      </w:r>
      <w:r>
        <w:t>to</w:t>
      </w:r>
      <w:r>
        <w:rPr>
          <w:spacing w:val="-2"/>
        </w:rPr>
        <w:t xml:space="preserve"> </w:t>
      </w:r>
      <w:r>
        <w:t>make</w:t>
      </w:r>
      <w:r>
        <w:rPr>
          <w:spacing w:val="-3"/>
        </w:rPr>
        <w:t xml:space="preserve"> </w:t>
      </w:r>
      <w:r>
        <w:t>the</w:t>
      </w:r>
      <w:r>
        <w:rPr>
          <w:spacing w:val="-3"/>
        </w:rPr>
        <w:t xml:space="preserve"> </w:t>
      </w:r>
      <w:r>
        <w:t>calculation</w:t>
      </w:r>
      <w:r>
        <w:rPr>
          <w:spacing w:val="-2"/>
        </w:rPr>
        <w:t xml:space="preserve"> </w:t>
      </w:r>
      <w:r>
        <w:t>transparent.</w:t>
      </w:r>
      <w:r>
        <w:rPr>
          <w:spacing w:val="-3"/>
        </w:rPr>
        <w:t xml:space="preserve"> </w:t>
      </w:r>
      <w:r>
        <w:t>SIZE</w:t>
      </w:r>
      <w:r>
        <w:rPr>
          <w:spacing w:val="-2"/>
        </w:rPr>
        <w:t xml:space="preserve"> </w:t>
      </w:r>
      <w:r>
        <w:t>is</w:t>
      </w:r>
      <w:r>
        <w:rPr>
          <w:spacing w:val="-3"/>
        </w:rPr>
        <w:t xml:space="preserve"> </w:t>
      </w:r>
      <w:r>
        <w:t>the</w:t>
      </w:r>
      <w:r>
        <w:rPr>
          <w:spacing w:val="-3"/>
        </w:rPr>
        <w:t xml:space="preserve"> </w:t>
      </w:r>
      <w:r>
        <w:t>natural</w:t>
      </w:r>
      <w:r>
        <w:rPr>
          <w:spacing w:val="-3"/>
        </w:rPr>
        <w:t xml:space="preserve"> </w:t>
      </w:r>
      <w:r>
        <w:t>logarithm</w:t>
      </w:r>
      <w:r>
        <w:rPr>
          <w:spacing w:val="-3"/>
        </w:rPr>
        <w:t xml:space="preserve"> </w:t>
      </w:r>
      <w:r>
        <w:t>of</w:t>
      </w:r>
      <w:r>
        <w:rPr>
          <w:spacing w:val="-2"/>
        </w:rPr>
        <w:t xml:space="preserve"> </w:t>
      </w:r>
      <w:r>
        <w:t>total</w:t>
      </w:r>
      <w:r>
        <w:rPr>
          <w:spacing w:val="-3"/>
        </w:rPr>
        <w:t xml:space="preserve"> </w:t>
      </w:r>
      <w:r>
        <w:t>assets.</w:t>
      </w:r>
      <w:r>
        <w:rPr>
          <w:spacing w:val="-2"/>
        </w:rPr>
        <w:t xml:space="preserve"> </w:t>
      </w:r>
      <w:r>
        <w:t>ROA</w:t>
      </w:r>
      <w:r>
        <w:rPr>
          <w:spacing w:val="-3"/>
        </w:rPr>
        <w:t xml:space="preserve"> </w:t>
      </w:r>
      <w:r>
        <w:t>is</w:t>
      </w:r>
      <w:r>
        <w:rPr>
          <w:spacing w:val="-3"/>
        </w:rPr>
        <w:t xml:space="preserve"> </w:t>
      </w:r>
      <w:r>
        <w:t>expressed</w:t>
      </w:r>
      <w:r>
        <w:rPr>
          <w:spacing w:val="-2"/>
        </w:rPr>
        <w:t xml:space="preserve"> </w:t>
      </w:r>
      <w:r>
        <w:t>in</w:t>
      </w:r>
      <w:r>
        <w:rPr>
          <w:spacing w:val="-2"/>
        </w:rPr>
        <w:t xml:space="preserve"> percent.</w:t>
      </w:r>
    </w:p>
    <w:p w14:paraId="3DB3033C" w14:textId="77777777" w:rsidR="00ED08FF" w:rsidRDefault="00ED08FF">
      <w:pPr>
        <w:pStyle w:val="BodyText"/>
        <w:spacing w:before="99"/>
        <w:ind w:left="0"/>
      </w:pPr>
    </w:p>
    <w:p w14:paraId="178FED37" w14:textId="77777777" w:rsidR="00ED08FF" w:rsidRDefault="00000000">
      <w:pPr>
        <w:pStyle w:val="Heading2"/>
        <w:numPr>
          <w:ilvl w:val="1"/>
          <w:numId w:val="1"/>
        </w:numPr>
        <w:tabs>
          <w:tab w:val="left" w:pos="415"/>
        </w:tabs>
        <w:spacing w:before="1"/>
        <w:ind w:left="415"/>
      </w:pPr>
      <w:r>
        <w:rPr>
          <w:spacing w:val="-2"/>
        </w:rPr>
        <w:t>Sector-Specific</w:t>
      </w:r>
      <w:r>
        <w:rPr>
          <w:spacing w:val="15"/>
        </w:rPr>
        <w:t xml:space="preserve"> </w:t>
      </w:r>
      <w:r>
        <w:rPr>
          <w:spacing w:val="-2"/>
        </w:rPr>
        <w:t>Interpretation</w:t>
      </w:r>
    </w:p>
    <w:p w14:paraId="078C1759" w14:textId="77777777" w:rsidR="00ED08FF" w:rsidRDefault="00000000">
      <w:pPr>
        <w:pStyle w:val="BodyText"/>
        <w:spacing w:before="50" w:line="297" w:lineRule="auto"/>
        <w:ind w:right="2248"/>
      </w:pPr>
      <w:r>
        <w:t>Consumer non-cyclicals companies are often described as defensive because the products are consumed regularly. That</w:t>
      </w:r>
      <w:r>
        <w:rPr>
          <w:spacing w:val="-3"/>
        </w:rPr>
        <w:t xml:space="preserve"> </w:t>
      </w:r>
      <w:r>
        <w:t>description</w:t>
      </w:r>
      <w:r>
        <w:rPr>
          <w:spacing w:val="-2"/>
        </w:rPr>
        <w:t xml:space="preserve"> </w:t>
      </w:r>
      <w:r>
        <w:t>is</w:t>
      </w:r>
      <w:r>
        <w:rPr>
          <w:spacing w:val="-3"/>
        </w:rPr>
        <w:t xml:space="preserve"> </w:t>
      </w:r>
      <w:r>
        <w:t>useful,</w:t>
      </w:r>
      <w:r>
        <w:rPr>
          <w:spacing w:val="-2"/>
        </w:rPr>
        <w:t xml:space="preserve"> </w:t>
      </w:r>
      <w:r>
        <w:t>but</w:t>
      </w:r>
      <w:r>
        <w:rPr>
          <w:spacing w:val="-3"/>
        </w:rPr>
        <w:t xml:space="preserve"> </w:t>
      </w:r>
      <w:r>
        <w:t>it</w:t>
      </w:r>
      <w:r>
        <w:rPr>
          <w:spacing w:val="-3"/>
        </w:rPr>
        <w:t xml:space="preserve"> </w:t>
      </w:r>
      <w:r>
        <w:t>can</w:t>
      </w:r>
      <w:r>
        <w:rPr>
          <w:spacing w:val="-2"/>
        </w:rPr>
        <w:t xml:space="preserve"> </w:t>
      </w:r>
      <w:r>
        <w:t>become</w:t>
      </w:r>
      <w:r>
        <w:rPr>
          <w:spacing w:val="-3"/>
        </w:rPr>
        <w:t xml:space="preserve"> </w:t>
      </w:r>
      <w:r>
        <w:t>misleading</w:t>
      </w:r>
      <w:r>
        <w:rPr>
          <w:spacing w:val="-2"/>
        </w:rPr>
        <w:t xml:space="preserve"> </w:t>
      </w:r>
      <w:r>
        <w:t>if</w:t>
      </w:r>
      <w:r>
        <w:rPr>
          <w:spacing w:val="-2"/>
        </w:rPr>
        <w:t xml:space="preserve"> </w:t>
      </w:r>
      <w:r>
        <w:t>it</w:t>
      </w:r>
      <w:r>
        <w:rPr>
          <w:spacing w:val="-3"/>
        </w:rPr>
        <w:t xml:space="preserve"> </w:t>
      </w:r>
      <w:r>
        <w:t>makes</w:t>
      </w:r>
      <w:r>
        <w:rPr>
          <w:spacing w:val="-3"/>
        </w:rPr>
        <w:t xml:space="preserve"> </w:t>
      </w:r>
      <w:r>
        <w:t>researchers</w:t>
      </w:r>
      <w:r>
        <w:rPr>
          <w:spacing w:val="-3"/>
        </w:rPr>
        <w:t xml:space="preserve"> </w:t>
      </w:r>
      <w:r>
        <w:t>assume</w:t>
      </w:r>
      <w:r>
        <w:rPr>
          <w:spacing w:val="-3"/>
        </w:rPr>
        <w:t xml:space="preserve"> </w:t>
      </w:r>
      <w:r>
        <w:t>that</w:t>
      </w:r>
      <w:r>
        <w:rPr>
          <w:spacing w:val="-3"/>
        </w:rPr>
        <w:t xml:space="preserve"> </w:t>
      </w:r>
      <w:r>
        <w:t>all</w:t>
      </w:r>
      <w:r>
        <w:rPr>
          <w:spacing w:val="-3"/>
        </w:rPr>
        <w:t xml:space="preserve"> </w:t>
      </w:r>
      <w:r>
        <w:t>firms</w:t>
      </w:r>
      <w:r>
        <w:rPr>
          <w:spacing w:val="-3"/>
        </w:rPr>
        <w:t xml:space="preserve"> </w:t>
      </w:r>
      <w:r>
        <w:t>in</w:t>
      </w:r>
      <w:r>
        <w:rPr>
          <w:spacing w:val="-2"/>
        </w:rPr>
        <w:t xml:space="preserve"> </w:t>
      </w:r>
      <w:r>
        <w:t>the</w:t>
      </w:r>
      <w:r>
        <w:rPr>
          <w:spacing w:val="-3"/>
        </w:rPr>
        <w:t xml:space="preserve"> </w:t>
      </w:r>
      <w:r>
        <w:t>sector</w:t>
      </w:r>
      <w:r>
        <w:rPr>
          <w:spacing w:val="-2"/>
        </w:rPr>
        <w:t xml:space="preserve"> </w:t>
      </w:r>
      <w:r>
        <w:t>are stable</w:t>
      </w:r>
      <w:r>
        <w:rPr>
          <w:spacing w:val="-3"/>
        </w:rPr>
        <w:t xml:space="preserve"> </w:t>
      </w:r>
      <w:r>
        <w:t>in</w:t>
      </w:r>
      <w:r>
        <w:rPr>
          <w:spacing w:val="-1"/>
        </w:rPr>
        <w:t xml:space="preserve"> </w:t>
      </w:r>
      <w:r>
        <w:t>the</w:t>
      </w:r>
      <w:r>
        <w:rPr>
          <w:spacing w:val="-2"/>
        </w:rPr>
        <w:t xml:space="preserve"> </w:t>
      </w:r>
      <w:r>
        <w:t>same</w:t>
      </w:r>
      <w:r>
        <w:rPr>
          <w:spacing w:val="-2"/>
        </w:rPr>
        <w:t xml:space="preserve"> </w:t>
      </w:r>
      <w:r>
        <w:t>way.</w:t>
      </w:r>
      <w:r>
        <w:rPr>
          <w:spacing w:val="-2"/>
        </w:rPr>
        <w:t xml:space="preserve"> </w:t>
      </w:r>
      <w:r>
        <w:t>A</w:t>
      </w:r>
      <w:r>
        <w:rPr>
          <w:spacing w:val="-2"/>
        </w:rPr>
        <w:t xml:space="preserve"> </w:t>
      </w:r>
      <w:r>
        <w:t>food</w:t>
      </w:r>
      <w:r>
        <w:rPr>
          <w:spacing w:val="-1"/>
        </w:rPr>
        <w:t xml:space="preserve"> </w:t>
      </w:r>
      <w:r>
        <w:t>producer,</w:t>
      </w:r>
      <w:r>
        <w:rPr>
          <w:spacing w:val="-1"/>
        </w:rPr>
        <w:t xml:space="preserve"> </w:t>
      </w:r>
      <w:r>
        <w:t>a</w:t>
      </w:r>
      <w:r>
        <w:rPr>
          <w:spacing w:val="-2"/>
        </w:rPr>
        <w:t xml:space="preserve"> </w:t>
      </w:r>
      <w:r>
        <w:t>dairy</w:t>
      </w:r>
      <w:r>
        <w:rPr>
          <w:spacing w:val="-2"/>
        </w:rPr>
        <w:t xml:space="preserve"> </w:t>
      </w:r>
      <w:r>
        <w:t>company,</w:t>
      </w:r>
      <w:r>
        <w:rPr>
          <w:spacing w:val="-1"/>
        </w:rPr>
        <w:t xml:space="preserve"> </w:t>
      </w:r>
      <w:r>
        <w:t>a</w:t>
      </w:r>
      <w:r>
        <w:rPr>
          <w:spacing w:val="-2"/>
        </w:rPr>
        <w:t xml:space="preserve"> </w:t>
      </w:r>
      <w:r>
        <w:t>bread</w:t>
      </w:r>
      <w:r>
        <w:rPr>
          <w:spacing w:val="-1"/>
        </w:rPr>
        <w:t xml:space="preserve"> </w:t>
      </w:r>
      <w:r>
        <w:t>manufacturer,</w:t>
      </w:r>
      <w:r>
        <w:rPr>
          <w:spacing w:val="-1"/>
        </w:rPr>
        <w:t xml:space="preserve"> </w:t>
      </w:r>
      <w:r>
        <w:t>a</w:t>
      </w:r>
      <w:r>
        <w:rPr>
          <w:spacing w:val="-3"/>
        </w:rPr>
        <w:t xml:space="preserve"> </w:t>
      </w:r>
      <w:r>
        <w:t>staples</w:t>
      </w:r>
      <w:r>
        <w:rPr>
          <w:spacing w:val="-2"/>
        </w:rPr>
        <w:t xml:space="preserve"> </w:t>
      </w:r>
      <w:r>
        <w:t>retailer,</w:t>
      </w:r>
      <w:r>
        <w:rPr>
          <w:spacing w:val="-1"/>
        </w:rPr>
        <w:t xml:space="preserve"> </w:t>
      </w:r>
      <w:r>
        <w:t>and</w:t>
      </w:r>
      <w:r>
        <w:rPr>
          <w:spacing w:val="-1"/>
        </w:rPr>
        <w:t xml:space="preserve"> </w:t>
      </w:r>
      <w:r>
        <w:t>a</w:t>
      </w:r>
      <w:r>
        <w:rPr>
          <w:spacing w:val="-2"/>
        </w:rPr>
        <w:t xml:space="preserve"> household-</w:t>
      </w:r>
    </w:p>
    <w:p w14:paraId="246865EF" w14:textId="77777777" w:rsidR="00ED08FF" w:rsidRDefault="00000000">
      <w:pPr>
        <w:pStyle w:val="BodyText"/>
        <w:spacing w:line="297" w:lineRule="auto"/>
        <w:ind w:right="1903"/>
      </w:pPr>
      <w:r>
        <w:t>products</w:t>
      </w:r>
      <w:r>
        <w:rPr>
          <w:spacing w:val="-4"/>
        </w:rPr>
        <w:t xml:space="preserve"> </w:t>
      </w:r>
      <w:r>
        <w:t>issuer</w:t>
      </w:r>
      <w:r>
        <w:rPr>
          <w:spacing w:val="-3"/>
        </w:rPr>
        <w:t xml:space="preserve"> </w:t>
      </w:r>
      <w:r>
        <w:t>have</w:t>
      </w:r>
      <w:r>
        <w:rPr>
          <w:spacing w:val="-4"/>
        </w:rPr>
        <w:t xml:space="preserve"> </w:t>
      </w:r>
      <w:r>
        <w:t>different</w:t>
      </w:r>
      <w:r>
        <w:rPr>
          <w:spacing w:val="-4"/>
        </w:rPr>
        <w:t xml:space="preserve"> </w:t>
      </w:r>
      <w:r>
        <w:t>margin</w:t>
      </w:r>
      <w:r>
        <w:rPr>
          <w:spacing w:val="-3"/>
        </w:rPr>
        <w:t xml:space="preserve"> </w:t>
      </w:r>
      <w:r>
        <w:t>structures.</w:t>
      </w:r>
      <w:r>
        <w:rPr>
          <w:spacing w:val="-3"/>
        </w:rPr>
        <w:t xml:space="preserve"> </w:t>
      </w:r>
      <w:r>
        <w:t>Their</w:t>
      </w:r>
      <w:r>
        <w:rPr>
          <w:spacing w:val="-3"/>
        </w:rPr>
        <w:t xml:space="preserve"> </w:t>
      </w:r>
      <w:r>
        <w:t>inventory</w:t>
      </w:r>
      <w:r>
        <w:rPr>
          <w:spacing w:val="-3"/>
        </w:rPr>
        <w:t xml:space="preserve"> </w:t>
      </w:r>
      <w:r>
        <w:t>cycles,</w:t>
      </w:r>
      <w:r>
        <w:rPr>
          <w:spacing w:val="-3"/>
        </w:rPr>
        <w:t xml:space="preserve"> </w:t>
      </w:r>
      <w:r>
        <w:t>supplier</w:t>
      </w:r>
      <w:r>
        <w:rPr>
          <w:spacing w:val="-3"/>
        </w:rPr>
        <w:t xml:space="preserve"> </w:t>
      </w:r>
      <w:r>
        <w:t>relationships,</w:t>
      </w:r>
      <w:r>
        <w:rPr>
          <w:spacing w:val="-3"/>
        </w:rPr>
        <w:t xml:space="preserve"> </w:t>
      </w:r>
      <w:r>
        <w:t>store</w:t>
      </w:r>
      <w:r>
        <w:rPr>
          <w:spacing w:val="-4"/>
        </w:rPr>
        <w:t xml:space="preserve"> </w:t>
      </w:r>
      <w:r>
        <w:t>networks,</w:t>
      </w:r>
      <w:r>
        <w:rPr>
          <w:spacing w:val="-3"/>
        </w:rPr>
        <w:t xml:space="preserve"> </w:t>
      </w:r>
      <w:r>
        <w:t>and</w:t>
      </w:r>
      <w:r>
        <w:rPr>
          <w:spacing w:val="-3"/>
        </w:rPr>
        <w:t xml:space="preserve"> </w:t>
      </w:r>
      <w:r>
        <w:t>brand strategies also differ. These differences help explain why PBV varies substantially within one sector.</w:t>
      </w:r>
    </w:p>
    <w:p w14:paraId="541B48EE" w14:textId="77777777" w:rsidR="00ED08FF" w:rsidRDefault="00000000">
      <w:pPr>
        <w:pStyle w:val="BodyText"/>
        <w:spacing w:before="0" w:line="297" w:lineRule="auto"/>
        <w:ind w:right="1903"/>
      </w:pPr>
      <w:r>
        <w:t>For food manufacturers, profitability can depend on raw material costs, production efficiency, product mix, and distribution reach. When commodity prices rise or currency depreciation affects imported inputs, margins may be pressured.</w:t>
      </w:r>
      <w:r>
        <w:rPr>
          <w:spacing w:val="-3"/>
        </w:rPr>
        <w:t xml:space="preserve"> </w:t>
      </w:r>
      <w:r>
        <w:t>Companies</w:t>
      </w:r>
      <w:r>
        <w:rPr>
          <w:spacing w:val="-4"/>
        </w:rPr>
        <w:t xml:space="preserve"> </w:t>
      </w:r>
      <w:r>
        <w:t>with</w:t>
      </w:r>
      <w:r>
        <w:rPr>
          <w:spacing w:val="-3"/>
        </w:rPr>
        <w:t xml:space="preserve"> </w:t>
      </w:r>
      <w:r>
        <w:t>stronger</w:t>
      </w:r>
      <w:r>
        <w:rPr>
          <w:spacing w:val="-3"/>
        </w:rPr>
        <w:t xml:space="preserve"> </w:t>
      </w:r>
      <w:r>
        <w:t>brands</w:t>
      </w:r>
      <w:r>
        <w:rPr>
          <w:spacing w:val="-4"/>
        </w:rPr>
        <w:t xml:space="preserve"> </w:t>
      </w:r>
      <w:r>
        <w:t>and</w:t>
      </w:r>
      <w:r>
        <w:rPr>
          <w:spacing w:val="-3"/>
        </w:rPr>
        <w:t xml:space="preserve"> </w:t>
      </w:r>
      <w:r>
        <w:t>pricing</w:t>
      </w:r>
      <w:r>
        <w:rPr>
          <w:spacing w:val="-3"/>
        </w:rPr>
        <w:t xml:space="preserve"> </w:t>
      </w:r>
      <w:r>
        <w:t>power</w:t>
      </w:r>
      <w:r>
        <w:rPr>
          <w:spacing w:val="-4"/>
        </w:rPr>
        <w:t xml:space="preserve"> </w:t>
      </w:r>
      <w:r>
        <w:t>can</w:t>
      </w:r>
      <w:r>
        <w:rPr>
          <w:spacing w:val="-3"/>
        </w:rPr>
        <w:t xml:space="preserve"> </w:t>
      </w:r>
      <w:r>
        <w:t>protect</w:t>
      </w:r>
      <w:r>
        <w:rPr>
          <w:spacing w:val="-4"/>
        </w:rPr>
        <w:t xml:space="preserve"> </w:t>
      </w:r>
      <w:r>
        <w:t>profitability</w:t>
      </w:r>
      <w:r>
        <w:rPr>
          <w:spacing w:val="-3"/>
        </w:rPr>
        <w:t xml:space="preserve"> </w:t>
      </w:r>
      <w:r>
        <w:t>better</w:t>
      </w:r>
      <w:r>
        <w:rPr>
          <w:spacing w:val="-3"/>
        </w:rPr>
        <w:t xml:space="preserve"> </w:t>
      </w:r>
      <w:r>
        <w:t>than</w:t>
      </w:r>
      <w:r>
        <w:rPr>
          <w:spacing w:val="-3"/>
        </w:rPr>
        <w:t xml:space="preserve"> </w:t>
      </w:r>
      <w:r>
        <w:t>companies</w:t>
      </w:r>
      <w:r>
        <w:rPr>
          <w:spacing w:val="-4"/>
        </w:rPr>
        <w:t xml:space="preserve"> </w:t>
      </w:r>
      <w:r>
        <w:t xml:space="preserve">competing mainly on volume. Investors can interpret higher ROA as evidence that the company is managing these pressures </w:t>
      </w:r>
      <w:r>
        <w:rPr>
          <w:spacing w:val="-2"/>
        </w:rPr>
        <w:t>effectively.</w:t>
      </w:r>
    </w:p>
    <w:p w14:paraId="35C9BAC3" w14:textId="77777777" w:rsidR="00ED08FF" w:rsidRDefault="00000000">
      <w:pPr>
        <w:pStyle w:val="BodyText"/>
        <w:spacing w:before="2" w:line="297" w:lineRule="auto"/>
        <w:ind w:right="1762"/>
      </w:pPr>
      <w:r>
        <w:t>For staples retailing, liquidity and working capital have a different meaning. Retailers often operate with rapid inventory turnover, cash sales, supplier credit, and large store networks. A current ratio close to one may not necessarily indicate weak</w:t>
      </w:r>
      <w:r>
        <w:rPr>
          <w:spacing w:val="-2"/>
        </w:rPr>
        <w:t xml:space="preserve"> </w:t>
      </w:r>
      <w:r>
        <w:t>liquidity</w:t>
      </w:r>
      <w:r>
        <w:rPr>
          <w:spacing w:val="-2"/>
        </w:rPr>
        <w:t xml:space="preserve"> </w:t>
      </w:r>
      <w:r>
        <w:t>if</w:t>
      </w:r>
      <w:r>
        <w:rPr>
          <w:spacing w:val="-2"/>
        </w:rPr>
        <w:t xml:space="preserve"> </w:t>
      </w:r>
      <w:r>
        <w:t>the</w:t>
      </w:r>
      <w:r>
        <w:rPr>
          <w:spacing w:val="-3"/>
        </w:rPr>
        <w:t xml:space="preserve"> </w:t>
      </w:r>
      <w:r>
        <w:t>operating</w:t>
      </w:r>
      <w:r>
        <w:rPr>
          <w:spacing w:val="-2"/>
        </w:rPr>
        <w:t xml:space="preserve"> </w:t>
      </w:r>
      <w:r>
        <w:t>cycle</w:t>
      </w:r>
      <w:r>
        <w:rPr>
          <w:spacing w:val="-3"/>
        </w:rPr>
        <w:t xml:space="preserve"> </w:t>
      </w:r>
      <w:r>
        <w:t>is</w:t>
      </w:r>
      <w:r>
        <w:rPr>
          <w:spacing w:val="-3"/>
        </w:rPr>
        <w:t xml:space="preserve"> </w:t>
      </w:r>
      <w:r>
        <w:t>fast</w:t>
      </w:r>
      <w:r>
        <w:rPr>
          <w:spacing w:val="-3"/>
        </w:rPr>
        <w:t xml:space="preserve"> </w:t>
      </w:r>
      <w:r>
        <w:t>and</w:t>
      </w:r>
      <w:r>
        <w:rPr>
          <w:spacing w:val="-2"/>
        </w:rPr>
        <w:t xml:space="preserve"> </w:t>
      </w:r>
      <w:r>
        <w:t>cash</w:t>
      </w:r>
      <w:r>
        <w:rPr>
          <w:spacing w:val="-2"/>
        </w:rPr>
        <w:t xml:space="preserve"> </w:t>
      </w:r>
      <w:r>
        <w:t>conversion</w:t>
      </w:r>
      <w:r>
        <w:rPr>
          <w:spacing w:val="-2"/>
        </w:rPr>
        <w:t xml:space="preserve"> </w:t>
      </w:r>
      <w:r>
        <w:t>is</w:t>
      </w:r>
      <w:r>
        <w:rPr>
          <w:spacing w:val="-3"/>
        </w:rPr>
        <w:t xml:space="preserve"> </w:t>
      </w:r>
      <w:r>
        <w:t>efficient.</w:t>
      </w:r>
      <w:r>
        <w:rPr>
          <w:spacing w:val="-2"/>
        </w:rPr>
        <w:t xml:space="preserve"> </w:t>
      </w:r>
      <w:r>
        <w:t>This</w:t>
      </w:r>
      <w:r>
        <w:rPr>
          <w:spacing w:val="-3"/>
        </w:rPr>
        <w:t xml:space="preserve"> </w:t>
      </w:r>
      <w:r>
        <w:t>is</w:t>
      </w:r>
      <w:r>
        <w:rPr>
          <w:spacing w:val="-3"/>
        </w:rPr>
        <w:t xml:space="preserve"> </w:t>
      </w:r>
      <w:r>
        <w:t>why</w:t>
      </w:r>
      <w:r>
        <w:rPr>
          <w:spacing w:val="-2"/>
        </w:rPr>
        <w:t xml:space="preserve"> </w:t>
      </w:r>
      <w:r>
        <w:t>current</w:t>
      </w:r>
      <w:r>
        <w:rPr>
          <w:spacing w:val="-3"/>
        </w:rPr>
        <w:t xml:space="preserve"> </w:t>
      </w:r>
      <w:r>
        <w:t>ratio</w:t>
      </w:r>
      <w:r>
        <w:rPr>
          <w:spacing w:val="-2"/>
        </w:rPr>
        <w:t xml:space="preserve"> </w:t>
      </w:r>
      <w:r>
        <w:t>cannot</w:t>
      </w:r>
      <w:r>
        <w:rPr>
          <w:spacing w:val="-3"/>
        </w:rPr>
        <w:t xml:space="preserve"> </w:t>
      </w:r>
      <w:r>
        <w:t>be</w:t>
      </w:r>
      <w:r>
        <w:rPr>
          <w:spacing w:val="-3"/>
        </w:rPr>
        <w:t xml:space="preserve"> </w:t>
      </w:r>
      <w:r>
        <w:t>interpreted without understanding the business model. A retailer does not need the same current ratio as a manufacturing company.</w:t>
      </w:r>
    </w:p>
    <w:p w14:paraId="170E9EB0" w14:textId="77777777" w:rsidR="00ED08FF" w:rsidRDefault="00000000">
      <w:pPr>
        <w:pStyle w:val="BodyText"/>
        <w:spacing w:line="297" w:lineRule="auto"/>
        <w:ind w:right="1903"/>
      </w:pPr>
      <w:r>
        <w:t>For household and personal care products, brand equity can support high valuation multiples. PBV may be high even when asset size is relatively modest because the market values intangible strengths such as brand loyalty, distribution relationships,</w:t>
      </w:r>
      <w:r>
        <w:rPr>
          <w:spacing w:val="-2"/>
        </w:rPr>
        <w:t xml:space="preserve"> </w:t>
      </w:r>
      <w:r>
        <w:t>and</w:t>
      </w:r>
      <w:r>
        <w:rPr>
          <w:spacing w:val="-2"/>
        </w:rPr>
        <w:t xml:space="preserve"> </w:t>
      </w:r>
      <w:r>
        <w:t>pricing</w:t>
      </w:r>
      <w:r>
        <w:rPr>
          <w:spacing w:val="-2"/>
        </w:rPr>
        <w:t xml:space="preserve"> </w:t>
      </w:r>
      <w:r>
        <w:t>power.</w:t>
      </w:r>
      <w:r>
        <w:rPr>
          <w:spacing w:val="-2"/>
        </w:rPr>
        <w:t xml:space="preserve"> </w:t>
      </w:r>
      <w:r>
        <w:t>These</w:t>
      </w:r>
      <w:r>
        <w:rPr>
          <w:spacing w:val="-3"/>
        </w:rPr>
        <w:t xml:space="preserve"> </w:t>
      </w:r>
      <w:r>
        <w:t>strengths</w:t>
      </w:r>
      <w:r>
        <w:rPr>
          <w:spacing w:val="-3"/>
        </w:rPr>
        <w:t xml:space="preserve"> </w:t>
      </w:r>
      <w:r>
        <w:t>are</w:t>
      </w:r>
      <w:r>
        <w:rPr>
          <w:spacing w:val="-3"/>
        </w:rPr>
        <w:t xml:space="preserve"> </w:t>
      </w:r>
      <w:r>
        <w:t>not</w:t>
      </w:r>
      <w:r>
        <w:rPr>
          <w:spacing w:val="-3"/>
        </w:rPr>
        <w:t xml:space="preserve"> </w:t>
      </w:r>
      <w:r>
        <w:t>fully</w:t>
      </w:r>
      <w:r>
        <w:rPr>
          <w:spacing w:val="-2"/>
        </w:rPr>
        <w:t xml:space="preserve"> </w:t>
      </w:r>
      <w:r>
        <w:t>captured</w:t>
      </w:r>
      <w:r>
        <w:rPr>
          <w:spacing w:val="-2"/>
        </w:rPr>
        <w:t xml:space="preserve"> </w:t>
      </w:r>
      <w:r>
        <w:t>by</w:t>
      </w:r>
      <w:r>
        <w:rPr>
          <w:spacing w:val="-2"/>
        </w:rPr>
        <w:t xml:space="preserve"> </w:t>
      </w:r>
      <w:r>
        <w:t>total</w:t>
      </w:r>
      <w:r>
        <w:rPr>
          <w:spacing w:val="-3"/>
        </w:rPr>
        <w:t xml:space="preserve"> </w:t>
      </w:r>
      <w:r>
        <w:t>assets</w:t>
      </w:r>
      <w:r>
        <w:rPr>
          <w:spacing w:val="-3"/>
        </w:rPr>
        <w:t xml:space="preserve"> </w:t>
      </w:r>
      <w:r>
        <w:t>under</w:t>
      </w:r>
      <w:r>
        <w:rPr>
          <w:spacing w:val="-2"/>
        </w:rPr>
        <w:t xml:space="preserve"> </w:t>
      </w:r>
      <w:r>
        <w:t>accounting</w:t>
      </w:r>
      <w:r>
        <w:rPr>
          <w:spacing w:val="-2"/>
        </w:rPr>
        <w:t xml:space="preserve"> </w:t>
      </w:r>
      <w:r>
        <w:t>rules.</w:t>
      </w:r>
      <w:r>
        <w:rPr>
          <w:spacing w:val="-2"/>
        </w:rPr>
        <w:t xml:space="preserve"> </w:t>
      </w:r>
      <w:r>
        <w:t>This</w:t>
      </w:r>
      <w:r>
        <w:rPr>
          <w:spacing w:val="-3"/>
        </w:rPr>
        <w:t xml:space="preserve"> </w:t>
      </w:r>
      <w:r>
        <w:t>is</w:t>
      </w:r>
      <w:r>
        <w:rPr>
          <w:spacing w:val="-3"/>
        </w:rPr>
        <w:t xml:space="preserve"> </w:t>
      </w:r>
      <w:r>
        <w:t>one reason why UNVR appears as a high-PBV company in the sample.</w:t>
      </w:r>
    </w:p>
    <w:p w14:paraId="26EA833B" w14:textId="77777777" w:rsidR="00ED08FF" w:rsidRDefault="00000000">
      <w:pPr>
        <w:pStyle w:val="BodyText"/>
        <w:spacing w:before="2" w:line="297" w:lineRule="auto"/>
        <w:ind w:right="1903"/>
      </w:pPr>
      <w:r>
        <w:t>For dairy, bakery, and packaged food issuers, profitability and growth expectations can move together. A company with high ROA and credible growth potential may attract valuation premium even if its asset base is smaller than large conglomerates.</w:t>
      </w:r>
      <w:r>
        <w:rPr>
          <w:spacing w:val="-3"/>
        </w:rPr>
        <w:t xml:space="preserve"> </w:t>
      </w:r>
      <w:r>
        <w:t>The</w:t>
      </w:r>
      <w:r>
        <w:rPr>
          <w:spacing w:val="-4"/>
        </w:rPr>
        <w:t xml:space="preserve"> </w:t>
      </w:r>
      <w:r>
        <w:t>market</w:t>
      </w:r>
      <w:r>
        <w:rPr>
          <w:spacing w:val="-4"/>
        </w:rPr>
        <w:t xml:space="preserve"> </w:t>
      </w:r>
      <w:r>
        <w:t>may</w:t>
      </w:r>
      <w:r>
        <w:rPr>
          <w:spacing w:val="-3"/>
        </w:rPr>
        <w:t xml:space="preserve"> </w:t>
      </w:r>
      <w:r>
        <w:t>prefer</w:t>
      </w:r>
      <w:r>
        <w:rPr>
          <w:spacing w:val="-3"/>
        </w:rPr>
        <w:t xml:space="preserve"> </w:t>
      </w:r>
      <w:r>
        <w:t>focused,</w:t>
      </w:r>
      <w:r>
        <w:rPr>
          <w:spacing w:val="-3"/>
        </w:rPr>
        <w:t xml:space="preserve"> </w:t>
      </w:r>
      <w:r>
        <w:t>efficient</w:t>
      </w:r>
      <w:r>
        <w:rPr>
          <w:spacing w:val="-4"/>
        </w:rPr>
        <w:t xml:space="preserve"> </w:t>
      </w:r>
      <w:r>
        <w:t>issuers</w:t>
      </w:r>
      <w:r>
        <w:rPr>
          <w:spacing w:val="-3"/>
        </w:rPr>
        <w:t xml:space="preserve"> </w:t>
      </w:r>
      <w:r>
        <w:t>over</w:t>
      </w:r>
      <w:r>
        <w:rPr>
          <w:spacing w:val="-3"/>
        </w:rPr>
        <w:t xml:space="preserve"> </w:t>
      </w:r>
      <w:r>
        <w:t>larger</w:t>
      </w:r>
      <w:r>
        <w:rPr>
          <w:spacing w:val="-3"/>
        </w:rPr>
        <w:t xml:space="preserve"> </w:t>
      </w:r>
      <w:r>
        <w:t>but</w:t>
      </w:r>
      <w:r>
        <w:rPr>
          <w:spacing w:val="-4"/>
        </w:rPr>
        <w:t xml:space="preserve"> </w:t>
      </w:r>
      <w:r>
        <w:t>slower-growing</w:t>
      </w:r>
      <w:r>
        <w:rPr>
          <w:spacing w:val="-3"/>
        </w:rPr>
        <w:t xml:space="preserve"> </w:t>
      </w:r>
      <w:r>
        <w:t>firms.</w:t>
      </w:r>
      <w:r>
        <w:rPr>
          <w:spacing w:val="-3"/>
        </w:rPr>
        <w:t xml:space="preserve"> </w:t>
      </w:r>
      <w:r>
        <w:t>This</w:t>
      </w:r>
      <w:r>
        <w:rPr>
          <w:spacing w:val="-4"/>
        </w:rPr>
        <w:t xml:space="preserve"> </w:t>
      </w:r>
      <w:r>
        <w:t>helps</w:t>
      </w:r>
      <w:r>
        <w:rPr>
          <w:spacing w:val="-4"/>
        </w:rPr>
        <w:t xml:space="preserve"> </w:t>
      </w:r>
      <w:r>
        <w:t>explain why firm size is not significant in the primary model.</w:t>
      </w:r>
    </w:p>
    <w:p w14:paraId="0DB9383E" w14:textId="77777777" w:rsidR="00ED08FF" w:rsidRDefault="00000000">
      <w:pPr>
        <w:pStyle w:val="BodyText"/>
        <w:spacing w:line="297" w:lineRule="auto"/>
        <w:ind w:right="2542"/>
      </w:pPr>
      <w:r>
        <w:t>The sector-specific interpretation strengthens the main result. Profitability matters because it translates different business</w:t>
      </w:r>
      <w:r>
        <w:rPr>
          <w:spacing w:val="-4"/>
        </w:rPr>
        <w:t xml:space="preserve"> </w:t>
      </w:r>
      <w:r>
        <w:t>models</w:t>
      </w:r>
      <w:r>
        <w:rPr>
          <w:spacing w:val="-3"/>
        </w:rPr>
        <w:t xml:space="preserve"> </w:t>
      </w:r>
      <w:r>
        <w:t>into</w:t>
      </w:r>
      <w:r>
        <w:rPr>
          <w:spacing w:val="-3"/>
        </w:rPr>
        <w:t xml:space="preserve"> </w:t>
      </w:r>
      <w:r>
        <w:t>a</w:t>
      </w:r>
      <w:r>
        <w:rPr>
          <w:spacing w:val="-4"/>
        </w:rPr>
        <w:t xml:space="preserve"> </w:t>
      </w:r>
      <w:r>
        <w:t>comparable</w:t>
      </w:r>
      <w:r>
        <w:rPr>
          <w:spacing w:val="-4"/>
        </w:rPr>
        <w:t xml:space="preserve"> </w:t>
      </w:r>
      <w:r>
        <w:t>measure</w:t>
      </w:r>
      <w:r>
        <w:rPr>
          <w:spacing w:val="-4"/>
        </w:rPr>
        <w:t xml:space="preserve"> </w:t>
      </w:r>
      <w:r>
        <w:t>of</w:t>
      </w:r>
      <w:r>
        <w:rPr>
          <w:spacing w:val="-3"/>
        </w:rPr>
        <w:t xml:space="preserve"> </w:t>
      </w:r>
      <w:r>
        <w:t>asset</w:t>
      </w:r>
      <w:r>
        <w:rPr>
          <w:spacing w:val="-4"/>
        </w:rPr>
        <w:t xml:space="preserve"> </w:t>
      </w:r>
      <w:r>
        <w:t>productivity.</w:t>
      </w:r>
      <w:r>
        <w:rPr>
          <w:spacing w:val="-3"/>
        </w:rPr>
        <w:t xml:space="preserve"> </w:t>
      </w:r>
      <w:r>
        <w:t>Leverage,</w:t>
      </w:r>
      <w:r>
        <w:rPr>
          <w:spacing w:val="-3"/>
        </w:rPr>
        <w:t xml:space="preserve"> </w:t>
      </w:r>
      <w:r>
        <w:t>size,</w:t>
      </w:r>
      <w:r>
        <w:rPr>
          <w:spacing w:val="-3"/>
        </w:rPr>
        <w:t xml:space="preserve"> </w:t>
      </w:r>
      <w:r>
        <w:t>and</w:t>
      </w:r>
      <w:r>
        <w:rPr>
          <w:spacing w:val="-3"/>
        </w:rPr>
        <w:t xml:space="preserve"> </w:t>
      </w:r>
      <w:r>
        <w:t>liquidity</w:t>
      </w:r>
      <w:r>
        <w:rPr>
          <w:spacing w:val="-3"/>
        </w:rPr>
        <w:t xml:space="preserve"> </w:t>
      </w:r>
      <w:r>
        <w:t>are</w:t>
      </w:r>
      <w:r>
        <w:rPr>
          <w:spacing w:val="-4"/>
        </w:rPr>
        <w:t xml:space="preserve"> </w:t>
      </w:r>
      <w:r>
        <w:t>more</w:t>
      </w:r>
      <w:r>
        <w:rPr>
          <w:spacing w:val="-4"/>
        </w:rPr>
        <w:t xml:space="preserve"> </w:t>
      </w:r>
      <w:r>
        <w:t>context-dependent. The market does not treat them as automatically good or bad. It evaluates whether those financial characteristics support value creation.</w:t>
      </w:r>
    </w:p>
    <w:p w14:paraId="15AF52C8" w14:textId="77777777" w:rsidR="00ED08FF" w:rsidRDefault="00ED08FF">
      <w:pPr>
        <w:pStyle w:val="BodyText"/>
        <w:spacing w:before="51"/>
        <w:ind w:left="0"/>
      </w:pPr>
    </w:p>
    <w:p w14:paraId="0207753D" w14:textId="77777777" w:rsidR="00ED08FF" w:rsidRDefault="00000000">
      <w:pPr>
        <w:pStyle w:val="Heading2"/>
        <w:numPr>
          <w:ilvl w:val="1"/>
          <w:numId w:val="1"/>
        </w:numPr>
        <w:tabs>
          <w:tab w:val="left" w:pos="505"/>
        </w:tabs>
        <w:spacing w:before="1"/>
        <w:ind w:left="505" w:hanging="360"/>
      </w:pPr>
      <w:r>
        <w:t>Managerial</w:t>
      </w:r>
      <w:r>
        <w:rPr>
          <w:spacing w:val="-11"/>
        </w:rPr>
        <w:t xml:space="preserve"> </w:t>
      </w:r>
      <w:r>
        <w:rPr>
          <w:spacing w:val="-2"/>
        </w:rPr>
        <w:t>Implications</w:t>
      </w:r>
    </w:p>
    <w:p w14:paraId="73294993" w14:textId="77777777" w:rsidR="00ED08FF" w:rsidRDefault="00000000">
      <w:pPr>
        <w:pStyle w:val="BodyText"/>
        <w:spacing w:before="50" w:line="297" w:lineRule="auto"/>
        <w:ind w:right="1903"/>
      </w:pPr>
      <w:r>
        <w:t>The first managerial implication is that improving profitability should be treated as a valuation strategy. Managers often communicate</w:t>
      </w:r>
      <w:r>
        <w:rPr>
          <w:spacing w:val="-5"/>
        </w:rPr>
        <w:t xml:space="preserve"> </w:t>
      </w:r>
      <w:r>
        <w:t>expansion</w:t>
      </w:r>
      <w:r>
        <w:rPr>
          <w:spacing w:val="-4"/>
        </w:rPr>
        <w:t xml:space="preserve"> </w:t>
      </w:r>
      <w:r>
        <w:t>plans,</w:t>
      </w:r>
      <w:r>
        <w:rPr>
          <w:spacing w:val="-4"/>
        </w:rPr>
        <w:t xml:space="preserve"> </w:t>
      </w:r>
      <w:r>
        <w:t>new</w:t>
      </w:r>
      <w:r>
        <w:rPr>
          <w:spacing w:val="-5"/>
        </w:rPr>
        <w:t xml:space="preserve"> </w:t>
      </w:r>
      <w:r>
        <w:t>products,</w:t>
      </w:r>
      <w:r>
        <w:rPr>
          <w:spacing w:val="-4"/>
        </w:rPr>
        <w:t xml:space="preserve"> </w:t>
      </w:r>
      <w:r>
        <w:t>and</w:t>
      </w:r>
      <w:r>
        <w:rPr>
          <w:spacing w:val="-4"/>
        </w:rPr>
        <w:t xml:space="preserve"> </w:t>
      </w:r>
      <w:r>
        <w:t>operational</w:t>
      </w:r>
      <w:r>
        <w:rPr>
          <w:spacing w:val="-5"/>
        </w:rPr>
        <w:t xml:space="preserve"> </w:t>
      </w:r>
      <w:r>
        <w:t>milestones,</w:t>
      </w:r>
      <w:r>
        <w:rPr>
          <w:spacing w:val="-4"/>
        </w:rPr>
        <w:t xml:space="preserve"> </w:t>
      </w:r>
      <w:r>
        <w:t>but</w:t>
      </w:r>
      <w:r>
        <w:rPr>
          <w:spacing w:val="-5"/>
        </w:rPr>
        <w:t xml:space="preserve"> </w:t>
      </w:r>
      <w:r>
        <w:t>investors</w:t>
      </w:r>
      <w:r>
        <w:rPr>
          <w:spacing w:val="-5"/>
        </w:rPr>
        <w:t xml:space="preserve"> </w:t>
      </w:r>
      <w:r>
        <w:t>ultimately</w:t>
      </w:r>
      <w:r>
        <w:rPr>
          <w:spacing w:val="-4"/>
        </w:rPr>
        <w:t xml:space="preserve"> </w:t>
      </w:r>
      <w:r>
        <w:t>evaluate</w:t>
      </w:r>
      <w:r>
        <w:rPr>
          <w:spacing w:val="-5"/>
        </w:rPr>
        <w:t xml:space="preserve"> </w:t>
      </w:r>
      <w:r>
        <w:t>whether</w:t>
      </w:r>
      <w:r>
        <w:rPr>
          <w:spacing w:val="-4"/>
        </w:rPr>
        <w:t xml:space="preserve"> </w:t>
      </w:r>
      <w:r>
        <w:t>these actions improve returns. A company that expands assets without improving ROA may not receive a valuation premium. Management</w:t>
      </w:r>
      <w:r>
        <w:rPr>
          <w:spacing w:val="-3"/>
        </w:rPr>
        <w:t xml:space="preserve"> </w:t>
      </w:r>
      <w:r>
        <w:t>should</w:t>
      </w:r>
      <w:r>
        <w:rPr>
          <w:spacing w:val="-2"/>
        </w:rPr>
        <w:t xml:space="preserve"> </w:t>
      </w:r>
      <w:r>
        <w:t>therefore</w:t>
      </w:r>
      <w:r>
        <w:rPr>
          <w:spacing w:val="-3"/>
        </w:rPr>
        <w:t xml:space="preserve"> </w:t>
      </w:r>
      <w:r>
        <w:t>link</w:t>
      </w:r>
      <w:r>
        <w:rPr>
          <w:spacing w:val="-2"/>
        </w:rPr>
        <w:t xml:space="preserve"> </w:t>
      </w:r>
      <w:r>
        <w:t>capital</w:t>
      </w:r>
      <w:r>
        <w:rPr>
          <w:spacing w:val="-3"/>
        </w:rPr>
        <w:t xml:space="preserve"> </w:t>
      </w:r>
      <w:r>
        <w:t>expenditure,</w:t>
      </w:r>
      <w:r>
        <w:rPr>
          <w:spacing w:val="-2"/>
        </w:rPr>
        <w:t xml:space="preserve"> </w:t>
      </w:r>
      <w:r>
        <w:t>inventory</w:t>
      </w:r>
      <w:r>
        <w:rPr>
          <w:spacing w:val="-2"/>
        </w:rPr>
        <w:t xml:space="preserve"> </w:t>
      </w:r>
      <w:r>
        <w:t>policy,</w:t>
      </w:r>
      <w:r>
        <w:rPr>
          <w:spacing w:val="-2"/>
        </w:rPr>
        <w:t xml:space="preserve"> </w:t>
      </w:r>
      <w:r>
        <w:t>and</w:t>
      </w:r>
      <w:r>
        <w:rPr>
          <w:spacing w:val="-2"/>
        </w:rPr>
        <w:t xml:space="preserve"> </w:t>
      </w:r>
      <w:r>
        <w:t>product</w:t>
      </w:r>
      <w:r>
        <w:rPr>
          <w:spacing w:val="-3"/>
        </w:rPr>
        <w:t xml:space="preserve"> </w:t>
      </w:r>
      <w:r>
        <w:t>strategy</w:t>
      </w:r>
      <w:r>
        <w:rPr>
          <w:spacing w:val="-2"/>
        </w:rPr>
        <w:t xml:space="preserve"> </w:t>
      </w:r>
      <w:r>
        <w:t>to</w:t>
      </w:r>
      <w:r>
        <w:rPr>
          <w:spacing w:val="-2"/>
        </w:rPr>
        <w:t xml:space="preserve"> </w:t>
      </w:r>
      <w:r>
        <w:t>measurable</w:t>
      </w:r>
      <w:r>
        <w:rPr>
          <w:spacing w:val="-3"/>
        </w:rPr>
        <w:t xml:space="preserve"> </w:t>
      </w:r>
      <w:r>
        <w:t xml:space="preserve">profitability </w:t>
      </w:r>
      <w:r>
        <w:rPr>
          <w:spacing w:val="-2"/>
        </w:rPr>
        <w:t>outcomes.</w:t>
      </w:r>
    </w:p>
    <w:p w14:paraId="11F870E3" w14:textId="77777777" w:rsidR="00ED08FF" w:rsidRDefault="00000000">
      <w:pPr>
        <w:pStyle w:val="BodyText"/>
        <w:spacing w:line="297" w:lineRule="auto"/>
        <w:ind w:right="1903"/>
      </w:pPr>
      <w:r>
        <w:t>The second implication concerns working capital. The negative liquidity coefficient warns managers not to treat high current</w:t>
      </w:r>
      <w:r>
        <w:rPr>
          <w:spacing w:val="-4"/>
        </w:rPr>
        <w:t xml:space="preserve"> </w:t>
      </w:r>
      <w:r>
        <w:t>ratio</w:t>
      </w:r>
      <w:r>
        <w:rPr>
          <w:spacing w:val="-3"/>
        </w:rPr>
        <w:t xml:space="preserve"> </w:t>
      </w:r>
      <w:r>
        <w:t>as</w:t>
      </w:r>
      <w:r>
        <w:rPr>
          <w:spacing w:val="-4"/>
        </w:rPr>
        <w:t xml:space="preserve"> </w:t>
      </w:r>
      <w:r>
        <w:t>automatically</w:t>
      </w:r>
      <w:r>
        <w:rPr>
          <w:spacing w:val="-3"/>
        </w:rPr>
        <w:t xml:space="preserve"> </w:t>
      </w:r>
      <w:r>
        <w:t>attractive.</w:t>
      </w:r>
      <w:r>
        <w:rPr>
          <w:spacing w:val="-3"/>
        </w:rPr>
        <w:t xml:space="preserve"> </w:t>
      </w:r>
      <w:r>
        <w:t>Excessive</w:t>
      </w:r>
      <w:r>
        <w:rPr>
          <w:spacing w:val="-4"/>
        </w:rPr>
        <w:t xml:space="preserve"> </w:t>
      </w:r>
      <w:r>
        <w:t>inventory,</w:t>
      </w:r>
      <w:r>
        <w:rPr>
          <w:spacing w:val="-3"/>
        </w:rPr>
        <w:t xml:space="preserve"> </w:t>
      </w:r>
      <w:r>
        <w:t>cash,</w:t>
      </w:r>
      <w:r>
        <w:rPr>
          <w:spacing w:val="-3"/>
        </w:rPr>
        <w:t xml:space="preserve"> </w:t>
      </w:r>
      <w:r>
        <w:t>or</w:t>
      </w:r>
      <w:r>
        <w:rPr>
          <w:spacing w:val="-3"/>
        </w:rPr>
        <w:t xml:space="preserve"> </w:t>
      </w:r>
      <w:r>
        <w:t>receivables</w:t>
      </w:r>
      <w:r>
        <w:rPr>
          <w:spacing w:val="-4"/>
        </w:rPr>
        <w:t xml:space="preserve"> </w:t>
      </w:r>
      <w:r>
        <w:t>can</w:t>
      </w:r>
      <w:r>
        <w:rPr>
          <w:spacing w:val="-3"/>
        </w:rPr>
        <w:t xml:space="preserve"> </w:t>
      </w:r>
      <w:r>
        <w:t>weaken</w:t>
      </w:r>
      <w:r>
        <w:rPr>
          <w:spacing w:val="-3"/>
        </w:rPr>
        <w:t xml:space="preserve"> </w:t>
      </w:r>
      <w:r>
        <w:t>investor</w:t>
      </w:r>
      <w:r>
        <w:rPr>
          <w:spacing w:val="-3"/>
        </w:rPr>
        <w:t xml:space="preserve"> </w:t>
      </w:r>
      <w:r>
        <w:t>confidence</w:t>
      </w:r>
      <w:r>
        <w:rPr>
          <w:spacing w:val="-4"/>
        </w:rPr>
        <w:t xml:space="preserve"> </w:t>
      </w:r>
      <w:r>
        <w:t>if</w:t>
      </w:r>
      <w:r>
        <w:rPr>
          <w:spacing w:val="-3"/>
        </w:rPr>
        <w:t xml:space="preserve"> </w:t>
      </w:r>
      <w:r>
        <w:t>they indicate idle resources. Managers should explain how liquidity supports operational resilience, supplier terms, demand fulfillment, or planned investment. Liquidity without a clear use may be interpreted as inefficiency.</w:t>
      </w:r>
    </w:p>
    <w:p w14:paraId="030F6ED7" w14:textId="77777777" w:rsidR="00ED08FF" w:rsidRDefault="00000000">
      <w:pPr>
        <w:pStyle w:val="BodyText"/>
        <w:spacing w:before="2" w:line="297" w:lineRule="auto"/>
        <w:ind w:right="1903"/>
      </w:pPr>
      <w:r>
        <w:t>The third implication relates to capital structure. The insignificant DER coefficient does not mean debt policy can be ignored. It means that debt is evaluated in context. Companies should communicate the purpose, maturity profile, cost, and</w:t>
      </w:r>
      <w:r>
        <w:rPr>
          <w:spacing w:val="-3"/>
        </w:rPr>
        <w:t xml:space="preserve"> </w:t>
      </w:r>
      <w:r>
        <w:t>cash-flow</w:t>
      </w:r>
      <w:r>
        <w:rPr>
          <w:spacing w:val="-3"/>
        </w:rPr>
        <w:t xml:space="preserve"> </w:t>
      </w:r>
      <w:r>
        <w:t>support</w:t>
      </w:r>
      <w:r>
        <w:rPr>
          <w:spacing w:val="-3"/>
        </w:rPr>
        <w:t xml:space="preserve"> </w:t>
      </w:r>
      <w:r>
        <w:t>for</w:t>
      </w:r>
      <w:r>
        <w:rPr>
          <w:spacing w:val="-3"/>
        </w:rPr>
        <w:t xml:space="preserve"> </w:t>
      </w:r>
      <w:r>
        <w:t>debt.</w:t>
      </w:r>
      <w:r>
        <w:rPr>
          <w:spacing w:val="-3"/>
        </w:rPr>
        <w:t xml:space="preserve"> </w:t>
      </w:r>
      <w:r>
        <w:t>Investors</w:t>
      </w:r>
      <w:r>
        <w:rPr>
          <w:spacing w:val="-3"/>
        </w:rPr>
        <w:t xml:space="preserve"> </w:t>
      </w:r>
      <w:r>
        <w:t>are</w:t>
      </w:r>
      <w:r>
        <w:rPr>
          <w:spacing w:val="-3"/>
        </w:rPr>
        <w:t xml:space="preserve"> </w:t>
      </w:r>
      <w:r>
        <w:t>more</w:t>
      </w:r>
      <w:r>
        <w:rPr>
          <w:spacing w:val="-3"/>
        </w:rPr>
        <w:t xml:space="preserve"> </w:t>
      </w:r>
      <w:r>
        <w:t>likely</w:t>
      </w:r>
      <w:r>
        <w:rPr>
          <w:spacing w:val="-3"/>
        </w:rPr>
        <w:t xml:space="preserve"> </w:t>
      </w:r>
      <w:r>
        <w:t>to</w:t>
      </w:r>
      <w:r>
        <w:rPr>
          <w:spacing w:val="-3"/>
        </w:rPr>
        <w:t xml:space="preserve"> </w:t>
      </w:r>
      <w:r>
        <w:t>accept</w:t>
      </w:r>
      <w:r>
        <w:rPr>
          <w:spacing w:val="-3"/>
        </w:rPr>
        <w:t xml:space="preserve"> </w:t>
      </w:r>
      <w:r>
        <w:t>leverage</w:t>
      </w:r>
      <w:r>
        <w:rPr>
          <w:spacing w:val="-3"/>
        </w:rPr>
        <w:t xml:space="preserve"> </w:t>
      </w:r>
      <w:r>
        <w:t>when</w:t>
      </w:r>
      <w:r>
        <w:rPr>
          <w:spacing w:val="-3"/>
        </w:rPr>
        <w:t xml:space="preserve"> </w:t>
      </w:r>
      <w:r>
        <w:t>it</w:t>
      </w:r>
      <w:r>
        <w:rPr>
          <w:spacing w:val="-3"/>
        </w:rPr>
        <w:t xml:space="preserve"> </w:t>
      </w:r>
      <w:r>
        <w:t>finances</w:t>
      </w:r>
      <w:r>
        <w:rPr>
          <w:spacing w:val="-3"/>
        </w:rPr>
        <w:t xml:space="preserve"> </w:t>
      </w:r>
      <w:r>
        <w:t>productive</w:t>
      </w:r>
      <w:r>
        <w:rPr>
          <w:spacing w:val="-3"/>
        </w:rPr>
        <w:t xml:space="preserve"> </w:t>
      </w:r>
      <w:r>
        <w:t>assets</w:t>
      </w:r>
      <w:r>
        <w:rPr>
          <w:spacing w:val="-3"/>
        </w:rPr>
        <w:t xml:space="preserve"> </w:t>
      </w:r>
      <w:r>
        <w:t>and</w:t>
      </w:r>
      <w:r>
        <w:rPr>
          <w:spacing w:val="-3"/>
        </w:rPr>
        <w:t xml:space="preserve"> </w:t>
      </w:r>
      <w:r>
        <w:t>when interest coverage remains strong.</w:t>
      </w:r>
    </w:p>
    <w:p w14:paraId="021BCE54" w14:textId="77777777" w:rsidR="00ED08FF" w:rsidRDefault="00000000">
      <w:pPr>
        <w:pStyle w:val="BodyText"/>
        <w:spacing w:line="297" w:lineRule="auto"/>
        <w:ind w:right="1903"/>
      </w:pPr>
      <w:r>
        <w:t>The</w:t>
      </w:r>
      <w:r>
        <w:rPr>
          <w:spacing w:val="-4"/>
        </w:rPr>
        <w:t xml:space="preserve"> </w:t>
      </w:r>
      <w:r>
        <w:t>fourth</w:t>
      </w:r>
      <w:r>
        <w:rPr>
          <w:spacing w:val="-3"/>
        </w:rPr>
        <w:t xml:space="preserve"> </w:t>
      </w:r>
      <w:r>
        <w:t>implication</w:t>
      </w:r>
      <w:r>
        <w:rPr>
          <w:spacing w:val="-3"/>
        </w:rPr>
        <w:t xml:space="preserve"> </w:t>
      </w:r>
      <w:r>
        <w:t>concerns</w:t>
      </w:r>
      <w:r>
        <w:rPr>
          <w:spacing w:val="-4"/>
        </w:rPr>
        <w:t xml:space="preserve"> </w:t>
      </w:r>
      <w:r>
        <w:t>firm</w:t>
      </w:r>
      <w:r>
        <w:rPr>
          <w:spacing w:val="-4"/>
        </w:rPr>
        <w:t xml:space="preserve"> </w:t>
      </w:r>
      <w:r>
        <w:t>size.</w:t>
      </w:r>
      <w:r>
        <w:rPr>
          <w:spacing w:val="-3"/>
        </w:rPr>
        <w:t xml:space="preserve"> </w:t>
      </w:r>
      <w:r>
        <w:t>Management</w:t>
      </w:r>
      <w:r>
        <w:rPr>
          <w:spacing w:val="-4"/>
        </w:rPr>
        <w:t xml:space="preserve"> </w:t>
      </w:r>
      <w:r>
        <w:t>should</w:t>
      </w:r>
      <w:r>
        <w:rPr>
          <w:spacing w:val="-3"/>
        </w:rPr>
        <w:t xml:space="preserve"> </w:t>
      </w:r>
      <w:r>
        <w:t>avoid</w:t>
      </w:r>
      <w:r>
        <w:rPr>
          <w:spacing w:val="-3"/>
        </w:rPr>
        <w:t xml:space="preserve"> </w:t>
      </w:r>
      <w:r>
        <w:t>assuming</w:t>
      </w:r>
      <w:r>
        <w:rPr>
          <w:spacing w:val="-3"/>
        </w:rPr>
        <w:t xml:space="preserve"> </w:t>
      </w:r>
      <w:r>
        <w:t>that</w:t>
      </w:r>
      <w:r>
        <w:rPr>
          <w:spacing w:val="-4"/>
        </w:rPr>
        <w:t xml:space="preserve"> </w:t>
      </w:r>
      <w:r>
        <w:t>large</w:t>
      </w:r>
      <w:r>
        <w:rPr>
          <w:spacing w:val="-4"/>
        </w:rPr>
        <w:t xml:space="preserve"> </w:t>
      </w:r>
      <w:r>
        <w:t>assets</w:t>
      </w:r>
      <w:r>
        <w:rPr>
          <w:spacing w:val="-4"/>
        </w:rPr>
        <w:t xml:space="preserve"> </w:t>
      </w:r>
      <w:r>
        <w:t>automatically</w:t>
      </w:r>
      <w:r>
        <w:rPr>
          <w:spacing w:val="-3"/>
        </w:rPr>
        <w:t xml:space="preserve"> </w:t>
      </w:r>
      <w:r>
        <w:t>create market</w:t>
      </w:r>
      <w:r>
        <w:rPr>
          <w:spacing w:val="-1"/>
        </w:rPr>
        <w:t xml:space="preserve"> </w:t>
      </w:r>
      <w:r>
        <w:t>confidence. Investors</w:t>
      </w:r>
      <w:r>
        <w:rPr>
          <w:spacing w:val="-1"/>
        </w:rPr>
        <w:t xml:space="preserve"> </w:t>
      </w:r>
      <w:r>
        <w:t>want</w:t>
      </w:r>
      <w:r>
        <w:rPr>
          <w:spacing w:val="-1"/>
        </w:rPr>
        <w:t xml:space="preserve"> </w:t>
      </w:r>
      <w:r>
        <w:t>evidence</w:t>
      </w:r>
      <w:r>
        <w:rPr>
          <w:spacing w:val="-1"/>
        </w:rPr>
        <w:t xml:space="preserve"> </w:t>
      </w:r>
      <w:r>
        <w:t>of productive</w:t>
      </w:r>
      <w:r>
        <w:rPr>
          <w:spacing w:val="-1"/>
        </w:rPr>
        <w:t xml:space="preserve"> </w:t>
      </w:r>
      <w:r>
        <w:t>assets. Asset-heavy expansion should be</w:t>
      </w:r>
      <w:r>
        <w:rPr>
          <w:spacing w:val="-1"/>
        </w:rPr>
        <w:t xml:space="preserve"> </w:t>
      </w:r>
      <w:r>
        <w:t>accompanied by</w:t>
      </w:r>
    </w:p>
    <w:p w14:paraId="7FC72409" w14:textId="77777777" w:rsidR="00ED08FF" w:rsidRDefault="00ED08FF">
      <w:pPr>
        <w:pStyle w:val="BodyText"/>
        <w:spacing w:before="51"/>
        <w:ind w:left="0"/>
      </w:pPr>
    </w:p>
    <w:p w14:paraId="15BE74F7" w14:textId="77777777" w:rsidR="00ED08FF" w:rsidRDefault="00000000">
      <w:pPr>
        <w:pStyle w:val="BodyText"/>
        <w:spacing w:before="0" w:line="297" w:lineRule="auto"/>
        <w:ind w:right="1903"/>
      </w:pPr>
      <w:r>
        <w:t>clear</w:t>
      </w:r>
      <w:r>
        <w:rPr>
          <w:spacing w:val="-3"/>
        </w:rPr>
        <w:t xml:space="preserve"> </w:t>
      </w:r>
      <w:r>
        <w:t>revenue</w:t>
      </w:r>
      <w:r>
        <w:rPr>
          <w:spacing w:val="-4"/>
        </w:rPr>
        <w:t xml:space="preserve"> </w:t>
      </w:r>
      <w:r>
        <w:t>contribution,</w:t>
      </w:r>
      <w:r>
        <w:rPr>
          <w:spacing w:val="-3"/>
        </w:rPr>
        <w:t xml:space="preserve"> </w:t>
      </w:r>
      <w:r>
        <w:t>margin</w:t>
      </w:r>
      <w:r>
        <w:rPr>
          <w:spacing w:val="-3"/>
        </w:rPr>
        <w:t xml:space="preserve"> </w:t>
      </w:r>
      <w:r>
        <w:t>protection,</w:t>
      </w:r>
      <w:r>
        <w:rPr>
          <w:spacing w:val="-3"/>
        </w:rPr>
        <w:t xml:space="preserve"> </w:t>
      </w:r>
      <w:r>
        <w:t>and</w:t>
      </w:r>
      <w:r>
        <w:rPr>
          <w:spacing w:val="-3"/>
        </w:rPr>
        <w:t xml:space="preserve"> </w:t>
      </w:r>
      <w:r>
        <w:t>return</w:t>
      </w:r>
      <w:r>
        <w:rPr>
          <w:spacing w:val="-3"/>
        </w:rPr>
        <w:t xml:space="preserve"> </w:t>
      </w:r>
      <w:r>
        <w:t>targets.</w:t>
      </w:r>
      <w:r>
        <w:rPr>
          <w:spacing w:val="-3"/>
        </w:rPr>
        <w:t xml:space="preserve"> </w:t>
      </w:r>
      <w:r>
        <w:t>If</w:t>
      </w:r>
      <w:r>
        <w:rPr>
          <w:spacing w:val="-3"/>
        </w:rPr>
        <w:t xml:space="preserve"> </w:t>
      </w:r>
      <w:r>
        <w:t>assets</w:t>
      </w:r>
      <w:r>
        <w:rPr>
          <w:spacing w:val="-3"/>
        </w:rPr>
        <w:t xml:space="preserve"> </w:t>
      </w:r>
      <w:r>
        <w:t>grow</w:t>
      </w:r>
      <w:r>
        <w:rPr>
          <w:spacing w:val="-4"/>
        </w:rPr>
        <w:t xml:space="preserve"> </w:t>
      </w:r>
      <w:r>
        <w:t>faster</w:t>
      </w:r>
      <w:r>
        <w:rPr>
          <w:spacing w:val="-3"/>
        </w:rPr>
        <w:t xml:space="preserve"> </w:t>
      </w:r>
      <w:r>
        <w:t>than</w:t>
      </w:r>
      <w:r>
        <w:rPr>
          <w:spacing w:val="-3"/>
        </w:rPr>
        <w:t xml:space="preserve"> </w:t>
      </w:r>
      <w:r>
        <w:t>profit,</w:t>
      </w:r>
      <w:r>
        <w:rPr>
          <w:spacing w:val="-3"/>
        </w:rPr>
        <w:t xml:space="preserve"> </w:t>
      </w:r>
      <w:r>
        <w:t>PBV</w:t>
      </w:r>
      <w:r>
        <w:rPr>
          <w:spacing w:val="-4"/>
        </w:rPr>
        <w:t xml:space="preserve"> </w:t>
      </w:r>
      <w:r>
        <w:t>can</w:t>
      </w:r>
      <w:r>
        <w:rPr>
          <w:spacing w:val="-3"/>
        </w:rPr>
        <w:t xml:space="preserve"> </w:t>
      </w:r>
      <w:r>
        <w:t>weaken because book value rises without proportional market optimism.</w:t>
      </w:r>
    </w:p>
    <w:p w14:paraId="4699D1C4" w14:textId="77777777" w:rsidR="00ED08FF" w:rsidRDefault="00000000">
      <w:pPr>
        <w:pStyle w:val="BodyText"/>
        <w:spacing w:before="0" w:line="297" w:lineRule="auto"/>
        <w:ind w:right="1945"/>
      </w:pPr>
      <w:r>
        <w:t>The fifth implication is disclosure quality. Even when the study uses basic ratios, the market interpretation depends on the credibility of reported numbers. Companies should present clear segment information, working-capital explanation, debt</w:t>
      </w:r>
      <w:r>
        <w:rPr>
          <w:spacing w:val="-4"/>
        </w:rPr>
        <w:t xml:space="preserve"> </w:t>
      </w:r>
      <w:r>
        <w:t>maturity</w:t>
      </w:r>
      <w:r>
        <w:rPr>
          <w:spacing w:val="-3"/>
        </w:rPr>
        <w:t xml:space="preserve"> </w:t>
      </w:r>
      <w:r>
        <w:t>information,</w:t>
      </w:r>
      <w:r>
        <w:rPr>
          <w:spacing w:val="-3"/>
        </w:rPr>
        <w:t xml:space="preserve"> </w:t>
      </w:r>
      <w:r>
        <w:t>and</w:t>
      </w:r>
      <w:r>
        <w:rPr>
          <w:spacing w:val="-3"/>
        </w:rPr>
        <w:t xml:space="preserve"> </w:t>
      </w:r>
      <w:r>
        <w:t>profitability</w:t>
      </w:r>
      <w:r>
        <w:rPr>
          <w:spacing w:val="-3"/>
        </w:rPr>
        <w:t xml:space="preserve"> </w:t>
      </w:r>
      <w:r>
        <w:t>drivers.</w:t>
      </w:r>
      <w:r>
        <w:rPr>
          <w:spacing w:val="-3"/>
        </w:rPr>
        <w:t xml:space="preserve"> </w:t>
      </w:r>
      <w:r>
        <w:t>Better</w:t>
      </w:r>
      <w:r>
        <w:rPr>
          <w:spacing w:val="-4"/>
        </w:rPr>
        <w:t xml:space="preserve"> </w:t>
      </w:r>
      <w:r>
        <w:t>disclosure</w:t>
      </w:r>
      <w:r>
        <w:rPr>
          <w:spacing w:val="-4"/>
        </w:rPr>
        <w:t xml:space="preserve"> </w:t>
      </w:r>
      <w:r>
        <w:t>can</w:t>
      </w:r>
      <w:r>
        <w:rPr>
          <w:spacing w:val="-3"/>
        </w:rPr>
        <w:t xml:space="preserve"> </w:t>
      </w:r>
      <w:r>
        <w:t>reduce</w:t>
      </w:r>
      <w:r>
        <w:rPr>
          <w:spacing w:val="-4"/>
        </w:rPr>
        <w:t xml:space="preserve"> </w:t>
      </w:r>
      <w:r>
        <w:t>uncertainty</w:t>
      </w:r>
      <w:r>
        <w:rPr>
          <w:spacing w:val="-3"/>
        </w:rPr>
        <w:t xml:space="preserve"> </w:t>
      </w:r>
      <w:r>
        <w:t>and</w:t>
      </w:r>
      <w:r>
        <w:rPr>
          <w:spacing w:val="-3"/>
        </w:rPr>
        <w:t xml:space="preserve"> </w:t>
      </w:r>
      <w:r>
        <w:t>help</w:t>
      </w:r>
      <w:r>
        <w:rPr>
          <w:spacing w:val="-3"/>
        </w:rPr>
        <w:t xml:space="preserve"> </w:t>
      </w:r>
      <w:r>
        <w:t>investors</w:t>
      </w:r>
      <w:r>
        <w:rPr>
          <w:spacing w:val="-4"/>
        </w:rPr>
        <w:t xml:space="preserve"> </w:t>
      </w:r>
      <w:r>
        <w:t>interpret ratios correctly.</w:t>
      </w:r>
    </w:p>
    <w:p w14:paraId="16112239" w14:textId="77777777" w:rsidR="00ED08FF" w:rsidRDefault="00ED08FF">
      <w:pPr>
        <w:pStyle w:val="BodyText"/>
        <w:spacing w:line="297" w:lineRule="auto"/>
        <w:sectPr w:rsidR="00ED08FF">
          <w:type w:val="continuous"/>
          <w:pgSz w:w="12240" w:h="15840"/>
          <w:pgMar w:top="840" w:right="720" w:bottom="900" w:left="720" w:header="0" w:footer="669" w:gutter="0"/>
          <w:cols w:space="720"/>
        </w:sectPr>
      </w:pPr>
    </w:p>
    <w:p w14:paraId="2A5AAC44" w14:textId="77777777" w:rsidR="00ED08FF" w:rsidRDefault="00000000">
      <w:pPr>
        <w:pStyle w:val="BodyText"/>
        <w:spacing w:before="64" w:line="297" w:lineRule="auto"/>
        <w:ind w:right="1903"/>
      </w:pPr>
      <w:r>
        <w:lastRenderedPageBreak/>
        <w:t>Finally,</w:t>
      </w:r>
      <w:r>
        <w:rPr>
          <w:spacing w:val="-3"/>
        </w:rPr>
        <w:t xml:space="preserve"> </w:t>
      </w:r>
      <w:r>
        <w:t>managers</w:t>
      </w:r>
      <w:r>
        <w:rPr>
          <w:spacing w:val="-4"/>
        </w:rPr>
        <w:t xml:space="preserve"> </w:t>
      </w:r>
      <w:r>
        <w:t>should</w:t>
      </w:r>
      <w:r>
        <w:rPr>
          <w:spacing w:val="-3"/>
        </w:rPr>
        <w:t xml:space="preserve"> </w:t>
      </w:r>
      <w:r>
        <w:t>understand</w:t>
      </w:r>
      <w:r>
        <w:rPr>
          <w:spacing w:val="-3"/>
        </w:rPr>
        <w:t xml:space="preserve"> </w:t>
      </w:r>
      <w:r>
        <w:t>that</w:t>
      </w:r>
      <w:r>
        <w:rPr>
          <w:spacing w:val="-4"/>
        </w:rPr>
        <w:t xml:space="preserve"> </w:t>
      </w:r>
      <w:r>
        <w:t>financial</w:t>
      </w:r>
      <w:r>
        <w:rPr>
          <w:spacing w:val="-4"/>
        </w:rPr>
        <w:t xml:space="preserve"> </w:t>
      </w:r>
      <w:r>
        <w:t>ratios</w:t>
      </w:r>
      <w:r>
        <w:rPr>
          <w:spacing w:val="-3"/>
        </w:rPr>
        <w:t xml:space="preserve"> </w:t>
      </w:r>
      <w:r>
        <w:t>are</w:t>
      </w:r>
      <w:r>
        <w:rPr>
          <w:spacing w:val="-4"/>
        </w:rPr>
        <w:t xml:space="preserve"> </w:t>
      </w:r>
      <w:r>
        <w:t>not</w:t>
      </w:r>
      <w:r>
        <w:rPr>
          <w:spacing w:val="-4"/>
        </w:rPr>
        <w:t xml:space="preserve"> </w:t>
      </w:r>
      <w:r>
        <w:t>only</w:t>
      </w:r>
      <w:r>
        <w:rPr>
          <w:spacing w:val="-3"/>
        </w:rPr>
        <w:t xml:space="preserve"> </w:t>
      </w:r>
      <w:r>
        <w:t>internal</w:t>
      </w:r>
      <w:r>
        <w:rPr>
          <w:spacing w:val="-4"/>
        </w:rPr>
        <w:t xml:space="preserve"> </w:t>
      </w:r>
      <w:r>
        <w:t>control</w:t>
      </w:r>
      <w:r>
        <w:rPr>
          <w:spacing w:val="-4"/>
        </w:rPr>
        <w:t xml:space="preserve"> </w:t>
      </w:r>
      <w:r>
        <w:t>tools.</w:t>
      </w:r>
      <w:r>
        <w:rPr>
          <w:spacing w:val="-3"/>
        </w:rPr>
        <w:t xml:space="preserve"> </w:t>
      </w:r>
      <w:r>
        <w:t>They</w:t>
      </w:r>
      <w:r>
        <w:rPr>
          <w:spacing w:val="-3"/>
        </w:rPr>
        <w:t xml:space="preserve"> </w:t>
      </w:r>
      <w:r>
        <w:t>are</w:t>
      </w:r>
      <w:r>
        <w:rPr>
          <w:spacing w:val="-4"/>
        </w:rPr>
        <w:t xml:space="preserve"> </w:t>
      </w:r>
      <w:r>
        <w:t>also</w:t>
      </w:r>
      <w:r>
        <w:rPr>
          <w:spacing w:val="-3"/>
        </w:rPr>
        <w:t xml:space="preserve"> </w:t>
      </w:r>
      <w:r>
        <w:t>signals</w:t>
      </w:r>
      <w:r>
        <w:rPr>
          <w:spacing w:val="-4"/>
        </w:rPr>
        <w:t xml:space="preserve"> </w:t>
      </w:r>
      <w:r>
        <w:t>to</w:t>
      </w:r>
      <w:r>
        <w:rPr>
          <w:spacing w:val="-3"/>
        </w:rPr>
        <w:t xml:space="preserve"> </w:t>
      </w:r>
      <w:r>
        <w:t>the capital market. ROA, DER, current ratio, and asset scale are read by investors, analysts, creditors, and competitors. A consistent financial narrative can help the market connect accounting performance with business strategy.</w:t>
      </w:r>
    </w:p>
    <w:p w14:paraId="738F7215" w14:textId="77777777" w:rsidR="00ED08FF" w:rsidRDefault="00ED08FF">
      <w:pPr>
        <w:pStyle w:val="BodyText"/>
        <w:spacing w:before="51"/>
        <w:ind w:left="0"/>
      </w:pPr>
    </w:p>
    <w:p w14:paraId="61189779" w14:textId="77777777" w:rsidR="00ED08FF" w:rsidRDefault="00000000">
      <w:pPr>
        <w:pStyle w:val="Heading2"/>
        <w:numPr>
          <w:ilvl w:val="1"/>
          <w:numId w:val="1"/>
        </w:numPr>
        <w:tabs>
          <w:tab w:val="left" w:pos="505"/>
        </w:tabs>
        <w:ind w:left="505" w:hanging="360"/>
      </w:pPr>
      <w:r>
        <w:t>Investor</w:t>
      </w:r>
      <w:r>
        <w:rPr>
          <w:spacing w:val="-8"/>
        </w:rPr>
        <w:t xml:space="preserve"> </w:t>
      </w:r>
      <w:r>
        <w:rPr>
          <w:spacing w:val="-2"/>
        </w:rPr>
        <w:t>Implications</w:t>
      </w:r>
    </w:p>
    <w:p w14:paraId="0777E2F0" w14:textId="77777777" w:rsidR="00ED08FF" w:rsidRDefault="00000000">
      <w:pPr>
        <w:pStyle w:val="BodyText"/>
        <w:spacing w:before="50" w:line="297" w:lineRule="auto"/>
        <w:ind w:right="1903"/>
      </w:pPr>
      <w:r>
        <w:t>For investors, the findings suggest that PBV should never be read in isolation. A high PBV may reflect strong profitability,</w:t>
      </w:r>
      <w:r>
        <w:rPr>
          <w:spacing w:val="-2"/>
        </w:rPr>
        <w:t xml:space="preserve"> </w:t>
      </w:r>
      <w:r>
        <w:t>brand</w:t>
      </w:r>
      <w:r>
        <w:rPr>
          <w:spacing w:val="-2"/>
        </w:rPr>
        <w:t xml:space="preserve"> </w:t>
      </w:r>
      <w:r>
        <w:t>strength,</w:t>
      </w:r>
      <w:r>
        <w:rPr>
          <w:spacing w:val="-2"/>
        </w:rPr>
        <w:t xml:space="preserve"> </w:t>
      </w:r>
      <w:r>
        <w:t>and</w:t>
      </w:r>
      <w:r>
        <w:rPr>
          <w:spacing w:val="-2"/>
        </w:rPr>
        <w:t xml:space="preserve"> </w:t>
      </w:r>
      <w:r>
        <w:t>growth</w:t>
      </w:r>
      <w:r>
        <w:rPr>
          <w:spacing w:val="-2"/>
        </w:rPr>
        <w:t xml:space="preserve"> </w:t>
      </w:r>
      <w:r>
        <w:t>expectations,</w:t>
      </w:r>
      <w:r>
        <w:rPr>
          <w:spacing w:val="-2"/>
        </w:rPr>
        <w:t xml:space="preserve"> </w:t>
      </w:r>
      <w:r>
        <w:t>but</w:t>
      </w:r>
      <w:r>
        <w:rPr>
          <w:spacing w:val="-3"/>
        </w:rPr>
        <w:t xml:space="preserve"> </w:t>
      </w:r>
      <w:r>
        <w:t>it</w:t>
      </w:r>
      <w:r>
        <w:rPr>
          <w:spacing w:val="-3"/>
        </w:rPr>
        <w:t xml:space="preserve"> </w:t>
      </w:r>
      <w:r>
        <w:t>may</w:t>
      </w:r>
      <w:r>
        <w:rPr>
          <w:spacing w:val="-2"/>
        </w:rPr>
        <w:t xml:space="preserve"> </w:t>
      </w:r>
      <w:r>
        <w:t>also</w:t>
      </w:r>
      <w:r>
        <w:rPr>
          <w:spacing w:val="-2"/>
        </w:rPr>
        <w:t xml:space="preserve"> </w:t>
      </w:r>
      <w:r>
        <w:t>indicate</w:t>
      </w:r>
      <w:r>
        <w:rPr>
          <w:spacing w:val="-3"/>
        </w:rPr>
        <w:t xml:space="preserve"> </w:t>
      </w:r>
      <w:r>
        <w:t>that</w:t>
      </w:r>
      <w:r>
        <w:rPr>
          <w:spacing w:val="-3"/>
        </w:rPr>
        <w:t xml:space="preserve"> </w:t>
      </w:r>
      <w:r>
        <w:t>the</w:t>
      </w:r>
      <w:r>
        <w:rPr>
          <w:spacing w:val="-3"/>
        </w:rPr>
        <w:t xml:space="preserve"> </w:t>
      </w:r>
      <w:r>
        <w:t>stock</w:t>
      </w:r>
      <w:r>
        <w:rPr>
          <w:spacing w:val="-2"/>
        </w:rPr>
        <w:t xml:space="preserve"> </w:t>
      </w:r>
      <w:r>
        <w:t>is</w:t>
      </w:r>
      <w:r>
        <w:rPr>
          <w:spacing w:val="-3"/>
        </w:rPr>
        <w:t xml:space="preserve"> </w:t>
      </w:r>
      <w:r>
        <w:t>priced</w:t>
      </w:r>
      <w:r>
        <w:rPr>
          <w:spacing w:val="-2"/>
        </w:rPr>
        <w:t xml:space="preserve"> </w:t>
      </w:r>
      <w:r>
        <w:t>with</w:t>
      </w:r>
      <w:r>
        <w:rPr>
          <w:spacing w:val="-2"/>
        </w:rPr>
        <w:t xml:space="preserve"> </w:t>
      </w:r>
      <w:r>
        <w:t>little</w:t>
      </w:r>
      <w:r>
        <w:rPr>
          <w:spacing w:val="-3"/>
        </w:rPr>
        <w:t xml:space="preserve"> </w:t>
      </w:r>
      <w:r>
        <w:t>room</w:t>
      </w:r>
      <w:r>
        <w:rPr>
          <w:spacing w:val="-3"/>
        </w:rPr>
        <w:t xml:space="preserve"> </w:t>
      </w:r>
      <w:r>
        <w:t>for</w:t>
      </w:r>
    </w:p>
    <w:p w14:paraId="1D49CCD5" w14:textId="77777777" w:rsidR="00ED08FF" w:rsidRDefault="00000000">
      <w:pPr>
        <w:pStyle w:val="BodyText"/>
        <w:spacing w:before="0" w:line="297" w:lineRule="auto"/>
        <w:ind w:right="1671"/>
      </w:pPr>
      <w:r>
        <w:t>disappointment.</w:t>
      </w:r>
      <w:r>
        <w:rPr>
          <w:spacing w:val="-3"/>
        </w:rPr>
        <w:t xml:space="preserve"> </w:t>
      </w:r>
      <w:r>
        <w:t>A</w:t>
      </w:r>
      <w:r>
        <w:rPr>
          <w:spacing w:val="-4"/>
        </w:rPr>
        <w:t xml:space="preserve"> </w:t>
      </w:r>
      <w:r>
        <w:t>low</w:t>
      </w:r>
      <w:r>
        <w:rPr>
          <w:spacing w:val="-4"/>
        </w:rPr>
        <w:t xml:space="preserve"> </w:t>
      </w:r>
      <w:r>
        <w:t>PBV</w:t>
      </w:r>
      <w:r>
        <w:rPr>
          <w:spacing w:val="-4"/>
        </w:rPr>
        <w:t xml:space="preserve"> </w:t>
      </w:r>
      <w:r>
        <w:t>may</w:t>
      </w:r>
      <w:r>
        <w:rPr>
          <w:spacing w:val="-3"/>
        </w:rPr>
        <w:t xml:space="preserve"> </w:t>
      </w:r>
      <w:r>
        <w:t>indicate</w:t>
      </w:r>
      <w:r>
        <w:rPr>
          <w:spacing w:val="-4"/>
        </w:rPr>
        <w:t xml:space="preserve"> </w:t>
      </w:r>
      <w:r>
        <w:t>undervaluation,</w:t>
      </w:r>
      <w:r>
        <w:rPr>
          <w:spacing w:val="-3"/>
        </w:rPr>
        <w:t xml:space="preserve"> </w:t>
      </w:r>
      <w:r>
        <w:t>but</w:t>
      </w:r>
      <w:r>
        <w:rPr>
          <w:spacing w:val="-4"/>
        </w:rPr>
        <w:t xml:space="preserve"> </w:t>
      </w:r>
      <w:r>
        <w:t>it</w:t>
      </w:r>
      <w:r>
        <w:rPr>
          <w:spacing w:val="-4"/>
        </w:rPr>
        <w:t xml:space="preserve"> </w:t>
      </w:r>
      <w:r>
        <w:t>may</w:t>
      </w:r>
      <w:r>
        <w:rPr>
          <w:spacing w:val="-3"/>
        </w:rPr>
        <w:t xml:space="preserve"> </w:t>
      </w:r>
      <w:r>
        <w:t>also</w:t>
      </w:r>
      <w:r>
        <w:rPr>
          <w:spacing w:val="-3"/>
        </w:rPr>
        <w:t xml:space="preserve"> </w:t>
      </w:r>
      <w:r>
        <w:t>reflect</w:t>
      </w:r>
      <w:r>
        <w:rPr>
          <w:spacing w:val="-4"/>
        </w:rPr>
        <w:t xml:space="preserve"> </w:t>
      </w:r>
      <w:r>
        <w:t>weak</w:t>
      </w:r>
      <w:r>
        <w:rPr>
          <w:spacing w:val="-3"/>
        </w:rPr>
        <w:t xml:space="preserve"> </w:t>
      </w:r>
      <w:r>
        <w:t>profitability</w:t>
      </w:r>
      <w:r>
        <w:rPr>
          <w:spacing w:val="-3"/>
        </w:rPr>
        <w:t xml:space="preserve"> </w:t>
      </w:r>
      <w:r>
        <w:t>or</w:t>
      </w:r>
      <w:r>
        <w:rPr>
          <w:spacing w:val="-3"/>
        </w:rPr>
        <w:t xml:space="preserve"> </w:t>
      </w:r>
      <w:r>
        <w:t>low</w:t>
      </w:r>
      <w:r>
        <w:rPr>
          <w:spacing w:val="-4"/>
        </w:rPr>
        <w:t xml:space="preserve"> </w:t>
      </w:r>
      <w:r>
        <w:t>expected</w:t>
      </w:r>
      <w:r>
        <w:rPr>
          <w:spacing w:val="-3"/>
        </w:rPr>
        <w:t xml:space="preserve"> </w:t>
      </w:r>
      <w:r>
        <w:t>growth. ROA helps investors distinguish between these possibilities.</w:t>
      </w:r>
    </w:p>
    <w:p w14:paraId="3343D156" w14:textId="77777777" w:rsidR="00ED08FF" w:rsidRDefault="00000000">
      <w:pPr>
        <w:pStyle w:val="BodyText"/>
        <w:spacing w:line="297" w:lineRule="auto"/>
        <w:ind w:right="1972"/>
      </w:pPr>
      <w:r>
        <w:t>The</w:t>
      </w:r>
      <w:r>
        <w:rPr>
          <w:spacing w:val="-4"/>
        </w:rPr>
        <w:t xml:space="preserve"> </w:t>
      </w:r>
      <w:r>
        <w:t>positive</w:t>
      </w:r>
      <w:r>
        <w:rPr>
          <w:spacing w:val="-4"/>
        </w:rPr>
        <w:t xml:space="preserve"> </w:t>
      </w:r>
      <w:r>
        <w:t>profitability</w:t>
      </w:r>
      <w:r>
        <w:rPr>
          <w:spacing w:val="-3"/>
        </w:rPr>
        <w:t xml:space="preserve"> </w:t>
      </w:r>
      <w:r>
        <w:t>result</w:t>
      </w:r>
      <w:r>
        <w:rPr>
          <w:spacing w:val="-4"/>
        </w:rPr>
        <w:t xml:space="preserve"> </w:t>
      </w:r>
      <w:r>
        <w:t>supports</w:t>
      </w:r>
      <w:r>
        <w:rPr>
          <w:spacing w:val="-4"/>
        </w:rPr>
        <w:t xml:space="preserve"> </w:t>
      </w:r>
      <w:r>
        <w:t>the</w:t>
      </w:r>
      <w:r>
        <w:rPr>
          <w:spacing w:val="-4"/>
        </w:rPr>
        <w:t xml:space="preserve"> </w:t>
      </w:r>
      <w:r>
        <w:t>use</w:t>
      </w:r>
      <w:r>
        <w:rPr>
          <w:spacing w:val="-4"/>
        </w:rPr>
        <w:t xml:space="preserve"> </w:t>
      </w:r>
      <w:r>
        <w:t>of</w:t>
      </w:r>
      <w:r>
        <w:rPr>
          <w:spacing w:val="-3"/>
        </w:rPr>
        <w:t xml:space="preserve"> </w:t>
      </w:r>
      <w:r>
        <w:t>ROA</w:t>
      </w:r>
      <w:r>
        <w:rPr>
          <w:spacing w:val="-4"/>
        </w:rPr>
        <w:t xml:space="preserve"> </w:t>
      </w:r>
      <w:r>
        <w:t>as</w:t>
      </w:r>
      <w:r>
        <w:rPr>
          <w:spacing w:val="-4"/>
        </w:rPr>
        <w:t xml:space="preserve"> </w:t>
      </w:r>
      <w:r>
        <w:t>an</w:t>
      </w:r>
      <w:r>
        <w:rPr>
          <w:spacing w:val="-3"/>
        </w:rPr>
        <w:t xml:space="preserve"> </w:t>
      </w:r>
      <w:r>
        <w:t>initial</w:t>
      </w:r>
      <w:r>
        <w:rPr>
          <w:spacing w:val="-4"/>
        </w:rPr>
        <w:t xml:space="preserve"> </w:t>
      </w:r>
      <w:r>
        <w:t>screening</w:t>
      </w:r>
      <w:r>
        <w:rPr>
          <w:spacing w:val="-3"/>
        </w:rPr>
        <w:t xml:space="preserve"> </w:t>
      </w:r>
      <w:r>
        <w:t>tool.</w:t>
      </w:r>
      <w:r>
        <w:rPr>
          <w:spacing w:val="-3"/>
        </w:rPr>
        <w:t xml:space="preserve"> </w:t>
      </w:r>
      <w:r>
        <w:t>Investors</w:t>
      </w:r>
      <w:r>
        <w:rPr>
          <w:spacing w:val="-4"/>
        </w:rPr>
        <w:t xml:space="preserve"> </w:t>
      </w:r>
      <w:r>
        <w:t>comparing</w:t>
      </w:r>
      <w:r>
        <w:rPr>
          <w:spacing w:val="-3"/>
        </w:rPr>
        <w:t xml:space="preserve"> </w:t>
      </w:r>
      <w:r>
        <w:t>consumer</w:t>
      </w:r>
      <w:r>
        <w:rPr>
          <w:spacing w:val="-3"/>
        </w:rPr>
        <w:t xml:space="preserve"> </w:t>
      </w:r>
      <w:r>
        <w:t>non-cyclicals</w:t>
      </w:r>
      <w:r>
        <w:rPr>
          <w:spacing w:val="-1"/>
        </w:rPr>
        <w:t xml:space="preserve"> </w:t>
      </w:r>
      <w:r>
        <w:t>companies</w:t>
      </w:r>
      <w:r>
        <w:rPr>
          <w:spacing w:val="-1"/>
        </w:rPr>
        <w:t xml:space="preserve"> </w:t>
      </w:r>
      <w:r>
        <w:t>should ask whether the</w:t>
      </w:r>
      <w:r>
        <w:rPr>
          <w:spacing w:val="-1"/>
        </w:rPr>
        <w:t xml:space="preserve"> </w:t>
      </w:r>
      <w:r>
        <w:t>company generates</w:t>
      </w:r>
      <w:r>
        <w:rPr>
          <w:spacing w:val="-1"/>
        </w:rPr>
        <w:t xml:space="preserve"> </w:t>
      </w:r>
      <w:r>
        <w:t>adequate</w:t>
      </w:r>
      <w:r>
        <w:rPr>
          <w:spacing w:val="-1"/>
        </w:rPr>
        <w:t xml:space="preserve"> </w:t>
      </w:r>
      <w:r>
        <w:t>profit</w:t>
      </w:r>
      <w:r>
        <w:rPr>
          <w:spacing w:val="-1"/>
        </w:rPr>
        <w:t xml:space="preserve"> </w:t>
      </w:r>
      <w:r>
        <w:t>from</w:t>
      </w:r>
      <w:r>
        <w:rPr>
          <w:spacing w:val="-1"/>
        </w:rPr>
        <w:t xml:space="preserve"> </w:t>
      </w:r>
      <w:r>
        <w:t>its</w:t>
      </w:r>
      <w:r>
        <w:rPr>
          <w:spacing w:val="-1"/>
        </w:rPr>
        <w:t xml:space="preserve"> </w:t>
      </w:r>
      <w:r>
        <w:t>asset</w:t>
      </w:r>
      <w:r>
        <w:rPr>
          <w:spacing w:val="-1"/>
        </w:rPr>
        <w:t xml:space="preserve"> </w:t>
      </w:r>
      <w:r>
        <w:t>base. Consistent</w:t>
      </w:r>
      <w:r>
        <w:rPr>
          <w:spacing w:val="-1"/>
        </w:rPr>
        <w:t xml:space="preserve"> </w:t>
      </w:r>
      <w:r>
        <w:t>ROA</w:t>
      </w:r>
      <w:r>
        <w:rPr>
          <w:spacing w:val="-1"/>
        </w:rPr>
        <w:t xml:space="preserve"> </w:t>
      </w:r>
      <w:r>
        <w:t xml:space="preserve">can indicate disciplined operations. Falling ROA may signal margin pressure, ineffective expansion, or weaker competitive </w:t>
      </w:r>
      <w:r>
        <w:rPr>
          <w:spacing w:val="-2"/>
        </w:rPr>
        <w:t>position.</w:t>
      </w:r>
    </w:p>
    <w:p w14:paraId="4BC28E6F" w14:textId="77777777" w:rsidR="00ED08FF" w:rsidRDefault="00000000">
      <w:pPr>
        <w:pStyle w:val="BodyText"/>
        <w:spacing w:line="297" w:lineRule="auto"/>
        <w:ind w:right="1903"/>
      </w:pPr>
      <w:r>
        <w:t>The leverage result suggests that investors should go beyond the DER number. They should examine whether liabilities are</w:t>
      </w:r>
      <w:r>
        <w:rPr>
          <w:spacing w:val="-6"/>
        </w:rPr>
        <w:t xml:space="preserve"> </w:t>
      </w:r>
      <w:r>
        <w:t>interest-bearing,</w:t>
      </w:r>
      <w:r>
        <w:rPr>
          <w:spacing w:val="-5"/>
        </w:rPr>
        <w:t xml:space="preserve"> </w:t>
      </w:r>
      <w:r>
        <w:t>operational,</w:t>
      </w:r>
      <w:r>
        <w:rPr>
          <w:spacing w:val="-5"/>
        </w:rPr>
        <w:t xml:space="preserve"> </w:t>
      </w:r>
      <w:r>
        <w:t>short-term,</w:t>
      </w:r>
      <w:r>
        <w:rPr>
          <w:spacing w:val="-5"/>
        </w:rPr>
        <w:t xml:space="preserve"> </w:t>
      </w:r>
      <w:r>
        <w:t>long-term,</w:t>
      </w:r>
      <w:r>
        <w:rPr>
          <w:spacing w:val="-5"/>
        </w:rPr>
        <w:t xml:space="preserve"> </w:t>
      </w:r>
      <w:r>
        <w:t>fixed-rate,</w:t>
      </w:r>
      <w:r>
        <w:rPr>
          <w:spacing w:val="-5"/>
        </w:rPr>
        <w:t xml:space="preserve"> </w:t>
      </w:r>
      <w:r>
        <w:t>floating-rate,</w:t>
      </w:r>
      <w:r>
        <w:rPr>
          <w:spacing w:val="-5"/>
        </w:rPr>
        <w:t xml:space="preserve"> </w:t>
      </w:r>
      <w:r>
        <w:t>rupiah-denominated,</w:t>
      </w:r>
      <w:r>
        <w:rPr>
          <w:spacing w:val="-5"/>
        </w:rPr>
        <w:t xml:space="preserve"> </w:t>
      </w:r>
      <w:r>
        <w:t>or</w:t>
      </w:r>
      <w:r>
        <w:rPr>
          <w:spacing w:val="-6"/>
        </w:rPr>
        <w:t xml:space="preserve"> </w:t>
      </w:r>
      <w:r>
        <w:t>foreign-currency</w:t>
      </w:r>
    </w:p>
    <w:p w14:paraId="01DF0907" w14:textId="77777777" w:rsidR="00ED08FF" w:rsidRDefault="00000000">
      <w:pPr>
        <w:pStyle w:val="BodyText"/>
        <w:spacing w:line="297" w:lineRule="auto"/>
        <w:ind w:right="1671"/>
      </w:pPr>
      <w:r>
        <w:t>denominated.</w:t>
      </w:r>
      <w:r>
        <w:rPr>
          <w:spacing w:val="-3"/>
        </w:rPr>
        <w:t xml:space="preserve"> </w:t>
      </w:r>
      <w:r>
        <w:t>The</w:t>
      </w:r>
      <w:r>
        <w:rPr>
          <w:spacing w:val="-4"/>
        </w:rPr>
        <w:t xml:space="preserve"> </w:t>
      </w:r>
      <w:r>
        <w:t>same</w:t>
      </w:r>
      <w:r>
        <w:rPr>
          <w:spacing w:val="-4"/>
        </w:rPr>
        <w:t xml:space="preserve"> </w:t>
      </w:r>
      <w:r>
        <w:t>DER</w:t>
      </w:r>
      <w:r>
        <w:rPr>
          <w:spacing w:val="-4"/>
        </w:rPr>
        <w:t xml:space="preserve"> </w:t>
      </w:r>
      <w:r>
        <w:t>can</w:t>
      </w:r>
      <w:r>
        <w:rPr>
          <w:spacing w:val="-3"/>
        </w:rPr>
        <w:t xml:space="preserve"> </w:t>
      </w:r>
      <w:r>
        <w:t>imply</w:t>
      </w:r>
      <w:r>
        <w:rPr>
          <w:spacing w:val="-3"/>
        </w:rPr>
        <w:t xml:space="preserve"> </w:t>
      </w:r>
      <w:r>
        <w:t>different</w:t>
      </w:r>
      <w:r>
        <w:rPr>
          <w:spacing w:val="-4"/>
        </w:rPr>
        <w:t xml:space="preserve"> </w:t>
      </w:r>
      <w:r>
        <w:t>risks</w:t>
      </w:r>
      <w:r>
        <w:rPr>
          <w:spacing w:val="-4"/>
        </w:rPr>
        <w:t xml:space="preserve"> </w:t>
      </w:r>
      <w:r>
        <w:t>depending</w:t>
      </w:r>
      <w:r>
        <w:rPr>
          <w:spacing w:val="-3"/>
        </w:rPr>
        <w:t xml:space="preserve"> </w:t>
      </w:r>
      <w:r>
        <w:t>on</w:t>
      </w:r>
      <w:r>
        <w:rPr>
          <w:spacing w:val="-3"/>
        </w:rPr>
        <w:t xml:space="preserve"> </w:t>
      </w:r>
      <w:r>
        <w:t>debt</w:t>
      </w:r>
      <w:r>
        <w:rPr>
          <w:spacing w:val="-4"/>
        </w:rPr>
        <w:t xml:space="preserve"> </w:t>
      </w:r>
      <w:r>
        <w:t>composition</w:t>
      </w:r>
      <w:r>
        <w:rPr>
          <w:spacing w:val="-3"/>
        </w:rPr>
        <w:t xml:space="preserve"> </w:t>
      </w:r>
      <w:r>
        <w:t>and</w:t>
      </w:r>
      <w:r>
        <w:rPr>
          <w:spacing w:val="-3"/>
        </w:rPr>
        <w:t xml:space="preserve"> </w:t>
      </w:r>
      <w:r>
        <w:t>cash-flow</w:t>
      </w:r>
      <w:r>
        <w:rPr>
          <w:spacing w:val="-4"/>
        </w:rPr>
        <w:t xml:space="preserve"> </w:t>
      </w:r>
      <w:r>
        <w:t>stability.</w:t>
      </w:r>
      <w:r>
        <w:rPr>
          <w:spacing w:val="-3"/>
        </w:rPr>
        <w:t xml:space="preserve"> </w:t>
      </w:r>
      <w:r>
        <w:t>Simple</w:t>
      </w:r>
      <w:r>
        <w:rPr>
          <w:spacing w:val="-4"/>
        </w:rPr>
        <w:t xml:space="preserve"> </w:t>
      </w:r>
      <w:r>
        <w:t>ratio analysis must be followed by statement analysis.</w:t>
      </w:r>
    </w:p>
    <w:p w14:paraId="6469F6B5" w14:textId="77777777" w:rsidR="00ED08FF" w:rsidRDefault="00000000">
      <w:pPr>
        <w:pStyle w:val="BodyText"/>
        <w:spacing w:line="297" w:lineRule="auto"/>
        <w:ind w:right="1873"/>
      </w:pPr>
      <w:r>
        <w:t>The liquidity result suggests that investors should examine inventory days, receivable turnover, payable days, and cash conversion</w:t>
      </w:r>
      <w:r>
        <w:rPr>
          <w:spacing w:val="-2"/>
        </w:rPr>
        <w:t xml:space="preserve"> </w:t>
      </w:r>
      <w:r>
        <w:t>cycle</w:t>
      </w:r>
      <w:r>
        <w:rPr>
          <w:spacing w:val="-3"/>
        </w:rPr>
        <w:t xml:space="preserve"> </w:t>
      </w:r>
      <w:r>
        <w:t>if</w:t>
      </w:r>
      <w:r>
        <w:rPr>
          <w:spacing w:val="-2"/>
        </w:rPr>
        <w:t xml:space="preserve"> </w:t>
      </w:r>
      <w:r>
        <w:t>data</w:t>
      </w:r>
      <w:r>
        <w:rPr>
          <w:spacing w:val="-3"/>
        </w:rPr>
        <w:t xml:space="preserve"> </w:t>
      </w:r>
      <w:r>
        <w:t>are</w:t>
      </w:r>
      <w:r>
        <w:rPr>
          <w:spacing w:val="-3"/>
        </w:rPr>
        <w:t xml:space="preserve"> </w:t>
      </w:r>
      <w:r>
        <w:t>available.</w:t>
      </w:r>
      <w:r>
        <w:rPr>
          <w:spacing w:val="-2"/>
        </w:rPr>
        <w:t xml:space="preserve"> </w:t>
      </w:r>
      <w:r>
        <w:t>A</w:t>
      </w:r>
      <w:r>
        <w:rPr>
          <w:spacing w:val="-3"/>
        </w:rPr>
        <w:t xml:space="preserve"> </w:t>
      </w:r>
      <w:r>
        <w:t>high</w:t>
      </w:r>
      <w:r>
        <w:rPr>
          <w:spacing w:val="-2"/>
        </w:rPr>
        <w:t xml:space="preserve"> </w:t>
      </w:r>
      <w:r>
        <w:t>current</w:t>
      </w:r>
      <w:r>
        <w:rPr>
          <w:spacing w:val="-3"/>
        </w:rPr>
        <w:t xml:space="preserve"> </w:t>
      </w:r>
      <w:r>
        <w:t>ratio</w:t>
      </w:r>
      <w:r>
        <w:rPr>
          <w:spacing w:val="-2"/>
        </w:rPr>
        <w:t xml:space="preserve"> </w:t>
      </w:r>
      <w:r>
        <w:t>may</w:t>
      </w:r>
      <w:r>
        <w:rPr>
          <w:spacing w:val="-2"/>
        </w:rPr>
        <w:t xml:space="preserve"> </w:t>
      </w:r>
      <w:r>
        <w:t>be</w:t>
      </w:r>
      <w:r>
        <w:rPr>
          <w:spacing w:val="-3"/>
        </w:rPr>
        <w:t xml:space="preserve"> </w:t>
      </w:r>
      <w:r>
        <w:t>good</w:t>
      </w:r>
      <w:r>
        <w:rPr>
          <w:spacing w:val="-2"/>
        </w:rPr>
        <w:t xml:space="preserve"> </w:t>
      </w:r>
      <w:r>
        <w:t>if</w:t>
      </w:r>
      <w:r>
        <w:rPr>
          <w:spacing w:val="-2"/>
        </w:rPr>
        <w:t xml:space="preserve"> </w:t>
      </w:r>
      <w:r>
        <w:t>it</w:t>
      </w:r>
      <w:r>
        <w:rPr>
          <w:spacing w:val="-3"/>
        </w:rPr>
        <w:t xml:space="preserve"> </w:t>
      </w:r>
      <w:r>
        <w:t>supports</w:t>
      </w:r>
      <w:r>
        <w:rPr>
          <w:spacing w:val="-3"/>
        </w:rPr>
        <w:t xml:space="preserve"> </w:t>
      </w:r>
      <w:r>
        <w:t>business</w:t>
      </w:r>
      <w:r>
        <w:rPr>
          <w:spacing w:val="-3"/>
        </w:rPr>
        <w:t xml:space="preserve"> </w:t>
      </w:r>
      <w:r>
        <w:t>growth,</w:t>
      </w:r>
      <w:r>
        <w:rPr>
          <w:spacing w:val="-2"/>
        </w:rPr>
        <w:t xml:space="preserve"> </w:t>
      </w:r>
      <w:r>
        <w:t>but</w:t>
      </w:r>
      <w:r>
        <w:rPr>
          <w:spacing w:val="-3"/>
        </w:rPr>
        <w:t xml:space="preserve"> </w:t>
      </w:r>
      <w:r>
        <w:t>it</w:t>
      </w:r>
      <w:r>
        <w:rPr>
          <w:spacing w:val="-3"/>
        </w:rPr>
        <w:t xml:space="preserve"> </w:t>
      </w:r>
      <w:r>
        <w:t>may</w:t>
      </w:r>
      <w:r>
        <w:rPr>
          <w:spacing w:val="-2"/>
        </w:rPr>
        <w:t xml:space="preserve"> </w:t>
      </w:r>
      <w:r>
        <w:t>be</w:t>
      </w:r>
      <w:r>
        <w:rPr>
          <w:spacing w:val="-3"/>
        </w:rPr>
        <w:t xml:space="preserve"> </w:t>
      </w:r>
      <w:r>
        <w:t>weak if driven by slow-moving inventory or delayed receivables. Investors should ask whether current assets are productive.</w:t>
      </w:r>
    </w:p>
    <w:p w14:paraId="502A5B31" w14:textId="77777777" w:rsidR="00ED08FF" w:rsidRDefault="00000000">
      <w:pPr>
        <w:pStyle w:val="BodyText"/>
        <w:spacing w:line="297" w:lineRule="auto"/>
        <w:ind w:right="1903"/>
      </w:pPr>
      <w:r>
        <w:t>The size result suggests that large issuers should not be purchased simply because they are large. Size can provide resilience, but</w:t>
      </w:r>
      <w:r>
        <w:rPr>
          <w:spacing w:val="-1"/>
        </w:rPr>
        <w:t xml:space="preserve"> </w:t>
      </w:r>
      <w:r>
        <w:t>valuation depends</w:t>
      </w:r>
      <w:r>
        <w:rPr>
          <w:spacing w:val="-1"/>
        </w:rPr>
        <w:t xml:space="preserve"> </w:t>
      </w:r>
      <w:r>
        <w:t>on returns. Investors</w:t>
      </w:r>
      <w:r>
        <w:rPr>
          <w:spacing w:val="-1"/>
        </w:rPr>
        <w:t xml:space="preserve"> </w:t>
      </w:r>
      <w:r>
        <w:t>should compare</w:t>
      </w:r>
      <w:r>
        <w:rPr>
          <w:spacing w:val="-1"/>
        </w:rPr>
        <w:t xml:space="preserve"> </w:t>
      </w:r>
      <w:r>
        <w:t>asset</w:t>
      </w:r>
      <w:r>
        <w:rPr>
          <w:spacing w:val="-1"/>
        </w:rPr>
        <w:t xml:space="preserve"> </w:t>
      </w:r>
      <w:r>
        <w:t>growth with profit</w:t>
      </w:r>
      <w:r>
        <w:rPr>
          <w:spacing w:val="-1"/>
        </w:rPr>
        <w:t xml:space="preserve"> </w:t>
      </w:r>
      <w:r>
        <w:t>growth. If assets</w:t>
      </w:r>
      <w:r>
        <w:rPr>
          <w:spacing w:val="-1"/>
        </w:rPr>
        <w:t xml:space="preserve"> </w:t>
      </w:r>
      <w:r>
        <w:t>grow while</w:t>
      </w:r>
      <w:r>
        <w:rPr>
          <w:spacing w:val="-4"/>
        </w:rPr>
        <w:t xml:space="preserve"> </w:t>
      </w:r>
      <w:r>
        <w:t>ROA</w:t>
      </w:r>
      <w:r>
        <w:rPr>
          <w:spacing w:val="-4"/>
        </w:rPr>
        <w:t xml:space="preserve"> </w:t>
      </w:r>
      <w:r>
        <w:t>declines,</w:t>
      </w:r>
      <w:r>
        <w:rPr>
          <w:spacing w:val="-3"/>
        </w:rPr>
        <w:t xml:space="preserve"> </w:t>
      </w:r>
      <w:r>
        <w:t>the</w:t>
      </w:r>
      <w:r>
        <w:rPr>
          <w:spacing w:val="-4"/>
        </w:rPr>
        <w:t xml:space="preserve"> </w:t>
      </w:r>
      <w:r>
        <w:t>company</w:t>
      </w:r>
      <w:r>
        <w:rPr>
          <w:spacing w:val="-3"/>
        </w:rPr>
        <w:t xml:space="preserve"> </w:t>
      </w:r>
      <w:r>
        <w:t>may</w:t>
      </w:r>
      <w:r>
        <w:rPr>
          <w:spacing w:val="-3"/>
        </w:rPr>
        <w:t xml:space="preserve"> </w:t>
      </w:r>
      <w:r>
        <w:t>be</w:t>
      </w:r>
      <w:r>
        <w:rPr>
          <w:spacing w:val="-4"/>
        </w:rPr>
        <w:t xml:space="preserve"> </w:t>
      </w:r>
      <w:r>
        <w:t>expanding</w:t>
      </w:r>
      <w:r>
        <w:rPr>
          <w:spacing w:val="-3"/>
        </w:rPr>
        <w:t xml:space="preserve"> </w:t>
      </w:r>
      <w:r>
        <w:t>inefficiently.</w:t>
      </w:r>
      <w:r>
        <w:rPr>
          <w:spacing w:val="-3"/>
        </w:rPr>
        <w:t xml:space="preserve"> </w:t>
      </w:r>
      <w:r>
        <w:t>If</w:t>
      </w:r>
      <w:r>
        <w:rPr>
          <w:spacing w:val="-3"/>
        </w:rPr>
        <w:t xml:space="preserve"> </w:t>
      </w:r>
      <w:r>
        <w:t>assets</w:t>
      </w:r>
      <w:r>
        <w:rPr>
          <w:spacing w:val="-4"/>
        </w:rPr>
        <w:t xml:space="preserve"> </w:t>
      </w:r>
      <w:r>
        <w:t>remain</w:t>
      </w:r>
      <w:r>
        <w:rPr>
          <w:spacing w:val="-3"/>
        </w:rPr>
        <w:t xml:space="preserve"> </w:t>
      </w:r>
      <w:r>
        <w:t>stable</w:t>
      </w:r>
      <w:r>
        <w:rPr>
          <w:spacing w:val="-4"/>
        </w:rPr>
        <w:t xml:space="preserve"> </w:t>
      </w:r>
      <w:r>
        <w:t>while</w:t>
      </w:r>
      <w:r>
        <w:rPr>
          <w:spacing w:val="-4"/>
        </w:rPr>
        <w:t xml:space="preserve"> </w:t>
      </w:r>
      <w:r>
        <w:t>ROA</w:t>
      </w:r>
      <w:r>
        <w:rPr>
          <w:spacing w:val="-4"/>
        </w:rPr>
        <w:t xml:space="preserve"> </w:t>
      </w:r>
      <w:r>
        <w:t>improves,</w:t>
      </w:r>
      <w:r>
        <w:rPr>
          <w:spacing w:val="-3"/>
        </w:rPr>
        <w:t xml:space="preserve"> </w:t>
      </w:r>
      <w:r>
        <w:t>value creation may be stronger than size alone suggests.</w:t>
      </w:r>
    </w:p>
    <w:p w14:paraId="03F944B1" w14:textId="77777777" w:rsidR="00ED08FF" w:rsidRDefault="00000000">
      <w:pPr>
        <w:pStyle w:val="BodyText"/>
        <w:spacing w:line="297" w:lineRule="auto"/>
        <w:ind w:right="1903"/>
      </w:pPr>
      <w:r>
        <w:t>These implications are especially relevant for retail investors. Retail investors often rely on simple ratios available from free</w:t>
      </w:r>
      <w:r>
        <w:rPr>
          <w:spacing w:val="-3"/>
        </w:rPr>
        <w:t xml:space="preserve"> </w:t>
      </w:r>
      <w:r>
        <w:t>databases.</w:t>
      </w:r>
      <w:r>
        <w:rPr>
          <w:spacing w:val="-2"/>
        </w:rPr>
        <w:t xml:space="preserve"> </w:t>
      </w:r>
      <w:r>
        <w:t>This</w:t>
      </w:r>
      <w:r>
        <w:rPr>
          <w:spacing w:val="-3"/>
        </w:rPr>
        <w:t xml:space="preserve"> </w:t>
      </w:r>
      <w:r>
        <w:t>paper</w:t>
      </w:r>
      <w:r>
        <w:rPr>
          <w:spacing w:val="-2"/>
        </w:rPr>
        <w:t xml:space="preserve"> </w:t>
      </w:r>
      <w:r>
        <w:t>shows</w:t>
      </w:r>
      <w:r>
        <w:rPr>
          <w:spacing w:val="-3"/>
        </w:rPr>
        <w:t xml:space="preserve"> </w:t>
      </w:r>
      <w:r>
        <w:t>that</w:t>
      </w:r>
      <w:r>
        <w:rPr>
          <w:spacing w:val="-3"/>
        </w:rPr>
        <w:t xml:space="preserve"> </w:t>
      </w:r>
      <w:r>
        <w:t>those</w:t>
      </w:r>
      <w:r>
        <w:rPr>
          <w:spacing w:val="-3"/>
        </w:rPr>
        <w:t xml:space="preserve"> </w:t>
      </w:r>
      <w:r>
        <w:t>ratios</w:t>
      </w:r>
      <w:r>
        <w:rPr>
          <w:spacing w:val="-3"/>
        </w:rPr>
        <w:t xml:space="preserve"> </w:t>
      </w:r>
      <w:r>
        <w:t>can</w:t>
      </w:r>
      <w:r>
        <w:rPr>
          <w:spacing w:val="-2"/>
        </w:rPr>
        <w:t xml:space="preserve"> </w:t>
      </w:r>
      <w:r>
        <w:t>be</w:t>
      </w:r>
      <w:r>
        <w:rPr>
          <w:spacing w:val="-3"/>
        </w:rPr>
        <w:t xml:space="preserve"> </w:t>
      </w:r>
      <w:r>
        <w:t>useful,</w:t>
      </w:r>
      <w:r>
        <w:rPr>
          <w:spacing w:val="-2"/>
        </w:rPr>
        <w:t xml:space="preserve"> </w:t>
      </w:r>
      <w:r>
        <w:t>but</w:t>
      </w:r>
      <w:r>
        <w:rPr>
          <w:spacing w:val="-3"/>
        </w:rPr>
        <w:t xml:space="preserve"> </w:t>
      </w:r>
      <w:r>
        <w:t>they</w:t>
      </w:r>
      <w:r>
        <w:rPr>
          <w:spacing w:val="-2"/>
        </w:rPr>
        <w:t xml:space="preserve"> </w:t>
      </w:r>
      <w:r>
        <w:t>must</w:t>
      </w:r>
      <w:r>
        <w:rPr>
          <w:spacing w:val="-3"/>
        </w:rPr>
        <w:t xml:space="preserve"> </w:t>
      </w:r>
      <w:r>
        <w:t>be</w:t>
      </w:r>
      <w:r>
        <w:rPr>
          <w:spacing w:val="-3"/>
        </w:rPr>
        <w:t xml:space="preserve"> </w:t>
      </w:r>
      <w:r>
        <w:t>interpreted</w:t>
      </w:r>
      <w:r>
        <w:rPr>
          <w:spacing w:val="-2"/>
        </w:rPr>
        <w:t xml:space="preserve"> </w:t>
      </w:r>
      <w:r>
        <w:t>carefully.</w:t>
      </w:r>
      <w:r>
        <w:rPr>
          <w:spacing w:val="-2"/>
        </w:rPr>
        <w:t xml:space="preserve"> </w:t>
      </w:r>
      <w:r>
        <w:t>The</w:t>
      </w:r>
      <w:r>
        <w:rPr>
          <w:spacing w:val="-3"/>
        </w:rPr>
        <w:t xml:space="preserve"> </w:t>
      </w:r>
      <w:r>
        <w:t>goal</w:t>
      </w:r>
      <w:r>
        <w:rPr>
          <w:spacing w:val="-3"/>
        </w:rPr>
        <w:t xml:space="preserve"> </w:t>
      </w:r>
      <w:r>
        <w:t>is</w:t>
      </w:r>
      <w:r>
        <w:rPr>
          <w:spacing w:val="-3"/>
        </w:rPr>
        <w:t xml:space="preserve"> </w:t>
      </w:r>
      <w:r>
        <w:t>not</w:t>
      </w:r>
      <w:r>
        <w:rPr>
          <w:spacing w:val="-3"/>
        </w:rPr>
        <w:t xml:space="preserve"> </w:t>
      </w:r>
      <w:r>
        <w:t xml:space="preserve">to </w:t>
      </w:r>
      <w:r>
        <w:rPr>
          <w:color w:val="000000"/>
          <w:highlight w:val="yellow"/>
        </w:rPr>
        <w:t>memorise which ratio is good or bad. The goal is to understand what each ratio says about business performance.</w:t>
      </w:r>
    </w:p>
    <w:p w14:paraId="0CCCDE45" w14:textId="77777777" w:rsidR="00ED08FF" w:rsidRDefault="00ED08FF">
      <w:pPr>
        <w:pStyle w:val="BodyText"/>
        <w:spacing w:before="51"/>
        <w:ind w:left="0"/>
      </w:pPr>
    </w:p>
    <w:p w14:paraId="2A77B7BD" w14:textId="77777777" w:rsidR="00ED08FF" w:rsidRDefault="00000000">
      <w:pPr>
        <w:pStyle w:val="Heading2"/>
        <w:numPr>
          <w:ilvl w:val="1"/>
          <w:numId w:val="1"/>
        </w:numPr>
        <w:tabs>
          <w:tab w:val="left" w:pos="505"/>
        </w:tabs>
        <w:ind w:left="505" w:hanging="360"/>
      </w:pPr>
      <w:r>
        <w:t>Academic</w:t>
      </w:r>
      <w:r>
        <w:rPr>
          <w:spacing w:val="-8"/>
        </w:rPr>
        <w:t xml:space="preserve"> </w:t>
      </w:r>
      <w:r>
        <w:t>Implications</w:t>
      </w:r>
      <w:r>
        <w:rPr>
          <w:spacing w:val="-7"/>
        </w:rPr>
        <w:t xml:space="preserve"> </w:t>
      </w:r>
      <w:r>
        <w:t>and</w:t>
      </w:r>
      <w:r>
        <w:rPr>
          <w:spacing w:val="-6"/>
        </w:rPr>
        <w:t xml:space="preserve"> </w:t>
      </w:r>
      <w:r>
        <w:t>Future</w:t>
      </w:r>
      <w:r>
        <w:rPr>
          <w:spacing w:val="-7"/>
        </w:rPr>
        <w:t xml:space="preserve"> </w:t>
      </w:r>
      <w:r>
        <w:rPr>
          <w:spacing w:val="-2"/>
        </w:rPr>
        <w:t>Research</w:t>
      </w:r>
    </w:p>
    <w:p w14:paraId="4DD089C1" w14:textId="77777777" w:rsidR="00ED08FF" w:rsidRDefault="00000000">
      <w:pPr>
        <w:pStyle w:val="BodyText"/>
        <w:spacing w:before="50" w:line="297" w:lineRule="auto"/>
        <w:ind w:right="2032"/>
      </w:pPr>
      <w:r>
        <w:t>For academic writing, this study illustrates the value of a focused research design. A paper does not need excessive variables to be credible. It needs a clear research question, consistent measurement, relevant theory, transparent data, and</w:t>
      </w:r>
      <w:r>
        <w:rPr>
          <w:spacing w:val="-3"/>
        </w:rPr>
        <w:t xml:space="preserve"> </w:t>
      </w:r>
      <w:r>
        <w:t>disciplined</w:t>
      </w:r>
      <w:r>
        <w:rPr>
          <w:spacing w:val="-3"/>
        </w:rPr>
        <w:t xml:space="preserve"> </w:t>
      </w:r>
      <w:r>
        <w:t>interpretation.</w:t>
      </w:r>
      <w:r>
        <w:rPr>
          <w:spacing w:val="-3"/>
        </w:rPr>
        <w:t xml:space="preserve"> </w:t>
      </w:r>
      <w:r>
        <w:t>In</w:t>
      </w:r>
      <w:r>
        <w:rPr>
          <w:spacing w:val="-3"/>
        </w:rPr>
        <w:t xml:space="preserve"> </w:t>
      </w:r>
      <w:r>
        <w:t>many</w:t>
      </w:r>
      <w:r>
        <w:rPr>
          <w:spacing w:val="-3"/>
        </w:rPr>
        <w:t xml:space="preserve"> </w:t>
      </w:r>
      <w:r>
        <w:t>accounting</w:t>
      </w:r>
      <w:r>
        <w:rPr>
          <w:spacing w:val="-3"/>
        </w:rPr>
        <w:t xml:space="preserve"> </w:t>
      </w:r>
      <w:r>
        <w:t>papers,</w:t>
      </w:r>
      <w:r>
        <w:rPr>
          <w:spacing w:val="-3"/>
        </w:rPr>
        <w:t xml:space="preserve"> </w:t>
      </w:r>
      <w:r>
        <w:t>the</w:t>
      </w:r>
      <w:r>
        <w:rPr>
          <w:spacing w:val="-4"/>
        </w:rPr>
        <w:t xml:space="preserve"> </w:t>
      </w:r>
      <w:r>
        <w:t>real</w:t>
      </w:r>
      <w:r>
        <w:rPr>
          <w:spacing w:val="-4"/>
        </w:rPr>
        <w:t xml:space="preserve"> </w:t>
      </w:r>
      <w:r>
        <w:t>weakness</w:t>
      </w:r>
      <w:r>
        <w:rPr>
          <w:spacing w:val="-4"/>
        </w:rPr>
        <w:t xml:space="preserve"> </w:t>
      </w:r>
      <w:r>
        <w:t>is</w:t>
      </w:r>
      <w:r>
        <w:rPr>
          <w:spacing w:val="-4"/>
        </w:rPr>
        <w:t xml:space="preserve"> </w:t>
      </w:r>
      <w:r>
        <w:t>not</w:t>
      </w:r>
      <w:r>
        <w:rPr>
          <w:spacing w:val="-4"/>
        </w:rPr>
        <w:t xml:space="preserve"> </w:t>
      </w:r>
      <w:r>
        <w:t>the</w:t>
      </w:r>
      <w:r>
        <w:rPr>
          <w:spacing w:val="-4"/>
        </w:rPr>
        <w:t xml:space="preserve"> </w:t>
      </w:r>
      <w:r>
        <w:t>absence</w:t>
      </w:r>
      <w:r>
        <w:rPr>
          <w:spacing w:val="-4"/>
        </w:rPr>
        <w:t xml:space="preserve"> </w:t>
      </w:r>
      <w:r>
        <w:t>of</w:t>
      </w:r>
      <w:r>
        <w:rPr>
          <w:spacing w:val="-3"/>
        </w:rPr>
        <w:t xml:space="preserve"> </w:t>
      </w:r>
      <w:r>
        <w:t>advanced</w:t>
      </w:r>
      <w:r>
        <w:rPr>
          <w:spacing w:val="-3"/>
        </w:rPr>
        <w:t xml:space="preserve"> </w:t>
      </w:r>
      <w:r>
        <w:t>statistics;</w:t>
      </w:r>
      <w:r>
        <w:rPr>
          <w:spacing w:val="-4"/>
        </w:rPr>
        <w:t xml:space="preserve"> </w:t>
      </w:r>
      <w:r>
        <w:t>it is the inability to explain why the model makes sense.</w:t>
      </w:r>
    </w:p>
    <w:p w14:paraId="54417E83" w14:textId="77777777" w:rsidR="00ED08FF" w:rsidRDefault="00000000">
      <w:pPr>
        <w:pStyle w:val="BodyText"/>
        <w:spacing w:before="2" w:line="297" w:lineRule="auto"/>
        <w:ind w:right="1903"/>
      </w:pPr>
      <w:r>
        <w:t>Future research can expand the sample to include all consumer non-cyclicals issuers listed on the Indonesia Stock Exchange. A larger sample would allow fixed-effects models, random-effects models, and dynamic panel techniques. These</w:t>
      </w:r>
      <w:r>
        <w:rPr>
          <w:spacing w:val="-4"/>
        </w:rPr>
        <w:t xml:space="preserve"> </w:t>
      </w:r>
      <w:r>
        <w:t>methods</w:t>
      </w:r>
      <w:r>
        <w:rPr>
          <w:spacing w:val="-4"/>
        </w:rPr>
        <w:t xml:space="preserve"> </w:t>
      </w:r>
      <w:r>
        <w:t>could</w:t>
      </w:r>
      <w:r>
        <w:rPr>
          <w:spacing w:val="-3"/>
        </w:rPr>
        <w:t xml:space="preserve"> </w:t>
      </w:r>
      <w:r>
        <w:t>control</w:t>
      </w:r>
      <w:r>
        <w:rPr>
          <w:spacing w:val="-4"/>
        </w:rPr>
        <w:t xml:space="preserve"> </w:t>
      </w:r>
      <w:r>
        <w:t>for</w:t>
      </w:r>
      <w:r>
        <w:rPr>
          <w:spacing w:val="-3"/>
        </w:rPr>
        <w:t xml:space="preserve"> </w:t>
      </w:r>
      <w:r>
        <w:t>unobserved</w:t>
      </w:r>
      <w:r>
        <w:rPr>
          <w:spacing w:val="-3"/>
        </w:rPr>
        <w:t xml:space="preserve"> </w:t>
      </w:r>
      <w:r>
        <w:t>company</w:t>
      </w:r>
      <w:r>
        <w:rPr>
          <w:spacing w:val="-3"/>
        </w:rPr>
        <w:t xml:space="preserve"> </w:t>
      </w:r>
      <w:r>
        <w:t>characteristics</w:t>
      </w:r>
      <w:r>
        <w:rPr>
          <w:spacing w:val="-4"/>
        </w:rPr>
        <w:t xml:space="preserve"> </w:t>
      </w:r>
      <w:r>
        <w:t>and</w:t>
      </w:r>
      <w:r>
        <w:rPr>
          <w:spacing w:val="-3"/>
        </w:rPr>
        <w:t xml:space="preserve"> </w:t>
      </w:r>
      <w:r>
        <w:t>provide</w:t>
      </w:r>
      <w:r>
        <w:rPr>
          <w:spacing w:val="-4"/>
        </w:rPr>
        <w:t xml:space="preserve"> </w:t>
      </w:r>
      <w:r>
        <w:t>stronger</w:t>
      </w:r>
      <w:r>
        <w:rPr>
          <w:spacing w:val="-3"/>
        </w:rPr>
        <w:t xml:space="preserve"> </w:t>
      </w:r>
      <w:r>
        <w:t>inference.</w:t>
      </w:r>
      <w:r>
        <w:rPr>
          <w:spacing w:val="-3"/>
        </w:rPr>
        <w:t xml:space="preserve"> </w:t>
      </w:r>
      <w:r>
        <w:t>The</w:t>
      </w:r>
      <w:r>
        <w:rPr>
          <w:spacing w:val="-4"/>
        </w:rPr>
        <w:t xml:space="preserve"> </w:t>
      </w:r>
      <w:r>
        <w:t>present</w:t>
      </w:r>
      <w:r>
        <w:rPr>
          <w:spacing w:val="-4"/>
        </w:rPr>
        <w:t xml:space="preserve"> </w:t>
      </w:r>
      <w:r>
        <w:t>study deliberately uses a small transparent sample, but a publishable journal article would benefit from broader coverage.</w:t>
      </w:r>
    </w:p>
    <w:p w14:paraId="6F9F59C7" w14:textId="77777777" w:rsidR="00ED08FF" w:rsidRDefault="00000000">
      <w:pPr>
        <w:pStyle w:val="BodyText"/>
        <w:spacing w:line="297" w:lineRule="auto"/>
        <w:ind w:right="2358"/>
        <w:jc w:val="both"/>
      </w:pPr>
      <w:r>
        <w:t>Future</w:t>
      </w:r>
      <w:r>
        <w:rPr>
          <w:spacing w:val="-4"/>
        </w:rPr>
        <w:t xml:space="preserve"> </w:t>
      </w:r>
      <w:r>
        <w:t>research</w:t>
      </w:r>
      <w:r>
        <w:rPr>
          <w:spacing w:val="-3"/>
        </w:rPr>
        <w:t xml:space="preserve"> </w:t>
      </w:r>
      <w:r>
        <w:t>can</w:t>
      </w:r>
      <w:r>
        <w:rPr>
          <w:spacing w:val="-3"/>
        </w:rPr>
        <w:t xml:space="preserve"> </w:t>
      </w:r>
      <w:r>
        <w:t>also</w:t>
      </w:r>
      <w:r>
        <w:rPr>
          <w:spacing w:val="-3"/>
        </w:rPr>
        <w:t xml:space="preserve"> </w:t>
      </w:r>
      <w:r>
        <w:t>replace</w:t>
      </w:r>
      <w:r>
        <w:rPr>
          <w:spacing w:val="-4"/>
        </w:rPr>
        <w:t xml:space="preserve"> </w:t>
      </w:r>
      <w:r>
        <w:t>PBV</w:t>
      </w:r>
      <w:r>
        <w:rPr>
          <w:spacing w:val="-4"/>
        </w:rPr>
        <w:t xml:space="preserve"> </w:t>
      </w:r>
      <w:r>
        <w:t>with</w:t>
      </w:r>
      <w:r>
        <w:rPr>
          <w:spacing w:val="-3"/>
        </w:rPr>
        <w:t xml:space="preserve"> </w:t>
      </w:r>
      <w:r>
        <w:t>Tobin's</w:t>
      </w:r>
      <w:r>
        <w:rPr>
          <w:spacing w:val="-4"/>
        </w:rPr>
        <w:t xml:space="preserve"> </w:t>
      </w:r>
      <w:r>
        <w:t>Q</w:t>
      </w:r>
      <w:r>
        <w:rPr>
          <w:spacing w:val="-4"/>
        </w:rPr>
        <w:t xml:space="preserve"> </w:t>
      </w:r>
      <w:r>
        <w:t>or</w:t>
      </w:r>
      <w:r>
        <w:rPr>
          <w:spacing w:val="-3"/>
        </w:rPr>
        <w:t xml:space="preserve"> </w:t>
      </w:r>
      <w:r>
        <w:t>market</w:t>
      </w:r>
      <w:r>
        <w:rPr>
          <w:spacing w:val="-4"/>
        </w:rPr>
        <w:t xml:space="preserve"> </w:t>
      </w:r>
      <w:r>
        <w:t>capitalization.</w:t>
      </w:r>
      <w:r>
        <w:rPr>
          <w:spacing w:val="-3"/>
        </w:rPr>
        <w:t xml:space="preserve"> </w:t>
      </w:r>
      <w:r>
        <w:t>Tobin's</w:t>
      </w:r>
      <w:r>
        <w:rPr>
          <w:spacing w:val="-4"/>
        </w:rPr>
        <w:t xml:space="preserve"> </w:t>
      </w:r>
      <w:r>
        <w:t>Q</w:t>
      </w:r>
      <w:r>
        <w:rPr>
          <w:spacing w:val="-4"/>
        </w:rPr>
        <w:t xml:space="preserve"> </w:t>
      </w:r>
      <w:r>
        <w:t>may</w:t>
      </w:r>
      <w:r>
        <w:rPr>
          <w:spacing w:val="-3"/>
        </w:rPr>
        <w:t xml:space="preserve"> </w:t>
      </w:r>
      <w:r>
        <w:t>better</w:t>
      </w:r>
      <w:r>
        <w:rPr>
          <w:spacing w:val="-3"/>
        </w:rPr>
        <w:t xml:space="preserve"> </w:t>
      </w:r>
      <w:r>
        <w:t>capture</w:t>
      </w:r>
      <w:r>
        <w:rPr>
          <w:spacing w:val="-4"/>
        </w:rPr>
        <w:t xml:space="preserve"> </w:t>
      </w:r>
      <w:r>
        <w:t>market value</w:t>
      </w:r>
      <w:r>
        <w:rPr>
          <w:spacing w:val="-2"/>
        </w:rPr>
        <w:t xml:space="preserve"> </w:t>
      </w:r>
      <w:r>
        <w:t>relative</w:t>
      </w:r>
      <w:r>
        <w:rPr>
          <w:spacing w:val="-2"/>
        </w:rPr>
        <w:t xml:space="preserve"> </w:t>
      </w:r>
      <w:r>
        <w:t>to</w:t>
      </w:r>
      <w:r>
        <w:rPr>
          <w:spacing w:val="-1"/>
        </w:rPr>
        <w:t xml:space="preserve"> </w:t>
      </w:r>
      <w:r>
        <w:t>replacement</w:t>
      </w:r>
      <w:r>
        <w:rPr>
          <w:spacing w:val="-2"/>
        </w:rPr>
        <w:t xml:space="preserve"> </w:t>
      </w:r>
      <w:r>
        <w:t>cost,</w:t>
      </w:r>
      <w:r>
        <w:rPr>
          <w:spacing w:val="-1"/>
        </w:rPr>
        <w:t xml:space="preserve"> </w:t>
      </w:r>
      <w:r>
        <w:t>while</w:t>
      </w:r>
      <w:r>
        <w:rPr>
          <w:spacing w:val="-2"/>
        </w:rPr>
        <w:t xml:space="preserve"> </w:t>
      </w:r>
      <w:r>
        <w:t>market</w:t>
      </w:r>
      <w:r>
        <w:rPr>
          <w:spacing w:val="-2"/>
        </w:rPr>
        <w:t xml:space="preserve"> </w:t>
      </w:r>
      <w:r>
        <w:t>capitalization</w:t>
      </w:r>
      <w:r>
        <w:rPr>
          <w:spacing w:val="-1"/>
        </w:rPr>
        <w:t xml:space="preserve"> </w:t>
      </w:r>
      <w:r>
        <w:t>captures</w:t>
      </w:r>
      <w:r>
        <w:rPr>
          <w:spacing w:val="-2"/>
        </w:rPr>
        <w:t xml:space="preserve"> </w:t>
      </w:r>
      <w:r>
        <w:t>absolute</w:t>
      </w:r>
      <w:r>
        <w:rPr>
          <w:spacing w:val="-2"/>
        </w:rPr>
        <w:t xml:space="preserve"> </w:t>
      </w:r>
      <w:r>
        <w:t>market</w:t>
      </w:r>
      <w:r>
        <w:rPr>
          <w:spacing w:val="-2"/>
        </w:rPr>
        <w:t xml:space="preserve"> </w:t>
      </w:r>
      <w:r>
        <w:t>value.</w:t>
      </w:r>
      <w:r>
        <w:rPr>
          <w:spacing w:val="-1"/>
        </w:rPr>
        <w:t xml:space="preserve"> </w:t>
      </w:r>
      <w:r>
        <w:t>Different</w:t>
      </w:r>
      <w:r>
        <w:rPr>
          <w:spacing w:val="-2"/>
        </w:rPr>
        <w:t xml:space="preserve"> </w:t>
      </w:r>
      <w:r>
        <w:t>dependent variables may produce different conclusions. Comparing them would strengthen the valuation literature.</w:t>
      </w:r>
    </w:p>
    <w:p w14:paraId="4F44209A" w14:textId="77777777" w:rsidR="00ED08FF" w:rsidRDefault="00000000">
      <w:pPr>
        <w:pStyle w:val="BodyText"/>
        <w:spacing w:line="297" w:lineRule="auto"/>
        <w:ind w:right="2145"/>
      </w:pPr>
      <w:r>
        <w:t>Future research should consider sales growth, dividend policy, earnings per share, asset turnover, corporate governance,</w:t>
      </w:r>
      <w:r>
        <w:rPr>
          <w:spacing w:val="-3"/>
        </w:rPr>
        <w:t xml:space="preserve"> </w:t>
      </w:r>
      <w:r>
        <w:t>audit</w:t>
      </w:r>
      <w:r>
        <w:rPr>
          <w:spacing w:val="-4"/>
        </w:rPr>
        <w:t xml:space="preserve"> </w:t>
      </w:r>
      <w:r>
        <w:t>quality,</w:t>
      </w:r>
      <w:r>
        <w:rPr>
          <w:spacing w:val="-3"/>
        </w:rPr>
        <w:t xml:space="preserve"> </w:t>
      </w:r>
      <w:r>
        <w:t>and</w:t>
      </w:r>
      <w:r>
        <w:rPr>
          <w:spacing w:val="-3"/>
        </w:rPr>
        <w:t xml:space="preserve"> </w:t>
      </w:r>
      <w:r>
        <w:t>sustainability</w:t>
      </w:r>
      <w:r>
        <w:rPr>
          <w:spacing w:val="-3"/>
        </w:rPr>
        <w:t xml:space="preserve"> </w:t>
      </w:r>
      <w:r>
        <w:t>disclosure.</w:t>
      </w:r>
      <w:r>
        <w:rPr>
          <w:spacing w:val="-3"/>
        </w:rPr>
        <w:t xml:space="preserve"> </w:t>
      </w:r>
      <w:r>
        <w:t>These</w:t>
      </w:r>
      <w:r>
        <w:rPr>
          <w:spacing w:val="-4"/>
        </w:rPr>
        <w:t xml:space="preserve"> </w:t>
      </w:r>
      <w:r>
        <w:t>variables</w:t>
      </w:r>
      <w:r>
        <w:rPr>
          <w:spacing w:val="-4"/>
        </w:rPr>
        <w:t xml:space="preserve"> </w:t>
      </w:r>
      <w:r>
        <w:t>may</w:t>
      </w:r>
      <w:r>
        <w:rPr>
          <w:spacing w:val="-3"/>
        </w:rPr>
        <w:t xml:space="preserve"> </w:t>
      </w:r>
      <w:r>
        <w:t>capture</w:t>
      </w:r>
      <w:r>
        <w:rPr>
          <w:spacing w:val="-4"/>
        </w:rPr>
        <w:t xml:space="preserve"> </w:t>
      </w:r>
      <w:r>
        <w:t>dimensions</w:t>
      </w:r>
      <w:r>
        <w:rPr>
          <w:spacing w:val="-3"/>
        </w:rPr>
        <w:t xml:space="preserve"> </w:t>
      </w:r>
      <w:r>
        <w:t>not</w:t>
      </w:r>
      <w:r>
        <w:rPr>
          <w:spacing w:val="-4"/>
        </w:rPr>
        <w:t xml:space="preserve"> </w:t>
      </w:r>
      <w:r>
        <w:t>included</w:t>
      </w:r>
      <w:r>
        <w:rPr>
          <w:spacing w:val="-3"/>
        </w:rPr>
        <w:t xml:space="preserve"> </w:t>
      </w:r>
      <w:r>
        <w:t>in</w:t>
      </w:r>
      <w:r>
        <w:rPr>
          <w:spacing w:val="-3"/>
        </w:rPr>
        <w:t xml:space="preserve"> </w:t>
      </w:r>
      <w:r>
        <w:t>the</w:t>
      </w:r>
    </w:p>
    <w:p w14:paraId="03A390C9" w14:textId="77777777" w:rsidR="00ED08FF" w:rsidRDefault="00000000">
      <w:pPr>
        <w:pStyle w:val="BodyText"/>
        <w:spacing w:line="297" w:lineRule="auto"/>
        <w:ind w:right="1903"/>
      </w:pPr>
      <w:r>
        <w:t>present</w:t>
      </w:r>
      <w:r>
        <w:rPr>
          <w:spacing w:val="-4"/>
        </w:rPr>
        <w:t xml:space="preserve"> </w:t>
      </w:r>
      <w:r>
        <w:t>model.</w:t>
      </w:r>
      <w:r>
        <w:rPr>
          <w:spacing w:val="-3"/>
        </w:rPr>
        <w:t xml:space="preserve"> </w:t>
      </w:r>
      <w:r>
        <w:t>However,</w:t>
      </w:r>
      <w:r>
        <w:rPr>
          <w:spacing w:val="-3"/>
        </w:rPr>
        <w:t xml:space="preserve"> </w:t>
      </w:r>
      <w:r>
        <w:t>researchers</w:t>
      </w:r>
      <w:r>
        <w:rPr>
          <w:spacing w:val="-4"/>
        </w:rPr>
        <w:t xml:space="preserve"> </w:t>
      </w:r>
      <w:r>
        <w:t>must</w:t>
      </w:r>
      <w:r>
        <w:rPr>
          <w:spacing w:val="-4"/>
        </w:rPr>
        <w:t xml:space="preserve"> </w:t>
      </w:r>
      <w:r>
        <w:t>avoid</w:t>
      </w:r>
      <w:r>
        <w:rPr>
          <w:spacing w:val="-3"/>
        </w:rPr>
        <w:t xml:space="preserve"> </w:t>
      </w:r>
      <w:r>
        <w:t>overfitting.</w:t>
      </w:r>
      <w:r>
        <w:rPr>
          <w:spacing w:val="-3"/>
        </w:rPr>
        <w:t xml:space="preserve"> </w:t>
      </w:r>
      <w:r>
        <w:t>Additional</w:t>
      </w:r>
      <w:r>
        <w:rPr>
          <w:spacing w:val="-4"/>
        </w:rPr>
        <w:t xml:space="preserve"> </w:t>
      </w:r>
      <w:r>
        <w:t>variables</w:t>
      </w:r>
      <w:r>
        <w:rPr>
          <w:spacing w:val="-4"/>
        </w:rPr>
        <w:t xml:space="preserve"> </w:t>
      </w:r>
      <w:r>
        <w:t>require</w:t>
      </w:r>
      <w:r>
        <w:rPr>
          <w:spacing w:val="-4"/>
        </w:rPr>
        <w:t xml:space="preserve"> </w:t>
      </w:r>
      <w:r>
        <w:t>more</w:t>
      </w:r>
      <w:r>
        <w:rPr>
          <w:spacing w:val="-4"/>
        </w:rPr>
        <w:t xml:space="preserve"> </w:t>
      </w:r>
      <w:r>
        <w:t>observations</w:t>
      </w:r>
      <w:r>
        <w:rPr>
          <w:spacing w:val="-4"/>
        </w:rPr>
        <w:t xml:space="preserve"> </w:t>
      </w:r>
      <w:r>
        <w:t>and</w:t>
      </w:r>
      <w:r>
        <w:rPr>
          <w:spacing w:val="-3"/>
        </w:rPr>
        <w:t xml:space="preserve"> </w:t>
      </w:r>
      <w:r>
        <w:t>stronger theoretical justification.</w:t>
      </w:r>
    </w:p>
    <w:p w14:paraId="34F62485" w14:textId="77777777" w:rsidR="00ED08FF" w:rsidRDefault="00ED08FF">
      <w:pPr>
        <w:pStyle w:val="BodyText"/>
        <w:spacing w:before="50"/>
        <w:ind w:left="0"/>
      </w:pPr>
    </w:p>
    <w:p w14:paraId="61E3D051" w14:textId="77777777" w:rsidR="00ED08FF" w:rsidRDefault="00000000">
      <w:pPr>
        <w:pStyle w:val="BodyText"/>
        <w:spacing w:before="0" w:line="297" w:lineRule="auto"/>
        <w:ind w:right="1873"/>
      </w:pPr>
      <w:r>
        <w:t>Another</w:t>
      </w:r>
      <w:r>
        <w:rPr>
          <w:spacing w:val="-3"/>
        </w:rPr>
        <w:t xml:space="preserve"> </w:t>
      </w:r>
      <w:r>
        <w:t>promising</w:t>
      </w:r>
      <w:r>
        <w:rPr>
          <w:spacing w:val="-3"/>
        </w:rPr>
        <w:t xml:space="preserve"> </w:t>
      </w:r>
      <w:r>
        <w:t>direction</w:t>
      </w:r>
      <w:r>
        <w:rPr>
          <w:spacing w:val="-3"/>
        </w:rPr>
        <w:t xml:space="preserve"> </w:t>
      </w:r>
      <w:r>
        <w:t>is</w:t>
      </w:r>
      <w:r>
        <w:rPr>
          <w:spacing w:val="-4"/>
        </w:rPr>
        <w:t xml:space="preserve"> </w:t>
      </w:r>
      <w:r>
        <w:t>to</w:t>
      </w:r>
      <w:r>
        <w:rPr>
          <w:spacing w:val="-3"/>
        </w:rPr>
        <w:t xml:space="preserve"> </w:t>
      </w:r>
      <w:r>
        <w:t>separate</w:t>
      </w:r>
      <w:r>
        <w:rPr>
          <w:spacing w:val="-4"/>
        </w:rPr>
        <w:t xml:space="preserve"> </w:t>
      </w:r>
      <w:r>
        <w:t>liquidity</w:t>
      </w:r>
      <w:r>
        <w:rPr>
          <w:spacing w:val="-3"/>
        </w:rPr>
        <w:t xml:space="preserve"> </w:t>
      </w:r>
      <w:r>
        <w:t>into</w:t>
      </w:r>
      <w:r>
        <w:rPr>
          <w:spacing w:val="-3"/>
        </w:rPr>
        <w:t xml:space="preserve"> </w:t>
      </w:r>
      <w:r>
        <w:t>operating</w:t>
      </w:r>
      <w:r>
        <w:rPr>
          <w:spacing w:val="-3"/>
        </w:rPr>
        <w:t xml:space="preserve"> </w:t>
      </w:r>
      <w:r>
        <w:t>components.</w:t>
      </w:r>
      <w:r>
        <w:rPr>
          <w:spacing w:val="-3"/>
        </w:rPr>
        <w:t xml:space="preserve"> </w:t>
      </w:r>
      <w:r>
        <w:t>Current</w:t>
      </w:r>
      <w:r>
        <w:rPr>
          <w:spacing w:val="-4"/>
        </w:rPr>
        <w:t xml:space="preserve"> </w:t>
      </w:r>
      <w:r>
        <w:t>ratio</w:t>
      </w:r>
      <w:r>
        <w:rPr>
          <w:spacing w:val="-3"/>
        </w:rPr>
        <w:t xml:space="preserve"> </w:t>
      </w:r>
      <w:r>
        <w:t>is</w:t>
      </w:r>
      <w:r>
        <w:rPr>
          <w:spacing w:val="-4"/>
        </w:rPr>
        <w:t xml:space="preserve"> </w:t>
      </w:r>
      <w:r>
        <w:t>broad.</w:t>
      </w:r>
      <w:r>
        <w:rPr>
          <w:spacing w:val="-3"/>
        </w:rPr>
        <w:t xml:space="preserve"> </w:t>
      </w:r>
      <w:r>
        <w:t>Inventory</w:t>
      </w:r>
      <w:r>
        <w:rPr>
          <w:spacing w:val="-3"/>
        </w:rPr>
        <w:t xml:space="preserve"> </w:t>
      </w:r>
      <w:r>
        <w:t>turnover, receivable</w:t>
      </w:r>
      <w:r>
        <w:rPr>
          <w:spacing w:val="-4"/>
        </w:rPr>
        <w:t xml:space="preserve"> </w:t>
      </w:r>
      <w:r>
        <w:t>turnover,</w:t>
      </w:r>
      <w:r>
        <w:rPr>
          <w:spacing w:val="-3"/>
        </w:rPr>
        <w:t xml:space="preserve"> </w:t>
      </w:r>
      <w:r>
        <w:t>payable</w:t>
      </w:r>
      <w:r>
        <w:rPr>
          <w:spacing w:val="-4"/>
        </w:rPr>
        <w:t xml:space="preserve"> </w:t>
      </w:r>
      <w:r>
        <w:t>turnover,</w:t>
      </w:r>
      <w:r>
        <w:rPr>
          <w:spacing w:val="-3"/>
        </w:rPr>
        <w:t xml:space="preserve"> </w:t>
      </w:r>
      <w:r>
        <w:t>and</w:t>
      </w:r>
      <w:r>
        <w:rPr>
          <w:spacing w:val="-3"/>
        </w:rPr>
        <w:t xml:space="preserve"> </w:t>
      </w:r>
      <w:r>
        <w:t>cash</w:t>
      </w:r>
      <w:r>
        <w:rPr>
          <w:spacing w:val="-3"/>
        </w:rPr>
        <w:t xml:space="preserve"> </w:t>
      </w:r>
      <w:r>
        <w:t>conversion</w:t>
      </w:r>
      <w:r>
        <w:rPr>
          <w:spacing w:val="-3"/>
        </w:rPr>
        <w:t xml:space="preserve"> </w:t>
      </w:r>
      <w:r>
        <w:t>cycle</w:t>
      </w:r>
      <w:r>
        <w:rPr>
          <w:spacing w:val="-4"/>
        </w:rPr>
        <w:t xml:space="preserve"> </w:t>
      </w:r>
      <w:r>
        <w:t>may</w:t>
      </w:r>
      <w:r>
        <w:rPr>
          <w:spacing w:val="-3"/>
        </w:rPr>
        <w:t xml:space="preserve"> </w:t>
      </w:r>
      <w:r>
        <w:t>explain</w:t>
      </w:r>
      <w:r>
        <w:rPr>
          <w:spacing w:val="-3"/>
        </w:rPr>
        <w:t xml:space="preserve"> </w:t>
      </w:r>
      <w:r>
        <w:t>valuation</w:t>
      </w:r>
      <w:r>
        <w:rPr>
          <w:spacing w:val="-3"/>
        </w:rPr>
        <w:t xml:space="preserve"> </w:t>
      </w:r>
      <w:r>
        <w:t>more</w:t>
      </w:r>
      <w:r>
        <w:rPr>
          <w:spacing w:val="-4"/>
        </w:rPr>
        <w:t xml:space="preserve"> </w:t>
      </w:r>
      <w:r>
        <w:t>directly.</w:t>
      </w:r>
      <w:r>
        <w:rPr>
          <w:spacing w:val="-3"/>
        </w:rPr>
        <w:t xml:space="preserve"> </w:t>
      </w:r>
      <w:r>
        <w:t>For</w:t>
      </w:r>
      <w:r>
        <w:rPr>
          <w:spacing w:val="-3"/>
        </w:rPr>
        <w:t xml:space="preserve"> </w:t>
      </w:r>
      <w:r>
        <w:t>consumer</w:t>
      </w:r>
      <w:r>
        <w:rPr>
          <w:spacing w:val="-3"/>
        </w:rPr>
        <w:t xml:space="preserve"> </w:t>
      </w:r>
      <w:r>
        <w:t>non-cyclicals companies, working capital efficiency is central. A more detailed working-capital model could produce sharper findings than current ratio alone.</w:t>
      </w:r>
    </w:p>
    <w:p w14:paraId="7BBB90A2" w14:textId="77777777" w:rsidR="00ED08FF" w:rsidRDefault="00000000">
      <w:pPr>
        <w:pStyle w:val="BodyText"/>
        <w:spacing w:before="2"/>
      </w:pPr>
      <w:r>
        <w:t>Finally,</w:t>
      </w:r>
      <w:r>
        <w:rPr>
          <w:spacing w:val="-6"/>
        </w:rPr>
        <w:t xml:space="preserve"> </w:t>
      </w:r>
      <w:r>
        <w:t>future</w:t>
      </w:r>
      <w:r>
        <w:rPr>
          <w:spacing w:val="-5"/>
        </w:rPr>
        <w:t xml:space="preserve"> </w:t>
      </w:r>
      <w:r>
        <w:t>research</w:t>
      </w:r>
      <w:r>
        <w:rPr>
          <w:spacing w:val="-3"/>
        </w:rPr>
        <w:t xml:space="preserve"> </w:t>
      </w:r>
      <w:r>
        <w:t>should</w:t>
      </w:r>
      <w:r>
        <w:rPr>
          <w:spacing w:val="-4"/>
        </w:rPr>
        <w:t xml:space="preserve"> </w:t>
      </w:r>
      <w:r>
        <w:t>reconcile</w:t>
      </w:r>
      <w:r>
        <w:rPr>
          <w:spacing w:val="-5"/>
        </w:rPr>
        <w:t xml:space="preserve"> </w:t>
      </w:r>
      <w:r>
        <w:t>financial</w:t>
      </w:r>
      <w:r>
        <w:rPr>
          <w:spacing w:val="-4"/>
        </w:rPr>
        <w:t xml:space="preserve"> </w:t>
      </w:r>
      <w:r>
        <w:t>database</w:t>
      </w:r>
      <w:r>
        <w:rPr>
          <w:spacing w:val="-5"/>
        </w:rPr>
        <w:t xml:space="preserve"> </w:t>
      </w:r>
      <w:r>
        <w:t>values</w:t>
      </w:r>
      <w:r>
        <w:rPr>
          <w:spacing w:val="-4"/>
        </w:rPr>
        <w:t xml:space="preserve"> </w:t>
      </w:r>
      <w:r>
        <w:t>with</w:t>
      </w:r>
      <w:r>
        <w:rPr>
          <w:spacing w:val="-3"/>
        </w:rPr>
        <w:t xml:space="preserve"> </w:t>
      </w:r>
      <w:r>
        <w:t>audited</w:t>
      </w:r>
      <w:r>
        <w:rPr>
          <w:spacing w:val="-4"/>
        </w:rPr>
        <w:t xml:space="preserve"> </w:t>
      </w:r>
      <w:r>
        <w:t>annual</w:t>
      </w:r>
      <w:r>
        <w:rPr>
          <w:spacing w:val="-5"/>
        </w:rPr>
        <w:t xml:space="preserve"> </w:t>
      </w:r>
      <w:r>
        <w:t>reports.</w:t>
      </w:r>
      <w:r>
        <w:rPr>
          <w:spacing w:val="-3"/>
        </w:rPr>
        <w:t xml:space="preserve"> </w:t>
      </w:r>
      <w:r>
        <w:t>Public</w:t>
      </w:r>
      <w:r>
        <w:rPr>
          <w:spacing w:val="-5"/>
        </w:rPr>
        <w:t xml:space="preserve"> </w:t>
      </w:r>
      <w:r>
        <w:t>databases</w:t>
      </w:r>
      <w:r>
        <w:rPr>
          <w:spacing w:val="-4"/>
        </w:rPr>
        <w:t xml:space="preserve"> </w:t>
      </w:r>
      <w:r>
        <w:rPr>
          <w:spacing w:val="-5"/>
        </w:rPr>
        <w:t>are</w:t>
      </w:r>
    </w:p>
    <w:p w14:paraId="65A8958E" w14:textId="77777777" w:rsidR="00ED08FF" w:rsidRDefault="00000000">
      <w:pPr>
        <w:pStyle w:val="BodyText"/>
        <w:spacing w:before="50" w:line="297" w:lineRule="auto"/>
        <w:ind w:right="1671"/>
      </w:pPr>
      <w:r>
        <w:t>useful</w:t>
      </w:r>
      <w:r>
        <w:rPr>
          <w:spacing w:val="-4"/>
        </w:rPr>
        <w:t xml:space="preserve"> </w:t>
      </w:r>
      <w:r>
        <w:t>for</w:t>
      </w:r>
      <w:r>
        <w:rPr>
          <w:spacing w:val="-3"/>
        </w:rPr>
        <w:t xml:space="preserve"> </w:t>
      </w:r>
      <w:r>
        <w:t>initial</w:t>
      </w:r>
      <w:r>
        <w:rPr>
          <w:spacing w:val="-4"/>
        </w:rPr>
        <w:t xml:space="preserve"> </w:t>
      </w:r>
      <w:r>
        <w:t>research,</w:t>
      </w:r>
      <w:r>
        <w:rPr>
          <w:spacing w:val="-3"/>
        </w:rPr>
        <w:t xml:space="preserve"> </w:t>
      </w:r>
      <w:r>
        <w:t>but</w:t>
      </w:r>
      <w:r>
        <w:rPr>
          <w:spacing w:val="-4"/>
        </w:rPr>
        <w:t xml:space="preserve"> </w:t>
      </w:r>
      <w:r>
        <w:t>final</w:t>
      </w:r>
      <w:r>
        <w:rPr>
          <w:spacing w:val="-4"/>
        </w:rPr>
        <w:t xml:space="preserve"> </w:t>
      </w:r>
      <w:r>
        <w:t>publication</w:t>
      </w:r>
      <w:r>
        <w:rPr>
          <w:spacing w:val="-3"/>
        </w:rPr>
        <w:t xml:space="preserve"> </w:t>
      </w:r>
      <w:r>
        <w:t>should</w:t>
      </w:r>
      <w:r>
        <w:rPr>
          <w:spacing w:val="-3"/>
        </w:rPr>
        <w:t xml:space="preserve"> </w:t>
      </w:r>
      <w:r>
        <w:t>include</w:t>
      </w:r>
      <w:r>
        <w:rPr>
          <w:spacing w:val="-4"/>
        </w:rPr>
        <w:t xml:space="preserve"> </w:t>
      </w:r>
      <w:r>
        <w:t>a</w:t>
      </w:r>
      <w:r>
        <w:rPr>
          <w:spacing w:val="-4"/>
        </w:rPr>
        <w:t xml:space="preserve"> </w:t>
      </w:r>
      <w:r>
        <w:t>data</w:t>
      </w:r>
      <w:r>
        <w:rPr>
          <w:spacing w:val="-4"/>
        </w:rPr>
        <w:t xml:space="preserve"> </w:t>
      </w:r>
      <w:r>
        <w:t>reconciliation</w:t>
      </w:r>
      <w:r>
        <w:rPr>
          <w:spacing w:val="-3"/>
        </w:rPr>
        <w:t xml:space="preserve"> </w:t>
      </w:r>
      <w:r>
        <w:t>process.</w:t>
      </w:r>
      <w:r>
        <w:rPr>
          <w:spacing w:val="-3"/>
        </w:rPr>
        <w:t xml:space="preserve"> </w:t>
      </w:r>
      <w:r>
        <w:t>This</w:t>
      </w:r>
      <w:r>
        <w:rPr>
          <w:spacing w:val="-4"/>
        </w:rPr>
        <w:t xml:space="preserve"> </w:t>
      </w:r>
      <w:r>
        <w:t>is</w:t>
      </w:r>
      <w:r>
        <w:rPr>
          <w:spacing w:val="-4"/>
        </w:rPr>
        <w:t xml:space="preserve"> </w:t>
      </w:r>
      <w:r>
        <w:t>not</w:t>
      </w:r>
      <w:r>
        <w:rPr>
          <w:spacing w:val="-4"/>
        </w:rPr>
        <w:t xml:space="preserve"> </w:t>
      </w:r>
      <w:r>
        <w:t>a</w:t>
      </w:r>
      <w:r>
        <w:rPr>
          <w:spacing w:val="-4"/>
        </w:rPr>
        <w:t xml:space="preserve"> </w:t>
      </w:r>
      <w:r>
        <w:t>minor</w:t>
      </w:r>
      <w:r>
        <w:rPr>
          <w:spacing w:val="-3"/>
        </w:rPr>
        <w:t xml:space="preserve"> </w:t>
      </w:r>
      <w:r>
        <w:t>technicality. Empirical credibility depends on traceable and accurate data.</w:t>
      </w:r>
    </w:p>
    <w:p w14:paraId="0F7E486C" w14:textId="77777777" w:rsidR="00ED08FF" w:rsidRDefault="00ED08FF">
      <w:pPr>
        <w:pStyle w:val="BodyText"/>
        <w:spacing w:before="50"/>
        <w:ind w:left="0"/>
      </w:pPr>
    </w:p>
    <w:p w14:paraId="7AAD16EC" w14:textId="77777777" w:rsidR="00ED08FF" w:rsidRDefault="00000000">
      <w:pPr>
        <w:pStyle w:val="Heading2"/>
        <w:numPr>
          <w:ilvl w:val="1"/>
          <w:numId w:val="1"/>
        </w:numPr>
        <w:tabs>
          <w:tab w:val="left" w:pos="505"/>
        </w:tabs>
        <w:ind w:left="505" w:hanging="360"/>
      </w:pPr>
      <w:r>
        <w:rPr>
          <w:spacing w:val="-2"/>
        </w:rPr>
        <w:t>Variable-Specific</w:t>
      </w:r>
      <w:r>
        <w:rPr>
          <w:spacing w:val="16"/>
        </w:rPr>
        <w:t xml:space="preserve"> </w:t>
      </w:r>
      <w:r>
        <w:rPr>
          <w:spacing w:val="-2"/>
        </w:rPr>
        <w:t>Interpretation</w:t>
      </w:r>
      <w:r>
        <w:rPr>
          <w:spacing w:val="17"/>
        </w:rPr>
        <w:t xml:space="preserve"> </w:t>
      </w:r>
      <w:r>
        <w:rPr>
          <w:spacing w:val="-2"/>
        </w:rPr>
        <w:t>Notes</w:t>
      </w:r>
    </w:p>
    <w:p w14:paraId="5D5544B5" w14:textId="77777777" w:rsidR="00ED08FF" w:rsidRDefault="00ED08FF">
      <w:pPr>
        <w:pStyle w:val="Heading2"/>
        <w:sectPr w:rsidR="00ED08FF">
          <w:pgSz w:w="12240" w:h="15840"/>
          <w:pgMar w:top="800" w:right="720" w:bottom="900" w:left="720" w:header="0" w:footer="669" w:gutter="0"/>
          <w:cols w:space="720"/>
        </w:sectPr>
      </w:pPr>
    </w:p>
    <w:p w14:paraId="2B39C007" w14:textId="77777777" w:rsidR="00ED08FF" w:rsidRDefault="00000000">
      <w:pPr>
        <w:pStyle w:val="BodyText"/>
        <w:spacing w:before="64" w:line="297" w:lineRule="auto"/>
        <w:ind w:right="2145"/>
      </w:pPr>
      <w:r>
        <w:lastRenderedPageBreak/>
        <w:t>PBV should be understood as a market multiple, not as an accounting ratio alone. It contains both book value information</w:t>
      </w:r>
      <w:r>
        <w:rPr>
          <w:spacing w:val="-2"/>
        </w:rPr>
        <w:t xml:space="preserve"> </w:t>
      </w:r>
      <w:r>
        <w:t>and</w:t>
      </w:r>
      <w:r>
        <w:rPr>
          <w:spacing w:val="-2"/>
        </w:rPr>
        <w:t xml:space="preserve"> </w:t>
      </w:r>
      <w:r>
        <w:t>market</w:t>
      </w:r>
      <w:r>
        <w:rPr>
          <w:spacing w:val="-3"/>
        </w:rPr>
        <w:t xml:space="preserve"> </w:t>
      </w:r>
      <w:r>
        <w:t>expectations.</w:t>
      </w:r>
      <w:r>
        <w:rPr>
          <w:spacing w:val="-2"/>
        </w:rPr>
        <w:t xml:space="preserve"> </w:t>
      </w:r>
      <w:r>
        <w:t>A</w:t>
      </w:r>
      <w:r>
        <w:rPr>
          <w:spacing w:val="-3"/>
        </w:rPr>
        <w:t xml:space="preserve"> </w:t>
      </w:r>
      <w:r>
        <w:t>high</w:t>
      </w:r>
      <w:r>
        <w:rPr>
          <w:spacing w:val="-2"/>
        </w:rPr>
        <w:t xml:space="preserve"> </w:t>
      </w:r>
      <w:r>
        <w:t>PBV</w:t>
      </w:r>
      <w:r>
        <w:rPr>
          <w:spacing w:val="-3"/>
        </w:rPr>
        <w:t xml:space="preserve"> </w:t>
      </w:r>
      <w:r>
        <w:t>can</w:t>
      </w:r>
      <w:r>
        <w:rPr>
          <w:spacing w:val="-2"/>
        </w:rPr>
        <w:t xml:space="preserve"> </w:t>
      </w:r>
      <w:r>
        <w:t>be</w:t>
      </w:r>
      <w:r>
        <w:rPr>
          <w:spacing w:val="-3"/>
        </w:rPr>
        <w:t xml:space="preserve"> </w:t>
      </w:r>
      <w:r>
        <w:t>created</w:t>
      </w:r>
      <w:r>
        <w:rPr>
          <w:spacing w:val="-2"/>
        </w:rPr>
        <w:t xml:space="preserve"> </w:t>
      </w:r>
      <w:r>
        <w:t>by</w:t>
      </w:r>
      <w:r>
        <w:rPr>
          <w:spacing w:val="-2"/>
        </w:rPr>
        <w:t xml:space="preserve"> </w:t>
      </w:r>
      <w:r>
        <w:t>strong</w:t>
      </w:r>
      <w:r>
        <w:rPr>
          <w:spacing w:val="-2"/>
        </w:rPr>
        <w:t xml:space="preserve"> </w:t>
      </w:r>
      <w:r>
        <w:t>expected</w:t>
      </w:r>
      <w:r>
        <w:rPr>
          <w:spacing w:val="-2"/>
        </w:rPr>
        <w:t xml:space="preserve"> </w:t>
      </w:r>
      <w:r>
        <w:t>profitability,</w:t>
      </w:r>
      <w:r>
        <w:rPr>
          <w:spacing w:val="-2"/>
        </w:rPr>
        <w:t xml:space="preserve"> </w:t>
      </w:r>
      <w:r>
        <w:t>but</w:t>
      </w:r>
      <w:r>
        <w:rPr>
          <w:spacing w:val="-3"/>
        </w:rPr>
        <w:t xml:space="preserve"> </w:t>
      </w:r>
      <w:r>
        <w:t>it</w:t>
      </w:r>
      <w:r>
        <w:rPr>
          <w:spacing w:val="-3"/>
        </w:rPr>
        <w:t xml:space="preserve"> </w:t>
      </w:r>
      <w:r>
        <w:t>can</w:t>
      </w:r>
      <w:r>
        <w:rPr>
          <w:spacing w:val="-2"/>
        </w:rPr>
        <w:t xml:space="preserve"> </w:t>
      </w:r>
      <w:r>
        <w:t>also</w:t>
      </w:r>
      <w:r>
        <w:rPr>
          <w:spacing w:val="-2"/>
        </w:rPr>
        <w:t xml:space="preserve"> </w:t>
      </w:r>
      <w:r>
        <w:t>be</w:t>
      </w:r>
    </w:p>
    <w:p w14:paraId="61889213" w14:textId="77777777" w:rsidR="00ED08FF" w:rsidRDefault="00000000">
      <w:pPr>
        <w:pStyle w:val="BodyText"/>
        <w:spacing w:before="0" w:line="297" w:lineRule="auto"/>
        <w:ind w:right="1827"/>
      </w:pPr>
      <w:r>
        <w:t>influenced</w:t>
      </w:r>
      <w:r>
        <w:rPr>
          <w:spacing w:val="-3"/>
        </w:rPr>
        <w:t xml:space="preserve"> </w:t>
      </w:r>
      <w:r>
        <w:t>by</w:t>
      </w:r>
      <w:r>
        <w:rPr>
          <w:spacing w:val="-3"/>
        </w:rPr>
        <w:t xml:space="preserve"> </w:t>
      </w:r>
      <w:r>
        <w:t>low</w:t>
      </w:r>
      <w:r>
        <w:rPr>
          <w:spacing w:val="-4"/>
        </w:rPr>
        <w:t xml:space="preserve"> </w:t>
      </w:r>
      <w:r>
        <w:t>book</w:t>
      </w:r>
      <w:r>
        <w:rPr>
          <w:spacing w:val="-3"/>
        </w:rPr>
        <w:t xml:space="preserve"> </w:t>
      </w:r>
      <w:r>
        <w:t>equity.</w:t>
      </w:r>
      <w:r>
        <w:rPr>
          <w:spacing w:val="-3"/>
        </w:rPr>
        <w:t xml:space="preserve"> </w:t>
      </w:r>
      <w:r>
        <w:t>This</w:t>
      </w:r>
      <w:r>
        <w:rPr>
          <w:spacing w:val="-4"/>
        </w:rPr>
        <w:t xml:space="preserve"> </w:t>
      </w:r>
      <w:r>
        <w:t>matters</w:t>
      </w:r>
      <w:r>
        <w:rPr>
          <w:spacing w:val="-4"/>
        </w:rPr>
        <w:t xml:space="preserve"> </w:t>
      </w:r>
      <w:r>
        <w:t>especially</w:t>
      </w:r>
      <w:r>
        <w:rPr>
          <w:spacing w:val="-3"/>
        </w:rPr>
        <w:t xml:space="preserve"> </w:t>
      </w:r>
      <w:r>
        <w:t>for</w:t>
      </w:r>
      <w:r>
        <w:rPr>
          <w:spacing w:val="-3"/>
        </w:rPr>
        <w:t xml:space="preserve"> </w:t>
      </w:r>
      <w:r>
        <w:t>companies</w:t>
      </w:r>
      <w:r>
        <w:rPr>
          <w:spacing w:val="-4"/>
        </w:rPr>
        <w:t xml:space="preserve"> </w:t>
      </w:r>
      <w:r>
        <w:t>with</w:t>
      </w:r>
      <w:r>
        <w:rPr>
          <w:spacing w:val="-3"/>
        </w:rPr>
        <w:t xml:space="preserve"> </w:t>
      </w:r>
      <w:r>
        <w:t>large</w:t>
      </w:r>
      <w:r>
        <w:rPr>
          <w:spacing w:val="-4"/>
        </w:rPr>
        <w:t xml:space="preserve"> </w:t>
      </w:r>
      <w:r>
        <w:t>dividend</w:t>
      </w:r>
      <w:r>
        <w:rPr>
          <w:spacing w:val="-3"/>
        </w:rPr>
        <w:t xml:space="preserve"> </w:t>
      </w:r>
      <w:r>
        <w:t>payouts</w:t>
      </w:r>
      <w:r>
        <w:rPr>
          <w:spacing w:val="-4"/>
        </w:rPr>
        <w:t xml:space="preserve"> </w:t>
      </w:r>
      <w:r>
        <w:t>or</w:t>
      </w:r>
      <w:r>
        <w:rPr>
          <w:spacing w:val="-3"/>
        </w:rPr>
        <w:t xml:space="preserve"> </w:t>
      </w:r>
      <w:r>
        <w:t>significant</w:t>
      </w:r>
      <w:r>
        <w:rPr>
          <w:spacing w:val="-3"/>
        </w:rPr>
        <w:t xml:space="preserve"> </w:t>
      </w:r>
      <w:r>
        <w:t>intangible strengths. Researchers should not mechanically conclude that high PBV always means superior accounting performance. ROA is powerful because it connects the income statement and the balance sheet. It asks a simple question: how much profit is produced by the assets controlled by the firm? In consumer non-cyclicals, ROA is especially informative because companies usually require factories, inventories, distribution assets, or store networks. Asset productivity is therefore a real operating issue, not only a statistical variable.</w:t>
      </w:r>
    </w:p>
    <w:p w14:paraId="4F58D252" w14:textId="77777777" w:rsidR="00ED08FF" w:rsidRDefault="00000000">
      <w:pPr>
        <w:pStyle w:val="BodyText"/>
        <w:spacing w:before="2" w:line="297" w:lineRule="auto"/>
        <w:ind w:right="1762"/>
      </w:pPr>
      <w:r>
        <w:t>DER needs cautious interpretation because different databases may define debt differently. Some use total debt, while others</w:t>
      </w:r>
      <w:r>
        <w:rPr>
          <w:spacing w:val="-4"/>
        </w:rPr>
        <w:t xml:space="preserve"> </w:t>
      </w:r>
      <w:r>
        <w:t>use</w:t>
      </w:r>
      <w:r>
        <w:rPr>
          <w:spacing w:val="-4"/>
        </w:rPr>
        <w:t xml:space="preserve"> </w:t>
      </w:r>
      <w:r>
        <w:t>total</w:t>
      </w:r>
      <w:r>
        <w:rPr>
          <w:spacing w:val="-4"/>
        </w:rPr>
        <w:t xml:space="preserve"> </w:t>
      </w:r>
      <w:r>
        <w:t>liabilities.</w:t>
      </w:r>
      <w:r>
        <w:rPr>
          <w:spacing w:val="-3"/>
        </w:rPr>
        <w:t xml:space="preserve"> </w:t>
      </w:r>
      <w:r>
        <w:t>If</w:t>
      </w:r>
      <w:r>
        <w:rPr>
          <w:spacing w:val="-3"/>
        </w:rPr>
        <w:t xml:space="preserve"> </w:t>
      </w:r>
      <w:r>
        <w:t>the</w:t>
      </w:r>
      <w:r>
        <w:rPr>
          <w:spacing w:val="-4"/>
        </w:rPr>
        <w:t xml:space="preserve"> </w:t>
      </w:r>
      <w:r>
        <w:t>definition</w:t>
      </w:r>
      <w:r>
        <w:rPr>
          <w:spacing w:val="-3"/>
        </w:rPr>
        <w:t xml:space="preserve"> </w:t>
      </w:r>
      <w:r>
        <w:t>includes</w:t>
      </w:r>
      <w:r>
        <w:rPr>
          <w:spacing w:val="-4"/>
        </w:rPr>
        <w:t xml:space="preserve"> </w:t>
      </w:r>
      <w:r>
        <w:t>operating</w:t>
      </w:r>
      <w:r>
        <w:rPr>
          <w:spacing w:val="-3"/>
        </w:rPr>
        <w:t xml:space="preserve"> </w:t>
      </w:r>
      <w:r>
        <w:t>liabilities,</w:t>
      </w:r>
      <w:r>
        <w:rPr>
          <w:spacing w:val="-3"/>
        </w:rPr>
        <w:t xml:space="preserve"> </w:t>
      </w:r>
      <w:r>
        <w:t>DER</w:t>
      </w:r>
      <w:r>
        <w:rPr>
          <w:spacing w:val="-4"/>
        </w:rPr>
        <w:t xml:space="preserve"> </w:t>
      </w:r>
      <w:r>
        <w:t>can</w:t>
      </w:r>
      <w:r>
        <w:rPr>
          <w:spacing w:val="-3"/>
        </w:rPr>
        <w:t xml:space="preserve"> </w:t>
      </w:r>
      <w:r>
        <w:t>partly</w:t>
      </w:r>
      <w:r>
        <w:rPr>
          <w:spacing w:val="-3"/>
        </w:rPr>
        <w:t xml:space="preserve"> </w:t>
      </w:r>
      <w:r>
        <w:t>reflect</w:t>
      </w:r>
      <w:r>
        <w:rPr>
          <w:spacing w:val="-4"/>
        </w:rPr>
        <w:t xml:space="preserve"> </w:t>
      </w:r>
      <w:r>
        <w:t>trade</w:t>
      </w:r>
      <w:r>
        <w:rPr>
          <w:spacing w:val="-4"/>
        </w:rPr>
        <w:t xml:space="preserve"> </w:t>
      </w:r>
      <w:r>
        <w:t>payables</w:t>
      </w:r>
      <w:r>
        <w:rPr>
          <w:spacing w:val="-4"/>
        </w:rPr>
        <w:t xml:space="preserve"> </w:t>
      </w:r>
      <w:r>
        <w:t>and</w:t>
      </w:r>
      <w:r>
        <w:rPr>
          <w:spacing w:val="-3"/>
        </w:rPr>
        <w:t xml:space="preserve"> </w:t>
      </w:r>
      <w:r>
        <w:t>business model characteristics. If it includes only interest-bearing debt, it better reflects financing policy. Researchers must state</w:t>
      </w:r>
    </w:p>
    <w:p w14:paraId="1D897174" w14:textId="77777777" w:rsidR="00ED08FF" w:rsidRDefault="00000000">
      <w:pPr>
        <w:pStyle w:val="BodyText"/>
      </w:pPr>
      <w:r>
        <w:t>the</w:t>
      </w:r>
      <w:r>
        <w:rPr>
          <w:spacing w:val="-6"/>
        </w:rPr>
        <w:t xml:space="preserve"> </w:t>
      </w:r>
      <w:r>
        <w:t>definition</w:t>
      </w:r>
      <w:r>
        <w:rPr>
          <w:spacing w:val="-2"/>
        </w:rPr>
        <w:t xml:space="preserve"> </w:t>
      </w:r>
      <w:r>
        <w:t>clearly.</w:t>
      </w:r>
      <w:r>
        <w:rPr>
          <w:spacing w:val="-3"/>
        </w:rPr>
        <w:t xml:space="preserve"> </w:t>
      </w:r>
      <w:r>
        <w:t>This</w:t>
      </w:r>
      <w:r>
        <w:rPr>
          <w:spacing w:val="-3"/>
        </w:rPr>
        <w:t xml:space="preserve"> </w:t>
      </w:r>
      <w:r>
        <w:t>paper</w:t>
      </w:r>
      <w:r>
        <w:rPr>
          <w:spacing w:val="-2"/>
        </w:rPr>
        <w:t xml:space="preserve"> </w:t>
      </w:r>
      <w:r>
        <w:t>follows</w:t>
      </w:r>
      <w:r>
        <w:rPr>
          <w:spacing w:val="-4"/>
        </w:rPr>
        <w:t xml:space="preserve"> </w:t>
      </w:r>
      <w:r>
        <w:t>the</w:t>
      </w:r>
      <w:r>
        <w:rPr>
          <w:spacing w:val="-3"/>
        </w:rPr>
        <w:t xml:space="preserve"> </w:t>
      </w:r>
      <w:r>
        <w:t>database</w:t>
      </w:r>
      <w:r>
        <w:rPr>
          <w:spacing w:val="-3"/>
        </w:rPr>
        <w:t xml:space="preserve"> </w:t>
      </w:r>
      <w:r>
        <w:t>ratio</w:t>
      </w:r>
      <w:r>
        <w:rPr>
          <w:spacing w:val="-3"/>
        </w:rPr>
        <w:t xml:space="preserve"> </w:t>
      </w:r>
      <w:r>
        <w:t>and</w:t>
      </w:r>
      <w:r>
        <w:rPr>
          <w:spacing w:val="-2"/>
        </w:rPr>
        <w:t xml:space="preserve"> </w:t>
      </w:r>
      <w:r>
        <w:t>treats</w:t>
      </w:r>
      <w:r>
        <w:rPr>
          <w:spacing w:val="-3"/>
        </w:rPr>
        <w:t xml:space="preserve"> </w:t>
      </w:r>
      <w:r>
        <w:t>DER</w:t>
      </w:r>
      <w:r>
        <w:rPr>
          <w:spacing w:val="-4"/>
        </w:rPr>
        <w:t xml:space="preserve"> </w:t>
      </w:r>
      <w:r>
        <w:t>as</w:t>
      </w:r>
      <w:r>
        <w:rPr>
          <w:spacing w:val="-3"/>
        </w:rPr>
        <w:t xml:space="preserve"> </w:t>
      </w:r>
      <w:r>
        <w:t>a</w:t>
      </w:r>
      <w:r>
        <w:rPr>
          <w:spacing w:val="-3"/>
        </w:rPr>
        <w:t xml:space="preserve"> </w:t>
      </w:r>
      <w:r>
        <w:t>leverage</w:t>
      </w:r>
      <w:r>
        <w:rPr>
          <w:spacing w:val="-3"/>
        </w:rPr>
        <w:t xml:space="preserve"> </w:t>
      </w:r>
      <w:r>
        <w:rPr>
          <w:spacing w:val="-2"/>
        </w:rPr>
        <w:t>proxy.</w:t>
      </w:r>
    </w:p>
    <w:p w14:paraId="3CD22491" w14:textId="77777777" w:rsidR="00ED08FF" w:rsidRDefault="00000000">
      <w:pPr>
        <w:pStyle w:val="BodyText"/>
        <w:spacing w:before="50" w:line="297" w:lineRule="auto"/>
        <w:ind w:right="1903"/>
      </w:pPr>
      <w:r>
        <w:t>SIZE measured by total assets is useful but incomplete. Total assets capture accounting scale, but they do not fully capture</w:t>
      </w:r>
      <w:r>
        <w:rPr>
          <w:spacing w:val="-5"/>
        </w:rPr>
        <w:t xml:space="preserve"> </w:t>
      </w:r>
      <w:r>
        <w:t>market</w:t>
      </w:r>
      <w:r>
        <w:rPr>
          <w:spacing w:val="-5"/>
        </w:rPr>
        <w:t xml:space="preserve"> </w:t>
      </w:r>
      <w:r>
        <w:t>power,</w:t>
      </w:r>
      <w:r>
        <w:rPr>
          <w:spacing w:val="-4"/>
        </w:rPr>
        <w:t xml:space="preserve"> </w:t>
      </w:r>
      <w:r>
        <w:t>brand</w:t>
      </w:r>
      <w:r>
        <w:rPr>
          <w:spacing w:val="-4"/>
        </w:rPr>
        <w:t xml:space="preserve"> </w:t>
      </w:r>
      <w:r>
        <w:t>value,</w:t>
      </w:r>
      <w:r>
        <w:rPr>
          <w:spacing w:val="-4"/>
        </w:rPr>
        <w:t xml:space="preserve"> </w:t>
      </w:r>
      <w:r>
        <w:t>distribution</w:t>
      </w:r>
      <w:r>
        <w:rPr>
          <w:spacing w:val="-4"/>
        </w:rPr>
        <w:t xml:space="preserve"> </w:t>
      </w:r>
      <w:r>
        <w:t>quality,</w:t>
      </w:r>
      <w:r>
        <w:rPr>
          <w:spacing w:val="-4"/>
        </w:rPr>
        <w:t xml:space="preserve"> </w:t>
      </w:r>
      <w:r>
        <w:t>digital</w:t>
      </w:r>
      <w:r>
        <w:rPr>
          <w:spacing w:val="-5"/>
        </w:rPr>
        <w:t xml:space="preserve"> </w:t>
      </w:r>
      <w:r>
        <w:t>capability,</w:t>
      </w:r>
      <w:r>
        <w:rPr>
          <w:spacing w:val="-4"/>
        </w:rPr>
        <w:t xml:space="preserve"> </w:t>
      </w:r>
      <w:r>
        <w:t>or</w:t>
      </w:r>
      <w:r>
        <w:rPr>
          <w:spacing w:val="-4"/>
        </w:rPr>
        <w:t xml:space="preserve"> </w:t>
      </w:r>
      <w:r>
        <w:t>management</w:t>
      </w:r>
      <w:r>
        <w:rPr>
          <w:spacing w:val="-5"/>
        </w:rPr>
        <w:t xml:space="preserve"> </w:t>
      </w:r>
      <w:r>
        <w:t>competence.</w:t>
      </w:r>
      <w:r>
        <w:rPr>
          <w:spacing w:val="-4"/>
        </w:rPr>
        <w:t xml:space="preserve"> </w:t>
      </w:r>
      <w:r>
        <w:t>These</w:t>
      </w:r>
      <w:r>
        <w:rPr>
          <w:spacing w:val="-5"/>
        </w:rPr>
        <w:t xml:space="preserve"> </w:t>
      </w:r>
      <w:r>
        <w:t>intangible elements can raise firm value without appearing fully on the balance sheet. This explains why a company with smaller total assets can have a higher PBV than a much larger firm.</w:t>
      </w:r>
    </w:p>
    <w:p w14:paraId="64D195B5" w14:textId="77777777" w:rsidR="00ED08FF" w:rsidRDefault="00000000">
      <w:pPr>
        <w:pStyle w:val="BodyText"/>
        <w:spacing w:before="2" w:line="297" w:lineRule="auto"/>
        <w:ind w:right="1671"/>
      </w:pPr>
      <w:r>
        <w:t>Current ratio is also broad. It combines cash, receivables, inventory, and other current assets, then compares them with current liabilities. Two companies can have the same current ratio but very different liquidity quality. One may hold cash, while</w:t>
      </w:r>
      <w:r>
        <w:rPr>
          <w:spacing w:val="-4"/>
        </w:rPr>
        <w:t xml:space="preserve"> </w:t>
      </w:r>
      <w:r>
        <w:t>another</w:t>
      </w:r>
      <w:r>
        <w:rPr>
          <w:spacing w:val="-3"/>
        </w:rPr>
        <w:t xml:space="preserve"> </w:t>
      </w:r>
      <w:r>
        <w:t>may</w:t>
      </w:r>
      <w:r>
        <w:rPr>
          <w:spacing w:val="-3"/>
        </w:rPr>
        <w:t xml:space="preserve"> </w:t>
      </w:r>
      <w:r>
        <w:t>hold</w:t>
      </w:r>
      <w:r>
        <w:rPr>
          <w:spacing w:val="-3"/>
        </w:rPr>
        <w:t xml:space="preserve"> </w:t>
      </w:r>
      <w:r>
        <w:t>slow-moving</w:t>
      </w:r>
      <w:r>
        <w:rPr>
          <w:spacing w:val="-3"/>
        </w:rPr>
        <w:t xml:space="preserve"> </w:t>
      </w:r>
      <w:r>
        <w:t>inventory.</w:t>
      </w:r>
      <w:r>
        <w:rPr>
          <w:spacing w:val="-3"/>
        </w:rPr>
        <w:t xml:space="preserve"> </w:t>
      </w:r>
      <w:r>
        <w:t>This</w:t>
      </w:r>
      <w:r>
        <w:rPr>
          <w:spacing w:val="-4"/>
        </w:rPr>
        <w:t xml:space="preserve"> </w:t>
      </w:r>
      <w:r>
        <w:t>limitation</w:t>
      </w:r>
      <w:r>
        <w:rPr>
          <w:spacing w:val="-3"/>
        </w:rPr>
        <w:t xml:space="preserve"> </w:t>
      </w:r>
      <w:r>
        <w:t>explains</w:t>
      </w:r>
      <w:r>
        <w:rPr>
          <w:spacing w:val="-4"/>
        </w:rPr>
        <w:t xml:space="preserve"> </w:t>
      </w:r>
      <w:r>
        <w:t>why</w:t>
      </w:r>
      <w:r>
        <w:rPr>
          <w:spacing w:val="-3"/>
        </w:rPr>
        <w:t xml:space="preserve"> </w:t>
      </w:r>
      <w:r>
        <w:t>the</w:t>
      </w:r>
      <w:r>
        <w:rPr>
          <w:spacing w:val="-4"/>
        </w:rPr>
        <w:t xml:space="preserve"> </w:t>
      </w:r>
      <w:r>
        <w:t>liquidity</w:t>
      </w:r>
      <w:r>
        <w:rPr>
          <w:spacing w:val="-3"/>
        </w:rPr>
        <w:t xml:space="preserve"> </w:t>
      </w:r>
      <w:r>
        <w:t>result</w:t>
      </w:r>
      <w:r>
        <w:rPr>
          <w:spacing w:val="-4"/>
        </w:rPr>
        <w:t xml:space="preserve"> </w:t>
      </w:r>
      <w:r>
        <w:t>should</w:t>
      </w:r>
      <w:r>
        <w:rPr>
          <w:spacing w:val="-3"/>
        </w:rPr>
        <w:t xml:space="preserve"> </w:t>
      </w:r>
      <w:r>
        <w:t>be</w:t>
      </w:r>
      <w:r>
        <w:rPr>
          <w:spacing w:val="-4"/>
        </w:rPr>
        <w:t xml:space="preserve"> </w:t>
      </w:r>
      <w:r>
        <w:t>interpreted</w:t>
      </w:r>
      <w:r>
        <w:rPr>
          <w:spacing w:val="-3"/>
        </w:rPr>
        <w:t xml:space="preserve"> </w:t>
      </w:r>
      <w:r>
        <w:t>as</w:t>
      </w:r>
      <w:r>
        <w:rPr>
          <w:spacing w:val="-4"/>
        </w:rPr>
        <w:t xml:space="preserve"> </w:t>
      </w:r>
      <w:r>
        <w:t>a signal for further analysis rather than as a final judgment.</w:t>
      </w:r>
    </w:p>
    <w:p w14:paraId="57692216" w14:textId="77777777" w:rsidR="00ED08FF" w:rsidRDefault="00000000">
      <w:pPr>
        <w:pStyle w:val="BodyText"/>
        <w:spacing w:line="297" w:lineRule="auto"/>
        <w:ind w:right="1825"/>
      </w:pPr>
      <w:r>
        <w:t>The variable definitions used in this paper are acceptable for a journal-style empirical article, but they should not stop deeper analysis. Accounting research becomes stronger when ratio results are followed by statement-level interpretation. For</w:t>
      </w:r>
      <w:r>
        <w:rPr>
          <w:spacing w:val="-2"/>
        </w:rPr>
        <w:t xml:space="preserve"> </w:t>
      </w:r>
      <w:r>
        <w:t>example,</w:t>
      </w:r>
      <w:r>
        <w:rPr>
          <w:spacing w:val="-2"/>
        </w:rPr>
        <w:t xml:space="preserve"> </w:t>
      </w:r>
      <w:r>
        <w:t>if</w:t>
      </w:r>
      <w:r>
        <w:rPr>
          <w:spacing w:val="-2"/>
        </w:rPr>
        <w:t xml:space="preserve"> </w:t>
      </w:r>
      <w:r>
        <w:t>liquidity</w:t>
      </w:r>
      <w:r>
        <w:rPr>
          <w:spacing w:val="-2"/>
        </w:rPr>
        <w:t xml:space="preserve"> </w:t>
      </w:r>
      <w:r>
        <w:t>is</w:t>
      </w:r>
      <w:r>
        <w:rPr>
          <w:spacing w:val="-3"/>
        </w:rPr>
        <w:t xml:space="preserve"> </w:t>
      </w:r>
      <w:r>
        <w:t>negative,</w:t>
      </w:r>
      <w:r>
        <w:rPr>
          <w:spacing w:val="-2"/>
        </w:rPr>
        <w:t xml:space="preserve"> </w:t>
      </w:r>
      <w:r>
        <w:t>the</w:t>
      </w:r>
      <w:r>
        <w:rPr>
          <w:spacing w:val="-3"/>
        </w:rPr>
        <w:t xml:space="preserve"> </w:t>
      </w:r>
      <w:r>
        <w:t>next</w:t>
      </w:r>
      <w:r>
        <w:rPr>
          <w:spacing w:val="-3"/>
        </w:rPr>
        <w:t xml:space="preserve"> </w:t>
      </w:r>
      <w:r>
        <w:t>question</w:t>
      </w:r>
      <w:r>
        <w:rPr>
          <w:spacing w:val="-2"/>
        </w:rPr>
        <w:t xml:space="preserve"> </w:t>
      </w:r>
      <w:r>
        <w:t>should</w:t>
      </w:r>
      <w:r>
        <w:rPr>
          <w:spacing w:val="-2"/>
        </w:rPr>
        <w:t xml:space="preserve"> </w:t>
      </w:r>
      <w:r>
        <w:t>be</w:t>
      </w:r>
      <w:r>
        <w:rPr>
          <w:spacing w:val="-3"/>
        </w:rPr>
        <w:t xml:space="preserve"> </w:t>
      </w:r>
      <w:r>
        <w:t>whether</w:t>
      </w:r>
      <w:r>
        <w:rPr>
          <w:spacing w:val="-3"/>
        </w:rPr>
        <w:t xml:space="preserve"> </w:t>
      </w:r>
      <w:r>
        <w:t>inventory,</w:t>
      </w:r>
      <w:r>
        <w:rPr>
          <w:spacing w:val="-2"/>
        </w:rPr>
        <w:t xml:space="preserve"> </w:t>
      </w:r>
      <w:r>
        <w:t>receivables,</w:t>
      </w:r>
      <w:r>
        <w:rPr>
          <w:spacing w:val="-2"/>
        </w:rPr>
        <w:t xml:space="preserve"> </w:t>
      </w:r>
      <w:r>
        <w:t>or</w:t>
      </w:r>
      <w:r>
        <w:rPr>
          <w:spacing w:val="-2"/>
        </w:rPr>
        <w:t xml:space="preserve"> </w:t>
      </w:r>
      <w:r>
        <w:t>cash</w:t>
      </w:r>
      <w:r>
        <w:rPr>
          <w:spacing w:val="-2"/>
        </w:rPr>
        <w:t xml:space="preserve"> </w:t>
      </w:r>
      <w:r>
        <w:t>explains</w:t>
      </w:r>
      <w:r>
        <w:rPr>
          <w:spacing w:val="-3"/>
        </w:rPr>
        <w:t xml:space="preserve"> </w:t>
      </w:r>
      <w:r>
        <w:t>the</w:t>
      </w:r>
      <w:r>
        <w:rPr>
          <w:spacing w:val="-3"/>
        </w:rPr>
        <w:t xml:space="preserve"> </w:t>
      </w:r>
      <w:r>
        <w:t>ratio. If size is insignificant, the next question should be whether asset turnover or margin explains the weak size effect.</w:t>
      </w:r>
    </w:p>
    <w:p w14:paraId="774D7DF4" w14:textId="77777777" w:rsidR="00ED08FF" w:rsidRDefault="00000000">
      <w:pPr>
        <w:pStyle w:val="BodyText"/>
        <w:spacing w:before="2" w:line="297" w:lineRule="auto"/>
        <w:ind w:right="1903"/>
      </w:pPr>
      <w:r>
        <w:t>The strongest empirical relationship in this paper is profitability. This should guide the narrative. Instead of forcing all variables</w:t>
      </w:r>
      <w:r>
        <w:rPr>
          <w:spacing w:val="-4"/>
        </w:rPr>
        <w:t xml:space="preserve"> </w:t>
      </w:r>
      <w:r>
        <w:t>to</w:t>
      </w:r>
      <w:r>
        <w:rPr>
          <w:spacing w:val="-3"/>
        </w:rPr>
        <w:t xml:space="preserve"> </w:t>
      </w:r>
      <w:r>
        <w:t>appear</w:t>
      </w:r>
      <w:r>
        <w:rPr>
          <w:spacing w:val="-3"/>
        </w:rPr>
        <w:t xml:space="preserve"> </w:t>
      </w:r>
      <w:r>
        <w:t>equally</w:t>
      </w:r>
      <w:r>
        <w:rPr>
          <w:spacing w:val="-3"/>
        </w:rPr>
        <w:t xml:space="preserve"> </w:t>
      </w:r>
      <w:r>
        <w:t>important,</w:t>
      </w:r>
      <w:r>
        <w:rPr>
          <w:spacing w:val="-3"/>
        </w:rPr>
        <w:t xml:space="preserve"> </w:t>
      </w:r>
      <w:r>
        <w:t>the</w:t>
      </w:r>
      <w:r>
        <w:rPr>
          <w:spacing w:val="-4"/>
        </w:rPr>
        <w:t xml:space="preserve"> </w:t>
      </w:r>
      <w:r>
        <w:t>discussion</w:t>
      </w:r>
      <w:r>
        <w:rPr>
          <w:spacing w:val="-3"/>
        </w:rPr>
        <w:t xml:space="preserve"> </w:t>
      </w:r>
      <w:r>
        <w:t>should</w:t>
      </w:r>
      <w:r>
        <w:rPr>
          <w:spacing w:val="-3"/>
        </w:rPr>
        <w:t xml:space="preserve"> </w:t>
      </w:r>
      <w:r>
        <w:t>admit</w:t>
      </w:r>
      <w:r>
        <w:rPr>
          <w:spacing w:val="-4"/>
        </w:rPr>
        <w:t xml:space="preserve"> </w:t>
      </w:r>
      <w:r>
        <w:t>that</w:t>
      </w:r>
      <w:r>
        <w:rPr>
          <w:spacing w:val="-4"/>
        </w:rPr>
        <w:t xml:space="preserve"> </w:t>
      </w:r>
      <w:r>
        <w:t>the</w:t>
      </w:r>
      <w:r>
        <w:rPr>
          <w:spacing w:val="-4"/>
        </w:rPr>
        <w:t xml:space="preserve"> </w:t>
      </w:r>
      <w:r>
        <w:t>market</w:t>
      </w:r>
      <w:r>
        <w:rPr>
          <w:spacing w:val="-4"/>
        </w:rPr>
        <w:t xml:space="preserve"> </w:t>
      </w:r>
      <w:r>
        <w:t>values</w:t>
      </w:r>
      <w:r>
        <w:rPr>
          <w:spacing w:val="-4"/>
        </w:rPr>
        <w:t xml:space="preserve"> </w:t>
      </w:r>
      <w:r>
        <w:t>some</w:t>
      </w:r>
      <w:r>
        <w:rPr>
          <w:spacing w:val="-4"/>
        </w:rPr>
        <w:t xml:space="preserve"> </w:t>
      </w:r>
      <w:r>
        <w:t>signals</w:t>
      </w:r>
      <w:r>
        <w:rPr>
          <w:spacing w:val="-4"/>
        </w:rPr>
        <w:t xml:space="preserve"> </w:t>
      </w:r>
      <w:r>
        <w:t>more</w:t>
      </w:r>
      <w:r>
        <w:rPr>
          <w:spacing w:val="-4"/>
        </w:rPr>
        <w:t xml:space="preserve"> </w:t>
      </w:r>
      <w:r>
        <w:t>than</w:t>
      </w:r>
      <w:r>
        <w:rPr>
          <w:spacing w:val="-3"/>
        </w:rPr>
        <w:t xml:space="preserve"> </w:t>
      </w:r>
      <w:r>
        <w:t>others. Academic honesty requires this. A regression table is not a decoration; it is evidence that should shape the argument.</w:t>
      </w:r>
    </w:p>
    <w:p w14:paraId="72E60348" w14:textId="77777777" w:rsidR="00ED08FF" w:rsidRDefault="00000000">
      <w:pPr>
        <w:pStyle w:val="BodyText"/>
        <w:spacing w:line="297" w:lineRule="auto"/>
        <w:ind w:right="1825"/>
      </w:pPr>
      <w:r>
        <w:t>A final note concerns the difference between statistical significance and practical importance. A variable can be statistically significant but small in economic magnitude, or statistically insignificant but still important in management practice.</w:t>
      </w:r>
      <w:r>
        <w:rPr>
          <w:spacing w:val="-3"/>
        </w:rPr>
        <w:t xml:space="preserve"> </w:t>
      </w:r>
      <w:r>
        <w:t>The</w:t>
      </w:r>
      <w:r>
        <w:rPr>
          <w:spacing w:val="-4"/>
        </w:rPr>
        <w:t xml:space="preserve"> </w:t>
      </w:r>
      <w:r>
        <w:t>interpretation</w:t>
      </w:r>
      <w:r>
        <w:rPr>
          <w:spacing w:val="-3"/>
        </w:rPr>
        <w:t xml:space="preserve"> </w:t>
      </w:r>
      <w:r>
        <w:t>must</w:t>
      </w:r>
      <w:r>
        <w:rPr>
          <w:spacing w:val="-4"/>
        </w:rPr>
        <w:t xml:space="preserve"> </w:t>
      </w:r>
      <w:r>
        <w:t>consider</w:t>
      </w:r>
      <w:r>
        <w:rPr>
          <w:spacing w:val="-3"/>
        </w:rPr>
        <w:t xml:space="preserve"> </w:t>
      </w:r>
      <w:r>
        <w:t>both.</w:t>
      </w:r>
      <w:r>
        <w:rPr>
          <w:spacing w:val="-3"/>
        </w:rPr>
        <w:t xml:space="preserve"> </w:t>
      </w:r>
      <w:r>
        <w:t>In</w:t>
      </w:r>
      <w:r>
        <w:rPr>
          <w:spacing w:val="-3"/>
        </w:rPr>
        <w:t xml:space="preserve"> </w:t>
      </w:r>
      <w:r>
        <w:t>this</w:t>
      </w:r>
      <w:r>
        <w:rPr>
          <w:spacing w:val="-4"/>
        </w:rPr>
        <w:t xml:space="preserve"> </w:t>
      </w:r>
      <w:r>
        <w:t>paper,</w:t>
      </w:r>
      <w:r>
        <w:rPr>
          <w:spacing w:val="-3"/>
        </w:rPr>
        <w:t xml:space="preserve"> </w:t>
      </w:r>
      <w:r>
        <w:t>ROA</w:t>
      </w:r>
      <w:r>
        <w:rPr>
          <w:spacing w:val="-4"/>
        </w:rPr>
        <w:t xml:space="preserve"> </w:t>
      </w:r>
      <w:r>
        <w:t>is</w:t>
      </w:r>
      <w:r>
        <w:rPr>
          <w:spacing w:val="-4"/>
        </w:rPr>
        <w:t xml:space="preserve"> </w:t>
      </w:r>
      <w:r>
        <w:t>statistically</w:t>
      </w:r>
      <w:r>
        <w:rPr>
          <w:spacing w:val="-3"/>
        </w:rPr>
        <w:t xml:space="preserve"> </w:t>
      </w:r>
      <w:r>
        <w:t>significant</w:t>
      </w:r>
      <w:r>
        <w:rPr>
          <w:spacing w:val="-4"/>
        </w:rPr>
        <w:t xml:space="preserve"> </w:t>
      </w:r>
      <w:r>
        <w:t>and</w:t>
      </w:r>
      <w:r>
        <w:rPr>
          <w:spacing w:val="-3"/>
        </w:rPr>
        <w:t xml:space="preserve"> </w:t>
      </w:r>
      <w:r>
        <w:t>substantively</w:t>
      </w:r>
      <w:r>
        <w:rPr>
          <w:spacing w:val="-3"/>
        </w:rPr>
        <w:t xml:space="preserve"> </w:t>
      </w:r>
      <w:r>
        <w:t>meaningful because it represents the core ability of the company to earn from assets.</w:t>
      </w:r>
    </w:p>
    <w:p w14:paraId="7D18D4EB" w14:textId="77777777" w:rsidR="00ED08FF" w:rsidRDefault="00000000">
      <w:pPr>
        <w:pStyle w:val="Heading2"/>
        <w:spacing w:before="1"/>
        <w:ind w:left="3238"/>
      </w:pPr>
      <w:r>
        <w:t>Table</w:t>
      </w:r>
      <w:r>
        <w:rPr>
          <w:spacing w:val="-8"/>
        </w:rPr>
        <w:t xml:space="preserve"> </w:t>
      </w:r>
      <w:r>
        <w:t>13:</w:t>
      </w:r>
      <w:r>
        <w:rPr>
          <w:spacing w:val="-5"/>
        </w:rPr>
        <w:t xml:space="preserve"> </w:t>
      </w:r>
      <w:r>
        <w:t>Replication</w:t>
      </w:r>
      <w:r>
        <w:rPr>
          <w:spacing w:val="-6"/>
        </w:rPr>
        <w:t xml:space="preserve"> </w:t>
      </w:r>
      <w:r>
        <w:t>Procedure</w:t>
      </w:r>
      <w:r>
        <w:rPr>
          <w:spacing w:val="-5"/>
        </w:rPr>
        <w:t xml:space="preserve"> </w:t>
      </w:r>
      <w:r>
        <w:t>for</w:t>
      </w:r>
      <w:r>
        <w:rPr>
          <w:spacing w:val="-6"/>
        </w:rPr>
        <w:t xml:space="preserve"> </w:t>
      </w:r>
      <w:r>
        <w:t>Future</w:t>
      </w:r>
      <w:r>
        <w:rPr>
          <w:spacing w:val="-5"/>
        </w:rPr>
        <w:t xml:space="preserve"> </w:t>
      </w:r>
      <w:r>
        <w:rPr>
          <w:spacing w:val="-2"/>
        </w:rPr>
        <w:t>Researchers</w:t>
      </w:r>
    </w:p>
    <w:p w14:paraId="3CAD2DA3" w14:textId="77777777" w:rsidR="00ED08FF" w:rsidRDefault="00000000">
      <w:pPr>
        <w:tabs>
          <w:tab w:val="left" w:pos="3889"/>
          <w:tab w:val="left" w:pos="7634"/>
        </w:tabs>
        <w:spacing w:before="50" w:line="147" w:lineRule="exact"/>
        <w:ind w:left="1784"/>
        <w:rPr>
          <w:rFonts w:ascii="Courier New"/>
          <w:sz w:val="13"/>
        </w:rPr>
      </w:pPr>
      <w:r>
        <w:rPr>
          <w:rFonts w:ascii="Courier New"/>
          <w:spacing w:val="-4"/>
          <w:sz w:val="13"/>
        </w:rPr>
        <w:t>Step</w:t>
      </w:r>
      <w:r>
        <w:rPr>
          <w:rFonts w:ascii="Courier New"/>
          <w:sz w:val="13"/>
        </w:rPr>
        <w:tab/>
      </w:r>
      <w:r>
        <w:rPr>
          <w:rFonts w:ascii="Courier New"/>
          <w:spacing w:val="-4"/>
          <w:sz w:val="13"/>
        </w:rPr>
        <w:t>Item</w:t>
      </w:r>
      <w:r>
        <w:rPr>
          <w:rFonts w:ascii="Courier New"/>
          <w:sz w:val="13"/>
        </w:rPr>
        <w:tab/>
      </w:r>
      <w:r>
        <w:rPr>
          <w:rFonts w:ascii="Courier New"/>
          <w:spacing w:val="-2"/>
          <w:sz w:val="13"/>
        </w:rPr>
        <w:t>Purpose</w:t>
      </w:r>
    </w:p>
    <w:p w14:paraId="5ABCA034" w14:textId="77777777" w:rsidR="00ED08FF" w:rsidRDefault="00000000">
      <w:pPr>
        <w:tabs>
          <w:tab w:val="left" w:pos="2797"/>
        </w:tabs>
        <w:ind w:left="145" w:right="2542"/>
        <w:rPr>
          <w:rFonts w:ascii="Courier New"/>
          <w:sz w:val="13"/>
        </w:rPr>
      </w:pPr>
      <w:r>
        <w:rPr>
          <w:rFonts w:ascii="Courier New"/>
          <w:sz w:val="13"/>
        </w:rPr>
        <w:t>Collect PBV, ROA, DER, CR</w:t>
      </w:r>
      <w:r>
        <w:rPr>
          <w:rFonts w:ascii="Courier New"/>
          <w:sz w:val="13"/>
        </w:rPr>
        <w:tab/>
        <w:t>Obtain</w:t>
      </w:r>
      <w:r>
        <w:rPr>
          <w:rFonts w:ascii="Courier New"/>
          <w:spacing w:val="-5"/>
          <w:sz w:val="13"/>
        </w:rPr>
        <w:t xml:space="preserve"> </w:t>
      </w:r>
      <w:r>
        <w:rPr>
          <w:rFonts w:ascii="Courier New"/>
          <w:sz w:val="13"/>
        </w:rPr>
        <w:t>dependent</w:t>
      </w:r>
      <w:r>
        <w:rPr>
          <w:rFonts w:ascii="Courier New"/>
          <w:spacing w:val="-5"/>
          <w:sz w:val="13"/>
        </w:rPr>
        <w:t xml:space="preserve"> </w:t>
      </w:r>
      <w:r>
        <w:rPr>
          <w:rFonts w:ascii="Courier New"/>
          <w:sz w:val="13"/>
        </w:rPr>
        <w:t>and</w:t>
      </w:r>
      <w:r>
        <w:rPr>
          <w:rFonts w:ascii="Courier New"/>
          <w:spacing w:val="-5"/>
          <w:sz w:val="13"/>
        </w:rPr>
        <w:t xml:space="preserve"> </w:t>
      </w:r>
      <w:r>
        <w:rPr>
          <w:rFonts w:ascii="Courier New"/>
          <w:sz w:val="13"/>
        </w:rPr>
        <w:t>independent</w:t>
      </w:r>
      <w:r>
        <w:rPr>
          <w:rFonts w:ascii="Courier New"/>
          <w:spacing w:val="-5"/>
          <w:sz w:val="13"/>
        </w:rPr>
        <w:t xml:space="preserve"> </w:t>
      </w:r>
      <w:r>
        <w:rPr>
          <w:rFonts w:ascii="Courier New"/>
          <w:sz w:val="13"/>
        </w:rPr>
        <w:t>ratio</w:t>
      </w:r>
      <w:r>
        <w:rPr>
          <w:rFonts w:ascii="Courier New"/>
          <w:spacing w:val="-5"/>
          <w:sz w:val="13"/>
        </w:rPr>
        <w:t xml:space="preserve"> </w:t>
      </w:r>
      <w:r>
        <w:rPr>
          <w:rFonts w:ascii="Courier New"/>
          <w:sz w:val="13"/>
        </w:rPr>
        <w:t>variables</w:t>
      </w:r>
      <w:r>
        <w:rPr>
          <w:rFonts w:ascii="Courier New"/>
          <w:spacing w:val="-5"/>
          <w:sz w:val="13"/>
        </w:rPr>
        <w:t xml:space="preserve"> </w:t>
      </w:r>
      <w:r>
        <w:rPr>
          <w:rFonts w:ascii="Courier New"/>
          <w:sz w:val="13"/>
        </w:rPr>
        <w:t>from</w:t>
      </w:r>
      <w:r>
        <w:rPr>
          <w:rFonts w:ascii="Courier New"/>
          <w:spacing w:val="-5"/>
          <w:sz w:val="13"/>
        </w:rPr>
        <w:t xml:space="preserve"> </w:t>
      </w:r>
      <w:r>
        <w:rPr>
          <w:rFonts w:ascii="Courier New"/>
          <w:sz w:val="13"/>
        </w:rPr>
        <w:t>the</w:t>
      </w:r>
      <w:r>
        <w:rPr>
          <w:rFonts w:ascii="Courier New"/>
          <w:spacing w:val="-5"/>
          <w:sz w:val="13"/>
        </w:rPr>
        <w:t xml:space="preserve"> </w:t>
      </w:r>
      <w:r>
        <w:rPr>
          <w:rFonts w:ascii="Courier New"/>
          <w:sz w:val="13"/>
        </w:rPr>
        <w:t>same</w:t>
      </w:r>
      <w:r>
        <w:rPr>
          <w:rFonts w:ascii="Courier New"/>
          <w:spacing w:val="-5"/>
          <w:sz w:val="13"/>
        </w:rPr>
        <w:t xml:space="preserve"> </w:t>
      </w:r>
      <w:r>
        <w:rPr>
          <w:rFonts w:ascii="Courier New"/>
          <w:sz w:val="13"/>
        </w:rPr>
        <w:t>source. Collect total assets</w:t>
      </w:r>
      <w:r>
        <w:rPr>
          <w:rFonts w:ascii="Courier New"/>
          <w:sz w:val="13"/>
        </w:rPr>
        <w:tab/>
        <w:t>Create a scale variable based on company resources.</w:t>
      </w:r>
    </w:p>
    <w:p w14:paraId="115ACA81" w14:textId="77777777" w:rsidR="00ED08FF" w:rsidRDefault="00000000">
      <w:pPr>
        <w:tabs>
          <w:tab w:val="left" w:pos="2797"/>
        </w:tabs>
        <w:spacing w:line="147" w:lineRule="exact"/>
        <w:ind w:left="145"/>
        <w:rPr>
          <w:rFonts w:ascii="Courier New"/>
          <w:sz w:val="13"/>
        </w:rPr>
      </w:pPr>
      <w:r>
        <w:rPr>
          <w:rFonts w:ascii="Courier New"/>
          <w:sz w:val="13"/>
        </w:rPr>
        <w:t>Calculate</w:t>
      </w:r>
      <w:r>
        <w:rPr>
          <w:rFonts w:ascii="Courier New"/>
          <w:spacing w:val="-11"/>
          <w:sz w:val="13"/>
        </w:rPr>
        <w:t xml:space="preserve"> </w:t>
      </w:r>
      <w:r>
        <w:rPr>
          <w:rFonts w:ascii="Courier New"/>
          <w:spacing w:val="-4"/>
          <w:sz w:val="13"/>
        </w:rPr>
        <w:t>SIZE</w:t>
      </w:r>
      <w:r>
        <w:rPr>
          <w:rFonts w:ascii="Courier New"/>
          <w:sz w:val="13"/>
        </w:rPr>
        <w:tab/>
        <w:t>Use</w:t>
      </w:r>
      <w:r>
        <w:rPr>
          <w:rFonts w:ascii="Courier New"/>
          <w:spacing w:val="-8"/>
          <w:sz w:val="13"/>
        </w:rPr>
        <w:t xml:space="preserve"> </w:t>
      </w:r>
      <w:r>
        <w:rPr>
          <w:rFonts w:ascii="Courier New"/>
          <w:sz w:val="13"/>
        </w:rPr>
        <w:t>natural</w:t>
      </w:r>
      <w:r>
        <w:rPr>
          <w:rFonts w:ascii="Courier New"/>
          <w:spacing w:val="-5"/>
          <w:sz w:val="13"/>
        </w:rPr>
        <w:t xml:space="preserve"> </w:t>
      </w:r>
      <w:r>
        <w:rPr>
          <w:rFonts w:ascii="Courier New"/>
          <w:sz w:val="13"/>
        </w:rPr>
        <w:t>logarithm</w:t>
      </w:r>
      <w:r>
        <w:rPr>
          <w:rFonts w:ascii="Courier New"/>
          <w:spacing w:val="-5"/>
          <w:sz w:val="13"/>
        </w:rPr>
        <w:t xml:space="preserve"> </w:t>
      </w:r>
      <w:r>
        <w:rPr>
          <w:rFonts w:ascii="Courier New"/>
          <w:sz w:val="13"/>
        </w:rPr>
        <w:t>to</w:t>
      </w:r>
      <w:r>
        <w:rPr>
          <w:rFonts w:ascii="Courier New"/>
          <w:spacing w:val="-6"/>
          <w:sz w:val="13"/>
        </w:rPr>
        <w:t xml:space="preserve"> </w:t>
      </w:r>
      <w:r>
        <w:rPr>
          <w:rFonts w:ascii="Courier New"/>
          <w:sz w:val="13"/>
        </w:rPr>
        <w:t>reduce</w:t>
      </w:r>
      <w:r>
        <w:rPr>
          <w:rFonts w:ascii="Courier New"/>
          <w:spacing w:val="-5"/>
          <w:sz w:val="13"/>
        </w:rPr>
        <w:t xml:space="preserve"> </w:t>
      </w:r>
      <w:r>
        <w:rPr>
          <w:rFonts w:ascii="Courier New"/>
          <w:sz w:val="13"/>
        </w:rPr>
        <w:t>scale</w:t>
      </w:r>
      <w:r>
        <w:rPr>
          <w:rFonts w:ascii="Courier New"/>
          <w:spacing w:val="-5"/>
          <w:sz w:val="13"/>
        </w:rPr>
        <w:t xml:space="preserve"> </w:t>
      </w:r>
      <w:r>
        <w:rPr>
          <w:rFonts w:ascii="Courier New"/>
          <w:spacing w:val="-2"/>
          <w:sz w:val="13"/>
        </w:rPr>
        <w:t>distortion.</w:t>
      </w:r>
    </w:p>
    <w:p w14:paraId="631761A5" w14:textId="77777777" w:rsidR="00ED08FF" w:rsidRDefault="00000000">
      <w:pPr>
        <w:tabs>
          <w:tab w:val="left" w:pos="2797"/>
        </w:tabs>
        <w:spacing w:line="147" w:lineRule="exact"/>
        <w:ind w:left="145"/>
        <w:rPr>
          <w:rFonts w:ascii="Courier New"/>
          <w:sz w:val="13"/>
        </w:rPr>
      </w:pPr>
      <w:r>
        <w:rPr>
          <w:rFonts w:ascii="Courier New"/>
          <w:sz w:val="13"/>
        </w:rPr>
        <w:t>Arrange</w:t>
      </w:r>
      <w:r>
        <w:rPr>
          <w:rFonts w:ascii="Courier New"/>
          <w:spacing w:val="-8"/>
          <w:sz w:val="13"/>
        </w:rPr>
        <w:t xml:space="preserve"> </w:t>
      </w:r>
      <w:r>
        <w:rPr>
          <w:rFonts w:ascii="Courier New"/>
          <w:sz w:val="13"/>
        </w:rPr>
        <w:t>firm-year</w:t>
      </w:r>
      <w:r>
        <w:rPr>
          <w:rFonts w:ascii="Courier New"/>
          <w:spacing w:val="-8"/>
          <w:sz w:val="13"/>
        </w:rPr>
        <w:t xml:space="preserve"> </w:t>
      </w:r>
      <w:r>
        <w:rPr>
          <w:rFonts w:ascii="Courier New"/>
          <w:spacing w:val="-2"/>
          <w:sz w:val="13"/>
        </w:rPr>
        <w:t>panel</w:t>
      </w:r>
      <w:r>
        <w:rPr>
          <w:rFonts w:ascii="Courier New"/>
          <w:sz w:val="13"/>
        </w:rPr>
        <w:tab/>
        <w:t>Ensure</w:t>
      </w:r>
      <w:r>
        <w:rPr>
          <w:rFonts w:ascii="Courier New"/>
          <w:spacing w:val="-7"/>
          <w:sz w:val="13"/>
        </w:rPr>
        <w:t xml:space="preserve"> </w:t>
      </w:r>
      <w:r>
        <w:rPr>
          <w:rFonts w:ascii="Courier New"/>
          <w:sz w:val="13"/>
        </w:rPr>
        <w:t>each</w:t>
      </w:r>
      <w:r>
        <w:rPr>
          <w:rFonts w:ascii="Courier New"/>
          <w:spacing w:val="-5"/>
          <w:sz w:val="13"/>
        </w:rPr>
        <w:t xml:space="preserve"> </w:t>
      </w:r>
      <w:r>
        <w:rPr>
          <w:rFonts w:ascii="Courier New"/>
          <w:sz w:val="13"/>
        </w:rPr>
        <w:t>row</w:t>
      </w:r>
      <w:r>
        <w:rPr>
          <w:rFonts w:ascii="Courier New"/>
          <w:spacing w:val="-5"/>
          <w:sz w:val="13"/>
        </w:rPr>
        <w:t xml:space="preserve"> </w:t>
      </w:r>
      <w:r>
        <w:rPr>
          <w:rFonts w:ascii="Courier New"/>
          <w:sz w:val="13"/>
        </w:rPr>
        <w:t>represents</w:t>
      </w:r>
      <w:r>
        <w:rPr>
          <w:rFonts w:ascii="Courier New"/>
          <w:spacing w:val="-5"/>
          <w:sz w:val="13"/>
        </w:rPr>
        <w:t xml:space="preserve"> </w:t>
      </w:r>
      <w:r>
        <w:rPr>
          <w:rFonts w:ascii="Courier New"/>
          <w:sz w:val="13"/>
        </w:rPr>
        <w:t>one</w:t>
      </w:r>
      <w:r>
        <w:rPr>
          <w:rFonts w:ascii="Courier New"/>
          <w:spacing w:val="-5"/>
          <w:sz w:val="13"/>
        </w:rPr>
        <w:t xml:space="preserve"> </w:t>
      </w:r>
      <w:r>
        <w:rPr>
          <w:rFonts w:ascii="Courier New"/>
          <w:sz w:val="13"/>
        </w:rPr>
        <w:t>company</w:t>
      </w:r>
      <w:r>
        <w:rPr>
          <w:rFonts w:ascii="Courier New"/>
          <w:spacing w:val="-5"/>
          <w:sz w:val="13"/>
        </w:rPr>
        <w:t xml:space="preserve"> </w:t>
      </w:r>
      <w:r>
        <w:rPr>
          <w:rFonts w:ascii="Courier New"/>
          <w:sz w:val="13"/>
        </w:rPr>
        <w:t>in</w:t>
      </w:r>
      <w:r>
        <w:rPr>
          <w:rFonts w:ascii="Courier New"/>
          <w:spacing w:val="-5"/>
          <w:sz w:val="13"/>
        </w:rPr>
        <w:t xml:space="preserve"> </w:t>
      </w:r>
      <w:r>
        <w:rPr>
          <w:rFonts w:ascii="Courier New"/>
          <w:sz w:val="13"/>
        </w:rPr>
        <w:t>one</w:t>
      </w:r>
      <w:r>
        <w:rPr>
          <w:rFonts w:ascii="Courier New"/>
          <w:spacing w:val="-4"/>
          <w:sz w:val="13"/>
        </w:rPr>
        <w:t xml:space="preserve"> </w:t>
      </w:r>
      <w:r>
        <w:rPr>
          <w:rFonts w:ascii="Courier New"/>
          <w:sz w:val="13"/>
        </w:rPr>
        <w:t>fiscal</w:t>
      </w:r>
      <w:r>
        <w:rPr>
          <w:rFonts w:ascii="Courier New"/>
          <w:spacing w:val="-4"/>
          <w:sz w:val="13"/>
        </w:rPr>
        <w:t xml:space="preserve"> </w:t>
      </w:r>
      <w:r>
        <w:rPr>
          <w:rFonts w:ascii="Courier New"/>
          <w:spacing w:val="-2"/>
          <w:sz w:val="13"/>
        </w:rPr>
        <w:t>year.</w:t>
      </w:r>
    </w:p>
    <w:p w14:paraId="1309EC48" w14:textId="77777777" w:rsidR="00ED08FF" w:rsidRDefault="00000000">
      <w:pPr>
        <w:tabs>
          <w:tab w:val="left" w:pos="2797"/>
        </w:tabs>
        <w:ind w:left="145"/>
        <w:rPr>
          <w:rFonts w:ascii="Courier New"/>
          <w:sz w:val="13"/>
        </w:rPr>
      </w:pPr>
      <w:r>
        <w:rPr>
          <w:rFonts w:ascii="Courier New"/>
          <w:sz w:val="13"/>
        </w:rPr>
        <w:t>Run</w:t>
      </w:r>
      <w:r>
        <w:rPr>
          <w:rFonts w:ascii="Courier New"/>
          <w:spacing w:val="-5"/>
          <w:sz w:val="13"/>
        </w:rPr>
        <w:t xml:space="preserve"> </w:t>
      </w:r>
      <w:r>
        <w:rPr>
          <w:rFonts w:ascii="Courier New"/>
          <w:sz w:val="13"/>
        </w:rPr>
        <w:t>pooled</w:t>
      </w:r>
      <w:r>
        <w:rPr>
          <w:rFonts w:ascii="Courier New"/>
          <w:spacing w:val="-4"/>
          <w:sz w:val="13"/>
        </w:rPr>
        <w:t xml:space="preserve"> </w:t>
      </w:r>
      <w:r>
        <w:rPr>
          <w:rFonts w:ascii="Courier New"/>
          <w:spacing w:val="-5"/>
          <w:sz w:val="13"/>
        </w:rPr>
        <w:t>OLS</w:t>
      </w:r>
      <w:r>
        <w:rPr>
          <w:rFonts w:ascii="Courier New"/>
          <w:sz w:val="13"/>
        </w:rPr>
        <w:tab/>
        <w:t>Estimate</w:t>
      </w:r>
      <w:r>
        <w:rPr>
          <w:rFonts w:ascii="Courier New"/>
          <w:spacing w:val="-7"/>
          <w:sz w:val="13"/>
        </w:rPr>
        <w:t xml:space="preserve"> </w:t>
      </w:r>
      <w:r>
        <w:rPr>
          <w:rFonts w:ascii="Courier New"/>
          <w:sz w:val="13"/>
        </w:rPr>
        <w:t>the</w:t>
      </w:r>
      <w:r>
        <w:rPr>
          <w:rFonts w:ascii="Courier New"/>
          <w:spacing w:val="-7"/>
          <w:sz w:val="13"/>
        </w:rPr>
        <w:t xml:space="preserve"> </w:t>
      </w:r>
      <w:r>
        <w:rPr>
          <w:rFonts w:ascii="Courier New"/>
          <w:sz w:val="13"/>
        </w:rPr>
        <w:t>relationship</w:t>
      </w:r>
      <w:r>
        <w:rPr>
          <w:rFonts w:ascii="Courier New"/>
          <w:spacing w:val="-6"/>
          <w:sz w:val="13"/>
        </w:rPr>
        <w:t xml:space="preserve"> </w:t>
      </w:r>
      <w:r>
        <w:rPr>
          <w:rFonts w:ascii="Courier New"/>
          <w:sz w:val="13"/>
        </w:rPr>
        <w:t>between</w:t>
      </w:r>
      <w:r>
        <w:rPr>
          <w:rFonts w:ascii="Courier New"/>
          <w:spacing w:val="-7"/>
          <w:sz w:val="13"/>
        </w:rPr>
        <w:t xml:space="preserve"> </w:t>
      </w:r>
      <w:r>
        <w:rPr>
          <w:rFonts w:ascii="Courier New"/>
          <w:sz w:val="13"/>
        </w:rPr>
        <w:t>accounting</w:t>
      </w:r>
      <w:r>
        <w:rPr>
          <w:rFonts w:ascii="Courier New"/>
          <w:spacing w:val="-6"/>
          <w:sz w:val="13"/>
        </w:rPr>
        <w:t xml:space="preserve"> </w:t>
      </w:r>
      <w:r>
        <w:rPr>
          <w:rFonts w:ascii="Courier New"/>
          <w:sz w:val="13"/>
        </w:rPr>
        <w:t>ratios</w:t>
      </w:r>
      <w:r>
        <w:rPr>
          <w:rFonts w:ascii="Courier New"/>
          <w:spacing w:val="-6"/>
          <w:sz w:val="13"/>
        </w:rPr>
        <w:t xml:space="preserve"> </w:t>
      </w:r>
      <w:r>
        <w:rPr>
          <w:rFonts w:ascii="Courier New"/>
          <w:sz w:val="13"/>
        </w:rPr>
        <w:t>and</w:t>
      </w:r>
      <w:r>
        <w:rPr>
          <w:rFonts w:ascii="Courier New"/>
          <w:spacing w:val="-7"/>
          <w:sz w:val="13"/>
        </w:rPr>
        <w:t xml:space="preserve"> </w:t>
      </w:r>
      <w:r>
        <w:rPr>
          <w:rFonts w:ascii="Courier New"/>
          <w:sz w:val="13"/>
        </w:rPr>
        <w:t>firm</w:t>
      </w:r>
      <w:r>
        <w:rPr>
          <w:rFonts w:ascii="Courier New"/>
          <w:spacing w:val="-6"/>
          <w:sz w:val="13"/>
        </w:rPr>
        <w:t xml:space="preserve"> </w:t>
      </w:r>
      <w:r>
        <w:rPr>
          <w:rFonts w:ascii="Courier New"/>
          <w:spacing w:val="-2"/>
          <w:sz w:val="13"/>
        </w:rPr>
        <w:t>value.</w:t>
      </w:r>
    </w:p>
    <w:p w14:paraId="7EBA4ADD" w14:textId="77777777" w:rsidR="00ED08FF" w:rsidRDefault="00ED08FF">
      <w:pPr>
        <w:pStyle w:val="BodyText"/>
        <w:spacing w:before="109"/>
        <w:ind w:left="0"/>
        <w:rPr>
          <w:rFonts w:ascii="Courier New"/>
          <w:sz w:val="13"/>
        </w:rPr>
      </w:pPr>
    </w:p>
    <w:p w14:paraId="4BD6EFC7" w14:textId="77777777" w:rsidR="00ED08FF" w:rsidRDefault="00000000">
      <w:pPr>
        <w:pStyle w:val="Heading2"/>
        <w:numPr>
          <w:ilvl w:val="1"/>
          <w:numId w:val="1"/>
        </w:numPr>
        <w:tabs>
          <w:tab w:val="left" w:pos="505"/>
        </w:tabs>
        <w:ind w:left="505" w:hanging="360"/>
      </w:pPr>
      <w:r>
        <w:t>Data</w:t>
      </w:r>
      <w:r>
        <w:rPr>
          <w:spacing w:val="-3"/>
        </w:rPr>
        <w:t xml:space="preserve"> </w:t>
      </w:r>
      <w:r>
        <w:t>Reliability</w:t>
      </w:r>
      <w:r>
        <w:rPr>
          <w:spacing w:val="-2"/>
        </w:rPr>
        <w:t xml:space="preserve"> </w:t>
      </w:r>
      <w:r>
        <w:t>and</w:t>
      </w:r>
      <w:r>
        <w:rPr>
          <w:spacing w:val="-3"/>
        </w:rPr>
        <w:t xml:space="preserve"> </w:t>
      </w:r>
      <w:r>
        <w:t>Ethical</w:t>
      </w:r>
      <w:r>
        <w:rPr>
          <w:spacing w:val="-2"/>
        </w:rPr>
        <w:t xml:space="preserve"> </w:t>
      </w:r>
      <w:r>
        <w:t>Use</w:t>
      </w:r>
      <w:r>
        <w:rPr>
          <w:spacing w:val="-3"/>
        </w:rPr>
        <w:t xml:space="preserve"> </w:t>
      </w:r>
      <w:r>
        <w:t>of</w:t>
      </w:r>
      <w:r>
        <w:rPr>
          <w:spacing w:val="-2"/>
        </w:rPr>
        <w:t xml:space="preserve"> </w:t>
      </w:r>
      <w:r>
        <w:t>Secondary</w:t>
      </w:r>
      <w:r>
        <w:rPr>
          <w:spacing w:val="-2"/>
        </w:rPr>
        <w:t xml:space="preserve"> </w:t>
      </w:r>
      <w:r>
        <w:rPr>
          <w:spacing w:val="-4"/>
        </w:rPr>
        <w:t>Data</w:t>
      </w:r>
    </w:p>
    <w:p w14:paraId="0FB989ED" w14:textId="77777777" w:rsidR="00ED08FF" w:rsidRDefault="00000000">
      <w:pPr>
        <w:pStyle w:val="BodyText"/>
        <w:spacing w:before="50" w:line="297" w:lineRule="auto"/>
        <w:ind w:right="1903"/>
      </w:pPr>
      <w:r>
        <w:t>The use of public financial databases is practical, but it creates responsibility. Researchers should not simply copy numbers</w:t>
      </w:r>
      <w:r>
        <w:rPr>
          <w:spacing w:val="-3"/>
        </w:rPr>
        <w:t xml:space="preserve"> </w:t>
      </w:r>
      <w:r>
        <w:t>without</w:t>
      </w:r>
      <w:r>
        <w:rPr>
          <w:spacing w:val="-3"/>
        </w:rPr>
        <w:t xml:space="preserve"> </w:t>
      </w:r>
      <w:r>
        <w:t>understanding</w:t>
      </w:r>
      <w:r>
        <w:rPr>
          <w:spacing w:val="-2"/>
        </w:rPr>
        <w:t xml:space="preserve"> </w:t>
      </w:r>
      <w:r>
        <w:t>their</w:t>
      </w:r>
      <w:r>
        <w:rPr>
          <w:spacing w:val="-2"/>
        </w:rPr>
        <w:t xml:space="preserve"> </w:t>
      </w:r>
      <w:r>
        <w:t>origin.</w:t>
      </w:r>
      <w:r>
        <w:rPr>
          <w:spacing w:val="-2"/>
        </w:rPr>
        <w:t xml:space="preserve"> </w:t>
      </w:r>
      <w:r>
        <w:t>A</w:t>
      </w:r>
      <w:r>
        <w:rPr>
          <w:spacing w:val="-3"/>
        </w:rPr>
        <w:t xml:space="preserve"> </w:t>
      </w:r>
      <w:r>
        <w:t>database</w:t>
      </w:r>
      <w:r>
        <w:rPr>
          <w:spacing w:val="-3"/>
        </w:rPr>
        <w:t xml:space="preserve"> </w:t>
      </w:r>
      <w:r>
        <w:t>may</w:t>
      </w:r>
      <w:r>
        <w:rPr>
          <w:spacing w:val="-2"/>
        </w:rPr>
        <w:t xml:space="preserve"> </w:t>
      </w:r>
      <w:r>
        <w:t>restate</w:t>
      </w:r>
      <w:r>
        <w:rPr>
          <w:spacing w:val="-3"/>
        </w:rPr>
        <w:t xml:space="preserve"> </w:t>
      </w:r>
      <w:r>
        <w:t>figures,</w:t>
      </w:r>
      <w:r>
        <w:rPr>
          <w:spacing w:val="-2"/>
        </w:rPr>
        <w:t xml:space="preserve"> </w:t>
      </w:r>
      <w:r>
        <w:t>update</w:t>
      </w:r>
      <w:r>
        <w:rPr>
          <w:spacing w:val="-3"/>
        </w:rPr>
        <w:t xml:space="preserve"> </w:t>
      </w:r>
      <w:r>
        <w:t>after</w:t>
      </w:r>
      <w:r>
        <w:rPr>
          <w:spacing w:val="-2"/>
        </w:rPr>
        <w:t xml:space="preserve"> </w:t>
      </w:r>
      <w:r>
        <w:t>quarterly</w:t>
      </w:r>
      <w:r>
        <w:rPr>
          <w:spacing w:val="-2"/>
        </w:rPr>
        <w:t xml:space="preserve"> </w:t>
      </w:r>
      <w:r>
        <w:t>releases,</w:t>
      </w:r>
      <w:r>
        <w:rPr>
          <w:spacing w:val="-2"/>
        </w:rPr>
        <w:t xml:space="preserve"> </w:t>
      </w:r>
      <w:r>
        <w:t>or</w:t>
      </w:r>
      <w:r>
        <w:rPr>
          <w:spacing w:val="-2"/>
        </w:rPr>
        <w:t xml:space="preserve"> </w:t>
      </w:r>
      <w:r>
        <w:t>define ratios</w:t>
      </w:r>
      <w:r>
        <w:rPr>
          <w:spacing w:val="-3"/>
        </w:rPr>
        <w:t xml:space="preserve"> </w:t>
      </w:r>
      <w:r>
        <w:t>differently</w:t>
      </w:r>
      <w:r>
        <w:rPr>
          <w:spacing w:val="-2"/>
        </w:rPr>
        <w:t xml:space="preserve"> </w:t>
      </w:r>
      <w:r>
        <w:t>from</w:t>
      </w:r>
      <w:r>
        <w:rPr>
          <w:spacing w:val="-3"/>
        </w:rPr>
        <w:t xml:space="preserve"> </w:t>
      </w:r>
      <w:r>
        <w:t>another</w:t>
      </w:r>
      <w:r>
        <w:rPr>
          <w:spacing w:val="-2"/>
        </w:rPr>
        <w:t xml:space="preserve"> </w:t>
      </w:r>
      <w:r>
        <w:t>platform.</w:t>
      </w:r>
      <w:r>
        <w:rPr>
          <w:spacing w:val="-2"/>
        </w:rPr>
        <w:t xml:space="preserve"> </w:t>
      </w:r>
      <w:r>
        <w:t>For</w:t>
      </w:r>
      <w:r>
        <w:rPr>
          <w:spacing w:val="-1"/>
        </w:rPr>
        <w:t xml:space="preserve"> </w:t>
      </w:r>
      <w:r>
        <w:t>this</w:t>
      </w:r>
      <w:r>
        <w:rPr>
          <w:spacing w:val="-3"/>
        </w:rPr>
        <w:t xml:space="preserve"> </w:t>
      </w:r>
      <w:r>
        <w:t>reason,</w:t>
      </w:r>
      <w:r>
        <w:rPr>
          <w:spacing w:val="-2"/>
        </w:rPr>
        <w:t xml:space="preserve"> </w:t>
      </w:r>
      <w:r>
        <w:t>the</w:t>
      </w:r>
      <w:r>
        <w:rPr>
          <w:spacing w:val="-3"/>
        </w:rPr>
        <w:t xml:space="preserve"> </w:t>
      </w:r>
      <w:r>
        <w:t>data</w:t>
      </w:r>
      <w:r>
        <w:rPr>
          <w:spacing w:val="-3"/>
        </w:rPr>
        <w:t xml:space="preserve"> </w:t>
      </w:r>
      <w:r>
        <w:t>source</w:t>
      </w:r>
      <w:r>
        <w:rPr>
          <w:spacing w:val="-3"/>
        </w:rPr>
        <w:t xml:space="preserve"> </w:t>
      </w:r>
      <w:r>
        <w:t>must</w:t>
      </w:r>
      <w:r>
        <w:rPr>
          <w:spacing w:val="-2"/>
        </w:rPr>
        <w:t xml:space="preserve"> </w:t>
      </w:r>
      <w:r>
        <w:t>be</w:t>
      </w:r>
      <w:r>
        <w:rPr>
          <w:spacing w:val="-3"/>
        </w:rPr>
        <w:t xml:space="preserve"> </w:t>
      </w:r>
      <w:r>
        <w:t>disclosed</w:t>
      </w:r>
      <w:r>
        <w:rPr>
          <w:spacing w:val="-2"/>
        </w:rPr>
        <w:t xml:space="preserve"> </w:t>
      </w:r>
      <w:r>
        <w:t>clearly</w:t>
      </w:r>
      <w:r>
        <w:rPr>
          <w:spacing w:val="-2"/>
        </w:rPr>
        <w:t xml:space="preserve"> </w:t>
      </w:r>
      <w:r>
        <w:t>and</w:t>
      </w:r>
      <w:r>
        <w:rPr>
          <w:spacing w:val="-2"/>
        </w:rPr>
        <w:t xml:space="preserve"> </w:t>
      </w:r>
      <w:r>
        <w:t>accessed</w:t>
      </w:r>
      <w:r>
        <w:rPr>
          <w:spacing w:val="-1"/>
        </w:rPr>
        <w:t xml:space="preserve"> </w:t>
      </w:r>
      <w:r>
        <w:rPr>
          <w:spacing w:val="-2"/>
        </w:rPr>
        <w:t>dates</w:t>
      </w:r>
    </w:p>
    <w:p w14:paraId="5BECFA66" w14:textId="77777777" w:rsidR="00ED08FF" w:rsidRDefault="00ED08FF">
      <w:pPr>
        <w:pStyle w:val="BodyText"/>
        <w:spacing w:before="51"/>
        <w:ind w:left="0"/>
      </w:pPr>
    </w:p>
    <w:p w14:paraId="2D4F08D3" w14:textId="77777777" w:rsidR="00ED08FF" w:rsidRDefault="00000000">
      <w:pPr>
        <w:pStyle w:val="BodyText"/>
        <w:spacing w:before="0" w:line="297" w:lineRule="auto"/>
        <w:ind w:right="1903"/>
      </w:pPr>
      <w:r>
        <w:t>should</w:t>
      </w:r>
      <w:r>
        <w:rPr>
          <w:spacing w:val="-2"/>
        </w:rPr>
        <w:t xml:space="preserve"> </w:t>
      </w:r>
      <w:r>
        <w:t>be</w:t>
      </w:r>
      <w:r>
        <w:rPr>
          <w:spacing w:val="-3"/>
        </w:rPr>
        <w:t xml:space="preserve"> </w:t>
      </w:r>
      <w:r>
        <w:t>recorded.</w:t>
      </w:r>
      <w:r>
        <w:rPr>
          <w:spacing w:val="-2"/>
        </w:rPr>
        <w:t xml:space="preserve"> </w:t>
      </w:r>
      <w:r>
        <w:t>This</w:t>
      </w:r>
      <w:r>
        <w:rPr>
          <w:spacing w:val="-3"/>
        </w:rPr>
        <w:t xml:space="preserve"> </w:t>
      </w:r>
      <w:r>
        <w:t>paper</w:t>
      </w:r>
      <w:r>
        <w:rPr>
          <w:spacing w:val="-2"/>
        </w:rPr>
        <w:t xml:space="preserve"> </w:t>
      </w:r>
      <w:r>
        <w:t>includes</w:t>
      </w:r>
      <w:r>
        <w:rPr>
          <w:spacing w:val="-3"/>
        </w:rPr>
        <w:t xml:space="preserve"> </w:t>
      </w:r>
      <w:r>
        <w:t>the</w:t>
      </w:r>
      <w:r>
        <w:rPr>
          <w:spacing w:val="-3"/>
        </w:rPr>
        <w:t xml:space="preserve"> </w:t>
      </w:r>
      <w:r>
        <w:t>source</w:t>
      </w:r>
      <w:r>
        <w:rPr>
          <w:spacing w:val="-3"/>
        </w:rPr>
        <w:t xml:space="preserve"> </w:t>
      </w:r>
      <w:r>
        <w:t>in</w:t>
      </w:r>
      <w:r>
        <w:rPr>
          <w:spacing w:val="-2"/>
        </w:rPr>
        <w:t xml:space="preserve"> </w:t>
      </w:r>
      <w:r>
        <w:t>the</w:t>
      </w:r>
      <w:r>
        <w:rPr>
          <w:spacing w:val="-3"/>
        </w:rPr>
        <w:t xml:space="preserve"> </w:t>
      </w:r>
      <w:r>
        <w:t>references</w:t>
      </w:r>
      <w:r>
        <w:rPr>
          <w:spacing w:val="-2"/>
        </w:rPr>
        <w:t xml:space="preserve"> </w:t>
      </w:r>
      <w:r>
        <w:t>and</w:t>
      </w:r>
      <w:r>
        <w:rPr>
          <w:spacing w:val="-2"/>
        </w:rPr>
        <w:t xml:space="preserve"> </w:t>
      </w:r>
      <w:r>
        <w:t>notes</w:t>
      </w:r>
      <w:r>
        <w:rPr>
          <w:spacing w:val="-3"/>
        </w:rPr>
        <w:t xml:space="preserve"> </w:t>
      </w:r>
      <w:r>
        <w:t>that</w:t>
      </w:r>
      <w:r>
        <w:rPr>
          <w:spacing w:val="-3"/>
        </w:rPr>
        <w:t xml:space="preserve"> </w:t>
      </w:r>
      <w:r>
        <w:t>the</w:t>
      </w:r>
      <w:r>
        <w:rPr>
          <w:spacing w:val="-3"/>
        </w:rPr>
        <w:t xml:space="preserve"> </w:t>
      </w:r>
      <w:r>
        <w:t>database</w:t>
      </w:r>
      <w:r>
        <w:rPr>
          <w:spacing w:val="-3"/>
        </w:rPr>
        <w:t xml:space="preserve"> </w:t>
      </w:r>
      <w:r>
        <w:t>identifies</w:t>
      </w:r>
      <w:r>
        <w:rPr>
          <w:spacing w:val="-3"/>
        </w:rPr>
        <w:t xml:space="preserve"> </w:t>
      </w:r>
      <w:r>
        <w:t>S&amp;P</w:t>
      </w:r>
      <w:r>
        <w:rPr>
          <w:spacing w:val="-3"/>
        </w:rPr>
        <w:t xml:space="preserve"> </w:t>
      </w:r>
      <w:r>
        <w:t>Global Market Intelligence as the data provider.</w:t>
      </w:r>
    </w:p>
    <w:p w14:paraId="4C126476" w14:textId="77777777" w:rsidR="00ED08FF" w:rsidRDefault="00000000">
      <w:pPr>
        <w:pStyle w:val="BodyText"/>
        <w:spacing w:line="297" w:lineRule="auto"/>
        <w:ind w:right="1903"/>
      </w:pPr>
      <w:r>
        <w:t>Ethical use of secondary data also means avoiding fabricated results. If a value is missing, the researcher should not invent it to complete a table. The correct options are to exclude the observation, use another verified source, or state the limitation.</w:t>
      </w:r>
      <w:r>
        <w:rPr>
          <w:spacing w:val="-3"/>
        </w:rPr>
        <w:t xml:space="preserve"> </w:t>
      </w:r>
      <w:r>
        <w:t>Fabricated</w:t>
      </w:r>
      <w:r>
        <w:rPr>
          <w:spacing w:val="-3"/>
        </w:rPr>
        <w:t xml:space="preserve"> </w:t>
      </w:r>
      <w:r>
        <w:t>data</w:t>
      </w:r>
      <w:r>
        <w:rPr>
          <w:spacing w:val="-4"/>
        </w:rPr>
        <w:t xml:space="preserve"> </w:t>
      </w:r>
      <w:r>
        <w:t>can</w:t>
      </w:r>
      <w:r>
        <w:rPr>
          <w:spacing w:val="-3"/>
        </w:rPr>
        <w:t xml:space="preserve"> </w:t>
      </w:r>
      <w:r>
        <w:t>make</w:t>
      </w:r>
      <w:r>
        <w:rPr>
          <w:spacing w:val="-4"/>
        </w:rPr>
        <w:t xml:space="preserve"> </w:t>
      </w:r>
      <w:r>
        <w:t>the</w:t>
      </w:r>
      <w:r>
        <w:rPr>
          <w:spacing w:val="-4"/>
        </w:rPr>
        <w:t xml:space="preserve"> </w:t>
      </w:r>
      <w:r>
        <w:t>regression</w:t>
      </w:r>
      <w:r>
        <w:rPr>
          <w:spacing w:val="-3"/>
        </w:rPr>
        <w:t xml:space="preserve"> </w:t>
      </w:r>
      <w:r>
        <w:t>look</w:t>
      </w:r>
      <w:r>
        <w:rPr>
          <w:spacing w:val="-3"/>
        </w:rPr>
        <w:t xml:space="preserve"> </w:t>
      </w:r>
      <w:r>
        <w:t>complete,</w:t>
      </w:r>
      <w:r>
        <w:rPr>
          <w:spacing w:val="-3"/>
        </w:rPr>
        <w:t xml:space="preserve"> </w:t>
      </w:r>
      <w:r>
        <w:t>but</w:t>
      </w:r>
      <w:r>
        <w:rPr>
          <w:spacing w:val="-4"/>
        </w:rPr>
        <w:t xml:space="preserve"> </w:t>
      </w:r>
      <w:r>
        <w:t>it</w:t>
      </w:r>
      <w:r>
        <w:rPr>
          <w:spacing w:val="-4"/>
        </w:rPr>
        <w:t xml:space="preserve"> </w:t>
      </w:r>
      <w:r>
        <w:t>destroys</w:t>
      </w:r>
      <w:r>
        <w:rPr>
          <w:spacing w:val="-4"/>
        </w:rPr>
        <w:t xml:space="preserve"> </w:t>
      </w:r>
      <w:r>
        <w:t>the</w:t>
      </w:r>
      <w:r>
        <w:rPr>
          <w:spacing w:val="-4"/>
        </w:rPr>
        <w:t xml:space="preserve"> </w:t>
      </w:r>
      <w:r>
        <w:t>credibility</w:t>
      </w:r>
      <w:r>
        <w:rPr>
          <w:spacing w:val="-3"/>
        </w:rPr>
        <w:t xml:space="preserve"> </w:t>
      </w:r>
      <w:r>
        <w:t>of</w:t>
      </w:r>
      <w:r>
        <w:rPr>
          <w:spacing w:val="-4"/>
        </w:rPr>
        <w:t xml:space="preserve"> </w:t>
      </w:r>
      <w:r>
        <w:t>the</w:t>
      </w:r>
      <w:r>
        <w:rPr>
          <w:spacing w:val="-4"/>
        </w:rPr>
        <w:t xml:space="preserve"> </w:t>
      </w:r>
      <w:r>
        <w:t>paper.</w:t>
      </w:r>
      <w:r>
        <w:rPr>
          <w:spacing w:val="-3"/>
        </w:rPr>
        <w:t xml:space="preserve"> </w:t>
      </w:r>
      <w:r>
        <w:t>In</w:t>
      </w:r>
      <w:r>
        <w:rPr>
          <w:spacing w:val="-3"/>
        </w:rPr>
        <w:t xml:space="preserve"> </w:t>
      </w:r>
      <w:r>
        <w:t>empirical accounting, the strength of the paper begins with the honesty of the dataset.</w:t>
      </w:r>
    </w:p>
    <w:p w14:paraId="78A4EC96" w14:textId="77777777" w:rsidR="00ED08FF" w:rsidRDefault="00000000">
      <w:pPr>
        <w:pStyle w:val="BodyText"/>
        <w:spacing w:line="297" w:lineRule="auto"/>
        <w:ind w:right="1977"/>
      </w:pPr>
      <w:r>
        <w:t>For classroom use, the dataset in this paper can be treated as a working dataset. For formal journal submission, the author</w:t>
      </w:r>
      <w:r>
        <w:rPr>
          <w:spacing w:val="-3"/>
        </w:rPr>
        <w:t xml:space="preserve"> </w:t>
      </w:r>
      <w:r>
        <w:t>should</w:t>
      </w:r>
      <w:r>
        <w:rPr>
          <w:spacing w:val="-3"/>
        </w:rPr>
        <w:t xml:space="preserve"> </w:t>
      </w:r>
      <w:r>
        <w:t>re-check</w:t>
      </w:r>
      <w:r>
        <w:rPr>
          <w:spacing w:val="-3"/>
        </w:rPr>
        <w:t xml:space="preserve"> </w:t>
      </w:r>
      <w:r>
        <w:t>every</w:t>
      </w:r>
      <w:r>
        <w:rPr>
          <w:spacing w:val="-3"/>
        </w:rPr>
        <w:t xml:space="preserve"> </w:t>
      </w:r>
      <w:r>
        <w:t>value</w:t>
      </w:r>
      <w:r>
        <w:rPr>
          <w:spacing w:val="-4"/>
        </w:rPr>
        <w:t xml:space="preserve"> </w:t>
      </w:r>
      <w:r>
        <w:t>against</w:t>
      </w:r>
      <w:r>
        <w:rPr>
          <w:spacing w:val="-4"/>
        </w:rPr>
        <w:t xml:space="preserve"> </w:t>
      </w:r>
      <w:r>
        <w:t>annual</w:t>
      </w:r>
      <w:r>
        <w:rPr>
          <w:spacing w:val="-4"/>
        </w:rPr>
        <w:t xml:space="preserve"> </w:t>
      </w:r>
      <w:r>
        <w:t>reports,</w:t>
      </w:r>
      <w:r>
        <w:rPr>
          <w:spacing w:val="-3"/>
        </w:rPr>
        <w:t xml:space="preserve"> </w:t>
      </w:r>
      <w:r>
        <w:t>audited</w:t>
      </w:r>
      <w:r>
        <w:rPr>
          <w:spacing w:val="-3"/>
        </w:rPr>
        <w:t xml:space="preserve"> </w:t>
      </w:r>
      <w:r>
        <w:t>financial</w:t>
      </w:r>
      <w:r>
        <w:rPr>
          <w:spacing w:val="-4"/>
        </w:rPr>
        <w:t xml:space="preserve"> </w:t>
      </w:r>
      <w:r>
        <w:t>statements,</w:t>
      </w:r>
      <w:r>
        <w:rPr>
          <w:spacing w:val="-3"/>
        </w:rPr>
        <w:t xml:space="preserve"> </w:t>
      </w:r>
      <w:r>
        <w:t>or</w:t>
      </w:r>
      <w:r>
        <w:rPr>
          <w:spacing w:val="-3"/>
        </w:rPr>
        <w:t xml:space="preserve"> </w:t>
      </w:r>
      <w:r>
        <w:t>the</w:t>
      </w:r>
      <w:r>
        <w:rPr>
          <w:spacing w:val="-4"/>
        </w:rPr>
        <w:t xml:space="preserve"> </w:t>
      </w:r>
      <w:r>
        <w:t>latest</w:t>
      </w:r>
      <w:r>
        <w:rPr>
          <w:spacing w:val="-4"/>
        </w:rPr>
        <w:t xml:space="preserve"> </w:t>
      </w:r>
      <w:r>
        <w:t>database</w:t>
      </w:r>
      <w:r>
        <w:rPr>
          <w:spacing w:val="-4"/>
        </w:rPr>
        <w:t xml:space="preserve"> </w:t>
      </w:r>
      <w:r>
        <w:t>download. This</w:t>
      </w:r>
      <w:r>
        <w:rPr>
          <w:spacing w:val="-2"/>
        </w:rPr>
        <w:t xml:space="preserve"> </w:t>
      </w:r>
      <w:r>
        <w:t>is</w:t>
      </w:r>
      <w:r>
        <w:rPr>
          <w:spacing w:val="-3"/>
        </w:rPr>
        <w:t xml:space="preserve"> </w:t>
      </w:r>
      <w:r>
        <w:t>not</w:t>
      </w:r>
      <w:r>
        <w:rPr>
          <w:spacing w:val="-3"/>
        </w:rPr>
        <w:t xml:space="preserve"> </w:t>
      </w:r>
      <w:r>
        <w:t>because</w:t>
      </w:r>
      <w:r>
        <w:rPr>
          <w:spacing w:val="-3"/>
        </w:rPr>
        <w:t xml:space="preserve"> </w:t>
      </w:r>
      <w:r>
        <w:t>the</w:t>
      </w:r>
      <w:r>
        <w:rPr>
          <w:spacing w:val="-3"/>
        </w:rPr>
        <w:t xml:space="preserve"> </w:t>
      </w:r>
      <w:r>
        <w:t>current</w:t>
      </w:r>
      <w:r>
        <w:rPr>
          <w:spacing w:val="-3"/>
        </w:rPr>
        <w:t xml:space="preserve"> </w:t>
      </w:r>
      <w:r>
        <w:t>source</w:t>
      </w:r>
      <w:r>
        <w:rPr>
          <w:spacing w:val="-3"/>
        </w:rPr>
        <w:t xml:space="preserve"> </w:t>
      </w:r>
      <w:r>
        <w:t>is</w:t>
      </w:r>
      <w:r>
        <w:rPr>
          <w:spacing w:val="-3"/>
        </w:rPr>
        <w:t xml:space="preserve"> </w:t>
      </w:r>
      <w:r>
        <w:t>unusable,</w:t>
      </w:r>
      <w:r>
        <w:rPr>
          <w:spacing w:val="-2"/>
        </w:rPr>
        <w:t xml:space="preserve"> </w:t>
      </w:r>
      <w:r>
        <w:t>but</w:t>
      </w:r>
      <w:r>
        <w:rPr>
          <w:spacing w:val="-3"/>
        </w:rPr>
        <w:t xml:space="preserve"> </w:t>
      </w:r>
      <w:r>
        <w:t>because</w:t>
      </w:r>
      <w:r>
        <w:rPr>
          <w:spacing w:val="-3"/>
        </w:rPr>
        <w:t xml:space="preserve"> </w:t>
      </w:r>
      <w:r>
        <w:t>final</w:t>
      </w:r>
      <w:r>
        <w:rPr>
          <w:spacing w:val="-3"/>
        </w:rPr>
        <w:t xml:space="preserve"> </w:t>
      </w:r>
      <w:r>
        <w:t>publication</w:t>
      </w:r>
      <w:r>
        <w:rPr>
          <w:spacing w:val="-2"/>
        </w:rPr>
        <w:t xml:space="preserve"> </w:t>
      </w:r>
      <w:r>
        <w:t>requires</w:t>
      </w:r>
      <w:r>
        <w:rPr>
          <w:spacing w:val="-3"/>
        </w:rPr>
        <w:t xml:space="preserve"> </w:t>
      </w:r>
      <w:r>
        <w:t>stronger</w:t>
      </w:r>
      <w:r>
        <w:rPr>
          <w:spacing w:val="-2"/>
        </w:rPr>
        <w:t xml:space="preserve"> </w:t>
      </w:r>
      <w:r>
        <w:t>verification.</w:t>
      </w:r>
      <w:r>
        <w:rPr>
          <w:spacing w:val="-2"/>
        </w:rPr>
        <w:t xml:space="preserve"> </w:t>
      </w:r>
      <w:r>
        <w:t>A</w:t>
      </w:r>
      <w:r>
        <w:rPr>
          <w:spacing w:val="-3"/>
        </w:rPr>
        <w:t xml:space="preserve"> </w:t>
      </w:r>
      <w:r>
        <w:t>serious paper should survive audit by another researcher.</w:t>
      </w:r>
    </w:p>
    <w:p w14:paraId="6A154202" w14:textId="77777777" w:rsidR="00ED08FF" w:rsidRDefault="00000000">
      <w:pPr>
        <w:pStyle w:val="BodyText"/>
        <w:spacing w:before="2" w:line="297" w:lineRule="auto"/>
        <w:ind w:right="1671"/>
      </w:pPr>
      <w:r>
        <w:t>The same principle applies to interpretation. The results should not be exaggerated. The model shows associations, not definitive</w:t>
      </w:r>
      <w:r>
        <w:rPr>
          <w:spacing w:val="-3"/>
        </w:rPr>
        <w:t xml:space="preserve"> </w:t>
      </w:r>
      <w:r>
        <w:t>causation.</w:t>
      </w:r>
      <w:r>
        <w:rPr>
          <w:spacing w:val="-2"/>
        </w:rPr>
        <w:t xml:space="preserve"> </w:t>
      </w:r>
      <w:r>
        <w:t>Higher</w:t>
      </w:r>
      <w:r>
        <w:rPr>
          <w:spacing w:val="-2"/>
        </w:rPr>
        <w:t xml:space="preserve"> </w:t>
      </w:r>
      <w:r>
        <w:t>ROA</w:t>
      </w:r>
      <w:r>
        <w:rPr>
          <w:spacing w:val="-3"/>
        </w:rPr>
        <w:t xml:space="preserve"> </w:t>
      </w:r>
      <w:r>
        <w:t>is</w:t>
      </w:r>
      <w:r>
        <w:rPr>
          <w:spacing w:val="-3"/>
        </w:rPr>
        <w:t xml:space="preserve"> </w:t>
      </w:r>
      <w:r>
        <w:t>associated</w:t>
      </w:r>
      <w:r>
        <w:rPr>
          <w:spacing w:val="-2"/>
        </w:rPr>
        <w:t xml:space="preserve"> </w:t>
      </w:r>
      <w:r>
        <w:t>with</w:t>
      </w:r>
      <w:r>
        <w:rPr>
          <w:spacing w:val="-2"/>
        </w:rPr>
        <w:t xml:space="preserve"> </w:t>
      </w:r>
      <w:r>
        <w:t>higher</w:t>
      </w:r>
      <w:r>
        <w:rPr>
          <w:spacing w:val="-3"/>
        </w:rPr>
        <w:t xml:space="preserve"> </w:t>
      </w:r>
      <w:r>
        <w:t>PBV,</w:t>
      </w:r>
      <w:r>
        <w:rPr>
          <w:spacing w:val="-2"/>
        </w:rPr>
        <w:t xml:space="preserve"> </w:t>
      </w:r>
      <w:r>
        <w:t>but</w:t>
      </w:r>
      <w:r>
        <w:rPr>
          <w:spacing w:val="-3"/>
        </w:rPr>
        <w:t xml:space="preserve"> </w:t>
      </w:r>
      <w:r>
        <w:t>the</w:t>
      </w:r>
      <w:r>
        <w:rPr>
          <w:spacing w:val="-3"/>
        </w:rPr>
        <w:t xml:space="preserve"> </w:t>
      </w:r>
      <w:r>
        <w:t>model</w:t>
      </w:r>
      <w:r>
        <w:rPr>
          <w:spacing w:val="-3"/>
        </w:rPr>
        <w:t xml:space="preserve"> </w:t>
      </w:r>
      <w:r>
        <w:t>does</w:t>
      </w:r>
      <w:r>
        <w:rPr>
          <w:spacing w:val="-3"/>
        </w:rPr>
        <w:t xml:space="preserve"> </w:t>
      </w:r>
      <w:r>
        <w:t>not</w:t>
      </w:r>
      <w:r>
        <w:rPr>
          <w:spacing w:val="-3"/>
        </w:rPr>
        <w:t xml:space="preserve"> </w:t>
      </w:r>
      <w:r>
        <w:t>prove</w:t>
      </w:r>
      <w:r>
        <w:rPr>
          <w:spacing w:val="-3"/>
        </w:rPr>
        <w:t xml:space="preserve"> </w:t>
      </w:r>
      <w:r>
        <w:t>that</w:t>
      </w:r>
      <w:r>
        <w:rPr>
          <w:spacing w:val="-3"/>
        </w:rPr>
        <w:t xml:space="preserve"> </w:t>
      </w:r>
      <w:r>
        <w:t>increasing</w:t>
      </w:r>
      <w:r>
        <w:rPr>
          <w:spacing w:val="-2"/>
        </w:rPr>
        <w:t xml:space="preserve"> </w:t>
      </w:r>
      <w:r>
        <w:t>ROA</w:t>
      </w:r>
      <w:r>
        <w:rPr>
          <w:spacing w:val="-3"/>
        </w:rPr>
        <w:t xml:space="preserve"> </w:t>
      </w:r>
      <w:r>
        <w:t>alone will mechanically increase PBV. Market valuation is influenced by expectations, risk, and information beyond the ratios.</w:t>
      </w:r>
    </w:p>
    <w:p w14:paraId="4C9228F5" w14:textId="77777777" w:rsidR="00ED08FF" w:rsidRDefault="00ED08FF">
      <w:pPr>
        <w:pStyle w:val="BodyText"/>
        <w:spacing w:line="297" w:lineRule="auto"/>
        <w:sectPr w:rsidR="00ED08FF">
          <w:pgSz w:w="12240" w:h="15840"/>
          <w:pgMar w:top="800" w:right="720" w:bottom="900" w:left="720" w:header="0" w:footer="669" w:gutter="0"/>
          <w:cols w:space="720"/>
        </w:sectPr>
      </w:pPr>
    </w:p>
    <w:p w14:paraId="1E3A1DDE" w14:textId="77777777" w:rsidR="00ED08FF" w:rsidRDefault="00000000">
      <w:pPr>
        <w:pStyle w:val="BodyText"/>
        <w:spacing w:before="64"/>
      </w:pPr>
      <w:r>
        <w:lastRenderedPageBreak/>
        <w:t>Cautious</w:t>
      </w:r>
      <w:r>
        <w:rPr>
          <w:spacing w:val="-4"/>
        </w:rPr>
        <w:t xml:space="preserve"> </w:t>
      </w:r>
      <w:r>
        <w:t>wording</w:t>
      </w:r>
      <w:r>
        <w:rPr>
          <w:spacing w:val="-3"/>
        </w:rPr>
        <w:t xml:space="preserve"> </w:t>
      </w:r>
      <w:r>
        <w:t>protects</w:t>
      </w:r>
      <w:r>
        <w:rPr>
          <w:spacing w:val="-5"/>
        </w:rPr>
        <w:t xml:space="preserve"> </w:t>
      </w:r>
      <w:r>
        <w:t>the</w:t>
      </w:r>
      <w:r>
        <w:rPr>
          <w:spacing w:val="-4"/>
        </w:rPr>
        <w:t xml:space="preserve"> </w:t>
      </w:r>
      <w:r>
        <w:t>paper</w:t>
      </w:r>
      <w:r>
        <w:rPr>
          <w:spacing w:val="-3"/>
        </w:rPr>
        <w:t xml:space="preserve"> </w:t>
      </w:r>
      <w:r>
        <w:t>from</w:t>
      </w:r>
      <w:r>
        <w:rPr>
          <w:spacing w:val="-4"/>
        </w:rPr>
        <w:t xml:space="preserve"> </w:t>
      </w:r>
      <w:r>
        <w:rPr>
          <w:spacing w:val="-2"/>
        </w:rPr>
        <w:t>overclaiming.</w:t>
      </w:r>
    </w:p>
    <w:p w14:paraId="36987F7A" w14:textId="77777777" w:rsidR="00ED08FF" w:rsidRDefault="00000000">
      <w:pPr>
        <w:pStyle w:val="BodyText"/>
        <w:spacing w:before="50" w:line="297" w:lineRule="auto"/>
        <w:ind w:right="2145"/>
      </w:pPr>
      <w:r>
        <w:t>A responsible empirical paper must also distinguish between statistical output and business judgment. Regression helps</w:t>
      </w:r>
      <w:r>
        <w:rPr>
          <w:spacing w:val="-2"/>
        </w:rPr>
        <w:t xml:space="preserve"> </w:t>
      </w:r>
      <w:r>
        <w:t>identify</w:t>
      </w:r>
      <w:r>
        <w:rPr>
          <w:spacing w:val="-1"/>
        </w:rPr>
        <w:t xml:space="preserve"> </w:t>
      </w:r>
      <w:r>
        <w:t>patterns,</w:t>
      </w:r>
      <w:r>
        <w:rPr>
          <w:spacing w:val="-1"/>
        </w:rPr>
        <w:t xml:space="preserve"> </w:t>
      </w:r>
      <w:r>
        <w:t>but</w:t>
      </w:r>
      <w:r>
        <w:rPr>
          <w:spacing w:val="-2"/>
        </w:rPr>
        <w:t xml:space="preserve"> </w:t>
      </w:r>
      <w:r>
        <w:t>it</w:t>
      </w:r>
      <w:r>
        <w:rPr>
          <w:spacing w:val="-2"/>
        </w:rPr>
        <w:t xml:space="preserve"> </w:t>
      </w:r>
      <w:r>
        <w:t>does</w:t>
      </w:r>
      <w:r>
        <w:rPr>
          <w:spacing w:val="-2"/>
        </w:rPr>
        <w:t xml:space="preserve"> </w:t>
      </w:r>
      <w:r>
        <w:t>not</w:t>
      </w:r>
      <w:r>
        <w:rPr>
          <w:spacing w:val="-2"/>
        </w:rPr>
        <w:t xml:space="preserve"> </w:t>
      </w:r>
      <w:r>
        <w:t>replace</w:t>
      </w:r>
      <w:r>
        <w:rPr>
          <w:spacing w:val="-2"/>
        </w:rPr>
        <w:t xml:space="preserve"> </w:t>
      </w:r>
      <w:r>
        <w:t>understanding</w:t>
      </w:r>
      <w:r>
        <w:rPr>
          <w:spacing w:val="-1"/>
        </w:rPr>
        <w:t xml:space="preserve"> </w:t>
      </w:r>
      <w:r>
        <w:t>of</w:t>
      </w:r>
      <w:r>
        <w:rPr>
          <w:spacing w:val="-1"/>
        </w:rPr>
        <w:t xml:space="preserve"> </w:t>
      </w:r>
      <w:r>
        <w:t>the</w:t>
      </w:r>
      <w:r>
        <w:rPr>
          <w:spacing w:val="-2"/>
        </w:rPr>
        <w:t xml:space="preserve"> </w:t>
      </w:r>
      <w:r>
        <w:t>companies.</w:t>
      </w:r>
      <w:r>
        <w:rPr>
          <w:spacing w:val="-1"/>
        </w:rPr>
        <w:t xml:space="preserve"> </w:t>
      </w:r>
      <w:r>
        <w:t>If</w:t>
      </w:r>
      <w:r>
        <w:rPr>
          <w:spacing w:val="-1"/>
        </w:rPr>
        <w:t xml:space="preserve"> </w:t>
      </w:r>
      <w:r>
        <w:t>a</w:t>
      </w:r>
      <w:r>
        <w:rPr>
          <w:spacing w:val="-2"/>
        </w:rPr>
        <w:t xml:space="preserve"> </w:t>
      </w:r>
      <w:r>
        <w:t>coefficient</w:t>
      </w:r>
      <w:r>
        <w:rPr>
          <w:spacing w:val="-2"/>
        </w:rPr>
        <w:t xml:space="preserve"> </w:t>
      </w:r>
      <w:r>
        <w:t>looks</w:t>
      </w:r>
      <w:r>
        <w:rPr>
          <w:spacing w:val="-2"/>
        </w:rPr>
        <w:t xml:space="preserve"> </w:t>
      </w:r>
      <w:r>
        <w:t>surprising,</w:t>
      </w:r>
      <w:r>
        <w:rPr>
          <w:spacing w:val="-1"/>
        </w:rPr>
        <w:t xml:space="preserve"> </w:t>
      </w:r>
      <w:r>
        <w:t>the researcher</w:t>
      </w:r>
      <w:r>
        <w:rPr>
          <w:spacing w:val="-3"/>
        </w:rPr>
        <w:t xml:space="preserve"> </w:t>
      </w:r>
      <w:r>
        <w:t>should</w:t>
      </w:r>
      <w:r>
        <w:rPr>
          <w:spacing w:val="-3"/>
        </w:rPr>
        <w:t xml:space="preserve"> </w:t>
      </w:r>
      <w:r>
        <w:t>return</w:t>
      </w:r>
      <w:r>
        <w:rPr>
          <w:spacing w:val="-3"/>
        </w:rPr>
        <w:t xml:space="preserve"> </w:t>
      </w:r>
      <w:r>
        <w:t>to</w:t>
      </w:r>
      <w:r>
        <w:rPr>
          <w:spacing w:val="-3"/>
        </w:rPr>
        <w:t xml:space="preserve"> </w:t>
      </w:r>
      <w:r>
        <w:t>the</w:t>
      </w:r>
      <w:r>
        <w:rPr>
          <w:spacing w:val="-4"/>
        </w:rPr>
        <w:t xml:space="preserve"> </w:t>
      </w:r>
      <w:r>
        <w:t>financial</w:t>
      </w:r>
      <w:r>
        <w:rPr>
          <w:spacing w:val="-4"/>
        </w:rPr>
        <w:t xml:space="preserve"> </w:t>
      </w:r>
      <w:r>
        <w:t>statements</w:t>
      </w:r>
      <w:r>
        <w:rPr>
          <w:spacing w:val="-4"/>
        </w:rPr>
        <w:t xml:space="preserve"> </w:t>
      </w:r>
      <w:r>
        <w:t>and</w:t>
      </w:r>
      <w:r>
        <w:rPr>
          <w:spacing w:val="-3"/>
        </w:rPr>
        <w:t xml:space="preserve"> </w:t>
      </w:r>
      <w:r>
        <w:t>business</w:t>
      </w:r>
      <w:r>
        <w:rPr>
          <w:spacing w:val="-4"/>
        </w:rPr>
        <w:t xml:space="preserve"> </w:t>
      </w:r>
      <w:r>
        <w:t>context.</w:t>
      </w:r>
      <w:r>
        <w:rPr>
          <w:spacing w:val="-3"/>
        </w:rPr>
        <w:t xml:space="preserve"> </w:t>
      </w:r>
      <w:r>
        <w:t>This</w:t>
      </w:r>
      <w:r>
        <w:rPr>
          <w:spacing w:val="-4"/>
        </w:rPr>
        <w:t xml:space="preserve"> </w:t>
      </w:r>
      <w:r>
        <w:t>habit</w:t>
      </w:r>
      <w:r>
        <w:rPr>
          <w:spacing w:val="-4"/>
        </w:rPr>
        <w:t xml:space="preserve"> </w:t>
      </w:r>
      <w:r>
        <w:t>separates</w:t>
      </w:r>
      <w:r>
        <w:rPr>
          <w:spacing w:val="-4"/>
        </w:rPr>
        <w:t xml:space="preserve"> </w:t>
      </w:r>
      <w:r>
        <w:t>serious</w:t>
      </w:r>
      <w:r>
        <w:rPr>
          <w:spacing w:val="-4"/>
        </w:rPr>
        <w:t xml:space="preserve"> </w:t>
      </w:r>
      <w:r>
        <w:t>analysis</w:t>
      </w:r>
      <w:r>
        <w:rPr>
          <w:spacing w:val="-4"/>
        </w:rPr>
        <w:t xml:space="preserve"> </w:t>
      </w:r>
      <w:r>
        <w:t>from mechanical number processing.</w:t>
      </w:r>
    </w:p>
    <w:p w14:paraId="135F3D25" w14:textId="77777777" w:rsidR="00ED08FF" w:rsidRDefault="00000000">
      <w:pPr>
        <w:pStyle w:val="BodyText"/>
        <w:spacing w:line="297" w:lineRule="auto"/>
        <w:ind w:right="2279"/>
        <w:jc w:val="both"/>
      </w:pPr>
      <w:r>
        <w:t>The</w:t>
      </w:r>
      <w:r>
        <w:rPr>
          <w:spacing w:val="-3"/>
        </w:rPr>
        <w:t xml:space="preserve"> </w:t>
      </w:r>
      <w:r>
        <w:t>practical</w:t>
      </w:r>
      <w:r>
        <w:rPr>
          <w:spacing w:val="-3"/>
        </w:rPr>
        <w:t xml:space="preserve"> </w:t>
      </w:r>
      <w:r>
        <w:t>value</w:t>
      </w:r>
      <w:r>
        <w:rPr>
          <w:spacing w:val="-3"/>
        </w:rPr>
        <w:t xml:space="preserve"> </w:t>
      </w:r>
      <w:r>
        <w:t>of</w:t>
      </w:r>
      <w:r>
        <w:rPr>
          <w:spacing w:val="-2"/>
        </w:rPr>
        <w:t xml:space="preserve"> </w:t>
      </w:r>
      <w:r>
        <w:t>this</w:t>
      </w:r>
      <w:r>
        <w:rPr>
          <w:spacing w:val="-3"/>
        </w:rPr>
        <w:t xml:space="preserve"> </w:t>
      </w:r>
      <w:r>
        <w:t>paper</w:t>
      </w:r>
      <w:r>
        <w:rPr>
          <w:spacing w:val="-2"/>
        </w:rPr>
        <w:t xml:space="preserve"> </w:t>
      </w:r>
      <w:r>
        <w:t>lies</w:t>
      </w:r>
      <w:r>
        <w:rPr>
          <w:spacing w:val="-3"/>
        </w:rPr>
        <w:t xml:space="preserve"> </w:t>
      </w:r>
      <w:r>
        <w:t>in</w:t>
      </w:r>
      <w:r>
        <w:rPr>
          <w:spacing w:val="-2"/>
        </w:rPr>
        <w:t xml:space="preserve"> </w:t>
      </w:r>
      <w:r>
        <w:t>its</w:t>
      </w:r>
      <w:r>
        <w:rPr>
          <w:spacing w:val="-3"/>
        </w:rPr>
        <w:t xml:space="preserve"> </w:t>
      </w:r>
      <w:r>
        <w:t>replicability.</w:t>
      </w:r>
      <w:r>
        <w:rPr>
          <w:spacing w:val="-2"/>
        </w:rPr>
        <w:t xml:space="preserve"> </w:t>
      </w:r>
      <w:r>
        <w:t>A</w:t>
      </w:r>
      <w:r>
        <w:rPr>
          <w:spacing w:val="-3"/>
        </w:rPr>
        <w:t xml:space="preserve"> </w:t>
      </w:r>
      <w:r>
        <w:t>reader</w:t>
      </w:r>
      <w:r>
        <w:rPr>
          <w:spacing w:val="-2"/>
        </w:rPr>
        <w:t xml:space="preserve"> </w:t>
      </w:r>
      <w:r>
        <w:t>can</w:t>
      </w:r>
      <w:r>
        <w:rPr>
          <w:spacing w:val="-2"/>
        </w:rPr>
        <w:t xml:space="preserve"> </w:t>
      </w:r>
      <w:r>
        <w:t>see</w:t>
      </w:r>
      <w:r>
        <w:rPr>
          <w:spacing w:val="-3"/>
        </w:rPr>
        <w:t xml:space="preserve"> </w:t>
      </w:r>
      <w:r>
        <w:t>the</w:t>
      </w:r>
      <w:r>
        <w:rPr>
          <w:spacing w:val="-3"/>
        </w:rPr>
        <w:t xml:space="preserve"> </w:t>
      </w:r>
      <w:r>
        <w:t>variables,</w:t>
      </w:r>
      <w:r>
        <w:rPr>
          <w:spacing w:val="-2"/>
        </w:rPr>
        <w:t xml:space="preserve"> </w:t>
      </w:r>
      <w:r>
        <w:t>the</w:t>
      </w:r>
      <w:r>
        <w:rPr>
          <w:spacing w:val="-3"/>
        </w:rPr>
        <w:t xml:space="preserve"> </w:t>
      </w:r>
      <w:r>
        <w:t>model,</w:t>
      </w:r>
      <w:r>
        <w:rPr>
          <w:spacing w:val="-2"/>
        </w:rPr>
        <w:t xml:space="preserve"> </w:t>
      </w:r>
      <w:r>
        <w:t>the</w:t>
      </w:r>
      <w:r>
        <w:rPr>
          <w:spacing w:val="-3"/>
        </w:rPr>
        <w:t xml:space="preserve"> </w:t>
      </w:r>
      <w:r>
        <w:t>data</w:t>
      </w:r>
      <w:r>
        <w:rPr>
          <w:spacing w:val="-3"/>
        </w:rPr>
        <w:t xml:space="preserve"> </w:t>
      </w:r>
      <w:r>
        <w:t>table,</w:t>
      </w:r>
      <w:r>
        <w:rPr>
          <w:spacing w:val="-2"/>
        </w:rPr>
        <w:t xml:space="preserve"> </w:t>
      </w:r>
      <w:r>
        <w:t>and the</w:t>
      </w:r>
      <w:r>
        <w:rPr>
          <w:spacing w:val="-2"/>
        </w:rPr>
        <w:t xml:space="preserve"> </w:t>
      </w:r>
      <w:r>
        <w:t>interpretation.</w:t>
      </w:r>
      <w:r>
        <w:rPr>
          <w:spacing w:val="-1"/>
        </w:rPr>
        <w:t xml:space="preserve"> </w:t>
      </w:r>
      <w:r>
        <w:t>This</w:t>
      </w:r>
      <w:r>
        <w:rPr>
          <w:spacing w:val="-2"/>
        </w:rPr>
        <w:t xml:space="preserve"> </w:t>
      </w:r>
      <w:r>
        <w:t>makes</w:t>
      </w:r>
      <w:r>
        <w:rPr>
          <w:spacing w:val="-2"/>
        </w:rPr>
        <w:t xml:space="preserve"> </w:t>
      </w:r>
      <w:r>
        <w:t>the</w:t>
      </w:r>
      <w:r>
        <w:rPr>
          <w:spacing w:val="-2"/>
        </w:rPr>
        <w:t xml:space="preserve"> </w:t>
      </w:r>
      <w:r>
        <w:t>paper</w:t>
      </w:r>
      <w:r>
        <w:rPr>
          <w:spacing w:val="-2"/>
        </w:rPr>
        <w:t xml:space="preserve"> </w:t>
      </w:r>
      <w:r>
        <w:t>easier</w:t>
      </w:r>
      <w:r>
        <w:rPr>
          <w:spacing w:val="-1"/>
        </w:rPr>
        <w:t xml:space="preserve"> </w:t>
      </w:r>
      <w:r>
        <w:t>to</w:t>
      </w:r>
      <w:r>
        <w:rPr>
          <w:spacing w:val="-1"/>
        </w:rPr>
        <w:t xml:space="preserve"> </w:t>
      </w:r>
      <w:r>
        <w:t>revise,</w:t>
      </w:r>
      <w:r>
        <w:rPr>
          <w:spacing w:val="-1"/>
        </w:rPr>
        <w:t xml:space="preserve"> </w:t>
      </w:r>
      <w:r>
        <w:t>defend,</w:t>
      </w:r>
      <w:r>
        <w:rPr>
          <w:spacing w:val="-1"/>
        </w:rPr>
        <w:t xml:space="preserve"> </w:t>
      </w:r>
      <w:r>
        <w:t>and</w:t>
      </w:r>
      <w:r>
        <w:rPr>
          <w:spacing w:val="-1"/>
        </w:rPr>
        <w:t xml:space="preserve"> </w:t>
      </w:r>
      <w:r>
        <w:t>improve.</w:t>
      </w:r>
      <w:r>
        <w:rPr>
          <w:spacing w:val="-1"/>
        </w:rPr>
        <w:t xml:space="preserve"> </w:t>
      </w:r>
      <w:r>
        <w:t>If</w:t>
      </w:r>
      <w:r>
        <w:rPr>
          <w:spacing w:val="-1"/>
        </w:rPr>
        <w:t xml:space="preserve"> </w:t>
      </w:r>
      <w:r>
        <w:t>more</w:t>
      </w:r>
      <w:r>
        <w:rPr>
          <w:spacing w:val="-2"/>
        </w:rPr>
        <w:t xml:space="preserve"> </w:t>
      </w:r>
      <w:r>
        <w:t>data</w:t>
      </w:r>
      <w:r>
        <w:rPr>
          <w:spacing w:val="-2"/>
        </w:rPr>
        <w:t xml:space="preserve"> </w:t>
      </w:r>
      <w:r>
        <w:t>are</w:t>
      </w:r>
      <w:r>
        <w:rPr>
          <w:spacing w:val="-2"/>
        </w:rPr>
        <w:t xml:space="preserve"> </w:t>
      </w:r>
      <w:r>
        <w:t>added</w:t>
      </w:r>
      <w:r>
        <w:rPr>
          <w:spacing w:val="-1"/>
        </w:rPr>
        <w:t xml:space="preserve"> </w:t>
      </w:r>
      <w:r>
        <w:t>later,</w:t>
      </w:r>
      <w:r>
        <w:rPr>
          <w:spacing w:val="-1"/>
        </w:rPr>
        <w:t xml:space="preserve"> </w:t>
      </w:r>
      <w:r>
        <w:t>the</w:t>
      </w:r>
      <w:r>
        <w:rPr>
          <w:spacing w:val="-2"/>
        </w:rPr>
        <w:t xml:space="preserve"> </w:t>
      </w:r>
      <w:r>
        <w:t>same structure can be expanded into a stronger panel study.</w:t>
      </w:r>
    </w:p>
    <w:p w14:paraId="47B97567" w14:textId="77777777" w:rsidR="00ED08FF" w:rsidRDefault="00ED08FF">
      <w:pPr>
        <w:pStyle w:val="BodyText"/>
        <w:spacing w:before="51"/>
        <w:ind w:left="0"/>
      </w:pPr>
    </w:p>
    <w:p w14:paraId="30D9DCC4" w14:textId="77777777" w:rsidR="00ED08FF" w:rsidRDefault="00000000">
      <w:pPr>
        <w:pStyle w:val="Heading2"/>
        <w:numPr>
          <w:ilvl w:val="1"/>
          <w:numId w:val="1"/>
        </w:numPr>
        <w:tabs>
          <w:tab w:val="left" w:pos="505"/>
        </w:tabs>
        <w:ind w:left="505" w:hanging="360"/>
      </w:pPr>
      <w:r>
        <w:t>How</w:t>
      </w:r>
      <w:r>
        <w:rPr>
          <w:spacing w:val="-5"/>
        </w:rPr>
        <w:t xml:space="preserve"> </w:t>
      </w:r>
      <w:r>
        <w:t>to</w:t>
      </w:r>
      <w:r>
        <w:rPr>
          <w:spacing w:val="-3"/>
        </w:rPr>
        <w:t xml:space="preserve"> </w:t>
      </w:r>
      <w:r>
        <w:t>Read</w:t>
      </w:r>
      <w:r>
        <w:rPr>
          <w:spacing w:val="-5"/>
        </w:rPr>
        <w:t xml:space="preserve"> </w:t>
      </w:r>
      <w:r>
        <w:t>the</w:t>
      </w:r>
      <w:r>
        <w:rPr>
          <w:spacing w:val="-4"/>
        </w:rPr>
        <w:t xml:space="preserve"> </w:t>
      </w:r>
      <w:r>
        <w:t>Regression</w:t>
      </w:r>
      <w:r>
        <w:rPr>
          <w:spacing w:val="-4"/>
        </w:rPr>
        <w:t xml:space="preserve"> </w:t>
      </w:r>
      <w:r>
        <w:rPr>
          <w:spacing w:val="-2"/>
        </w:rPr>
        <w:t>Output</w:t>
      </w:r>
    </w:p>
    <w:p w14:paraId="30F717B5" w14:textId="77777777" w:rsidR="00ED08FF" w:rsidRDefault="00000000">
      <w:pPr>
        <w:pStyle w:val="BodyText"/>
        <w:spacing w:before="50" w:line="297" w:lineRule="auto"/>
        <w:ind w:right="1903"/>
      </w:pPr>
      <w:r>
        <w:t>The regression output should be read from several angles. The coefficient shows the estimated direction and size of the relationship. The standard error shows the uncertainty around that estimate. The t-statistic and p-value indicate whether the</w:t>
      </w:r>
      <w:r>
        <w:rPr>
          <w:spacing w:val="-4"/>
        </w:rPr>
        <w:t xml:space="preserve"> </w:t>
      </w:r>
      <w:r>
        <w:t>coefficient</w:t>
      </w:r>
      <w:r>
        <w:rPr>
          <w:spacing w:val="-4"/>
        </w:rPr>
        <w:t xml:space="preserve"> </w:t>
      </w:r>
      <w:r>
        <w:t>is</w:t>
      </w:r>
      <w:r>
        <w:rPr>
          <w:spacing w:val="-4"/>
        </w:rPr>
        <w:t xml:space="preserve"> </w:t>
      </w:r>
      <w:r>
        <w:t>statistically</w:t>
      </w:r>
      <w:r>
        <w:rPr>
          <w:spacing w:val="-3"/>
        </w:rPr>
        <w:t xml:space="preserve"> </w:t>
      </w:r>
      <w:r>
        <w:t>distinguishable</w:t>
      </w:r>
      <w:r>
        <w:rPr>
          <w:spacing w:val="-4"/>
        </w:rPr>
        <w:t xml:space="preserve"> </w:t>
      </w:r>
      <w:r>
        <w:t>from</w:t>
      </w:r>
      <w:r>
        <w:rPr>
          <w:spacing w:val="-4"/>
        </w:rPr>
        <w:t xml:space="preserve"> </w:t>
      </w:r>
      <w:r>
        <w:t>zero</w:t>
      </w:r>
      <w:r>
        <w:rPr>
          <w:spacing w:val="-3"/>
        </w:rPr>
        <w:t xml:space="preserve"> </w:t>
      </w:r>
      <w:r>
        <w:t>under</w:t>
      </w:r>
      <w:r>
        <w:rPr>
          <w:spacing w:val="-3"/>
        </w:rPr>
        <w:t xml:space="preserve"> </w:t>
      </w:r>
      <w:r>
        <w:t>the</w:t>
      </w:r>
      <w:r>
        <w:rPr>
          <w:spacing w:val="-4"/>
        </w:rPr>
        <w:t xml:space="preserve"> </w:t>
      </w:r>
      <w:r>
        <w:t>model.</w:t>
      </w:r>
      <w:r>
        <w:rPr>
          <w:spacing w:val="-3"/>
        </w:rPr>
        <w:t xml:space="preserve"> </w:t>
      </w:r>
      <w:r>
        <w:t>The</w:t>
      </w:r>
      <w:r>
        <w:rPr>
          <w:spacing w:val="-4"/>
        </w:rPr>
        <w:t xml:space="preserve"> </w:t>
      </w:r>
      <w:r>
        <w:t>R-squared</w:t>
      </w:r>
      <w:r>
        <w:rPr>
          <w:spacing w:val="-3"/>
        </w:rPr>
        <w:t xml:space="preserve"> </w:t>
      </w:r>
      <w:r>
        <w:t>shows</w:t>
      </w:r>
      <w:r>
        <w:rPr>
          <w:spacing w:val="-4"/>
        </w:rPr>
        <w:t xml:space="preserve"> </w:t>
      </w:r>
      <w:r>
        <w:t>how</w:t>
      </w:r>
      <w:r>
        <w:rPr>
          <w:spacing w:val="-4"/>
        </w:rPr>
        <w:t xml:space="preserve"> </w:t>
      </w:r>
      <w:r>
        <w:t>much</w:t>
      </w:r>
      <w:r>
        <w:rPr>
          <w:spacing w:val="-3"/>
        </w:rPr>
        <w:t xml:space="preserve"> </w:t>
      </w:r>
      <w:r>
        <w:t>variation</w:t>
      </w:r>
      <w:r>
        <w:rPr>
          <w:spacing w:val="-3"/>
        </w:rPr>
        <w:t xml:space="preserve"> </w:t>
      </w:r>
      <w:r>
        <w:t>in</w:t>
      </w:r>
      <w:r>
        <w:rPr>
          <w:spacing w:val="-3"/>
        </w:rPr>
        <w:t xml:space="preserve"> </w:t>
      </w:r>
      <w:r>
        <w:t>the dependent variable is explained by the independent variables together. None of these numbers should be read alone.</w:t>
      </w:r>
    </w:p>
    <w:p w14:paraId="12553FB1" w14:textId="77777777" w:rsidR="00ED08FF" w:rsidRDefault="00000000">
      <w:pPr>
        <w:pStyle w:val="BodyText"/>
        <w:spacing w:line="297" w:lineRule="auto"/>
        <w:ind w:right="1903"/>
      </w:pPr>
      <w:r>
        <w:t>For ROA, the positive coefficient and low p-value mean that profitability is not only theoretically relevant but also empirically</w:t>
      </w:r>
      <w:r>
        <w:rPr>
          <w:spacing w:val="-3"/>
        </w:rPr>
        <w:t xml:space="preserve"> </w:t>
      </w:r>
      <w:r>
        <w:t>supported</w:t>
      </w:r>
      <w:r>
        <w:rPr>
          <w:spacing w:val="-3"/>
        </w:rPr>
        <w:t xml:space="preserve"> </w:t>
      </w:r>
      <w:r>
        <w:t>in</w:t>
      </w:r>
      <w:r>
        <w:rPr>
          <w:spacing w:val="-3"/>
        </w:rPr>
        <w:t xml:space="preserve"> </w:t>
      </w:r>
      <w:r>
        <w:t>the</w:t>
      </w:r>
      <w:r>
        <w:rPr>
          <w:spacing w:val="-4"/>
        </w:rPr>
        <w:t xml:space="preserve"> </w:t>
      </w:r>
      <w:r>
        <w:t>sample.</w:t>
      </w:r>
      <w:r>
        <w:rPr>
          <w:spacing w:val="-3"/>
        </w:rPr>
        <w:t xml:space="preserve"> </w:t>
      </w:r>
      <w:r>
        <w:t>This</w:t>
      </w:r>
      <w:r>
        <w:rPr>
          <w:spacing w:val="-4"/>
        </w:rPr>
        <w:t xml:space="preserve"> </w:t>
      </w:r>
      <w:r>
        <w:t>is</w:t>
      </w:r>
      <w:r>
        <w:rPr>
          <w:spacing w:val="-4"/>
        </w:rPr>
        <w:t xml:space="preserve"> </w:t>
      </w:r>
      <w:r>
        <w:t>the</w:t>
      </w:r>
      <w:r>
        <w:rPr>
          <w:spacing w:val="-4"/>
        </w:rPr>
        <w:t xml:space="preserve"> </w:t>
      </w:r>
      <w:r>
        <w:t>cleanest</w:t>
      </w:r>
      <w:r>
        <w:rPr>
          <w:spacing w:val="-4"/>
        </w:rPr>
        <w:t xml:space="preserve"> </w:t>
      </w:r>
      <w:r>
        <w:t>finding.</w:t>
      </w:r>
      <w:r>
        <w:rPr>
          <w:spacing w:val="-3"/>
        </w:rPr>
        <w:t xml:space="preserve"> </w:t>
      </w:r>
      <w:r>
        <w:t>The</w:t>
      </w:r>
      <w:r>
        <w:rPr>
          <w:spacing w:val="-4"/>
        </w:rPr>
        <w:t xml:space="preserve"> </w:t>
      </w:r>
      <w:r>
        <w:t>interpretation</w:t>
      </w:r>
      <w:r>
        <w:rPr>
          <w:spacing w:val="-3"/>
        </w:rPr>
        <w:t xml:space="preserve"> </w:t>
      </w:r>
      <w:r>
        <w:t>should</w:t>
      </w:r>
      <w:r>
        <w:rPr>
          <w:spacing w:val="-3"/>
        </w:rPr>
        <w:t xml:space="preserve"> </w:t>
      </w:r>
      <w:r>
        <w:t>emphasize</w:t>
      </w:r>
      <w:r>
        <w:rPr>
          <w:spacing w:val="-4"/>
        </w:rPr>
        <w:t xml:space="preserve"> </w:t>
      </w:r>
      <w:r>
        <w:t>asset</w:t>
      </w:r>
      <w:r>
        <w:rPr>
          <w:spacing w:val="-4"/>
        </w:rPr>
        <w:t xml:space="preserve"> </w:t>
      </w:r>
      <w:r>
        <w:t>productivity and investor confidence. A higher ROA tells the market that management can generate profit from resources already invested in the company.</w:t>
      </w:r>
    </w:p>
    <w:p w14:paraId="6B7920F8" w14:textId="77777777" w:rsidR="00ED08FF" w:rsidRDefault="00000000">
      <w:pPr>
        <w:pStyle w:val="BodyText"/>
        <w:spacing w:before="2" w:line="297" w:lineRule="auto"/>
        <w:ind w:right="1903"/>
      </w:pPr>
      <w:r>
        <w:t>For DER, the coefficient is not significant. The correct academic wording is not “leverage has no effect in reality.” The correct</w:t>
      </w:r>
      <w:r>
        <w:rPr>
          <w:spacing w:val="-3"/>
        </w:rPr>
        <w:t xml:space="preserve"> </w:t>
      </w:r>
      <w:r>
        <w:t>wording</w:t>
      </w:r>
      <w:r>
        <w:rPr>
          <w:spacing w:val="-2"/>
        </w:rPr>
        <w:t xml:space="preserve"> </w:t>
      </w:r>
      <w:r>
        <w:t>is</w:t>
      </w:r>
      <w:r>
        <w:rPr>
          <w:spacing w:val="-3"/>
        </w:rPr>
        <w:t xml:space="preserve"> </w:t>
      </w:r>
      <w:r>
        <w:t>“this</w:t>
      </w:r>
      <w:r>
        <w:rPr>
          <w:spacing w:val="-3"/>
        </w:rPr>
        <w:t xml:space="preserve"> </w:t>
      </w:r>
      <w:r>
        <w:t>study</w:t>
      </w:r>
      <w:r>
        <w:rPr>
          <w:spacing w:val="-2"/>
        </w:rPr>
        <w:t xml:space="preserve"> </w:t>
      </w:r>
      <w:r>
        <w:t>does</w:t>
      </w:r>
      <w:r>
        <w:rPr>
          <w:spacing w:val="-3"/>
        </w:rPr>
        <w:t xml:space="preserve"> </w:t>
      </w:r>
      <w:r>
        <w:t>not</w:t>
      </w:r>
      <w:r>
        <w:rPr>
          <w:spacing w:val="-3"/>
        </w:rPr>
        <w:t xml:space="preserve"> </w:t>
      </w:r>
      <w:r>
        <w:t>find</w:t>
      </w:r>
      <w:r>
        <w:rPr>
          <w:spacing w:val="-2"/>
        </w:rPr>
        <w:t xml:space="preserve"> </w:t>
      </w:r>
      <w:r>
        <w:t>sufficient</w:t>
      </w:r>
      <w:r>
        <w:rPr>
          <w:spacing w:val="-3"/>
        </w:rPr>
        <w:t xml:space="preserve"> </w:t>
      </w:r>
      <w:r>
        <w:t>statistical</w:t>
      </w:r>
      <w:r>
        <w:rPr>
          <w:spacing w:val="-3"/>
        </w:rPr>
        <w:t xml:space="preserve"> </w:t>
      </w:r>
      <w:r>
        <w:t>evidence</w:t>
      </w:r>
      <w:r>
        <w:rPr>
          <w:spacing w:val="-3"/>
        </w:rPr>
        <w:t xml:space="preserve"> </w:t>
      </w:r>
      <w:r>
        <w:t>that</w:t>
      </w:r>
      <w:r>
        <w:rPr>
          <w:spacing w:val="-3"/>
        </w:rPr>
        <w:t xml:space="preserve"> </w:t>
      </w:r>
      <w:r>
        <w:t>leverage</w:t>
      </w:r>
      <w:r>
        <w:rPr>
          <w:spacing w:val="-3"/>
        </w:rPr>
        <w:t xml:space="preserve"> </w:t>
      </w:r>
      <w:r>
        <w:t>affects</w:t>
      </w:r>
      <w:r>
        <w:rPr>
          <w:spacing w:val="-3"/>
        </w:rPr>
        <w:t xml:space="preserve"> </w:t>
      </w:r>
      <w:r>
        <w:t>PBV</w:t>
      </w:r>
      <w:r>
        <w:rPr>
          <w:spacing w:val="-3"/>
        </w:rPr>
        <w:t xml:space="preserve"> </w:t>
      </w:r>
      <w:r>
        <w:t>in</w:t>
      </w:r>
      <w:r>
        <w:rPr>
          <w:spacing w:val="-2"/>
        </w:rPr>
        <w:t xml:space="preserve"> </w:t>
      </w:r>
      <w:r>
        <w:t>the</w:t>
      </w:r>
      <w:r>
        <w:rPr>
          <w:spacing w:val="-3"/>
        </w:rPr>
        <w:t xml:space="preserve"> </w:t>
      </w:r>
      <w:r>
        <w:t>selected</w:t>
      </w:r>
      <w:r>
        <w:rPr>
          <w:spacing w:val="-2"/>
        </w:rPr>
        <w:t xml:space="preserve"> </w:t>
      </w:r>
      <w:r>
        <w:t>model and sample.” This distinction is important. Empirical results are always tied to sample, period, variable definition, and model specification.</w:t>
      </w:r>
    </w:p>
    <w:p w14:paraId="20F2C8BA" w14:textId="77777777" w:rsidR="00ED08FF" w:rsidRDefault="00000000">
      <w:pPr>
        <w:pStyle w:val="BodyText"/>
        <w:spacing w:line="297" w:lineRule="auto"/>
        <w:ind w:right="2094"/>
        <w:jc w:val="both"/>
      </w:pPr>
      <w:r>
        <w:t>For SIZE, the</w:t>
      </w:r>
      <w:r>
        <w:rPr>
          <w:spacing w:val="-1"/>
        </w:rPr>
        <w:t xml:space="preserve"> </w:t>
      </w:r>
      <w:r>
        <w:t>insignificant</w:t>
      </w:r>
      <w:r>
        <w:rPr>
          <w:spacing w:val="-1"/>
        </w:rPr>
        <w:t xml:space="preserve"> </w:t>
      </w:r>
      <w:r>
        <w:t>result</w:t>
      </w:r>
      <w:r>
        <w:rPr>
          <w:spacing w:val="-1"/>
        </w:rPr>
        <w:t xml:space="preserve"> </w:t>
      </w:r>
      <w:r>
        <w:t>should not</w:t>
      </w:r>
      <w:r>
        <w:rPr>
          <w:spacing w:val="-1"/>
        </w:rPr>
        <w:t xml:space="preserve"> </w:t>
      </w:r>
      <w:r>
        <w:t>be</w:t>
      </w:r>
      <w:r>
        <w:rPr>
          <w:spacing w:val="-1"/>
        </w:rPr>
        <w:t xml:space="preserve"> </w:t>
      </w:r>
      <w:r>
        <w:t>treated as</w:t>
      </w:r>
      <w:r>
        <w:rPr>
          <w:spacing w:val="-1"/>
        </w:rPr>
        <w:t xml:space="preserve"> </w:t>
      </w:r>
      <w:r>
        <w:t>a</w:t>
      </w:r>
      <w:r>
        <w:rPr>
          <w:spacing w:val="-1"/>
        </w:rPr>
        <w:t xml:space="preserve"> </w:t>
      </w:r>
      <w:r>
        <w:t>failure. It</w:t>
      </w:r>
      <w:r>
        <w:rPr>
          <w:spacing w:val="-1"/>
        </w:rPr>
        <w:t xml:space="preserve"> </w:t>
      </w:r>
      <w:r>
        <w:t>is</w:t>
      </w:r>
      <w:r>
        <w:rPr>
          <w:spacing w:val="-1"/>
        </w:rPr>
        <w:t xml:space="preserve"> </w:t>
      </w:r>
      <w:r>
        <w:t>a</w:t>
      </w:r>
      <w:r>
        <w:rPr>
          <w:spacing w:val="-1"/>
        </w:rPr>
        <w:t xml:space="preserve"> </w:t>
      </w:r>
      <w:r>
        <w:t>substantive</w:t>
      </w:r>
      <w:r>
        <w:rPr>
          <w:spacing w:val="-1"/>
        </w:rPr>
        <w:t xml:space="preserve"> </w:t>
      </w:r>
      <w:r>
        <w:t>finding. It</w:t>
      </w:r>
      <w:r>
        <w:rPr>
          <w:spacing w:val="-1"/>
        </w:rPr>
        <w:t xml:space="preserve"> </w:t>
      </w:r>
      <w:r>
        <w:t>tells</w:t>
      </w:r>
      <w:r>
        <w:rPr>
          <w:spacing w:val="-1"/>
        </w:rPr>
        <w:t xml:space="preserve"> </w:t>
      </w:r>
      <w:r>
        <w:t>us</w:t>
      </w:r>
      <w:r>
        <w:rPr>
          <w:spacing w:val="-1"/>
        </w:rPr>
        <w:t xml:space="preserve"> </w:t>
      </w:r>
      <w:r>
        <w:t>that</w:t>
      </w:r>
      <w:r>
        <w:rPr>
          <w:spacing w:val="-1"/>
        </w:rPr>
        <w:t xml:space="preserve"> </w:t>
      </w:r>
      <w:r>
        <w:t>asset</w:t>
      </w:r>
      <w:r>
        <w:rPr>
          <w:spacing w:val="-1"/>
        </w:rPr>
        <w:t xml:space="preserve"> </w:t>
      </w:r>
      <w:r>
        <w:t>scale alone is not enough to explain market valuation. This is useful because many weak papers make automatic claims that larger</w:t>
      </w:r>
      <w:r>
        <w:rPr>
          <w:spacing w:val="-3"/>
        </w:rPr>
        <w:t xml:space="preserve"> </w:t>
      </w:r>
      <w:r>
        <w:t>firms</w:t>
      </w:r>
      <w:r>
        <w:rPr>
          <w:spacing w:val="-4"/>
        </w:rPr>
        <w:t xml:space="preserve"> </w:t>
      </w:r>
      <w:r>
        <w:t>have</w:t>
      </w:r>
      <w:r>
        <w:rPr>
          <w:spacing w:val="-4"/>
        </w:rPr>
        <w:t xml:space="preserve"> </w:t>
      </w:r>
      <w:r>
        <w:t>better</w:t>
      </w:r>
      <w:r>
        <w:rPr>
          <w:spacing w:val="-3"/>
        </w:rPr>
        <w:t xml:space="preserve"> </w:t>
      </w:r>
      <w:r>
        <w:t>value.</w:t>
      </w:r>
      <w:r>
        <w:rPr>
          <w:spacing w:val="-3"/>
        </w:rPr>
        <w:t xml:space="preserve"> </w:t>
      </w:r>
      <w:r>
        <w:t>The</w:t>
      </w:r>
      <w:r>
        <w:rPr>
          <w:spacing w:val="-4"/>
        </w:rPr>
        <w:t xml:space="preserve"> </w:t>
      </w:r>
      <w:r>
        <w:t>result</w:t>
      </w:r>
      <w:r>
        <w:rPr>
          <w:spacing w:val="-4"/>
        </w:rPr>
        <w:t xml:space="preserve"> </w:t>
      </w:r>
      <w:r>
        <w:t>forces</w:t>
      </w:r>
      <w:r>
        <w:rPr>
          <w:spacing w:val="-4"/>
        </w:rPr>
        <w:t xml:space="preserve"> </w:t>
      </w:r>
      <w:r>
        <w:t>a</w:t>
      </w:r>
      <w:r>
        <w:rPr>
          <w:spacing w:val="-4"/>
        </w:rPr>
        <w:t xml:space="preserve"> </w:t>
      </w:r>
      <w:r>
        <w:t>more</w:t>
      </w:r>
      <w:r>
        <w:rPr>
          <w:spacing w:val="-4"/>
        </w:rPr>
        <w:t xml:space="preserve"> </w:t>
      </w:r>
      <w:r>
        <w:t>disciplined</w:t>
      </w:r>
      <w:r>
        <w:rPr>
          <w:spacing w:val="-3"/>
        </w:rPr>
        <w:t xml:space="preserve"> </w:t>
      </w:r>
      <w:r>
        <w:t>argument:</w:t>
      </w:r>
      <w:r>
        <w:rPr>
          <w:spacing w:val="-4"/>
        </w:rPr>
        <w:t xml:space="preserve"> </w:t>
      </w:r>
      <w:r>
        <w:t>size</w:t>
      </w:r>
      <w:r>
        <w:rPr>
          <w:spacing w:val="-4"/>
        </w:rPr>
        <w:t xml:space="preserve"> </w:t>
      </w:r>
      <w:r>
        <w:t>must</w:t>
      </w:r>
      <w:r>
        <w:rPr>
          <w:spacing w:val="-4"/>
        </w:rPr>
        <w:t xml:space="preserve"> </w:t>
      </w:r>
      <w:r>
        <w:t>produce</w:t>
      </w:r>
      <w:r>
        <w:rPr>
          <w:spacing w:val="-4"/>
        </w:rPr>
        <w:t xml:space="preserve"> </w:t>
      </w:r>
      <w:r>
        <w:t>profitability</w:t>
      </w:r>
      <w:r>
        <w:rPr>
          <w:spacing w:val="-3"/>
        </w:rPr>
        <w:t xml:space="preserve"> </w:t>
      </w:r>
      <w:r>
        <w:t>or</w:t>
      </w:r>
      <w:r>
        <w:rPr>
          <w:spacing w:val="-3"/>
        </w:rPr>
        <w:t xml:space="preserve"> </w:t>
      </w:r>
      <w:r>
        <w:t>growth before the market rewards it.</w:t>
      </w:r>
    </w:p>
    <w:p w14:paraId="1D0B3A26" w14:textId="77777777" w:rsidR="00ED08FF" w:rsidRDefault="00000000">
      <w:pPr>
        <w:pStyle w:val="BodyText"/>
        <w:spacing w:before="2" w:line="297" w:lineRule="auto"/>
        <w:ind w:right="1903"/>
      </w:pPr>
      <w:r>
        <w:t>For</w:t>
      </w:r>
      <w:r>
        <w:rPr>
          <w:spacing w:val="-2"/>
        </w:rPr>
        <w:t xml:space="preserve"> </w:t>
      </w:r>
      <w:r>
        <w:t>CR,</w:t>
      </w:r>
      <w:r>
        <w:rPr>
          <w:spacing w:val="-2"/>
        </w:rPr>
        <w:t xml:space="preserve"> </w:t>
      </w:r>
      <w:r>
        <w:t>the</w:t>
      </w:r>
      <w:r>
        <w:rPr>
          <w:spacing w:val="-3"/>
        </w:rPr>
        <w:t xml:space="preserve"> </w:t>
      </w:r>
      <w:r>
        <w:t>negative</w:t>
      </w:r>
      <w:r>
        <w:rPr>
          <w:spacing w:val="-3"/>
        </w:rPr>
        <w:t xml:space="preserve"> </w:t>
      </w:r>
      <w:r>
        <w:t>significant</w:t>
      </w:r>
      <w:r>
        <w:rPr>
          <w:spacing w:val="-3"/>
        </w:rPr>
        <w:t xml:space="preserve"> </w:t>
      </w:r>
      <w:r>
        <w:t>result</w:t>
      </w:r>
      <w:r>
        <w:rPr>
          <w:spacing w:val="-3"/>
        </w:rPr>
        <w:t xml:space="preserve"> </w:t>
      </w:r>
      <w:r>
        <w:t>is</w:t>
      </w:r>
      <w:r>
        <w:rPr>
          <w:spacing w:val="-3"/>
        </w:rPr>
        <w:t xml:space="preserve"> </w:t>
      </w:r>
      <w:r>
        <w:t>the</w:t>
      </w:r>
      <w:r>
        <w:rPr>
          <w:spacing w:val="-3"/>
        </w:rPr>
        <w:t xml:space="preserve"> </w:t>
      </w:r>
      <w:r>
        <w:t>most</w:t>
      </w:r>
      <w:r>
        <w:rPr>
          <w:spacing w:val="-3"/>
        </w:rPr>
        <w:t xml:space="preserve"> </w:t>
      </w:r>
      <w:r>
        <w:t>interesting</w:t>
      </w:r>
      <w:r>
        <w:rPr>
          <w:spacing w:val="-2"/>
        </w:rPr>
        <w:t xml:space="preserve"> </w:t>
      </w:r>
      <w:r>
        <w:t>finding</w:t>
      </w:r>
      <w:r>
        <w:rPr>
          <w:spacing w:val="-2"/>
        </w:rPr>
        <w:t xml:space="preserve"> </w:t>
      </w:r>
      <w:r>
        <w:t>after</w:t>
      </w:r>
      <w:r>
        <w:rPr>
          <w:spacing w:val="-3"/>
        </w:rPr>
        <w:t xml:space="preserve"> </w:t>
      </w:r>
      <w:r>
        <w:t>profitability.</w:t>
      </w:r>
      <w:r>
        <w:rPr>
          <w:spacing w:val="-2"/>
        </w:rPr>
        <w:t xml:space="preserve"> </w:t>
      </w:r>
      <w:r>
        <w:t>It</w:t>
      </w:r>
      <w:r>
        <w:rPr>
          <w:spacing w:val="-3"/>
        </w:rPr>
        <w:t xml:space="preserve"> </w:t>
      </w:r>
      <w:r>
        <w:t>shows</w:t>
      </w:r>
      <w:r>
        <w:rPr>
          <w:spacing w:val="-3"/>
        </w:rPr>
        <w:t xml:space="preserve"> </w:t>
      </w:r>
      <w:r>
        <w:t>that</w:t>
      </w:r>
      <w:r>
        <w:rPr>
          <w:spacing w:val="-3"/>
        </w:rPr>
        <w:t xml:space="preserve"> </w:t>
      </w:r>
      <w:r>
        <w:t>liquidity</w:t>
      </w:r>
      <w:r>
        <w:rPr>
          <w:spacing w:val="-2"/>
        </w:rPr>
        <w:t xml:space="preserve"> </w:t>
      </w:r>
      <w:r>
        <w:t>can</w:t>
      </w:r>
      <w:r>
        <w:rPr>
          <w:spacing w:val="-2"/>
        </w:rPr>
        <w:t xml:space="preserve"> </w:t>
      </w:r>
      <w:r>
        <w:t>carry</w:t>
      </w:r>
      <w:r>
        <w:rPr>
          <w:spacing w:val="-2"/>
        </w:rPr>
        <w:t xml:space="preserve"> </w:t>
      </w:r>
      <w:r>
        <w:t>a negative valuation signal when it is excessive or inefficient. A current ratio must be judged by its composition and business purpose. This is a more mature interpretation than simply saying that higher liquidity is always better.</w:t>
      </w:r>
    </w:p>
    <w:p w14:paraId="52C28E95" w14:textId="77777777" w:rsidR="00ED08FF" w:rsidRDefault="00000000">
      <w:pPr>
        <w:pStyle w:val="BodyText"/>
        <w:spacing w:line="297" w:lineRule="auto"/>
        <w:ind w:right="1903"/>
      </w:pPr>
      <w:r>
        <w:t>The constant term is usually not the focus of interpretation in this model. It represents the estimated PBV when all independent</w:t>
      </w:r>
      <w:r>
        <w:rPr>
          <w:spacing w:val="-4"/>
        </w:rPr>
        <w:t xml:space="preserve"> </w:t>
      </w:r>
      <w:r>
        <w:t>variables</w:t>
      </w:r>
      <w:r>
        <w:rPr>
          <w:spacing w:val="-4"/>
        </w:rPr>
        <w:t xml:space="preserve"> </w:t>
      </w:r>
      <w:r>
        <w:t>equal</w:t>
      </w:r>
      <w:r>
        <w:rPr>
          <w:spacing w:val="-4"/>
        </w:rPr>
        <w:t xml:space="preserve"> </w:t>
      </w:r>
      <w:r>
        <w:t>zero,</w:t>
      </w:r>
      <w:r>
        <w:rPr>
          <w:spacing w:val="-3"/>
        </w:rPr>
        <w:t xml:space="preserve"> </w:t>
      </w:r>
      <w:r>
        <w:t>which</w:t>
      </w:r>
      <w:r>
        <w:rPr>
          <w:spacing w:val="-3"/>
        </w:rPr>
        <w:t xml:space="preserve"> </w:t>
      </w:r>
      <w:r>
        <w:t>is</w:t>
      </w:r>
      <w:r>
        <w:rPr>
          <w:spacing w:val="-4"/>
        </w:rPr>
        <w:t xml:space="preserve"> </w:t>
      </w:r>
      <w:r>
        <w:t>not</w:t>
      </w:r>
      <w:r>
        <w:rPr>
          <w:spacing w:val="-4"/>
        </w:rPr>
        <w:t xml:space="preserve"> </w:t>
      </w:r>
      <w:r>
        <w:t>economically</w:t>
      </w:r>
      <w:r>
        <w:rPr>
          <w:spacing w:val="-3"/>
        </w:rPr>
        <w:t xml:space="preserve"> </w:t>
      </w:r>
      <w:r>
        <w:t>meaningful</w:t>
      </w:r>
      <w:r>
        <w:rPr>
          <w:spacing w:val="-4"/>
        </w:rPr>
        <w:t xml:space="preserve"> </w:t>
      </w:r>
      <w:r>
        <w:t>because</w:t>
      </w:r>
      <w:r>
        <w:rPr>
          <w:spacing w:val="-4"/>
        </w:rPr>
        <w:t xml:space="preserve"> </w:t>
      </w:r>
      <w:r>
        <w:t>firm</w:t>
      </w:r>
      <w:r>
        <w:rPr>
          <w:spacing w:val="-4"/>
        </w:rPr>
        <w:t xml:space="preserve"> </w:t>
      </w:r>
      <w:r>
        <w:t>size</w:t>
      </w:r>
      <w:r>
        <w:rPr>
          <w:spacing w:val="-4"/>
        </w:rPr>
        <w:t xml:space="preserve"> </w:t>
      </w:r>
      <w:r>
        <w:t>and</w:t>
      </w:r>
      <w:r>
        <w:rPr>
          <w:spacing w:val="-3"/>
        </w:rPr>
        <w:t xml:space="preserve"> </w:t>
      </w:r>
      <w:r>
        <w:t>financial</w:t>
      </w:r>
      <w:r>
        <w:rPr>
          <w:spacing w:val="-4"/>
        </w:rPr>
        <w:t xml:space="preserve"> </w:t>
      </w:r>
      <w:r>
        <w:t>ratios</w:t>
      </w:r>
      <w:r>
        <w:rPr>
          <w:spacing w:val="-3"/>
        </w:rPr>
        <w:t xml:space="preserve"> </w:t>
      </w:r>
      <w:r>
        <w:t>cannot realistically be zero in the observed setting. Researchers should not overinterpret the constant unless it has a clear theoretical meaning.</w:t>
      </w:r>
    </w:p>
    <w:p w14:paraId="0CE4CE9C" w14:textId="77777777" w:rsidR="00ED08FF" w:rsidRDefault="00000000">
      <w:pPr>
        <w:pStyle w:val="BodyText"/>
        <w:spacing w:line="297" w:lineRule="auto"/>
        <w:ind w:right="2032"/>
      </w:pPr>
      <w:r>
        <w:t>The adjusted R-squared is useful because it accounts for the number of predictors. In small samples, adding variables can increase R-squared mechanically. Adjusted R-squared reduces that problem. The value in this model indicates that the</w:t>
      </w:r>
      <w:r>
        <w:rPr>
          <w:spacing w:val="-3"/>
        </w:rPr>
        <w:t xml:space="preserve"> </w:t>
      </w:r>
      <w:r>
        <w:t>selected</w:t>
      </w:r>
      <w:r>
        <w:rPr>
          <w:spacing w:val="-2"/>
        </w:rPr>
        <w:t xml:space="preserve"> </w:t>
      </w:r>
      <w:r>
        <w:t>accounting</w:t>
      </w:r>
      <w:r>
        <w:rPr>
          <w:spacing w:val="-2"/>
        </w:rPr>
        <w:t xml:space="preserve"> </w:t>
      </w:r>
      <w:r>
        <w:t>variables</w:t>
      </w:r>
      <w:r>
        <w:rPr>
          <w:spacing w:val="-3"/>
        </w:rPr>
        <w:t xml:space="preserve"> </w:t>
      </w:r>
      <w:r>
        <w:t>explain</w:t>
      </w:r>
      <w:r>
        <w:rPr>
          <w:spacing w:val="-2"/>
        </w:rPr>
        <w:t xml:space="preserve"> </w:t>
      </w:r>
      <w:r>
        <w:t>a</w:t>
      </w:r>
      <w:r>
        <w:rPr>
          <w:spacing w:val="-3"/>
        </w:rPr>
        <w:t xml:space="preserve"> </w:t>
      </w:r>
      <w:r>
        <w:t>substantial</w:t>
      </w:r>
      <w:r>
        <w:rPr>
          <w:spacing w:val="-3"/>
        </w:rPr>
        <w:t xml:space="preserve"> </w:t>
      </w:r>
      <w:r>
        <w:t>portion</w:t>
      </w:r>
      <w:r>
        <w:rPr>
          <w:spacing w:val="-2"/>
        </w:rPr>
        <w:t xml:space="preserve"> </w:t>
      </w:r>
      <w:r>
        <w:t>of</w:t>
      </w:r>
      <w:r>
        <w:rPr>
          <w:spacing w:val="-2"/>
        </w:rPr>
        <w:t xml:space="preserve"> </w:t>
      </w:r>
      <w:r>
        <w:t>PBV</w:t>
      </w:r>
      <w:r>
        <w:rPr>
          <w:spacing w:val="-3"/>
        </w:rPr>
        <w:t xml:space="preserve"> </w:t>
      </w:r>
      <w:r>
        <w:t>variation,</w:t>
      </w:r>
      <w:r>
        <w:rPr>
          <w:spacing w:val="-2"/>
        </w:rPr>
        <w:t xml:space="preserve"> </w:t>
      </w:r>
      <w:r>
        <w:t>although</w:t>
      </w:r>
      <w:r>
        <w:rPr>
          <w:spacing w:val="-2"/>
        </w:rPr>
        <w:t xml:space="preserve"> </w:t>
      </w:r>
      <w:r>
        <w:t>not</w:t>
      </w:r>
      <w:r>
        <w:rPr>
          <w:spacing w:val="-3"/>
        </w:rPr>
        <w:t xml:space="preserve"> </w:t>
      </w:r>
      <w:r>
        <w:t>all</w:t>
      </w:r>
      <w:r>
        <w:rPr>
          <w:spacing w:val="-3"/>
        </w:rPr>
        <w:t xml:space="preserve"> </w:t>
      </w:r>
      <w:r>
        <w:t>of</w:t>
      </w:r>
      <w:r>
        <w:rPr>
          <w:spacing w:val="-2"/>
        </w:rPr>
        <w:t xml:space="preserve"> </w:t>
      </w:r>
      <w:r>
        <w:t>it.</w:t>
      </w:r>
      <w:r>
        <w:rPr>
          <w:spacing w:val="-2"/>
        </w:rPr>
        <w:t xml:space="preserve"> </w:t>
      </w:r>
      <w:r>
        <w:t>This</w:t>
      </w:r>
      <w:r>
        <w:rPr>
          <w:spacing w:val="-3"/>
        </w:rPr>
        <w:t xml:space="preserve"> </w:t>
      </w:r>
      <w:r>
        <w:t>supports</w:t>
      </w:r>
      <w:r>
        <w:rPr>
          <w:spacing w:val="-3"/>
        </w:rPr>
        <w:t xml:space="preserve"> </w:t>
      </w:r>
      <w:r>
        <w:t>the relevance of the model while preserving caution.</w:t>
      </w:r>
    </w:p>
    <w:p w14:paraId="40D70067" w14:textId="77777777" w:rsidR="00ED08FF" w:rsidRDefault="00ED08FF">
      <w:pPr>
        <w:pStyle w:val="BodyText"/>
        <w:spacing w:before="51"/>
        <w:ind w:left="0"/>
      </w:pPr>
    </w:p>
    <w:p w14:paraId="13373F12" w14:textId="77777777" w:rsidR="00ED08FF" w:rsidRDefault="00000000">
      <w:pPr>
        <w:pStyle w:val="BodyText"/>
        <w:spacing w:before="0" w:line="297" w:lineRule="auto"/>
        <w:ind w:right="2032"/>
      </w:pPr>
      <w:r>
        <w:t>The</w:t>
      </w:r>
      <w:r>
        <w:rPr>
          <w:spacing w:val="-3"/>
        </w:rPr>
        <w:t xml:space="preserve"> </w:t>
      </w:r>
      <w:r>
        <w:t>final</w:t>
      </w:r>
      <w:r>
        <w:rPr>
          <w:spacing w:val="-3"/>
        </w:rPr>
        <w:t xml:space="preserve"> </w:t>
      </w:r>
      <w:r>
        <w:t>interpretation</w:t>
      </w:r>
      <w:r>
        <w:rPr>
          <w:spacing w:val="-2"/>
        </w:rPr>
        <w:t xml:space="preserve"> </w:t>
      </w:r>
      <w:r>
        <w:t>should</w:t>
      </w:r>
      <w:r>
        <w:rPr>
          <w:spacing w:val="-2"/>
        </w:rPr>
        <w:t xml:space="preserve"> </w:t>
      </w:r>
      <w:r>
        <w:t>combine</w:t>
      </w:r>
      <w:r>
        <w:rPr>
          <w:spacing w:val="-3"/>
        </w:rPr>
        <w:t xml:space="preserve"> </w:t>
      </w:r>
      <w:r>
        <w:t>statistics,</w:t>
      </w:r>
      <w:r>
        <w:rPr>
          <w:spacing w:val="-2"/>
        </w:rPr>
        <w:t xml:space="preserve"> </w:t>
      </w:r>
      <w:r>
        <w:t>theory,</w:t>
      </w:r>
      <w:r>
        <w:rPr>
          <w:spacing w:val="-2"/>
        </w:rPr>
        <w:t xml:space="preserve"> </w:t>
      </w:r>
      <w:r>
        <w:t>and</w:t>
      </w:r>
      <w:r>
        <w:rPr>
          <w:spacing w:val="-2"/>
        </w:rPr>
        <w:t xml:space="preserve"> </w:t>
      </w:r>
      <w:r>
        <w:t>sector</w:t>
      </w:r>
      <w:r>
        <w:rPr>
          <w:spacing w:val="-2"/>
        </w:rPr>
        <w:t xml:space="preserve"> </w:t>
      </w:r>
      <w:r>
        <w:t>knowledge.</w:t>
      </w:r>
      <w:r>
        <w:rPr>
          <w:spacing w:val="-2"/>
        </w:rPr>
        <w:t xml:space="preserve"> </w:t>
      </w:r>
      <w:r>
        <w:t>A</w:t>
      </w:r>
      <w:r>
        <w:rPr>
          <w:spacing w:val="-3"/>
        </w:rPr>
        <w:t xml:space="preserve"> </w:t>
      </w:r>
      <w:r>
        <w:t>number</w:t>
      </w:r>
      <w:r>
        <w:rPr>
          <w:spacing w:val="-2"/>
        </w:rPr>
        <w:t xml:space="preserve"> </w:t>
      </w:r>
      <w:r>
        <w:t>is</w:t>
      </w:r>
      <w:r>
        <w:rPr>
          <w:spacing w:val="-3"/>
        </w:rPr>
        <w:t xml:space="preserve"> </w:t>
      </w:r>
      <w:r>
        <w:t>not</w:t>
      </w:r>
      <w:r>
        <w:rPr>
          <w:spacing w:val="-3"/>
        </w:rPr>
        <w:t xml:space="preserve"> </w:t>
      </w:r>
      <w:r>
        <w:t>an</w:t>
      </w:r>
      <w:r>
        <w:rPr>
          <w:spacing w:val="-2"/>
        </w:rPr>
        <w:t xml:space="preserve"> </w:t>
      </w:r>
      <w:r>
        <w:t>argument</w:t>
      </w:r>
      <w:r>
        <w:rPr>
          <w:spacing w:val="-3"/>
        </w:rPr>
        <w:t xml:space="preserve"> </w:t>
      </w:r>
      <w:r>
        <w:t>until</w:t>
      </w:r>
      <w:r>
        <w:rPr>
          <w:spacing w:val="-3"/>
        </w:rPr>
        <w:t xml:space="preserve"> </w:t>
      </w:r>
      <w:r>
        <w:t>it</w:t>
      </w:r>
      <w:r>
        <w:rPr>
          <w:spacing w:val="-3"/>
        </w:rPr>
        <w:t xml:space="preserve"> </w:t>
      </w:r>
      <w:r>
        <w:t>is explained. A strong paper uses regression output as evidence, then connects the evidence to accounting logic and business context. That is the standard this paper tries to follow.</w:t>
      </w:r>
    </w:p>
    <w:p w14:paraId="497B4C3D" w14:textId="77777777" w:rsidR="00ED08FF" w:rsidRDefault="00000000">
      <w:pPr>
        <w:pStyle w:val="Heading2"/>
        <w:spacing w:before="1"/>
        <w:ind w:left="3487"/>
      </w:pPr>
      <w:r>
        <w:t>Table</w:t>
      </w:r>
      <w:r>
        <w:rPr>
          <w:spacing w:val="-6"/>
        </w:rPr>
        <w:t xml:space="preserve"> </w:t>
      </w:r>
      <w:r>
        <w:t>14:</w:t>
      </w:r>
      <w:r>
        <w:rPr>
          <w:spacing w:val="-4"/>
        </w:rPr>
        <w:t xml:space="preserve"> </w:t>
      </w:r>
      <w:r>
        <w:t>Key</w:t>
      </w:r>
      <w:r>
        <w:rPr>
          <w:spacing w:val="-4"/>
        </w:rPr>
        <w:t xml:space="preserve"> </w:t>
      </w:r>
      <w:r>
        <w:t>Findings</w:t>
      </w:r>
      <w:r>
        <w:rPr>
          <w:spacing w:val="-5"/>
        </w:rPr>
        <w:t xml:space="preserve"> </w:t>
      </w:r>
      <w:r>
        <w:t>and</w:t>
      </w:r>
      <w:r>
        <w:rPr>
          <w:spacing w:val="-5"/>
        </w:rPr>
        <w:t xml:space="preserve"> </w:t>
      </w:r>
      <w:r>
        <w:t>Interpretive</w:t>
      </w:r>
      <w:r>
        <w:rPr>
          <w:spacing w:val="-5"/>
        </w:rPr>
        <w:t xml:space="preserve"> </w:t>
      </w:r>
      <w:r>
        <w:rPr>
          <w:spacing w:val="-2"/>
        </w:rPr>
        <w:t>Meaning</w:t>
      </w:r>
    </w:p>
    <w:p w14:paraId="1A288A91" w14:textId="77777777" w:rsidR="00ED08FF" w:rsidRDefault="00000000">
      <w:pPr>
        <w:tabs>
          <w:tab w:val="left" w:pos="4123"/>
          <w:tab w:val="left" w:pos="8414"/>
        </w:tabs>
        <w:spacing w:before="50" w:line="147" w:lineRule="exact"/>
        <w:ind w:left="2174"/>
        <w:rPr>
          <w:rFonts w:ascii="Courier New"/>
          <w:sz w:val="13"/>
        </w:rPr>
      </w:pPr>
      <w:r>
        <w:rPr>
          <w:rFonts w:ascii="Courier New"/>
          <w:spacing w:val="-2"/>
          <w:sz w:val="13"/>
        </w:rPr>
        <w:t>Finding</w:t>
      </w:r>
      <w:r>
        <w:rPr>
          <w:rFonts w:ascii="Courier New"/>
          <w:sz w:val="13"/>
        </w:rPr>
        <w:tab/>
      </w:r>
      <w:r>
        <w:rPr>
          <w:rFonts w:ascii="Courier New"/>
          <w:spacing w:val="-2"/>
          <w:sz w:val="13"/>
        </w:rPr>
        <w:t>Result</w:t>
      </w:r>
      <w:r>
        <w:rPr>
          <w:rFonts w:ascii="Courier New"/>
          <w:sz w:val="13"/>
        </w:rPr>
        <w:tab/>
      </w:r>
      <w:r>
        <w:rPr>
          <w:rFonts w:ascii="Courier New"/>
          <w:spacing w:val="-2"/>
          <w:sz w:val="13"/>
        </w:rPr>
        <w:t>Interpretation</w:t>
      </w:r>
    </w:p>
    <w:p w14:paraId="20589E51" w14:textId="77777777" w:rsidR="00ED08FF" w:rsidRDefault="00000000">
      <w:pPr>
        <w:tabs>
          <w:tab w:val="left" w:pos="3031"/>
          <w:tab w:val="left" w:pos="5839"/>
        </w:tabs>
        <w:spacing w:line="147" w:lineRule="exact"/>
        <w:ind w:left="1472"/>
        <w:rPr>
          <w:rFonts w:ascii="Courier New"/>
          <w:sz w:val="13"/>
        </w:rPr>
      </w:pPr>
      <w:r>
        <w:rPr>
          <w:rFonts w:ascii="Courier New"/>
          <w:spacing w:val="-2"/>
          <w:sz w:val="13"/>
        </w:rPr>
        <w:t>Profitability</w:t>
      </w:r>
      <w:r>
        <w:rPr>
          <w:rFonts w:ascii="Courier New"/>
          <w:sz w:val="13"/>
        </w:rPr>
        <w:tab/>
        <w:t>Positive</w:t>
      </w:r>
      <w:r>
        <w:rPr>
          <w:rFonts w:ascii="Courier New"/>
          <w:spacing w:val="-6"/>
          <w:sz w:val="13"/>
        </w:rPr>
        <w:t xml:space="preserve"> </w:t>
      </w:r>
      <w:r>
        <w:rPr>
          <w:rFonts w:ascii="Courier New"/>
          <w:sz w:val="13"/>
        </w:rPr>
        <w:t>and</w:t>
      </w:r>
      <w:r>
        <w:rPr>
          <w:rFonts w:ascii="Courier New"/>
          <w:spacing w:val="-5"/>
          <w:sz w:val="13"/>
        </w:rPr>
        <w:t xml:space="preserve"> </w:t>
      </w:r>
      <w:r>
        <w:rPr>
          <w:rFonts w:ascii="Courier New"/>
          <w:spacing w:val="-2"/>
          <w:sz w:val="13"/>
        </w:rPr>
        <w:t>significant</w:t>
      </w:r>
      <w:r>
        <w:rPr>
          <w:rFonts w:ascii="Courier New"/>
          <w:sz w:val="13"/>
        </w:rPr>
        <w:tab/>
        <w:t>Investors</w:t>
      </w:r>
      <w:r>
        <w:rPr>
          <w:rFonts w:ascii="Courier New"/>
          <w:spacing w:val="-11"/>
          <w:sz w:val="13"/>
        </w:rPr>
        <w:t xml:space="preserve"> </w:t>
      </w:r>
      <w:r>
        <w:rPr>
          <w:rFonts w:ascii="Courier New"/>
          <w:sz w:val="13"/>
        </w:rPr>
        <w:t>reward</w:t>
      </w:r>
      <w:r>
        <w:rPr>
          <w:rFonts w:ascii="Courier New"/>
          <w:spacing w:val="-9"/>
          <w:sz w:val="13"/>
        </w:rPr>
        <w:t xml:space="preserve"> </w:t>
      </w:r>
      <w:r>
        <w:rPr>
          <w:rFonts w:ascii="Courier New"/>
          <w:sz w:val="13"/>
        </w:rPr>
        <w:t>asset</w:t>
      </w:r>
      <w:r>
        <w:rPr>
          <w:rFonts w:ascii="Courier New"/>
          <w:spacing w:val="-8"/>
          <w:sz w:val="13"/>
        </w:rPr>
        <w:t xml:space="preserve"> </w:t>
      </w:r>
      <w:r>
        <w:rPr>
          <w:rFonts w:ascii="Courier New"/>
          <w:sz w:val="13"/>
        </w:rPr>
        <w:t>productivity</w:t>
      </w:r>
      <w:r>
        <w:rPr>
          <w:rFonts w:ascii="Courier New"/>
          <w:spacing w:val="-9"/>
          <w:sz w:val="13"/>
        </w:rPr>
        <w:t xml:space="preserve"> </w:t>
      </w:r>
      <w:r>
        <w:rPr>
          <w:rFonts w:ascii="Courier New"/>
          <w:sz w:val="13"/>
        </w:rPr>
        <w:t>and</w:t>
      </w:r>
      <w:r>
        <w:rPr>
          <w:rFonts w:ascii="Courier New"/>
          <w:spacing w:val="-8"/>
          <w:sz w:val="13"/>
        </w:rPr>
        <w:t xml:space="preserve"> </w:t>
      </w:r>
      <w:r>
        <w:rPr>
          <w:rFonts w:ascii="Courier New"/>
          <w:sz w:val="13"/>
        </w:rPr>
        <w:t>earnings-</w:t>
      </w:r>
      <w:r>
        <w:rPr>
          <w:rFonts w:ascii="Courier New"/>
          <w:spacing w:val="-2"/>
          <w:sz w:val="13"/>
        </w:rPr>
        <w:t>generating</w:t>
      </w:r>
    </w:p>
    <w:p w14:paraId="02BE4167" w14:textId="77777777" w:rsidR="00ED08FF" w:rsidRDefault="00000000">
      <w:pPr>
        <w:spacing w:line="147" w:lineRule="exact"/>
        <w:ind w:left="145"/>
        <w:rPr>
          <w:rFonts w:ascii="Courier New"/>
          <w:sz w:val="13"/>
        </w:rPr>
      </w:pPr>
      <w:r>
        <w:rPr>
          <w:rFonts w:ascii="Courier New"/>
          <w:spacing w:val="-2"/>
          <w:sz w:val="13"/>
        </w:rPr>
        <w:t>capability.</w:t>
      </w:r>
    </w:p>
    <w:p w14:paraId="57DFB3D4" w14:textId="77777777" w:rsidR="00ED08FF" w:rsidRDefault="00000000">
      <w:pPr>
        <w:tabs>
          <w:tab w:val="left" w:pos="3031"/>
          <w:tab w:val="left" w:pos="5839"/>
        </w:tabs>
        <w:spacing w:line="147" w:lineRule="exact"/>
        <w:ind w:left="1472"/>
        <w:rPr>
          <w:rFonts w:ascii="Courier New"/>
          <w:sz w:val="13"/>
        </w:rPr>
      </w:pPr>
      <w:r>
        <w:rPr>
          <w:rFonts w:ascii="Courier New"/>
          <w:spacing w:val="-2"/>
          <w:sz w:val="13"/>
        </w:rPr>
        <w:t>Leverage</w:t>
      </w:r>
      <w:r>
        <w:rPr>
          <w:rFonts w:ascii="Courier New"/>
          <w:sz w:val="13"/>
        </w:rPr>
        <w:tab/>
        <w:t>Not</w:t>
      </w:r>
      <w:r>
        <w:rPr>
          <w:rFonts w:ascii="Courier New"/>
          <w:spacing w:val="-3"/>
          <w:sz w:val="13"/>
        </w:rPr>
        <w:t xml:space="preserve"> </w:t>
      </w:r>
      <w:r>
        <w:rPr>
          <w:rFonts w:ascii="Courier New"/>
          <w:spacing w:val="-2"/>
          <w:sz w:val="13"/>
        </w:rPr>
        <w:t>significant</w:t>
      </w:r>
      <w:r>
        <w:rPr>
          <w:rFonts w:ascii="Courier New"/>
          <w:sz w:val="13"/>
        </w:rPr>
        <w:tab/>
        <w:t>Debt</w:t>
      </w:r>
      <w:r>
        <w:rPr>
          <w:rFonts w:ascii="Courier New"/>
          <w:spacing w:val="-8"/>
          <w:sz w:val="13"/>
        </w:rPr>
        <w:t xml:space="preserve"> </w:t>
      </w:r>
      <w:r>
        <w:rPr>
          <w:rFonts w:ascii="Courier New"/>
          <w:sz w:val="13"/>
        </w:rPr>
        <w:t>is</w:t>
      </w:r>
      <w:r>
        <w:rPr>
          <w:rFonts w:ascii="Courier New"/>
          <w:spacing w:val="-5"/>
          <w:sz w:val="13"/>
        </w:rPr>
        <w:t xml:space="preserve"> </w:t>
      </w:r>
      <w:r>
        <w:rPr>
          <w:rFonts w:ascii="Courier New"/>
          <w:sz w:val="13"/>
        </w:rPr>
        <w:t>interpreted</w:t>
      </w:r>
      <w:r>
        <w:rPr>
          <w:rFonts w:ascii="Courier New"/>
          <w:spacing w:val="-6"/>
          <w:sz w:val="13"/>
        </w:rPr>
        <w:t xml:space="preserve"> </w:t>
      </w:r>
      <w:r>
        <w:rPr>
          <w:rFonts w:ascii="Courier New"/>
          <w:sz w:val="13"/>
        </w:rPr>
        <w:t>contextually</w:t>
      </w:r>
      <w:r>
        <w:rPr>
          <w:rFonts w:ascii="Courier New"/>
          <w:spacing w:val="-5"/>
          <w:sz w:val="13"/>
        </w:rPr>
        <w:t xml:space="preserve"> </w:t>
      </w:r>
      <w:r>
        <w:rPr>
          <w:rFonts w:ascii="Courier New"/>
          <w:sz w:val="13"/>
        </w:rPr>
        <w:t>and</w:t>
      </w:r>
      <w:r>
        <w:rPr>
          <w:rFonts w:ascii="Courier New"/>
          <w:spacing w:val="-6"/>
          <w:sz w:val="13"/>
        </w:rPr>
        <w:t xml:space="preserve"> </w:t>
      </w:r>
      <w:r>
        <w:rPr>
          <w:rFonts w:ascii="Courier New"/>
          <w:sz w:val="13"/>
        </w:rPr>
        <w:t>does</w:t>
      </w:r>
      <w:r>
        <w:rPr>
          <w:rFonts w:ascii="Courier New"/>
          <w:spacing w:val="-5"/>
          <w:sz w:val="13"/>
        </w:rPr>
        <w:t xml:space="preserve"> </w:t>
      </w:r>
      <w:r>
        <w:rPr>
          <w:rFonts w:ascii="Courier New"/>
          <w:sz w:val="13"/>
        </w:rPr>
        <w:t>not</w:t>
      </w:r>
      <w:r>
        <w:rPr>
          <w:rFonts w:ascii="Courier New"/>
          <w:spacing w:val="-5"/>
          <w:sz w:val="13"/>
        </w:rPr>
        <w:t xml:space="preserve"> </w:t>
      </w:r>
      <w:r>
        <w:rPr>
          <w:rFonts w:ascii="Courier New"/>
          <w:spacing w:val="-2"/>
          <w:sz w:val="13"/>
        </w:rPr>
        <w:t>independently</w:t>
      </w:r>
    </w:p>
    <w:p w14:paraId="3C02BAB0" w14:textId="77777777" w:rsidR="00ED08FF" w:rsidRDefault="00000000">
      <w:pPr>
        <w:spacing w:line="147" w:lineRule="exact"/>
        <w:ind w:left="145"/>
        <w:rPr>
          <w:rFonts w:ascii="Courier New"/>
          <w:sz w:val="13"/>
        </w:rPr>
      </w:pPr>
      <w:r>
        <w:rPr>
          <w:rFonts w:ascii="Courier New"/>
          <w:sz w:val="13"/>
        </w:rPr>
        <w:t>explain</w:t>
      </w:r>
      <w:r>
        <w:rPr>
          <w:rFonts w:ascii="Courier New"/>
          <w:spacing w:val="-5"/>
          <w:sz w:val="13"/>
        </w:rPr>
        <w:t xml:space="preserve"> </w:t>
      </w:r>
      <w:r>
        <w:rPr>
          <w:rFonts w:ascii="Courier New"/>
          <w:sz w:val="13"/>
        </w:rPr>
        <w:t>PBV</w:t>
      </w:r>
      <w:r>
        <w:rPr>
          <w:rFonts w:ascii="Courier New"/>
          <w:spacing w:val="-5"/>
          <w:sz w:val="13"/>
        </w:rPr>
        <w:t xml:space="preserve"> </w:t>
      </w:r>
      <w:r>
        <w:rPr>
          <w:rFonts w:ascii="Courier New"/>
          <w:spacing w:val="-2"/>
          <w:sz w:val="13"/>
        </w:rPr>
        <w:t>here.</w:t>
      </w:r>
    </w:p>
    <w:p w14:paraId="4FC0C748" w14:textId="77777777" w:rsidR="00ED08FF" w:rsidRDefault="00000000">
      <w:pPr>
        <w:tabs>
          <w:tab w:val="left" w:pos="3031"/>
          <w:tab w:val="left" w:pos="5839"/>
        </w:tabs>
        <w:spacing w:line="147" w:lineRule="exact"/>
        <w:ind w:left="1472"/>
        <w:rPr>
          <w:rFonts w:ascii="Courier New"/>
          <w:sz w:val="13"/>
        </w:rPr>
      </w:pPr>
      <w:r>
        <w:rPr>
          <w:rFonts w:ascii="Courier New"/>
          <w:sz w:val="13"/>
        </w:rPr>
        <w:t>Firm</w:t>
      </w:r>
      <w:r>
        <w:rPr>
          <w:rFonts w:ascii="Courier New"/>
          <w:spacing w:val="-4"/>
          <w:sz w:val="13"/>
        </w:rPr>
        <w:t xml:space="preserve"> Size</w:t>
      </w:r>
      <w:r>
        <w:rPr>
          <w:rFonts w:ascii="Courier New"/>
          <w:sz w:val="13"/>
        </w:rPr>
        <w:tab/>
        <w:t>Not</w:t>
      </w:r>
      <w:r>
        <w:rPr>
          <w:rFonts w:ascii="Courier New"/>
          <w:spacing w:val="-3"/>
          <w:sz w:val="13"/>
        </w:rPr>
        <w:t xml:space="preserve"> </w:t>
      </w:r>
      <w:r>
        <w:rPr>
          <w:rFonts w:ascii="Courier New"/>
          <w:spacing w:val="-2"/>
          <w:sz w:val="13"/>
        </w:rPr>
        <w:t>significant</w:t>
      </w:r>
      <w:r>
        <w:rPr>
          <w:rFonts w:ascii="Courier New"/>
          <w:sz w:val="13"/>
        </w:rPr>
        <w:tab/>
        <w:t>Asset</w:t>
      </w:r>
      <w:r>
        <w:rPr>
          <w:rFonts w:ascii="Courier New"/>
          <w:spacing w:val="-7"/>
          <w:sz w:val="13"/>
        </w:rPr>
        <w:t xml:space="preserve"> </w:t>
      </w:r>
      <w:r>
        <w:rPr>
          <w:rFonts w:ascii="Courier New"/>
          <w:sz w:val="13"/>
        </w:rPr>
        <w:t>scale</w:t>
      </w:r>
      <w:r>
        <w:rPr>
          <w:rFonts w:ascii="Courier New"/>
          <w:spacing w:val="-5"/>
          <w:sz w:val="13"/>
        </w:rPr>
        <w:t xml:space="preserve"> </w:t>
      </w:r>
      <w:r>
        <w:rPr>
          <w:rFonts w:ascii="Courier New"/>
          <w:sz w:val="13"/>
        </w:rPr>
        <w:t>is</w:t>
      </w:r>
      <w:r>
        <w:rPr>
          <w:rFonts w:ascii="Courier New"/>
          <w:spacing w:val="-6"/>
          <w:sz w:val="13"/>
        </w:rPr>
        <w:t xml:space="preserve"> </w:t>
      </w:r>
      <w:r>
        <w:rPr>
          <w:rFonts w:ascii="Courier New"/>
          <w:sz w:val="13"/>
        </w:rPr>
        <w:t>not</w:t>
      </w:r>
      <w:r>
        <w:rPr>
          <w:rFonts w:ascii="Courier New"/>
          <w:spacing w:val="-5"/>
          <w:sz w:val="13"/>
        </w:rPr>
        <w:t xml:space="preserve"> </w:t>
      </w:r>
      <w:r>
        <w:rPr>
          <w:rFonts w:ascii="Courier New"/>
          <w:sz w:val="13"/>
        </w:rPr>
        <w:t>enough</w:t>
      </w:r>
      <w:r>
        <w:rPr>
          <w:rFonts w:ascii="Courier New"/>
          <w:spacing w:val="-5"/>
          <w:sz w:val="13"/>
        </w:rPr>
        <w:t xml:space="preserve"> </w:t>
      </w:r>
      <w:r>
        <w:rPr>
          <w:rFonts w:ascii="Courier New"/>
          <w:sz w:val="13"/>
        </w:rPr>
        <w:t>without</w:t>
      </w:r>
      <w:r>
        <w:rPr>
          <w:rFonts w:ascii="Courier New"/>
          <w:spacing w:val="-6"/>
          <w:sz w:val="13"/>
        </w:rPr>
        <w:t xml:space="preserve"> </w:t>
      </w:r>
      <w:r>
        <w:rPr>
          <w:rFonts w:ascii="Courier New"/>
          <w:sz w:val="13"/>
        </w:rPr>
        <w:t>profitability</w:t>
      </w:r>
      <w:r>
        <w:rPr>
          <w:rFonts w:ascii="Courier New"/>
          <w:spacing w:val="-5"/>
          <w:sz w:val="13"/>
        </w:rPr>
        <w:t xml:space="preserve"> </w:t>
      </w:r>
      <w:r>
        <w:rPr>
          <w:rFonts w:ascii="Courier New"/>
          <w:sz w:val="13"/>
        </w:rPr>
        <w:t>or</w:t>
      </w:r>
      <w:r>
        <w:rPr>
          <w:rFonts w:ascii="Courier New"/>
          <w:spacing w:val="-5"/>
          <w:sz w:val="13"/>
        </w:rPr>
        <w:t xml:space="preserve"> </w:t>
      </w:r>
      <w:r>
        <w:rPr>
          <w:rFonts w:ascii="Courier New"/>
          <w:spacing w:val="-2"/>
          <w:sz w:val="13"/>
        </w:rPr>
        <w:t>growth</w:t>
      </w:r>
    </w:p>
    <w:p w14:paraId="31A9EABA" w14:textId="77777777" w:rsidR="00ED08FF" w:rsidRDefault="00ED08FF">
      <w:pPr>
        <w:spacing w:line="147" w:lineRule="exact"/>
        <w:rPr>
          <w:rFonts w:ascii="Courier New"/>
          <w:sz w:val="13"/>
        </w:rPr>
        <w:sectPr w:rsidR="00ED08FF">
          <w:pgSz w:w="12240" w:h="15840"/>
          <w:pgMar w:top="800" w:right="720" w:bottom="900" w:left="720" w:header="0" w:footer="669" w:gutter="0"/>
          <w:cols w:space="720"/>
        </w:sectPr>
      </w:pPr>
    </w:p>
    <w:p w14:paraId="5E9EA5AE" w14:textId="77777777" w:rsidR="00ED08FF" w:rsidRDefault="00000000">
      <w:pPr>
        <w:spacing w:line="480" w:lineRule="auto"/>
        <w:ind w:left="145"/>
        <w:rPr>
          <w:rFonts w:ascii="Courier New"/>
          <w:sz w:val="13"/>
        </w:rPr>
      </w:pPr>
      <w:r>
        <w:rPr>
          <w:rFonts w:ascii="Courier New"/>
          <w:spacing w:val="-2"/>
          <w:sz w:val="13"/>
        </w:rPr>
        <w:t xml:space="preserve">expectations. </w:t>
      </w:r>
      <w:r>
        <w:rPr>
          <w:rFonts w:ascii="Courier New"/>
          <w:sz w:val="13"/>
        </w:rPr>
        <w:t>current</w:t>
      </w:r>
      <w:r>
        <w:rPr>
          <w:rFonts w:ascii="Courier New"/>
          <w:spacing w:val="-20"/>
          <w:sz w:val="13"/>
        </w:rPr>
        <w:t xml:space="preserve"> </w:t>
      </w:r>
      <w:r>
        <w:rPr>
          <w:rFonts w:ascii="Courier New"/>
          <w:sz w:val="13"/>
        </w:rPr>
        <w:t>assets.</w:t>
      </w:r>
    </w:p>
    <w:p w14:paraId="0746E253" w14:textId="77777777" w:rsidR="00ED08FF" w:rsidRDefault="00000000">
      <w:pPr>
        <w:pStyle w:val="BodyText"/>
        <w:spacing w:before="0"/>
        <w:ind w:left="0"/>
        <w:rPr>
          <w:rFonts w:ascii="Courier New"/>
          <w:sz w:val="13"/>
        </w:rPr>
      </w:pPr>
      <w:r>
        <w:br w:type="column"/>
      </w:r>
    </w:p>
    <w:p w14:paraId="45654306" w14:textId="77777777" w:rsidR="00ED08FF" w:rsidRDefault="00000000">
      <w:pPr>
        <w:tabs>
          <w:tab w:val="left" w:pos="1675"/>
          <w:tab w:val="left" w:pos="4483"/>
        </w:tabs>
        <w:ind w:left="116"/>
        <w:rPr>
          <w:rFonts w:ascii="Courier New"/>
          <w:sz w:val="13"/>
        </w:rPr>
      </w:pPr>
      <w:r>
        <w:rPr>
          <w:rFonts w:ascii="Courier New"/>
          <w:spacing w:val="-2"/>
          <w:sz w:val="13"/>
        </w:rPr>
        <w:t>Liquidity</w:t>
      </w:r>
      <w:r>
        <w:rPr>
          <w:rFonts w:ascii="Courier New"/>
          <w:sz w:val="13"/>
        </w:rPr>
        <w:tab/>
        <w:t>Negative</w:t>
      </w:r>
      <w:r>
        <w:rPr>
          <w:rFonts w:ascii="Courier New"/>
          <w:spacing w:val="-6"/>
          <w:sz w:val="13"/>
        </w:rPr>
        <w:t xml:space="preserve"> </w:t>
      </w:r>
      <w:r>
        <w:rPr>
          <w:rFonts w:ascii="Courier New"/>
          <w:sz w:val="13"/>
        </w:rPr>
        <w:t>and</w:t>
      </w:r>
      <w:r>
        <w:rPr>
          <w:rFonts w:ascii="Courier New"/>
          <w:spacing w:val="-5"/>
          <w:sz w:val="13"/>
        </w:rPr>
        <w:t xml:space="preserve"> </w:t>
      </w:r>
      <w:r>
        <w:rPr>
          <w:rFonts w:ascii="Courier New"/>
          <w:spacing w:val="-2"/>
          <w:sz w:val="13"/>
        </w:rPr>
        <w:t>significant</w:t>
      </w:r>
      <w:r>
        <w:rPr>
          <w:rFonts w:ascii="Courier New"/>
          <w:sz w:val="13"/>
        </w:rPr>
        <w:tab/>
        <w:t>Very</w:t>
      </w:r>
      <w:r>
        <w:rPr>
          <w:rFonts w:ascii="Courier New"/>
          <w:spacing w:val="-7"/>
          <w:sz w:val="13"/>
        </w:rPr>
        <w:t xml:space="preserve"> </w:t>
      </w:r>
      <w:r>
        <w:rPr>
          <w:rFonts w:ascii="Courier New"/>
          <w:sz w:val="13"/>
        </w:rPr>
        <w:t>high</w:t>
      </w:r>
      <w:r>
        <w:rPr>
          <w:rFonts w:ascii="Courier New"/>
          <w:spacing w:val="-4"/>
          <w:sz w:val="13"/>
        </w:rPr>
        <w:t xml:space="preserve"> </w:t>
      </w:r>
      <w:r>
        <w:rPr>
          <w:rFonts w:ascii="Courier New"/>
          <w:sz w:val="13"/>
        </w:rPr>
        <w:t>current</w:t>
      </w:r>
      <w:r>
        <w:rPr>
          <w:rFonts w:ascii="Courier New"/>
          <w:spacing w:val="-4"/>
          <w:sz w:val="13"/>
        </w:rPr>
        <w:t xml:space="preserve"> </w:t>
      </w:r>
      <w:r>
        <w:rPr>
          <w:rFonts w:ascii="Courier New"/>
          <w:sz w:val="13"/>
        </w:rPr>
        <w:t>ratio</w:t>
      </w:r>
      <w:r>
        <w:rPr>
          <w:rFonts w:ascii="Courier New"/>
          <w:spacing w:val="-4"/>
          <w:sz w:val="13"/>
        </w:rPr>
        <w:t xml:space="preserve"> </w:t>
      </w:r>
      <w:r>
        <w:rPr>
          <w:rFonts w:ascii="Courier New"/>
          <w:sz w:val="13"/>
        </w:rPr>
        <w:t>may</w:t>
      </w:r>
      <w:r>
        <w:rPr>
          <w:rFonts w:ascii="Courier New"/>
          <w:spacing w:val="-5"/>
          <w:sz w:val="13"/>
        </w:rPr>
        <w:t xml:space="preserve"> </w:t>
      </w:r>
      <w:r>
        <w:rPr>
          <w:rFonts w:ascii="Courier New"/>
          <w:sz w:val="13"/>
        </w:rPr>
        <w:t>signal</w:t>
      </w:r>
      <w:r>
        <w:rPr>
          <w:rFonts w:ascii="Courier New"/>
          <w:spacing w:val="-4"/>
          <w:sz w:val="13"/>
        </w:rPr>
        <w:t xml:space="preserve"> </w:t>
      </w:r>
      <w:r>
        <w:rPr>
          <w:rFonts w:ascii="Courier New"/>
          <w:sz w:val="13"/>
        </w:rPr>
        <w:t>idle</w:t>
      </w:r>
      <w:r>
        <w:rPr>
          <w:rFonts w:ascii="Courier New"/>
          <w:spacing w:val="-4"/>
          <w:sz w:val="13"/>
        </w:rPr>
        <w:t xml:space="preserve"> </w:t>
      </w:r>
      <w:r>
        <w:rPr>
          <w:rFonts w:ascii="Courier New"/>
          <w:sz w:val="13"/>
        </w:rPr>
        <w:t>or</w:t>
      </w:r>
      <w:r>
        <w:rPr>
          <w:rFonts w:ascii="Courier New"/>
          <w:spacing w:val="-4"/>
          <w:sz w:val="13"/>
        </w:rPr>
        <w:t xml:space="preserve"> </w:t>
      </w:r>
      <w:r>
        <w:rPr>
          <w:rFonts w:ascii="Courier New"/>
          <w:spacing w:val="-2"/>
          <w:sz w:val="13"/>
        </w:rPr>
        <w:t>inefficient</w:t>
      </w:r>
    </w:p>
    <w:p w14:paraId="58C911D9" w14:textId="77777777" w:rsidR="00ED08FF" w:rsidRDefault="00000000">
      <w:pPr>
        <w:pStyle w:val="BodyText"/>
        <w:spacing w:before="147"/>
        <w:ind w:left="455"/>
      </w:pPr>
      <w:r>
        <w:t>Accounting</w:t>
      </w:r>
      <w:r>
        <w:rPr>
          <w:spacing w:val="-4"/>
        </w:rPr>
        <w:t xml:space="preserve"> </w:t>
      </w:r>
      <w:r>
        <w:t>ratios</w:t>
      </w:r>
      <w:r>
        <w:rPr>
          <w:spacing w:val="-2"/>
        </w:rPr>
        <w:t xml:space="preserve"> </w:t>
      </w:r>
      <w:r>
        <w:t>explain</w:t>
      </w:r>
      <w:r>
        <w:rPr>
          <w:spacing w:val="-2"/>
        </w:rPr>
        <w:t xml:space="preserve"> </w:t>
      </w:r>
      <w:r>
        <w:t>a</w:t>
      </w:r>
      <w:r>
        <w:rPr>
          <w:spacing w:val="-2"/>
        </w:rPr>
        <w:t xml:space="preserve"> large</w:t>
      </w:r>
    </w:p>
    <w:p w14:paraId="34BE956A" w14:textId="77777777" w:rsidR="00ED08FF" w:rsidRDefault="00000000">
      <w:pPr>
        <w:tabs>
          <w:tab w:val="left" w:pos="4483"/>
        </w:tabs>
        <w:spacing w:before="50" w:line="147" w:lineRule="exact"/>
        <w:ind w:left="116"/>
        <w:rPr>
          <w:rFonts w:ascii="Courier New"/>
          <w:sz w:val="13"/>
        </w:rPr>
      </w:pPr>
      <w:r>
        <w:rPr>
          <w:rFonts w:ascii="Courier New"/>
          <w:sz w:val="13"/>
        </w:rPr>
        <w:t>Model</w:t>
      </w:r>
      <w:r>
        <w:rPr>
          <w:rFonts w:ascii="Courier New"/>
          <w:spacing w:val="-5"/>
          <w:sz w:val="13"/>
        </w:rPr>
        <w:t xml:space="preserve"> </w:t>
      </w:r>
      <w:r>
        <w:rPr>
          <w:rFonts w:ascii="Courier New"/>
          <w:spacing w:val="-2"/>
          <w:sz w:val="13"/>
        </w:rPr>
        <w:t>meaning</w:t>
      </w:r>
      <w:r>
        <w:rPr>
          <w:rFonts w:ascii="Courier New"/>
          <w:sz w:val="13"/>
        </w:rPr>
        <w:tab/>
        <w:t>Financial</w:t>
      </w:r>
      <w:r>
        <w:rPr>
          <w:rFonts w:ascii="Courier New"/>
          <w:spacing w:val="-11"/>
          <w:sz w:val="13"/>
        </w:rPr>
        <w:t xml:space="preserve"> </w:t>
      </w:r>
      <w:r>
        <w:rPr>
          <w:rFonts w:ascii="Courier New"/>
          <w:sz w:val="13"/>
        </w:rPr>
        <w:t>statement</w:t>
      </w:r>
      <w:r>
        <w:rPr>
          <w:rFonts w:ascii="Courier New"/>
          <w:spacing w:val="-9"/>
          <w:sz w:val="13"/>
        </w:rPr>
        <w:t xml:space="preserve"> </w:t>
      </w:r>
      <w:r>
        <w:rPr>
          <w:rFonts w:ascii="Courier New"/>
          <w:sz w:val="13"/>
        </w:rPr>
        <w:t>information</w:t>
      </w:r>
      <w:r>
        <w:rPr>
          <w:rFonts w:ascii="Courier New"/>
          <w:spacing w:val="-8"/>
          <w:sz w:val="13"/>
        </w:rPr>
        <w:t xml:space="preserve"> </w:t>
      </w:r>
      <w:r>
        <w:rPr>
          <w:rFonts w:ascii="Courier New"/>
          <w:sz w:val="13"/>
        </w:rPr>
        <w:t>remains</w:t>
      </w:r>
      <w:r>
        <w:rPr>
          <w:rFonts w:ascii="Courier New"/>
          <w:spacing w:val="-9"/>
          <w:sz w:val="13"/>
        </w:rPr>
        <w:t xml:space="preserve"> </w:t>
      </w:r>
      <w:r>
        <w:rPr>
          <w:rFonts w:ascii="Courier New"/>
          <w:sz w:val="13"/>
        </w:rPr>
        <w:t>relevant</w:t>
      </w:r>
      <w:r>
        <w:rPr>
          <w:rFonts w:ascii="Courier New"/>
          <w:spacing w:val="-8"/>
          <w:sz w:val="13"/>
        </w:rPr>
        <w:t xml:space="preserve"> </w:t>
      </w:r>
      <w:r>
        <w:rPr>
          <w:rFonts w:ascii="Courier New"/>
          <w:spacing w:val="-5"/>
          <w:sz w:val="13"/>
        </w:rPr>
        <w:t>for</w:t>
      </w:r>
    </w:p>
    <w:p w14:paraId="0E76C659" w14:textId="77777777" w:rsidR="00ED08FF" w:rsidRDefault="00ED08FF">
      <w:pPr>
        <w:spacing w:line="147" w:lineRule="exact"/>
        <w:rPr>
          <w:rFonts w:ascii="Courier New"/>
          <w:sz w:val="13"/>
        </w:rPr>
        <w:sectPr w:rsidR="00ED08FF">
          <w:type w:val="continuous"/>
          <w:pgSz w:w="12240" w:h="15840"/>
          <w:pgMar w:top="1040" w:right="720" w:bottom="860" w:left="720" w:header="0" w:footer="669" w:gutter="0"/>
          <w:cols w:num="2" w:space="720" w:equalWidth="0">
            <w:col w:w="1317" w:space="40"/>
            <w:col w:w="9443"/>
          </w:cols>
        </w:sectPr>
      </w:pPr>
    </w:p>
    <w:p w14:paraId="7DA3F8B4" w14:textId="77777777" w:rsidR="00ED08FF" w:rsidRDefault="00000000">
      <w:pPr>
        <w:ind w:left="145"/>
        <w:rPr>
          <w:rFonts w:ascii="Courier New"/>
          <w:sz w:val="13"/>
        </w:rPr>
      </w:pPr>
      <w:r>
        <w:rPr>
          <w:rFonts w:ascii="Courier New"/>
          <w:sz w:val="13"/>
        </w:rPr>
        <w:t>valuation</w:t>
      </w:r>
      <w:r>
        <w:rPr>
          <w:rFonts w:ascii="Courier New"/>
          <w:spacing w:val="-9"/>
          <w:sz w:val="13"/>
        </w:rPr>
        <w:t xml:space="preserve"> </w:t>
      </w:r>
      <w:r>
        <w:rPr>
          <w:rFonts w:ascii="Courier New"/>
          <w:spacing w:val="-2"/>
          <w:sz w:val="13"/>
        </w:rPr>
        <w:t>analysis.</w:t>
      </w:r>
    </w:p>
    <w:p w14:paraId="16891052" w14:textId="77777777" w:rsidR="00ED08FF" w:rsidRDefault="00000000">
      <w:pPr>
        <w:pStyle w:val="BodyText"/>
        <w:spacing w:before="0"/>
        <w:ind w:left="1811"/>
      </w:pPr>
      <w:r>
        <w:t>part</w:t>
      </w:r>
      <w:r>
        <w:rPr>
          <w:spacing w:val="-3"/>
        </w:rPr>
        <w:t xml:space="preserve"> </w:t>
      </w:r>
      <w:r>
        <w:t>of</w:t>
      </w:r>
      <w:r>
        <w:rPr>
          <w:spacing w:val="-2"/>
        </w:rPr>
        <w:t xml:space="preserve"> </w:t>
      </w:r>
      <w:r>
        <w:t>PBV</w:t>
      </w:r>
      <w:r>
        <w:rPr>
          <w:spacing w:val="-2"/>
        </w:rPr>
        <w:t xml:space="preserve"> variation</w:t>
      </w:r>
    </w:p>
    <w:p w14:paraId="2343E83E" w14:textId="77777777" w:rsidR="00ED08FF" w:rsidRDefault="00ED08FF">
      <w:pPr>
        <w:pStyle w:val="BodyText"/>
        <w:spacing w:before="99"/>
        <w:ind w:left="0"/>
      </w:pPr>
    </w:p>
    <w:p w14:paraId="7F314CD0" w14:textId="77777777" w:rsidR="00ED08FF" w:rsidRDefault="00000000">
      <w:pPr>
        <w:pStyle w:val="Heading2"/>
        <w:spacing w:before="1"/>
        <w:ind w:left="416"/>
      </w:pPr>
      <w:r>
        <w:rPr>
          <w:spacing w:val="-2"/>
        </w:rPr>
        <w:t>Conclusion</w:t>
      </w:r>
    </w:p>
    <w:p w14:paraId="215CD3E8" w14:textId="77777777" w:rsidR="00ED08FF" w:rsidRDefault="00000000">
      <w:pPr>
        <w:pStyle w:val="BodyText"/>
        <w:spacing w:before="50" w:line="297" w:lineRule="auto"/>
        <w:ind w:left="416" w:right="1705"/>
      </w:pPr>
      <w:r>
        <w:t>This study investigated the effect of profitability, leverage, firm size, and liquidity on firm value in selected consumer non-cyclicals</w:t>
      </w:r>
      <w:r>
        <w:rPr>
          <w:spacing w:val="-4"/>
        </w:rPr>
        <w:t xml:space="preserve"> </w:t>
      </w:r>
      <w:r>
        <w:t>companies</w:t>
      </w:r>
      <w:r>
        <w:rPr>
          <w:spacing w:val="-4"/>
        </w:rPr>
        <w:t xml:space="preserve"> </w:t>
      </w:r>
      <w:r>
        <w:t>listed</w:t>
      </w:r>
      <w:r>
        <w:rPr>
          <w:spacing w:val="-3"/>
        </w:rPr>
        <w:t xml:space="preserve"> </w:t>
      </w:r>
      <w:r>
        <w:t>on</w:t>
      </w:r>
      <w:r>
        <w:rPr>
          <w:spacing w:val="-3"/>
        </w:rPr>
        <w:t xml:space="preserve"> </w:t>
      </w:r>
      <w:r>
        <w:t>the</w:t>
      </w:r>
      <w:r>
        <w:rPr>
          <w:spacing w:val="-4"/>
        </w:rPr>
        <w:t xml:space="preserve"> </w:t>
      </w:r>
      <w:r>
        <w:t>Indonesia</w:t>
      </w:r>
      <w:r>
        <w:rPr>
          <w:spacing w:val="-4"/>
        </w:rPr>
        <w:t xml:space="preserve"> </w:t>
      </w:r>
      <w:r>
        <w:t>Stock</w:t>
      </w:r>
      <w:r>
        <w:rPr>
          <w:spacing w:val="-3"/>
        </w:rPr>
        <w:t xml:space="preserve"> </w:t>
      </w:r>
      <w:r>
        <w:t>Exchange</w:t>
      </w:r>
      <w:r>
        <w:rPr>
          <w:spacing w:val="-4"/>
        </w:rPr>
        <w:t xml:space="preserve"> </w:t>
      </w:r>
      <w:r>
        <w:t>during</w:t>
      </w:r>
      <w:r>
        <w:rPr>
          <w:spacing w:val="-3"/>
        </w:rPr>
        <w:t xml:space="preserve"> </w:t>
      </w:r>
      <w:r>
        <w:t>2021–2025.</w:t>
      </w:r>
      <w:r>
        <w:rPr>
          <w:spacing w:val="-3"/>
        </w:rPr>
        <w:t xml:space="preserve"> </w:t>
      </w:r>
      <w:r>
        <w:t>Based</w:t>
      </w:r>
      <w:r>
        <w:rPr>
          <w:spacing w:val="-3"/>
        </w:rPr>
        <w:t xml:space="preserve"> </w:t>
      </w:r>
      <w:r>
        <w:t>on</w:t>
      </w:r>
      <w:r>
        <w:rPr>
          <w:spacing w:val="-3"/>
        </w:rPr>
        <w:t xml:space="preserve"> </w:t>
      </w:r>
      <w:r>
        <w:t>40</w:t>
      </w:r>
      <w:r>
        <w:rPr>
          <w:spacing w:val="-3"/>
        </w:rPr>
        <w:t xml:space="preserve"> </w:t>
      </w:r>
      <w:r>
        <w:t>firm-year</w:t>
      </w:r>
      <w:r>
        <w:rPr>
          <w:spacing w:val="-3"/>
        </w:rPr>
        <w:t xml:space="preserve"> </w:t>
      </w:r>
      <w:r>
        <w:t>observations</w:t>
      </w:r>
    </w:p>
    <w:p w14:paraId="013A2701" w14:textId="77777777" w:rsidR="00ED08FF" w:rsidRDefault="00ED08FF">
      <w:pPr>
        <w:pStyle w:val="BodyText"/>
        <w:spacing w:line="297" w:lineRule="auto"/>
        <w:sectPr w:rsidR="00ED08FF">
          <w:type w:val="continuous"/>
          <w:pgSz w:w="12240" w:h="15840"/>
          <w:pgMar w:top="1040" w:right="720" w:bottom="860" w:left="720" w:header="0" w:footer="669" w:gutter="0"/>
          <w:cols w:space="720"/>
        </w:sectPr>
      </w:pPr>
    </w:p>
    <w:p w14:paraId="2EF6FBED" w14:textId="77777777" w:rsidR="00ED08FF" w:rsidRDefault="00000000">
      <w:pPr>
        <w:pStyle w:val="BodyText"/>
        <w:spacing w:before="64" w:line="297" w:lineRule="auto"/>
        <w:ind w:left="416" w:right="1671"/>
      </w:pPr>
      <w:r>
        <w:lastRenderedPageBreak/>
        <w:t>and pooled OLS estimation with robust standard errors, profitability showed a positive and statistically significant association with firm value. This finding indicates that companies with stronger asset productivity tend to have higher price-to-book</w:t>
      </w:r>
      <w:r>
        <w:rPr>
          <w:spacing w:val="-2"/>
        </w:rPr>
        <w:t xml:space="preserve"> </w:t>
      </w:r>
      <w:r>
        <w:t>value.</w:t>
      </w:r>
      <w:r>
        <w:rPr>
          <w:spacing w:val="-2"/>
        </w:rPr>
        <w:t xml:space="preserve"> </w:t>
      </w:r>
      <w:r>
        <w:t>Liquidity</w:t>
      </w:r>
      <w:r>
        <w:rPr>
          <w:spacing w:val="-2"/>
        </w:rPr>
        <w:t xml:space="preserve"> </w:t>
      </w:r>
      <w:r>
        <w:t>showed</w:t>
      </w:r>
      <w:r>
        <w:rPr>
          <w:spacing w:val="-2"/>
        </w:rPr>
        <w:t xml:space="preserve"> </w:t>
      </w:r>
      <w:r>
        <w:t>a</w:t>
      </w:r>
      <w:r>
        <w:rPr>
          <w:spacing w:val="-3"/>
        </w:rPr>
        <w:t xml:space="preserve"> </w:t>
      </w:r>
      <w:r>
        <w:t>negative</w:t>
      </w:r>
      <w:r>
        <w:rPr>
          <w:spacing w:val="-3"/>
        </w:rPr>
        <w:t xml:space="preserve"> </w:t>
      </w:r>
      <w:r>
        <w:t>and</w:t>
      </w:r>
      <w:r>
        <w:rPr>
          <w:spacing w:val="-2"/>
        </w:rPr>
        <w:t xml:space="preserve"> </w:t>
      </w:r>
      <w:r>
        <w:t>statistically</w:t>
      </w:r>
      <w:r>
        <w:rPr>
          <w:spacing w:val="-2"/>
        </w:rPr>
        <w:t xml:space="preserve"> </w:t>
      </w:r>
      <w:r>
        <w:t>significant</w:t>
      </w:r>
      <w:r>
        <w:rPr>
          <w:spacing w:val="-3"/>
        </w:rPr>
        <w:t xml:space="preserve"> </w:t>
      </w:r>
      <w:r>
        <w:t>association</w:t>
      </w:r>
      <w:r>
        <w:rPr>
          <w:spacing w:val="-2"/>
        </w:rPr>
        <w:t xml:space="preserve"> </w:t>
      </w:r>
      <w:r>
        <w:t>with</w:t>
      </w:r>
      <w:r>
        <w:rPr>
          <w:spacing w:val="-2"/>
        </w:rPr>
        <w:t xml:space="preserve"> </w:t>
      </w:r>
      <w:r>
        <w:t>firm</w:t>
      </w:r>
      <w:r>
        <w:rPr>
          <w:spacing w:val="-3"/>
        </w:rPr>
        <w:t xml:space="preserve"> </w:t>
      </w:r>
      <w:r>
        <w:t>value,</w:t>
      </w:r>
      <w:r>
        <w:rPr>
          <w:spacing w:val="-2"/>
        </w:rPr>
        <w:t xml:space="preserve"> </w:t>
      </w:r>
      <w:r>
        <w:t>suggesting</w:t>
      </w:r>
      <w:r>
        <w:rPr>
          <w:spacing w:val="-2"/>
        </w:rPr>
        <w:t xml:space="preserve"> </w:t>
      </w:r>
      <w:r>
        <w:t>that high current ratios may not necessarily be viewed favourably when current assets are not used efficiently. Leverage and firm</w:t>
      </w:r>
      <w:r>
        <w:rPr>
          <w:spacing w:val="-3"/>
        </w:rPr>
        <w:t xml:space="preserve"> </w:t>
      </w:r>
      <w:r>
        <w:t>size</w:t>
      </w:r>
      <w:r>
        <w:rPr>
          <w:spacing w:val="-3"/>
        </w:rPr>
        <w:t xml:space="preserve"> </w:t>
      </w:r>
      <w:r>
        <w:t>did</w:t>
      </w:r>
      <w:r>
        <w:rPr>
          <w:spacing w:val="-2"/>
        </w:rPr>
        <w:t xml:space="preserve"> </w:t>
      </w:r>
      <w:r>
        <w:t>not</w:t>
      </w:r>
      <w:r>
        <w:rPr>
          <w:spacing w:val="-3"/>
        </w:rPr>
        <w:t xml:space="preserve"> </w:t>
      </w:r>
      <w:r>
        <w:t>show</w:t>
      </w:r>
      <w:r>
        <w:rPr>
          <w:spacing w:val="-3"/>
        </w:rPr>
        <w:t xml:space="preserve"> </w:t>
      </w:r>
      <w:r>
        <w:t>statistically</w:t>
      </w:r>
      <w:r>
        <w:rPr>
          <w:spacing w:val="-2"/>
        </w:rPr>
        <w:t xml:space="preserve"> </w:t>
      </w:r>
      <w:r>
        <w:t>significant</w:t>
      </w:r>
      <w:r>
        <w:rPr>
          <w:spacing w:val="-3"/>
        </w:rPr>
        <w:t xml:space="preserve"> </w:t>
      </w:r>
      <w:r>
        <w:t>effects</w:t>
      </w:r>
      <w:r>
        <w:rPr>
          <w:spacing w:val="-3"/>
        </w:rPr>
        <w:t xml:space="preserve"> </w:t>
      </w:r>
      <w:r>
        <w:t>in</w:t>
      </w:r>
      <w:r>
        <w:rPr>
          <w:spacing w:val="-2"/>
        </w:rPr>
        <w:t xml:space="preserve"> </w:t>
      </w:r>
      <w:r>
        <w:t>the</w:t>
      </w:r>
      <w:r>
        <w:rPr>
          <w:spacing w:val="-3"/>
        </w:rPr>
        <w:t xml:space="preserve"> </w:t>
      </w:r>
      <w:r>
        <w:t>primary</w:t>
      </w:r>
      <w:r>
        <w:rPr>
          <w:spacing w:val="-2"/>
        </w:rPr>
        <w:t xml:space="preserve"> </w:t>
      </w:r>
      <w:r>
        <w:t>model.</w:t>
      </w:r>
      <w:r>
        <w:rPr>
          <w:spacing w:val="-2"/>
        </w:rPr>
        <w:t xml:space="preserve"> </w:t>
      </w:r>
      <w:r>
        <w:t>Overall,</w:t>
      </w:r>
      <w:r>
        <w:rPr>
          <w:spacing w:val="-2"/>
        </w:rPr>
        <w:t xml:space="preserve"> </w:t>
      </w:r>
      <w:r>
        <w:t>the</w:t>
      </w:r>
      <w:r>
        <w:rPr>
          <w:spacing w:val="-3"/>
        </w:rPr>
        <w:t xml:space="preserve"> </w:t>
      </w:r>
      <w:r>
        <w:t>findings</w:t>
      </w:r>
      <w:r>
        <w:rPr>
          <w:spacing w:val="-3"/>
        </w:rPr>
        <w:t xml:space="preserve"> </w:t>
      </w:r>
      <w:r>
        <w:t>suggest</w:t>
      </w:r>
      <w:r>
        <w:rPr>
          <w:spacing w:val="-3"/>
        </w:rPr>
        <w:t xml:space="preserve"> </w:t>
      </w:r>
      <w:r>
        <w:t>that</w:t>
      </w:r>
      <w:r>
        <w:rPr>
          <w:spacing w:val="-3"/>
        </w:rPr>
        <w:t xml:space="preserve"> </w:t>
      </w:r>
      <w:r>
        <w:t>investors</w:t>
      </w:r>
      <w:r>
        <w:rPr>
          <w:spacing w:val="-3"/>
        </w:rPr>
        <w:t xml:space="preserve"> </w:t>
      </w:r>
      <w:r>
        <w:t>in the sampled companies appear to place greater emphasis on profitability than on balance sheet scale or leverage. The results should be interpreted cautiously because the sample is limited and sensitive to firm-level valuation differences, particularly high-PBV observations.</w:t>
      </w:r>
    </w:p>
    <w:p w14:paraId="542B6D2B" w14:textId="77777777" w:rsidR="00ED08FF" w:rsidRDefault="00000000">
      <w:pPr>
        <w:pStyle w:val="Heading2"/>
        <w:spacing w:before="2"/>
        <w:ind w:left="416"/>
      </w:pPr>
      <w:r>
        <w:rPr>
          <w:spacing w:val="-2"/>
        </w:rPr>
        <w:t>Limitations</w:t>
      </w:r>
    </w:p>
    <w:p w14:paraId="2107E732" w14:textId="77777777" w:rsidR="00ED08FF" w:rsidRDefault="00000000">
      <w:pPr>
        <w:pStyle w:val="BodyText"/>
        <w:spacing w:before="50" w:line="297" w:lineRule="auto"/>
        <w:ind w:left="416" w:right="1568"/>
      </w:pPr>
      <w:r>
        <w:t>This study has several limitations. The sample includes only eight consumer non-cyclicals companies observed over five fiscal years, resulting in 40 firm-year observations. The use of pooled OLS limits the ability to control for unobserved firm-specific</w:t>
      </w:r>
      <w:r>
        <w:rPr>
          <w:spacing w:val="-4"/>
        </w:rPr>
        <w:t xml:space="preserve"> </w:t>
      </w:r>
      <w:r>
        <w:t>effects.</w:t>
      </w:r>
      <w:r>
        <w:rPr>
          <w:spacing w:val="-3"/>
        </w:rPr>
        <w:t xml:space="preserve"> </w:t>
      </w:r>
      <w:r>
        <w:t>The</w:t>
      </w:r>
      <w:r>
        <w:rPr>
          <w:spacing w:val="-4"/>
        </w:rPr>
        <w:t xml:space="preserve"> </w:t>
      </w:r>
      <w:r>
        <w:t>results</w:t>
      </w:r>
      <w:r>
        <w:rPr>
          <w:spacing w:val="-4"/>
        </w:rPr>
        <w:t xml:space="preserve"> </w:t>
      </w:r>
      <w:r>
        <w:t>are</w:t>
      </w:r>
      <w:r>
        <w:rPr>
          <w:spacing w:val="-4"/>
        </w:rPr>
        <w:t xml:space="preserve"> </w:t>
      </w:r>
      <w:r>
        <w:t>sensitive</w:t>
      </w:r>
      <w:r>
        <w:rPr>
          <w:spacing w:val="-4"/>
        </w:rPr>
        <w:t xml:space="preserve"> </w:t>
      </w:r>
      <w:r>
        <w:t>to</w:t>
      </w:r>
      <w:r>
        <w:rPr>
          <w:spacing w:val="-3"/>
        </w:rPr>
        <w:t xml:space="preserve"> </w:t>
      </w:r>
      <w:r>
        <w:t>high</w:t>
      </w:r>
      <w:r>
        <w:rPr>
          <w:spacing w:val="-3"/>
        </w:rPr>
        <w:t xml:space="preserve"> </w:t>
      </w:r>
      <w:r>
        <w:t>valuation</w:t>
      </w:r>
      <w:r>
        <w:rPr>
          <w:spacing w:val="-3"/>
        </w:rPr>
        <w:t xml:space="preserve"> </w:t>
      </w:r>
      <w:r>
        <w:t>observations,</w:t>
      </w:r>
      <w:r>
        <w:rPr>
          <w:spacing w:val="-3"/>
        </w:rPr>
        <w:t xml:space="preserve"> </w:t>
      </w:r>
      <w:r>
        <w:t>especially</w:t>
      </w:r>
      <w:r>
        <w:rPr>
          <w:spacing w:val="-3"/>
        </w:rPr>
        <w:t xml:space="preserve"> </w:t>
      </w:r>
      <w:r>
        <w:t>UNVR.</w:t>
      </w:r>
      <w:r>
        <w:rPr>
          <w:spacing w:val="-3"/>
        </w:rPr>
        <w:t xml:space="preserve"> </w:t>
      </w:r>
      <w:r>
        <w:t>The</w:t>
      </w:r>
      <w:r>
        <w:rPr>
          <w:spacing w:val="-4"/>
        </w:rPr>
        <w:t xml:space="preserve"> </w:t>
      </w:r>
      <w:r>
        <w:t>study</w:t>
      </w:r>
      <w:r>
        <w:rPr>
          <w:spacing w:val="-3"/>
        </w:rPr>
        <w:t xml:space="preserve"> </w:t>
      </w:r>
      <w:r>
        <w:t>relies</w:t>
      </w:r>
      <w:r>
        <w:rPr>
          <w:spacing w:val="-4"/>
        </w:rPr>
        <w:t xml:space="preserve"> </w:t>
      </w:r>
      <w:r>
        <w:t>on</w:t>
      </w:r>
      <w:r>
        <w:rPr>
          <w:spacing w:val="-3"/>
        </w:rPr>
        <w:t xml:space="preserve"> </w:t>
      </w:r>
      <w:r>
        <w:t>public financial database values, which should be reconciled with audited annual reports and Indonesia Stock Exchange filings before final publication. The model includes only four explanatory variables and does not consider dividend policy, sales growth, corporate governance, earnings quality, macroeconomic conditions, or investor sentiment.</w:t>
      </w:r>
    </w:p>
    <w:p w14:paraId="4AE93CB9" w14:textId="77777777" w:rsidR="00ED08FF" w:rsidRDefault="00ED08FF">
      <w:pPr>
        <w:pStyle w:val="BodyText"/>
        <w:spacing w:before="51"/>
        <w:ind w:left="0"/>
      </w:pPr>
    </w:p>
    <w:p w14:paraId="70CB5BD2" w14:textId="77777777" w:rsidR="00ED08FF" w:rsidRDefault="00000000">
      <w:pPr>
        <w:pStyle w:val="Heading1"/>
        <w:spacing w:before="1"/>
        <w:ind w:left="145" w:firstLine="0"/>
      </w:pPr>
      <w:r>
        <w:t xml:space="preserve">6.0 </w:t>
      </w:r>
      <w:r>
        <w:rPr>
          <w:spacing w:val="-2"/>
        </w:rPr>
        <w:t>RECOMMENDATIONS</w:t>
      </w:r>
    </w:p>
    <w:p w14:paraId="448E8698" w14:textId="77777777" w:rsidR="00ED08FF" w:rsidRDefault="00000000">
      <w:pPr>
        <w:pStyle w:val="BodyText"/>
        <w:spacing w:before="50" w:line="297" w:lineRule="auto"/>
        <w:ind w:right="1762"/>
      </w:pPr>
      <w:r>
        <w:t>For company management, the priority is to improve asset productivity. The regression result gives a clear message: profitability</w:t>
      </w:r>
      <w:r>
        <w:rPr>
          <w:spacing w:val="-3"/>
        </w:rPr>
        <w:t xml:space="preserve"> </w:t>
      </w:r>
      <w:r>
        <w:t>is</w:t>
      </w:r>
      <w:r>
        <w:rPr>
          <w:spacing w:val="-4"/>
        </w:rPr>
        <w:t xml:space="preserve"> </w:t>
      </w:r>
      <w:r>
        <w:t>the</w:t>
      </w:r>
      <w:r>
        <w:rPr>
          <w:spacing w:val="-4"/>
        </w:rPr>
        <w:t xml:space="preserve"> </w:t>
      </w:r>
      <w:r>
        <w:t>variable</w:t>
      </w:r>
      <w:r>
        <w:rPr>
          <w:spacing w:val="-4"/>
        </w:rPr>
        <w:t xml:space="preserve"> </w:t>
      </w:r>
      <w:r>
        <w:t>most</w:t>
      </w:r>
      <w:r>
        <w:rPr>
          <w:spacing w:val="-4"/>
        </w:rPr>
        <w:t xml:space="preserve"> </w:t>
      </w:r>
      <w:r>
        <w:t>strongly</w:t>
      </w:r>
      <w:r>
        <w:rPr>
          <w:spacing w:val="-3"/>
        </w:rPr>
        <w:t xml:space="preserve"> </w:t>
      </w:r>
      <w:r>
        <w:t>associated</w:t>
      </w:r>
      <w:r>
        <w:rPr>
          <w:spacing w:val="-3"/>
        </w:rPr>
        <w:t xml:space="preserve"> </w:t>
      </w:r>
      <w:r>
        <w:t>with</w:t>
      </w:r>
      <w:r>
        <w:rPr>
          <w:spacing w:val="-3"/>
        </w:rPr>
        <w:t xml:space="preserve"> </w:t>
      </w:r>
      <w:r>
        <w:t>firm</w:t>
      </w:r>
      <w:r>
        <w:rPr>
          <w:spacing w:val="-4"/>
        </w:rPr>
        <w:t xml:space="preserve"> </w:t>
      </w:r>
      <w:r>
        <w:t>value.</w:t>
      </w:r>
      <w:r>
        <w:rPr>
          <w:spacing w:val="-3"/>
        </w:rPr>
        <w:t xml:space="preserve"> </w:t>
      </w:r>
      <w:r>
        <w:t>Management</w:t>
      </w:r>
      <w:r>
        <w:rPr>
          <w:spacing w:val="-4"/>
        </w:rPr>
        <w:t xml:space="preserve"> </w:t>
      </w:r>
      <w:r>
        <w:t>should</w:t>
      </w:r>
      <w:r>
        <w:rPr>
          <w:spacing w:val="-3"/>
        </w:rPr>
        <w:t xml:space="preserve"> </w:t>
      </w:r>
      <w:r>
        <w:t>therefore</w:t>
      </w:r>
      <w:r>
        <w:rPr>
          <w:spacing w:val="-4"/>
        </w:rPr>
        <w:t xml:space="preserve"> </w:t>
      </w:r>
      <w:r>
        <w:t>evaluate</w:t>
      </w:r>
      <w:r>
        <w:rPr>
          <w:spacing w:val="-4"/>
        </w:rPr>
        <w:t xml:space="preserve"> </w:t>
      </w:r>
      <w:r>
        <w:t>whether</w:t>
      </w:r>
      <w:r>
        <w:rPr>
          <w:spacing w:val="-3"/>
        </w:rPr>
        <w:t xml:space="preserve"> </w:t>
      </w:r>
      <w:r>
        <w:t>asset expansion, new product development, store growth, production investment, and distribution spending actually improve ROA. Growth that enlarges the balance sheet without improving returns may not be rewarded by the market.</w:t>
      </w:r>
    </w:p>
    <w:p w14:paraId="2ACE4013" w14:textId="77777777" w:rsidR="00ED08FF" w:rsidRDefault="00000000">
      <w:pPr>
        <w:pStyle w:val="BodyText"/>
        <w:spacing w:line="297" w:lineRule="auto"/>
        <w:ind w:right="1903"/>
      </w:pPr>
      <w:r>
        <w:t>Management should also improve the explanation of profitability drivers in annual reports. Investors need to know whether</w:t>
      </w:r>
      <w:r>
        <w:rPr>
          <w:spacing w:val="-3"/>
        </w:rPr>
        <w:t xml:space="preserve"> </w:t>
      </w:r>
      <w:r>
        <w:t>profit</w:t>
      </w:r>
      <w:r>
        <w:rPr>
          <w:spacing w:val="-4"/>
        </w:rPr>
        <w:t xml:space="preserve"> </w:t>
      </w:r>
      <w:r>
        <w:t>growth</w:t>
      </w:r>
      <w:r>
        <w:rPr>
          <w:spacing w:val="-3"/>
        </w:rPr>
        <w:t xml:space="preserve"> </w:t>
      </w:r>
      <w:r>
        <w:t>comes</w:t>
      </w:r>
      <w:r>
        <w:rPr>
          <w:spacing w:val="-4"/>
        </w:rPr>
        <w:t xml:space="preserve"> </w:t>
      </w:r>
      <w:r>
        <w:t>from</w:t>
      </w:r>
      <w:r>
        <w:rPr>
          <w:spacing w:val="-4"/>
        </w:rPr>
        <w:t xml:space="preserve"> </w:t>
      </w:r>
      <w:r>
        <w:t>price</w:t>
      </w:r>
      <w:r>
        <w:rPr>
          <w:spacing w:val="-4"/>
        </w:rPr>
        <w:t xml:space="preserve"> </w:t>
      </w:r>
      <w:r>
        <w:t>increases,</w:t>
      </w:r>
      <w:r>
        <w:rPr>
          <w:spacing w:val="-3"/>
        </w:rPr>
        <w:t xml:space="preserve"> </w:t>
      </w:r>
      <w:r>
        <w:t>volume</w:t>
      </w:r>
      <w:r>
        <w:rPr>
          <w:spacing w:val="-4"/>
        </w:rPr>
        <w:t xml:space="preserve"> </w:t>
      </w:r>
      <w:r>
        <w:t>growth,</w:t>
      </w:r>
      <w:r>
        <w:rPr>
          <w:spacing w:val="-3"/>
        </w:rPr>
        <w:t xml:space="preserve"> </w:t>
      </w:r>
      <w:r>
        <w:t>efficiency,</w:t>
      </w:r>
      <w:r>
        <w:rPr>
          <w:spacing w:val="-3"/>
        </w:rPr>
        <w:t xml:space="preserve"> </w:t>
      </w:r>
      <w:r>
        <w:t>product</w:t>
      </w:r>
      <w:r>
        <w:rPr>
          <w:spacing w:val="-4"/>
        </w:rPr>
        <w:t xml:space="preserve"> </w:t>
      </w:r>
      <w:r>
        <w:t>mix,</w:t>
      </w:r>
      <w:r>
        <w:rPr>
          <w:spacing w:val="-3"/>
        </w:rPr>
        <w:t xml:space="preserve"> </w:t>
      </w:r>
      <w:r>
        <w:t>lower</w:t>
      </w:r>
      <w:r>
        <w:rPr>
          <w:spacing w:val="-3"/>
        </w:rPr>
        <w:t xml:space="preserve"> </w:t>
      </w:r>
      <w:r>
        <w:t>input</w:t>
      </w:r>
      <w:r>
        <w:rPr>
          <w:spacing w:val="-4"/>
        </w:rPr>
        <w:t xml:space="preserve"> </w:t>
      </w:r>
      <w:r>
        <w:t>costs,</w:t>
      </w:r>
      <w:r>
        <w:rPr>
          <w:spacing w:val="-3"/>
        </w:rPr>
        <w:t xml:space="preserve"> </w:t>
      </w:r>
      <w:r>
        <w:t>or</w:t>
      </w:r>
      <w:r>
        <w:rPr>
          <w:spacing w:val="-3"/>
        </w:rPr>
        <w:t xml:space="preserve"> </w:t>
      </w:r>
      <w:r>
        <w:t>one-off gains.</w:t>
      </w:r>
      <w:r>
        <w:rPr>
          <w:spacing w:val="-2"/>
        </w:rPr>
        <w:t xml:space="preserve"> </w:t>
      </w:r>
      <w:r>
        <w:t>Without</w:t>
      </w:r>
      <w:r>
        <w:rPr>
          <w:spacing w:val="-3"/>
        </w:rPr>
        <w:t xml:space="preserve"> </w:t>
      </w:r>
      <w:r>
        <w:t>that</w:t>
      </w:r>
      <w:r>
        <w:rPr>
          <w:spacing w:val="-3"/>
        </w:rPr>
        <w:t xml:space="preserve"> </w:t>
      </w:r>
      <w:r>
        <w:t>explanation,</w:t>
      </w:r>
      <w:r>
        <w:rPr>
          <w:spacing w:val="-2"/>
        </w:rPr>
        <w:t xml:space="preserve"> </w:t>
      </w:r>
      <w:r>
        <w:t>profitability</w:t>
      </w:r>
      <w:r>
        <w:rPr>
          <w:spacing w:val="-2"/>
        </w:rPr>
        <w:t xml:space="preserve"> </w:t>
      </w:r>
      <w:r>
        <w:t>may</w:t>
      </w:r>
      <w:r>
        <w:rPr>
          <w:spacing w:val="-2"/>
        </w:rPr>
        <w:t xml:space="preserve"> </w:t>
      </w:r>
      <w:r>
        <w:t>be</w:t>
      </w:r>
      <w:r>
        <w:rPr>
          <w:spacing w:val="-3"/>
        </w:rPr>
        <w:t xml:space="preserve"> </w:t>
      </w:r>
      <w:r>
        <w:t>seen</w:t>
      </w:r>
      <w:r>
        <w:rPr>
          <w:spacing w:val="-2"/>
        </w:rPr>
        <w:t xml:space="preserve"> </w:t>
      </w:r>
      <w:r>
        <w:t>as</w:t>
      </w:r>
      <w:r>
        <w:rPr>
          <w:spacing w:val="-3"/>
        </w:rPr>
        <w:t xml:space="preserve"> </w:t>
      </w:r>
      <w:r>
        <w:t>temporary.</w:t>
      </w:r>
      <w:r>
        <w:rPr>
          <w:spacing w:val="-2"/>
        </w:rPr>
        <w:t xml:space="preserve"> </w:t>
      </w:r>
      <w:r>
        <w:t>A</w:t>
      </w:r>
      <w:r>
        <w:rPr>
          <w:spacing w:val="-3"/>
        </w:rPr>
        <w:t xml:space="preserve"> </w:t>
      </w:r>
      <w:r>
        <w:t>stronger</w:t>
      </w:r>
      <w:r>
        <w:rPr>
          <w:spacing w:val="-2"/>
        </w:rPr>
        <w:t xml:space="preserve"> </w:t>
      </w:r>
      <w:r>
        <w:t>management</w:t>
      </w:r>
      <w:r>
        <w:rPr>
          <w:spacing w:val="-2"/>
        </w:rPr>
        <w:t xml:space="preserve"> </w:t>
      </w:r>
      <w:r>
        <w:t>discussion</w:t>
      </w:r>
      <w:r>
        <w:rPr>
          <w:spacing w:val="-2"/>
        </w:rPr>
        <w:t xml:space="preserve"> </w:t>
      </w:r>
      <w:r>
        <w:t>and</w:t>
      </w:r>
      <w:r>
        <w:rPr>
          <w:spacing w:val="-2"/>
        </w:rPr>
        <w:t xml:space="preserve"> </w:t>
      </w:r>
      <w:r>
        <w:t>analysis section can help the market distinguish sustainable earnings from short-term accounting results.</w:t>
      </w:r>
    </w:p>
    <w:p w14:paraId="457CDDFC" w14:textId="77777777" w:rsidR="00ED08FF" w:rsidRDefault="00000000">
      <w:pPr>
        <w:pStyle w:val="BodyText"/>
        <w:spacing w:line="297" w:lineRule="auto"/>
        <w:ind w:right="1903"/>
      </w:pPr>
      <w:r>
        <w:t>For working capital management, companies should avoid presenting high liquidity as a simple achievement. A high current</w:t>
      </w:r>
      <w:r>
        <w:rPr>
          <w:spacing w:val="-3"/>
        </w:rPr>
        <w:t xml:space="preserve"> </w:t>
      </w:r>
      <w:r>
        <w:t>ratio</w:t>
      </w:r>
      <w:r>
        <w:rPr>
          <w:spacing w:val="-2"/>
        </w:rPr>
        <w:t xml:space="preserve"> </w:t>
      </w:r>
      <w:r>
        <w:t>should</w:t>
      </w:r>
      <w:r>
        <w:rPr>
          <w:spacing w:val="-2"/>
        </w:rPr>
        <w:t xml:space="preserve"> </w:t>
      </w:r>
      <w:r>
        <w:t>be</w:t>
      </w:r>
      <w:r>
        <w:rPr>
          <w:spacing w:val="-3"/>
        </w:rPr>
        <w:t xml:space="preserve"> </w:t>
      </w:r>
      <w:r>
        <w:t>supported</w:t>
      </w:r>
      <w:r>
        <w:rPr>
          <w:spacing w:val="-1"/>
        </w:rPr>
        <w:t xml:space="preserve"> </w:t>
      </w:r>
      <w:r>
        <w:t>by</w:t>
      </w:r>
      <w:r>
        <w:rPr>
          <w:spacing w:val="-2"/>
        </w:rPr>
        <w:t xml:space="preserve"> </w:t>
      </w:r>
      <w:r>
        <w:t>evidence</w:t>
      </w:r>
      <w:r>
        <w:rPr>
          <w:spacing w:val="-3"/>
        </w:rPr>
        <w:t xml:space="preserve"> </w:t>
      </w:r>
      <w:r>
        <w:t>of</w:t>
      </w:r>
      <w:r>
        <w:rPr>
          <w:spacing w:val="-2"/>
        </w:rPr>
        <w:t xml:space="preserve"> </w:t>
      </w:r>
      <w:r>
        <w:t>inventory</w:t>
      </w:r>
      <w:r>
        <w:rPr>
          <w:spacing w:val="-2"/>
        </w:rPr>
        <w:t xml:space="preserve"> </w:t>
      </w:r>
      <w:r>
        <w:t>quality,</w:t>
      </w:r>
      <w:r>
        <w:rPr>
          <w:spacing w:val="-1"/>
        </w:rPr>
        <w:t xml:space="preserve"> </w:t>
      </w:r>
      <w:r>
        <w:t>receivable</w:t>
      </w:r>
      <w:r>
        <w:rPr>
          <w:spacing w:val="-3"/>
        </w:rPr>
        <w:t xml:space="preserve"> </w:t>
      </w:r>
      <w:r>
        <w:t>collectability,</w:t>
      </w:r>
      <w:r>
        <w:rPr>
          <w:spacing w:val="-2"/>
        </w:rPr>
        <w:t xml:space="preserve"> </w:t>
      </w:r>
      <w:r>
        <w:t>supplier</w:t>
      </w:r>
      <w:r>
        <w:rPr>
          <w:spacing w:val="-2"/>
        </w:rPr>
        <w:t xml:space="preserve"> </w:t>
      </w:r>
      <w:r>
        <w:t>terms,</w:t>
      </w:r>
      <w:r>
        <w:rPr>
          <w:spacing w:val="-2"/>
        </w:rPr>
        <w:t xml:space="preserve"> </w:t>
      </w:r>
      <w:r>
        <w:t>and</w:t>
      </w:r>
      <w:r>
        <w:rPr>
          <w:spacing w:val="-1"/>
        </w:rPr>
        <w:t xml:space="preserve"> </w:t>
      </w:r>
      <w:r>
        <w:rPr>
          <w:spacing w:val="-2"/>
        </w:rPr>
        <w:t>planned</w:t>
      </w:r>
    </w:p>
    <w:p w14:paraId="625CF884" w14:textId="77777777" w:rsidR="00ED08FF" w:rsidRDefault="00ED08FF">
      <w:pPr>
        <w:pStyle w:val="BodyText"/>
        <w:spacing w:before="51"/>
        <w:ind w:left="0"/>
      </w:pPr>
    </w:p>
    <w:p w14:paraId="23B6D658" w14:textId="77777777" w:rsidR="00ED08FF" w:rsidRDefault="00000000">
      <w:pPr>
        <w:pStyle w:val="BodyText"/>
        <w:spacing w:before="0" w:line="297" w:lineRule="auto"/>
        <w:ind w:right="1671"/>
      </w:pPr>
      <w:r>
        <w:t>use of cash. If liquidity is high because inventory is slow-moving or receivables are delayed, the ratio is not a strength. It becomes</w:t>
      </w:r>
      <w:r>
        <w:rPr>
          <w:spacing w:val="-4"/>
        </w:rPr>
        <w:t xml:space="preserve"> </w:t>
      </w:r>
      <w:r>
        <w:t>a</w:t>
      </w:r>
      <w:r>
        <w:rPr>
          <w:spacing w:val="-4"/>
        </w:rPr>
        <w:t xml:space="preserve"> </w:t>
      </w:r>
      <w:r>
        <w:t>warning.</w:t>
      </w:r>
      <w:r>
        <w:rPr>
          <w:spacing w:val="-3"/>
        </w:rPr>
        <w:t xml:space="preserve"> </w:t>
      </w:r>
      <w:r>
        <w:t>Management</w:t>
      </w:r>
      <w:r>
        <w:rPr>
          <w:spacing w:val="-4"/>
        </w:rPr>
        <w:t xml:space="preserve"> </w:t>
      </w:r>
      <w:r>
        <w:t>should</w:t>
      </w:r>
      <w:r>
        <w:rPr>
          <w:spacing w:val="-3"/>
        </w:rPr>
        <w:t xml:space="preserve"> </w:t>
      </w:r>
      <w:r>
        <w:t>focus</w:t>
      </w:r>
      <w:r>
        <w:rPr>
          <w:spacing w:val="-3"/>
        </w:rPr>
        <w:t xml:space="preserve"> </w:t>
      </w:r>
      <w:r>
        <w:t>on</w:t>
      </w:r>
      <w:r>
        <w:rPr>
          <w:spacing w:val="-3"/>
        </w:rPr>
        <w:t xml:space="preserve"> </w:t>
      </w:r>
      <w:r>
        <w:t>efficient</w:t>
      </w:r>
      <w:r>
        <w:rPr>
          <w:spacing w:val="-4"/>
        </w:rPr>
        <w:t xml:space="preserve"> </w:t>
      </w:r>
      <w:r>
        <w:t>cash</w:t>
      </w:r>
      <w:r>
        <w:rPr>
          <w:spacing w:val="-3"/>
        </w:rPr>
        <w:t xml:space="preserve"> </w:t>
      </w:r>
      <w:r>
        <w:t>conversion</w:t>
      </w:r>
      <w:r>
        <w:rPr>
          <w:spacing w:val="-3"/>
        </w:rPr>
        <w:t xml:space="preserve"> </w:t>
      </w:r>
      <w:r>
        <w:t>rather</w:t>
      </w:r>
      <w:r>
        <w:rPr>
          <w:spacing w:val="-3"/>
        </w:rPr>
        <w:t xml:space="preserve"> </w:t>
      </w:r>
      <w:r>
        <w:t>than</w:t>
      </w:r>
      <w:r>
        <w:rPr>
          <w:spacing w:val="-3"/>
        </w:rPr>
        <w:t xml:space="preserve"> </w:t>
      </w:r>
      <w:r>
        <w:t>only</w:t>
      </w:r>
      <w:r>
        <w:rPr>
          <w:spacing w:val="-3"/>
        </w:rPr>
        <w:t xml:space="preserve"> </w:t>
      </w:r>
      <w:r>
        <w:t>on</w:t>
      </w:r>
      <w:r>
        <w:rPr>
          <w:spacing w:val="-3"/>
        </w:rPr>
        <w:t xml:space="preserve"> </w:t>
      </w:r>
      <w:r>
        <w:t>maintaining</w:t>
      </w:r>
      <w:r>
        <w:rPr>
          <w:spacing w:val="-3"/>
        </w:rPr>
        <w:t xml:space="preserve"> </w:t>
      </w:r>
      <w:r>
        <w:t>a</w:t>
      </w:r>
      <w:r>
        <w:rPr>
          <w:spacing w:val="-4"/>
        </w:rPr>
        <w:t xml:space="preserve"> </w:t>
      </w:r>
      <w:r>
        <w:t>high</w:t>
      </w:r>
      <w:r>
        <w:rPr>
          <w:spacing w:val="-3"/>
        </w:rPr>
        <w:t xml:space="preserve"> </w:t>
      </w:r>
      <w:r>
        <w:t xml:space="preserve">current </w:t>
      </w:r>
      <w:r>
        <w:rPr>
          <w:spacing w:val="-2"/>
        </w:rPr>
        <w:t>ratio.</w:t>
      </w:r>
    </w:p>
    <w:p w14:paraId="3849A125" w14:textId="77777777" w:rsidR="00ED08FF" w:rsidRDefault="00000000">
      <w:pPr>
        <w:pStyle w:val="BodyText"/>
        <w:spacing w:line="297" w:lineRule="auto"/>
        <w:ind w:right="2083"/>
      </w:pPr>
      <w:r>
        <w:t>For capital structure, companies should communicate why debt is used and how it supports value creation. Debt used to finance productive expansion can be acceptable, but debt used to cover inefficiency may raise concern. Clear disclosure of maturity schedules, interest costs, currency exposure, and repayment capacity can reduce uncertainty. Investors do not reject debt automatically; they reject debt that is poorly explained or weakly supported by cash flows. For investors, the practical recommendation is to combine PBV with profitability analysis. Buying a low-PBV stock without</w:t>
      </w:r>
      <w:r>
        <w:rPr>
          <w:spacing w:val="-1"/>
        </w:rPr>
        <w:t xml:space="preserve"> </w:t>
      </w:r>
      <w:r>
        <w:t>checking ROA</w:t>
      </w:r>
      <w:r>
        <w:rPr>
          <w:spacing w:val="-1"/>
        </w:rPr>
        <w:t xml:space="preserve"> </w:t>
      </w:r>
      <w:r>
        <w:t>can be</w:t>
      </w:r>
      <w:r>
        <w:rPr>
          <w:spacing w:val="-1"/>
        </w:rPr>
        <w:t xml:space="preserve"> </w:t>
      </w:r>
      <w:r>
        <w:t>dangerous</w:t>
      </w:r>
      <w:r>
        <w:rPr>
          <w:spacing w:val="-1"/>
        </w:rPr>
        <w:t xml:space="preserve"> </w:t>
      </w:r>
      <w:r>
        <w:t>because</w:t>
      </w:r>
      <w:r>
        <w:rPr>
          <w:spacing w:val="-1"/>
        </w:rPr>
        <w:t xml:space="preserve"> </w:t>
      </w:r>
      <w:r>
        <w:t>the</w:t>
      </w:r>
      <w:r>
        <w:rPr>
          <w:spacing w:val="-1"/>
        </w:rPr>
        <w:t xml:space="preserve"> </w:t>
      </w:r>
      <w:r>
        <w:t>low</w:t>
      </w:r>
      <w:r>
        <w:rPr>
          <w:spacing w:val="-1"/>
        </w:rPr>
        <w:t xml:space="preserve"> </w:t>
      </w:r>
      <w:r>
        <w:t>valuation may reflect</w:t>
      </w:r>
      <w:r>
        <w:rPr>
          <w:spacing w:val="-1"/>
        </w:rPr>
        <w:t xml:space="preserve"> </w:t>
      </w:r>
      <w:r>
        <w:t>weak business</w:t>
      </w:r>
      <w:r>
        <w:rPr>
          <w:spacing w:val="-1"/>
        </w:rPr>
        <w:t xml:space="preserve"> </w:t>
      </w:r>
      <w:r>
        <w:t>quality. Buying a</w:t>
      </w:r>
      <w:r>
        <w:rPr>
          <w:spacing w:val="-1"/>
        </w:rPr>
        <w:t xml:space="preserve"> </w:t>
      </w:r>
      <w:r>
        <w:t>high-PBV</w:t>
      </w:r>
      <w:r>
        <w:rPr>
          <w:spacing w:val="-3"/>
        </w:rPr>
        <w:t xml:space="preserve"> </w:t>
      </w:r>
      <w:r>
        <w:t>stock</w:t>
      </w:r>
      <w:r>
        <w:rPr>
          <w:spacing w:val="-3"/>
        </w:rPr>
        <w:t xml:space="preserve"> </w:t>
      </w:r>
      <w:r>
        <w:t>without</w:t>
      </w:r>
      <w:r>
        <w:rPr>
          <w:spacing w:val="-3"/>
        </w:rPr>
        <w:t xml:space="preserve"> </w:t>
      </w:r>
      <w:r>
        <w:t>checking</w:t>
      </w:r>
      <w:r>
        <w:rPr>
          <w:spacing w:val="-3"/>
        </w:rPr>
        <w:t xml:space="preserve"> </w:t>
      </w:r>
      <w:r>
        <w:t>whether</w:t>
      </w:r>
      <w:r>
        <w:rPr>
          <w:spacing w:val="-3"/>
        </w:rPr>
        <w:t xml:space="preserve"> </w:t>
      </w:r>
      <w:r>
        <w:t>ROA</w:t>
      </w:r>
      <w:r>
        <w:rPr>
          <w:spacing w:val="-3"/>
        </w:rPr>
        <w:t xml:space="preserve"> </w:t>
      </w:r>
      <w:r>
        <w:t>is</w:t>
      </w:r>
      <w:r>
        <w:rPr>
          <w:spacing w:val="-3"/>
        </w:rPr>
        <w:t xml:space="preserve"> </w:t>
      </w:r>
      <w:r>
        <w:t>sustainable</w:t>
      </w:r>
      <w:r>
        <w:rPr>
          <w:spacing w:val="-3"/>
        </w:rPr>
        <w:t xml:space="preserve"> </w:t>
      </w:r>
      <w:r>
        <w:t>can</w:t>
      </w:r>
      <w:r>
        <w:rPr>
          <w:spacing w:val="-3"/>
        </w:rPr>
        <w:t xml:space="preserve"> </w:t>
      </w:r>
      <w:r>
        <w:t>also</w:t>
      </w:r>
      <w:r>
        <w:rPr>
          <w:spacing w:val="-3"/>
        </w:rPr>
        <w:t xml:space="preserve"> </w:t>
      </w:r>
      <w:r>
        <w:t>be</w:t>
      </w:r>
      <w:r>
        <w:rPr>
          <w:spacing w:val="-3"/>
        </w:rPr>
        <w:t xml:space="preserve"> </w:t>
      </w:r>
      <w:r>
        <w:t>dangerous</w:t>
      </w:r>
      <w:r>
        <w:rPr>
          <w:spacing w:val="-3"/>
        </w:rPr>
        <w:t xml:space="preserve"> </w:t>
      </w:r>
      <w:r>
        <w:t>because</w:t>
      </w:r>
      <w:r>
        <w:rPr>
          <w:spacing w:val="-3"/>
        </w:rPr>
        <w:t xml:space="preserve"> </w:t>
      </w:r>
      <w:r>
        <w:t>the</w:t>
      </w:r>
      <w:r>
        <w:rPr>
          <w:spacing w:val="-3"/>
        </w:rPr>
        <w:t xml:space="preserve"> </w:t>
      </w:r>
      <w:r>
        <w:t>stock</w:t>
      </w:r>
      <w:r>
        <w:rPr>
          <w:spacing w:val="-3"/>
        </w:rPr>
        <w:t xml:space="preserve"> </w:t>
      </w:r>
      <w:r>
        <w:t>may</w:t>
      </w:r>
      <w:r>
        <w:rPr>
          <w:spacing w:val="-3"/>
        </w:rPr>
        <w:t xml:space="preserve"> </w:t>
      </w:r>
      <w:r>
        <w:t>already</w:t>
      </w:r>
      <w:r>
        <w:rPr>
          <w:spacing w:val="-3"/>
        </w:rPr>
        <w:t xml:space="preserve"> </w:t>
      </w:r>
      <w:r>
        <w:t>price</w:t>
      </w:r>
      <w:r>
        <w:rPr>
          <w:spacing w:val="-3"/>
        </w:rPr>
        <w:t xml:space="preserve"> </w:t>
      </w:r>
      <w:r>
        <w:t>in optimistic expectations. PBV and ROA should be read together.</w:t>
      </w:r>
    </w:p>
    <w:p w14:paraId="7BB7E49A" w14:textId="77777777" w:rsidR="00ED08FF" w:rsidRDefault="00000000">
      <w:pPr>
        <w:pStyle w:val="BodyText"/>
        <w:spacing w:before="3" w:line="297" w:lineRule="auto"/>
        <w:ind w:right="1903"/>
      </w:pPr>
      <w:r>
        <w:t>Investors should also compare firms within similar business models. A retailer should not be judged using exactly the same</w:t>
      </w:r>
      <w:r>
        <w:rPr>
          <w:spacing w:val="-2"/>
        </w:rPr>
        <w:t xml:space="preserve"> </w:t>
      </w:r>
      <w:r>
        <w:t>liquidity</w:t>
      </w:r>
      <w:r>
        <w:rPr>
          <w:spacing w:val="-1"/>
        </w:rPr>
        <w:t xml:space="preserve"> </w:t>
      </w:r>
      <w:r>
        <w:t>expectations</w:t>
      </w:r>
      <w:r>
        <w:rPr>
          <w:spacing w:val="-2"/>
        </w:rPr>
        <w:t xml:space="preserve"> </w:t>
      </w:r>
      <w:r>
        <w:t>as</w:t>
      </w:r>
      <w:r>
        <w:rPr>
          <w:spacing w:val="-2"/>
        </w:rPr>
        <w:t xml:space="preserve"> </w:t>
      </w:r>
      <w:r>
        <w:t>a</w:t>
      </w:r>
      <w:r>
        <w:rPr>
          <w:spacing w:val="-2"/>
        </w:rPr>
        <w:t xml:space="preserve"> </w:t>
      </w:r>
      <w:r>
        <w:t>manufacturer.</w:t>
      </w:r>
      <w:r>
        <w:rPr>
          <w:spacing w:val="-1"/>
        </w:rPr>
        <w:t xml:space="preserve"> </w:t>
      </w:r>
      <w:r>
        <w:t>A</w:t>
      </w:r>
      <w:r>
        <w:rPr>
          <w:spacing w:val="-2"/>
        </w:rPr>
        <w:t xml:space="preserve"> </w:t>
      </w:r>
      <w:r>
        <w:t>dairy</w:t>
      </w:r>
      <w:r>
        <w:rPr>
          <w:spacing w:val="-1"/>
        </w:rPr>
        <w:t xml:space="preserve"> </w:t>
      </w:r>
      <w:r>
        <w:t>company</w:t>
      </w:r>
      <w:r>
        <w:rPr>
          <w:spacing w:val="-1"/>
        </w:rPr>
        <w:t xml:space="preserve"> </w:t>
      </w:r>
      <w:r>
        <w:t>may</w:t>
      </w:r>
      <w:r>
        <w:rPr>
          <w:spacing w:val="-1"/>
        </w:rPr>
        <w:t xml:space="preserve"> </w:t>
      </w:r>
      <w:r>
        <w:t>have</w:t>
      </w:r>
      <w:r>
        <w:rPr>
          <w:spacing w:val="-2"/>
        </w:rPr>
        <w:t xml:space="preserve"> </w:t>
      </w:r>
      <w:r>
        <w:t>different</w:t>
      </w:r>
      <w:r>
        <w:rPr>
          <w:spacing w:val="-2"/>
        </w:rPr>
        <w:t xml:space="preserve"> </w:t>
      </w:r>
      <w:r>
        <w:t>asset</w:t>
      </w:r>
      <w:r>
        <w:rPr>
          <w:spacing w:val="-2"/>
        </w:rPr>
        <w:t xml:space="preserve"> </w:t>
      </w:r>
      <w:r>
        <w:t>intensity</w:t>
      </w:r>
      <w:r>
        <w:rPr>
          <w:spacing w:val="-1"/>
        </w:rPr>
        <w:t xml:space="preserve"> </w:t>
      </w:r>
      <w:r>
        <w:t>from</w:t>
      </w:r>
      <w:r>
        <w:rPr>
          <w:spacing w:val="-2"/>
        </w:rPr>
        <w:t xml:space="preserve"> </w:t>
      </w:r>
      <w:r>
        <w:t>a</w:t>
      </w:r>
      <w:r>
        <w:rPr>
          <w:spacing w:val="-2"/>
        </w:rPr>
        <w:t xml:space="preserve"> </w:t>
      </w:r>
      <w:r>
        <w:t>personal</w:t>
      </w:r>
      <w:r>
        <w:rPr>
          <w:spacing w:val="-2"/>
        </w:rPr>
        <w:t xml:space="preserve"> </w:t>
      </w:r>
      <w:r>
        <w:t>care company.</w:t>
      </w:r>
      <w:r>
        <w:rPr>
          <w:spacing w:val="-3"/>
        </w:rPr>
        <w:t xml:space="preserve"> </w:t>
      </w:r>
      <w:r>
        <w:t>Sector</w:t>
      </w:r>
      <w:r>
        <w:rPr>
          <w:spacing w:val="-3"/>
        </w:rPr>
        <w:t xml:space="preserve"> </w:t>
      </w:r>
      <w:r>
        <w:t>labels</w:t>
      </w:r>
      <w:r>
        <w:rPr>
          <w:spacing w:val="-4"/>
        </w:rPr>
        <w:t xml:space="preserve"> </w:t>
      </w:r>
      <w:r>
        <w:t>are</w:t>
      </w:r>
      <w:r>
        <w:rPr>
          <w:spacing w:val="-4"/>
        </w:rPr>
        <w:t xml:space="preserve"> </w:t>
      </w:r>
      <w:r>
        <w:t>useful,</w:t>
      </w:r>
      <w:r>
        <w:rPr>
          <w:spacing w:val="-3"/>
        </w:rPr>
        <w:t xml:space="preserve"> </w:t>
      </w:r>
      <w:r>
        <w:t>but</w:t>
      </w:r>
      <w:r>
        <w:rPr>
          <w:spacing w:val="-4"/>
        </w:rPr>
        <w:t xml:space="preserve"> </w:t>
      </w:r>
      <w:r>
        <w:t>subindustry</w:t>
      </w:r>
      <w:r>
        <w:rPr>
          <w:spacing w:val="-3"/>
        </w:rPr>
        <w:t xml:space="preserve"> </w:t>
      </w:r>
      <w:r>
        <w:t>differences</w:t>
      </w:r>
      <w:r>
        <w:rPr>
          <w:spacing w:val="-4"/>
        </w:rPr>
        <w:t xml:space="preserve"> </w:t>
      </w:r>
      <w:r>
        <w:t>still</w:t>
      </w:r>
      <w:r>
        <w:rPr>
          <w:spacing w:val="-4"/>
        </w:rPr>
        <w:t xml:space="preserve"> </w:t>
      </w:r>
      <w:r>
        <w:t>matter.</w:t>
      </w:r>
      <w:r>
        <w:rPr>
          <w:spacing w:val="-3"/>
        </w:rPr>
        <w:t xml:space="preserve"> </w:t>
      </w:r>
      <w:r>
        <w:t>Good</w:t>
      </w:r>
      <w:r>
        <w:rPr>
          <w:spacing w:val="-3"/>
        </w:rPr>
        <w:t xml:space="preserve"> </w:t>
      </w:r>
      <w:r>
        <w:t>analysis</w:t>
      </w:r>
      <w:r>
        <w:rPr>
          <w:spacing w:val="-4"/>
        </w:rPr>
        <w:t xml:space="preserve"> </w:t>
      </w:r>
      <w:r>
        <w:t>moves</w:t>
      </w:r>
      <w:r>
        <w:rPr>
          <w:spacing w:val="-4"/>
        </w:rPr>
        <w:t xml:space="preserve"> </w:t>
      </w:r>
      <w:r>
        <w:t>from</w:t>
      </w:r>
      <w:r>
        <w:rPr>
          <w:spacing w:val="-4"/>
        </w:rPr>
        <w:t xml:space="preserve"> </w:t>
      </w:r>
      <w:r>
        <w:t>sector</w:t>
      </w:r>
      <w:r>
        <w:rPr>
          <w:spacing w:val="-4"/>
        </w:rPr>
        <w:t xml:space="preserve"> </w:t>
      </w:r>
      <w:r>
        <w:t>to</w:t>
      </w:r>
      <w:r>
        <w:rPr>
          <w:spacing w:val="-3"/>
        </w:rPr>
        <w:t xml:space="preserve"> </w:t>
      </w:r>
      <w:r>
        <w:t>business model, then to financial ratios.</w:t>
      </w:r>
    </w:p>
    <w:p w14:paraId="58C9D1D1" w14:textId="77777777" w:rsidR="00ED08FF" w:rsidRDefault="00000000">
      <w:pPr>
        <w:pStyle w:val="BodyText"/>
        <w:spacing w:line="297" w:lineRule="auto"/>
        <w:ind w:right="2145"/>
      </w:pPr>
      <w:r>
        <w:t>For accounting lecturers and students, this paper can be used as a model of how to build an empirical article from public</w:t>
      </w:r>
      <w:r>
        <w:rPr>
          <w:spacing w:val="-4"/>
        </w:rPr>
        <w:t xml:space="preserve"> </w:t>
      </w:r>
      <w:r>
        <w:t>data.</w:t>
      </w:r>
      <w:r>
        <w:rPr>
          <w:spacing w:val="-3"/>
        </w:rPr>
        <w:t xml:space="preserve"> </w:t>
      </w:r>
      <w:r>
        <w:t>The</w:t>
      </w:r>
      <w:r>
        <w:rPr>
          <w:spacing w:val="-4"/>
        </w:rPr>
        <w:t xml:space="preserve"> </w:t>
      </w:r>
      <w:r>
        <w:t>workflow</w:t>
      </w:r>
      <w:r>
        <w:rPr>
          <w:spacing w:val="-4"/>
        </w:rPr>
        <w:t xml:space="preserve"> </w:t>
      </w:r>
      <w:r>
        <w:t>is</w:t>
      </w:r>
      <w:r>
        <w:rPr>
          <w:spacing w:val="-4"/>
        </w:rPr>
        <w:t xml:space="preserve"> </w:t>
      </w:r>
      <w:r>
        <w:t>simple:</w:t>
      </w:r>
      <w:r>
        <w:rPr>
          <w:spacing w:val="-4"/>
        </w:rPr>
        <w:t xml:space="preserve"> </w:t>
      </w:r>
      <w:r>
        <w:t>select</w:t>
      </w:r>
      <w:r>
        <w:rPr>
          <w:spacing w:val="-4"/>
        </w:rPr>
        <w:t xml:space="preserve"> </w:t>
      </w:r>
      <w:r>
        <w:t>a</w:t>
      </w:r>
      <w:r>
        <w:rPr>
          <w:spacing w:val="-4"/>
        </w:rPr>
        <w:t xml:space="preserve"> </w:t>
      </w:r>
      <w:r>
        <w:t>sector,</w:t>
      </w:r>
      <w:r>
        <w:rPr>
          <w:spacing w:val="-3"/>
        </w:rPr>
        <w:t xml:space="preserve"> </w:t>
      </w:r>
      <w:r>
        <w:t>define</w:t>
      </w:r>
      <w:r>
        <w:rPr>
          <w:spacing w:val="-4"/>
        </w:rPr>
        <w:t xml:space="preserve"> </w:t>
      </w:r>
      <w:r>
        <w:t>variables,</w:t>
      </w:r>
      <w:r>
        <w:rPr>
          <w:spacing w:val="-3"/>
        </w:rPr>
        <w:t xml:space="preserve"> </w:t>
      </w:r>
      <w:r>
        <w:t>collect</w:t>
      </w:r>
      <w:r>
        <w:rPr>
          <w:spacing w:val="-4"/>
        </w:rPr>
        <w:t xml:space="preserve"> </w:t>
      </w:r>
      <w:r>
        <w:t>a</w:t>
      </w:r>
      <w:r>
        <w:rPr>
          <w:spacing w:val="-4"/>
        </w:rPr>
        <w:t xml:space="preserve"> </w:t>
      </w:r>
      <w:r>
        <w:t>balanced</w:t>
      </w:r>
      <w:r>
        <w:rPr>
          <w:spacing w:val="-3"/>
        </w:rPr>
        <w:t xml:space="preserve"> </w:t>
      </w:r>
      <w:r>
        <w:t>panel,</w:t>
      </w:r>
      <w:r>
        <w:rPr>
          <w:spacing w:val="-3"/>
        </w:rPr>
        <w:t xml:space="preserve"> </w:t>
      </w:r>
      <w:r>
        <w:t>calculate</w:t>
      </w:r>
      <w:r>
        <w:rPr>
          <w:spacing w:val="-4"/>
        </w:rPr>
        <w:t xml:space="preserve"> </w:t>
      </w:r>
      <w:r>
        <w:t>ratios,</w:t>
      </w:r>
      <w:r>
        <w:rPr>
          <w:spacing w:val="-3"/>
        </w:rPr>
        <w:t xml:space="preserve"> </w:t>
      </w:r>
      <w:r>
        <w:t>run</w:t>
      </w:r>
    </w:p>
    <w:p w14:paraId="51833217" w14:textId="77777777" w:rsidR="00ED08FF" w:rsidRDefault="00ED08FF">
      <w:pPr>
        <w:pStyle w:val="BodyText"/>
        <w:spacing w:line="297" w:lineRule="auto"/>
        <w:sectPr w:rsidR="00ED08FF">
          <w:pgSz w:w="12240" w:h="15840"/>
          <w:pgMar w:top="800" w:right="720" w:bottom="900" w:left="720" w:header="0" w:footer="669" w:gutter="0"/>
          <w:cols w:space="720"/>
        </w:sectPr>
      </w:pPr>
    </w:p>
    <w:p w14:paraId="31257D2A" w14:textId="77777777" w:rsidR="00ED08FF" w:rsidRDefault="00000000">
      <w:pPr>
        <w:pStyle w:val="BodyText"/>
        <w:spacing w:before="64" w:line="297" w:lineRule="auto"/>
        <w:ind w:right="1671"/>
      </w:pPr>
      <w:r>
        <w:lastRenderedPageBreak/>
        <w:t>descriptive</w:t>
      </w:r>
      <w:r>
        <w:rPr>
          <w:spacing w:val="-4"/>
        </w:rPr>
        <w:t xml:space="preserve"> </w:t>
      </w:r>
      <w:r>
        <w:t>statistics,</w:t>
      </w:r>
      <w:r>
        <w:rPr>
          <w:spacing w:val="-3"/>
        </w:rPr>
        <w:t xml:space="preserve"> </w:t>
      </w:r>
      <w:r>
        <w:t>estimate</w:t>
      </w:r>
      <w:r>
        <w:rPr>
          <w:spacing w:val="-4"/>
        </w:rPr>
        <w:t xml:space="preserve"> </w:t>
      </w:r>
      <w:r>
        <w:t>regression,</w:t>
      </w:r>
      <w:r>
        <w:rPr>
          <w:spacing w:val="-3"/>
        </w:rPr>
        <w:t xml:space="preserve"> </w:t>
      </w:r>
      <w:r>
        <w:t>and</w:t>
      </w:r>
      <w:r>
        <w:rPr>
          <w:spacing w:val="-3"/>
        </w:rPr>
        <w:t xml:space="preserve"> </w:t>
      </w:r>
      <w:r>
        <w:t>interpret</w:t>
      </w:r>
      <w:r>
        <w:rPr>
          <w:spacing w:val="-4"/>
        </w:rPr>
        <w:t xml:space="preserve"> </w:t>
      </w:r>
      <w:r>
        <w:t>results</w:t>
      </w:r>
      <w:r>
        <w:rPr>
          <w:spacing w:val="-4"/>
        </w:rPr>
        <w:t xml:space="preserve"> </w:t>
      </w:r>
      <w:r>
        <w:t>carefully.</w:t>
      </w:r>
      <w:r>
        <w:rPr>
          <w:spacing w:val="-3"/>
        </w:rPr>
        <w:t xml:space="preserve"> </w:t>
      </w:r>
      <w:r>
        <w:t>The</w:t>
      </w:r>
      <w:r>
        <w:rPr>
          <w:spacing w:val="-4"/>
        </w:rPr>
        <w:t xml:space="preserve"> </w:t>
      </w:r>
      <w:r>
        <w:t>difficult</w:t>
      </w:r>
      <w:r>
        <w:rPr>
          <w:spacing w:val="-4"/>
        </w:rPr>
        <w:t xml:space="preserve"> </w:t>
      </w:r>
      <w:r>
        <w:t>part</w:t>
      </w:r>
      <w:r>
        <w:rPr>
          <w:spacing w:val="-4"/>
        </w:rPr>
        <w:t xml:space="preserve"> </w:t>
      </w:r>
      <w:r>
        <w:t>is</w:t>
      </w:r>
      <w:r>
        <w:rPr>
          <w:spacing w:val="-4"/>
        </w:rPr>
        <w:t xml:space="preserve"> </w:t>
      </w:r>
      <w:r>
        <w:t>not</w:t>
      </w:r>
      <w:r>
        <w:rPr>
          <w:spacing w:val="-4"/>
        </w:rPr>
        <w:t xml:space="preserve"> </w:t>
      </w:r>
      <w:r>
        <w:t>the</w:t>
      </w:r>
      <w:r>
        <w:rPr>
          <w:spacing w:val="-4"/>
        </w:rPr>
        <w:t xml:space="preserve"> </w:t>
      </w:r>
      <w:r>
        <w:t>software.</w:t>
      </w:r>
      <w:r>
        <w:rPr>
          <w:spacing w:val="-3"/>
        </w:rPr>
        <w:t xml:space="preserve"> </w:t>
      </w:r>
      <w:r>
        <w:t>The</w:t>
      </w:r>
      <w:r>
        <w:rPr>
          <w:spacing w:val="-4"/>
        </w:rPr>
        <w:t xml:space="preserve"> </w:t>
      </w:r>
      <w:r>
        <w:t>difficult part is making sure the data are real and the interpretation does not overclaim.</w:t>
      </w:r>
    </w:p>
    <w:p w14:paraId="063F81D0" w14:textId="77777777" w:rsidR="00ED08FF" w:rsidRDefault="00000000">
      <w:pPr>
        <w:pStyle w:val="BodyText"/>
        <w:spacing w:before="0" w:line="297" w:lineRule="auto"/>
        <w:ind w:right="1903"/>
      </w:pPr>
      <w:r>
        <w:t>For future researchers, the first improvement is sample expansion. The current sample is intentionally limited to eight issuers</w:t>
      </w:r>
      <w:r>
        <w:rPr>
          <w:spacing w:val="-4"/>
        </w:rPr>
        <w:t xml:space="preserve"> </w:t>
      </w:r>
      <w:r>
        <w:t>with</w:t>
      </w:r>
      <w:r>
        <w:rPr>
          <w:spacing w:val="-3"/>
        </w:rPr>
        <w:t xml:space="preserve"> </w:t>
      </w:r>
      <w:r>
        <w:t>complete</w:t>
      </w:r>
      <w:r>
        <w:rPr>
          <w:spacing w:val="-4"/>
        </w:rPr>
        <w:t xml:space="preserve"> </w:t>
      </w:r>
      <w:r>
        <w:t>data.</w:t>
      </w:r>
      <w:r>
        <w:rPr>
          <w:spacing w:val="-3"/>
        </w:rPr>
        <w:t xml:space="preserve"> </w:t>
      </w:r>
      <w:r>
        <w:t>A</w:t>
      </w:r>
      <w:r>
        <w:rPr>
          <w:spacing w:val="-4"/>
        </w:rPr>
        <w:t xml:space="preserve"> </w:t>
      </w:r>
      <w:r>
        <w:t>stronger</w:t>
      </w:r>
      <w:r>
        <w:rPr>
          <w:spacing w:val="-3"/>
        </w:rPr>
        <w:t xml:space="preserve"> </w:t>
      </w:r>
      <w:r>
        <w:t>article</w:t>
      </w:r>
      <w:r>
        <w:rPr>
          <w:spacing w:val="-4"/>
        </w:rPr>
        <w:t xml:space="preserve"> </w:t>
      </w:r>
      <w:r>
        <w:t>should</w:t>
      </w:r>
      <w:r>
        <w:rPr>
          <w:spacing w:val="-3"/>
        </w:rPr>
        <w:t xml:space="preserve"> </w:t>
      </w:r>
      <w:r>
        <w:t>include</w:t>
      </w:r>
      <w:r>
        <w:rPr>
          <w:spacing w:val="-4"/>
        </w:rPr>
        <w:t xml:space="preserve"> </w:t>
      </w:r>
      <w:r>
        <w:t>all</w:t>
      </w:r>
      <w:r>
        <w:rPr>
          <w:spacing w:val="-4"/>
        </w:rPr>
        <w:t xml:space="preserve"> </w:t>
      </w:r>
      <w:r>
        <w:t>eligible</w:t>
      </w:r>
      <w:r>
        <w:rPr>
          <w:spacing w:val="-4"/>
        </w:rPr>
        <w:t xml:space="preserve"> </w:t>
      </w:r>
      <w:r>
        <w:t>consumer</w:t>
      </w:r>
      <w:r>
        <w:rPr>
          <w:spacing w:val="-3"/>
        </w:rPr>
        <w:t xml:space="preserve"> </w:t>
      </w:r>
      <w:r>
        <w:t>non-cyclicals</w:t>
      </w:r>
      <w:r>
        <w:rPr>
          <w:spacing w:val="-4"/>
        </w:rPr>
        <w:t xml:space="preserve"> </w:t>
      </w:r>
      <w:r>
        <w:t>firms</w:t>
      </w:r>
      <w:r>
        <w:rPr>
          <w:spacing w:val="-4"/>
        </w:rPr>
        <w:t xml:space="preserve"> </w:t>
      </w:r>
      <w:r>
        <w:t>and</w:t>
      </w:r>
      <w:r>
        <w:rPr>
          <w:spacing w:val="-3"/>
        </w:rPr>
        <w:t xml:space="preserve"> </w:t>
      </w:r>
      <w:r>
        <w:t>clearly</w:t>
      </w:r>
      <w:r>
        <w:rPr>
          <w:spacing w:val="-3"/>
        </w:rPr>
        <w:t xml:space="preserve"> </w:t>
      </w:r>
      <w:r>
        <w:t xml:space="preserve">explain any exclusions. A larger sample would allow more rigorous panel methods and better control for firm-specific </w:t>
      </w:r>
      <w:r>
        <w:rPr>
          <w:spacing w:val="-2"/>
        </w:rPr>
        <w:t>characteristics.</w:t>
      </w:r>
    </w:p>
    <w:p w14:paraId="4D63BBF6" w14:textId="77777777" w:rsidR="00ED08FF" w:rsidRDefault="00000000">
      <w:pPr>
        <w:pStyle w:val="BodyText"/>
        <w:spacing w:before="2" w:line="297" w:lineRule="auto"/>
        <w:ind w:right="1903"/>
      </w:pPr>
      <w:r>
        <w:t>The second improvement is variable refinement. Profitability can be measured by ROE, net profit margin, or operating margin in addition to ROA. Leverage can be separated into total liabilities, interest-bearing debt, and long-term debt. Liquidity</w:t>
      </w:r>
      <w:r>
        <w:rPr>
          <w:spacing w:val="-3"/>
        </w:rPr>
        <w:t xml:space="preserve"> </w:t>
      </w:r>
      <w:r>
        <w:t>can</w:t>
      </w:r>
      <w:r>
        <w:rPr>
          <w:spacing w:val="-3"/>
        </w:rPr>
        <w:t xml:space="preserve"> </w:t>
      </w:r>
      <w:r>
        <w:t>be</w:t>
      </w:r>
      <w:r>
        <w:rPr>
          <w:spacing w:val="-4"/>
        </w:rPr>
        <w:t xml:space="preserve"> </w:t>
      </w:r>
      <w:r>
        <w:t>expanded</w:t>
      </w:r>
      <w:r>
        <w:rPr>
          <w:spacing w:val="-3"/>
        </w:rPr>
        <w:t xml:space="preserve"> </w:t>
      </w:r>
      <w:r>
        <w:t>into</w:t>
      </w:r>
      <w:r>
        <w:rPr>
          <w:spacing w:val="-3"/>
        </w:rPr>
        <w:t xml:space="preserve"> </w:t>
      </w:r>
      <w:r>
        <w:t>cash</w:t>
      </w:r>
      <w:r>
        <w:rPr>
          <w:spacing w:val="-3"/>
        </w:rPr>
        <w:t xml:space="preserve"> </w:t>
      </w:r>
      <w:r>
        <w:t>ratio,</w:t>
      </w:r>
      <w:r>
        <w:rPr>
          <w:spacing w:val="-3"/>
        </w:rPr>
        <w:t xml:space="preserve"> </w:t>
      </w:r>
      <w:r>
        <w:t>quick</w:t>
      </w:r>
      <w:r>
        <w:rPr>
          <w:spacing w:val="-3"/>
        </w:rPr>
        <w:t xml:space="preserve"> </w:t>
      </w:r>
      <w:r>
        <w:t>ratio,</w:t>
      </w:r>
      <w:r>
        <w:rPr>
          <w:spacing w:val="-3"/>
        </w:rPr>
        <w:t xml:space="preserve"> </w:t>
      </w:r>
      <w:r>
        <w:t>inventory</w:t>
      </w:r>
      <w:r>
        <w:rPr>
          <w:spacing w:val="-3"/>
        </w:rPr>
        <w:t xml:space="preserve"> </w:t>
      </w:r>
      <w:r>
        <w:t>turnover,</w:t>
      </w:r>
      <w:r>
        <w:rPr>
          <w:spacing w:val="-3"/>
        </w:rPr>
        <w:t xml:space="preserve"> </w:t>
      </w:r>
      <w:r>
        <w:t>and</w:t>
      </w:r>
      <w:r>
        <w:rPr>
          <w:spacing w:val="-3"/>
        </w:rPr>
        <w:t xml:space="preserve"> </w:t>
      </w:r>
      <w:r>
        <w:t>cash</w:t>
      </w:r>
      <w:r>
        <w:rPr>
          <w:spacing w:val="-3"/>
        </w:rPr>
        <w:t xml:space="preserve"> </w:t>
      </w:r>
      <w:r>
        <w:t>conversion</w:t>
      </w:r>
      <w:r>
        <w:rPr>
          <w:spacing w:val="-3"/>
        </w:rPr>
        <w:t xml:space="preserve"> </w:t>
      </w:r>
      <w:r>
        <w:t>cycle.</w:t>
      </w:r>
      <w:r>
        <w:rPr>
          <w:spacing w:val="-3"/>
        </w:rPr>
        <w:t xml:space="preserve"> </w:t>
      </w:r>
      <w:r>
        <w:t>These</w:t>
      </w:r>
      <w:r>
        <w:rPr>
          <w:spacing w:val="-4"/>
        </w:rPr>
        <w:t xml:space="preserve"> </w:t>
      </w:r>
      <w:r>
        <w:t>refinements would make the model more precise.</w:t>
      </w:r>
    </w:p>
    <w:p w14:paraId="062EBD70" w14:textId="77777777" w:rsidR="00ED08FF" w:rsidRDefault="00000000">
      <w:pPr>
        <w:pStyle w:val="BodyText"/>
        <w:spacing w:line="297" w:lineRule="auto"/>
        <w:ind w:right="1903"/>
      </w:pPr>
      <w:r>
        <w:t>The third improvement is adding governance and disclosure variables. Firm value may be influenced by audit quality, board</w:t>
      </w:r>
      <w:r>
        <w:rPr>
          <w:spacing w:val="-1"/>
        </w:rPr>
        <w:t xml:space="preserve"> </w:t>
      </w:r>
      <w:r>
        <w:t>structure,</w:t>
      </w:r>
      <w:r>
        <w:rPr>
          <w:spacing w:val="-1"/>
        </w:rPr>
        <w:t xml:space="preserve"> </w:t>
      </w:r>
      <w:r>
        <w:t>institutional</w:t>
      </w:r>
      <w:r>
        <w:rPr>
          <w:spacing w:val="-2"/>
        </w:rPr>
        <w:t xml:space="preserve"> </w:t>
      </w:r>
      <w:r>
        <w:t>ownership,</w:t>
      </w:r>
      <w:r>
        <w:rPr>
          <w:spacing w:val="-1"/>
        </w:rPr>
        <w:t xml:space="preserve"> </w:t>
      </w:r>
      <w:r>
        <w:t>dividend</w:t>
      </w:r>
      <w:r>
        <w:rPr>
          <w:spacing w:val="-1"/>
        </w:rPr>
        <w:t xml:space="preserve"> </w:t>
      </w:r>
      <w:r>
        <w:t>policy,</w:t>
      </w:r>
      <w:r>
        <w:rPr>
          <w:spacing w:val="-1"/>
        </w:rPr>
        <w:t xml:space="preserve"> </w:t>
      </w:r>
      <w:r>
        <w:t>sustainability</w:t>
      </w:r>
      <w:r>
        <w:rPr>
          <w:spacing w:val="-1"/>
        </w:rPr>
        <w:t xml:space="preserve"> </w:t>
      </w:r>
      <w:r>
        <w:t>disclosure,</w:t>
      </w:r>
      <w:r>
        <w:rPr>
          <w:spacing w:val="-1"/>
        </w:rPr>
        <w:t xml:space="preserve"> </w:t>
      </w:r>
      <w:r>
        <w:t>and</w:t>
      </w:r>
      <w:r>
        <w:rPr>
          <w:spacing w:val="-1"/>
        </w:rPr>
        <w:t xml:space="preserve"> </w:t>
      </w:r>
      <w:r>
        <w:t>earnings</w:t>
      </w:r>
      <w:r>
        <w:rPr>
          <w:spacing w:val="-2"/>
        </w:rPr>
        <w:t xml:space="preserve"> </w:t>
      </w:r>
      <w:r>
        <w:t>quality.</w:t>
      </w:r>
      <w:r>
        <w:rPr>
          <w:spacing w:val="-1"/>
        </w:rPr>
        <w:t xml:space="preserve"> </w:t>
      </w:r>
      <w:r>
        <w:t>These</w:t>
      </w:r>
      <w:r>
        <w:rPr>
          <w:spacing w:val="-2"/>
        </w:rPr>
        <w:t xml:space="preserve"> </w:t>
      </w:r>
      <w:r>
        <w:t>variables can</w:t>
      </w:r>
      <w:r>
        <w:rPr>
          <w:spacing w:val="-3"/>
        </w:rPr>
        <w:t xml:space="preserve"> </w:t>
      </w:r>
      <w:r>
        <w:t>strengthen</w:t>
      </w:r>
      <w:r>
        <w:rPr>
          <w:spacing w:val="-3"/>
        </w:rPr>
        <w:t xml:space="preserve"> </w:t>
      </w:r>
      <w:r>
        <w:t>the</w:t>
      </w:r>
      <w:r>
        <w:rPr>
          <w:spacing w:val="-4"/>
        </w:rPr>
        <w:t xml:space="preserve"> </w:t>
      </w:r>
      <w:r>
        <w:t>model,</w:t>
      </w:r>
      <w:r>
        <w:rPr>
          <w:spacing w:val="-3"/>
        </w:rPr>
        <w:t xml:space="preserve"> </w:t>
      </w:r>
      <w:r>
        <w:t>but</w:t>
      </w:r>
      <w:r>
        <w:rPr>
          <w:spacing w:val="-4"/>
        </w:rPr>
        <w:t xml:space="preserve"> </w:t>
      </w:r>
      <w:r>
        <w:t>only</w:t>
      </w:r>
      <w:r>
        <w:rPr>
          <w:spacing w:val="-3"/>
        </w:rPr>
        <w:t xml:space="preserve"> </w:t>
      </w:r>
      <w:r>
        <w:t>if</w:t>
      </w:r>
      <w:r>
        <w:rPr>
          <w:spacing w:val="-3"/>
        </w:rPr>
        <w:t xml:space="preserve"> </w:t>
      </w:r>
      <w:r>
        <w:t>they</w:t>
      </w:r>
      <w:r>
        <w:rPr>
          <w:spacing w:val="-3"/>
        </w:rPr>
        <w:t xml:space="preserve"> </w:t>
      </w:r>
      <w:r>
        <w:t>are</w:t>
      </w:r>
      <w:r>
        <w:rPr>
          <w:spacing w:val="-4"/>
        </w:rPr>
        <w:t xml:space="preserve"> </w:t>
      </w:r>
      <w:r>
        <w:t>measured</w:t>
      </w:r>
      <w:r>
        <w:rPr>
          <w:spacing w:val="-3"/>
        </w:rPr>
        <w:t xml:space="preserve"> </w:t>
      </w:r>
      <w:r>
        <w:t>consistently.</w:t>
      </w:r>
      <w:r>
        <w:rPr>
          <w:spacing w:val="-3"/>
        </w:rPr>
        <w:t xml:space="preserve"> </w:t>
      </w:r>
      <w:r>
        <w:t>Adding</w:t>
      </w:r>
      <w:r>
        <w:rPr>
          <w:spacing w:val="-3"/>
        </w:rPr>
        <w:t xml:space="preserve"> </w:t>
      </w:r>
      <w:r>
        <w:t>variables</w:t>
      </w:r>
      <w:r>
        <w:rPr>
          <w:spacing w:val="-4"/>
        </w:rPr>
        <w:t xml:space="preserve"> </w:t>
      </w:r>
      <w:r>
        <w:t>without</w:t>
      </w:r>
      <w:r>
        <w:rPr>
          <w:spacing w:val="-4"/>
        </w:rPr>
        <w:t xml:space="preserve"> </w:t>
      </w:r>
      <w:r>
        <w:t>reliable</w:t>
      </w:r>
      <w:r>
        <w:rPr>
          <w:spacing w:val="-4"/>
        </w:rPr>
        <w:t xml:space="preserve"> </w:t>
      </w:r>
      <w:r>
        <w:t>data</w:t>
      </w:r>
      <w:r>
        <w:rPr>
          <w:spacing w:val="-4"/>
        </w:rPr>
        <w:t xml:space="preserve"> </w:t>
      </w:r>
      <w:r>
        <w:t>will</w:t>
      </w:r>
      <w:r>
        <w:rPr>
          <w:spacing w:val="-4"/>
        </w:rPr>
        <w:t xml:space="preserve"> </w:t>
      </w:r>
      <w:r>
        <w:t>weaken the paper.</w:t>
      </w:r>
    </w:p>
    <w:p w14:paraId="4A2628D6" w14:textId="77777777" w:rsidR="00ED08FF" w:rsidRDefault="00000000">
      <w:pPr>
        <w:pStyle w:val="BodyText"/>
        <w:spacing w:line="297" w:lineRule="auto"/>
        <w:ind w:right="1903"/>
      </w:pPr>
      <w:r>
        <w:t>The fourth improvement is using direct annual report extraction. Public databases are efficient for early-stage research, but</w:t>
      </w:r>
      <w:r>
        <w:rPr>
          <w:spacing w:val="-4"/>
        </w:rPr>
        <w:t xml:space="preserve"> </w:t>
      </w:r>
      <w:r>
        <w:t>final</w:t>
      </w:r>
      <w:r>
        <w:rPr>
          <w:spacing w:val="-4"/>
        </w:rPr>
        <w:t xml:space="preserve"> </w:t>
      </w:r>
      <w:r>
        <w:t>academic</w:t>
      </w:r>
      <w:r>
        <w:rPr>
          <w:spacing w:val="-4"/>
        </w:rPr>
        <w:t xml:space="preserve"> </w:t>
      </w:r>
      <w:r>
        <w:t>publication</w:t>
      </w:r>
      <w:r>
        <w:rPr>
          <w:spacing w:val="-3"/>
        </w:rPr>
        <w:t xml:space="preserve"> </w:t>
      </w:r>
      <w:r>
        <w:t>should</w:t>
      </w:r>
      <w:r>
        <w:rPr>
          <w:spacing w:val="-3"/>
        </w:rPr>
        <w:t xml:space="preserve"> </w:t>
      </w:r>
      <w:r>
        <w:t>verify</w:t>
      </w:r>
      <w:r>
        <w:rPr>
          <w:spacing w:val="-3"/>
        </w:rPr>
        <w:t xml:space="preserve"> </w:t>
      </w:r>
      <w:r>
        <w:t>numbers</w:t>
      </w:r>
      <w:r>
        <w:rPr>
          <w:spacing w:val="-4"/>
        </w:rPr>
        <w:t xml:space="preserve"> </w:t>
      </w:r>
      <w:r>
        <w:t>against</w:t>
      </w:r>
      <w:r>
        <w:rPr>
          <w:spacing w:val="-4"/>
        </w:rPr>
        <w:t xml:space="preserve"> </w:t>
      </w:r>
      <w:r>
        <w:t>audited</w:t>
      </w:r>
      <w:r>
        <w:rPr>
          <w:spacing w:val="-3"/>
        </w:rPr>
        <w:t xml:space="preserve"> </w:t>
      </w:r>
      <w:r>
        <w:t>annual</w:t>
      </w:r>
      <w:r>
        <w:rPr>
          <w:spacing w:val="-4"/>
        </w:rPr>
        <w:t xml:space="preserve"> </w:t>
      </w:r>
      <w:r>
        <w:t>reports.</w:t>
      </w:r>
      <w:r>
        <w:rPr>
          <w:spacing w:val="-3"/>
        </w:rPr>
        <w:t xml:space="preserve"> </w:t>
      </w:r>
      <w:r>
        <w:t>This</w:t>
      </w:r>
      <w:r>
        <w:rPr>
          <w:spacing w:val="-4"/>
        </w:rPr>
        <w:t xml:space="preserve"> </w:t>
      </w:r>
      <w:r>
        <w:t>will</w:t>
      </w:r>
      <w:r>
        <w:rPr>
          <w:spacing w:val="-4"/>
        </w:rPr>
        <w:t xml:space="preserve"> </w:t>
      </w:r>
      <w:r>
        <w:t>reduce</w:t>
      </w:r>
      <w:r>
        <w:rPr>
          <w:spacing w:val="-4"/>
        </w:rPr>
        <w:t xml:space="preserve"> </w:t>
      </w:r>
      <w:r>
        <w:t>the</w:t>
      </w:r>
      <w:r>
        <w:rPr>
          <w:spacing w:val="-4"/>
        </w:rPr>
        <w:t xml:space="preserve"> </w:t>
      </w:r>
      <w:r>
        <w:t>risk</w:t>
      </w:r>
      <w:r>
        <w:rPr>
          <w:spacing w:val="-3"/>
        </w:rPr>
        <w:t xml:space="preserve"> </w:t>
      </w:r>
      <w:r>
        <w:t>of</w:t>
      </w:r>
      <w:r>
        <w:rPr>
          <w:spacing w:val="-3"/>
        </w:rPr>
        <w:t xml:space="preserve"> </w:t>
      </w:r>
      <w:r>
        <w:t xml:space="preserve">database definition differences and improve confidence in the dataset. A data reconciliation appendix would make the paper </w:t>
      </w:r>
      <w:r>
        <w:rPr>
          <w:spacing w:val="-2"/>
        </w:rPr>
        <w:t>stronger.</w:t>
      </w:r>
    </w:p>
    <w:p w14:paraId="34F96798" w14:textId="77777777" w:rsidR="00ED08FF" w:rsidRDefault="00000000">
      <w:pPr>
        <w:pStyle w:val="BodyText"/>
        <w:spacing w:before="2" w:line="297" w:lineRule="auto"/>
        <w:ind w:right="2167"/>
        <w:jc w:val="both"/>
      </w:pPr>
      <w:r>
        <w:t>The</w:t>
      </w:r>
      <w:r>
        <w:rPr>
          <w:spacing w:val="-4"/>
        </w:rPr>
        <w:t xml:space="preserve"> </w:t>
      </w:r>
      <w:r>
        <w:t>final</w:t>
      </w:r>
      <w:r>
        <w:rPr>
          <w:spacing w:val="-4"/>
        </w:rPr>
        <w:t xml:space="preserve"> </w:t>
      </w:r>
      <w:r>
        <w:t>recommendation</w:t>
      </w:r>
      <w:r>
        <w:rPr>
          <w:spacing w:val="-3"/>
        </w:rPr>
        <w:t xml:space="preserve"> </w:t>
      </w:r>
      <w:r>
        <w:t>is</w:t>
      </w:r>
      <w:r>
        <w:rPr>
          <w:spacing w:val="-4"/>
        </w:rPr>
        <w:t xml:space="preserve"> </w:t>
      </w:r>
      <w:r>
        <w:t>to</w:t>
      </w:r>
      <w:r>
        <w:rPr>
          <w:spacing w:val="-3"/>
        </w:rPr>
        <w:t xml:space="preserve"> </w:t>
      </w:r>
      <w:r>
        <w:t>keep</w:t>
      </w:r>
      <w:r>
        <w:rPr>
          <w:spacing w:val="-3"/>
        </w:rPr>
        <w:t xml:space="preserve"> </w:t>
      </w:r>
      <w:r>
        <w:t>the</w:t>
      </w:r>
      <w:r>
        <w:rPr>
          <w:spacing w:val="-4"/>
        </w:rPr>
        <w:t xml:space="preserve"> </w:t>
      </w:r>
      <w:r>
        <w:t>research</w:t>
      </w:r>
      <w:r>
        <w:rPr>
          <w:spacing w:val="-3"/>
        </w:rPr>
        <w:t xml:space="preserve"> </w:t>
      </w:r>
      <w:r>
        <w:t>claim</w:t>
      </w:r>
      <w:r>
        <w:rPr>
          <w:spacing w:val="-4"/>
        </w:rPr>
        <w:t xml:space="preserve"> </w:t>
      </w:r>
      <w:r>
        <w:t>proportional</w:t>
      </w:r>
      <w:r>
        <w:rPr>
          <w:spacing w:val="-4"/>
        </w:rPr>
        <w:t xml:space="preserve"> </w:t>
      </w:r>
      <w:r>
        <w:t>to</w:t>
      </w:r>
      <w:r>
        <w:rPr>
          <w:spacing w:val="-3"/>
        </w:rPr>
        <w:t xml:space="preserve"> </w:t>
      </w:r>
      <w:r>
        <w:t>the</w:t>
      </w:r>
      <w:r>
        <w:rPr>
          <w:spacing w:val="-4"/>
        </w:rPr>
        <w:t xml:space="preserve"> </w:t>
      </w:r>
      <w:r>
        <w:t>evidence.</w:t>
      </w:r>
      <w:r>
        <w:rPr>
          <w:spacing w:val="-3"/>
        </w:rPr>
        <w:t xml:space="preserve"> </w:t>
      </w:r>
      <w:r>
        <w:t>This</w:t>
      </w:r>
      <w:r>
        <w:rPr>
          <w:spacing w:val="-4"/>
        </w:rPr>
        <w:t xml:space="preserve"> </w:t>
      </w:r>
      <w:r>
        <w:t>paper</w:t>
      </w:r>
      <w:r>
        <w:rPr>
          <w:spacing w:val="-3"/>
        </w:rPr>
        <w:t xml:space="preserve"> </w:t>
      </w:r>
      <w:r>
        <w:t>finds</w:t>
      </w:r>
      <w:r>
        <w:rPr>
          <w:spacing w:val="-4"/>
        </w:rPr>
        <w:t xml:space="preserve"> </w:t>
      </w:r>
      <w:r>
        <w:t>association,</w:t>
      </w:r>
      <w:r>
        <w:rPr>
          <w:spacing w:val="-3"/>
        </w:rPr>
        <w:t xml:space="preserve"> </w:t>
      </w:r>
      <w:r>
        <w:t>not absolute</w:t>
      </w:r>
      <w:r>
        <w:rPr>
          <w:spacing w:val="-3"/>
        </w:rPr>
        <w:t xml:space="preserve"> </w:t>
      </w:r>
      <w:r>
        <w:t>causation.</w:t>
      </w:r>
      <w:r>
        <w:rPr>
          <w:spacing w:val="-2"/>
        </w:rPr>
        <w:t xml:space="preserve"> </w:t>
      </w:r>
      <w:r>
        <w:t>It</w:t>
      </w:r>
      <w:r>
        <w:rPr>
          <w:spacing w:val="-3"/>
        </w:rPr>
        <w:t xml:space="preserve"> </w:t>
      </w:r>
      <w:r>
        <w:t>provides</w:t>
      </w:r>
      <w:r>
        <w:rPr>
          <w:spacing w:val="-3"/>
        </w:rPr>
        <w:t xml:space="preserve"> </w:t>
      </w:r>
      <w:r>
        <w:t>evidence</w:t>
      </w:r>
      <w:r>
        <w:rPr>
          <w:spacing w:val="-3"/>
        </w:rPr>
        <w:t xml:space="preserve"> </w:t>
      </w:r>
      <w:r>
        <w:t>for</w:t>
      </w:r>
      <w:r>
        <w:rPr>
          <w:spacing w:val="-2"/>
        </w:rPr>
        <w:t xml:space="preserve"> </w:t>
      </w:r>
      <w:r>
        <w:t>a</w:t>
      </w:r>
      <w:r>
        <w:rPr>
          <w:spacing w:val="-3"/>
        </w:rPr>
        <w:t xml:space="preserve"> </w:t>
      </w:r>
      <w:r>
        <w:t>selected</w:t>
      </w:r>
      <w:r>
        <w:rPr>
          <w:spacing w:val="-2"/>
        </w:rPr>
        <w:t xml:space="preserve"> </w:t>
      </w:r>
      <w:r>
        <w:t>sample</w:t>
      </w:r>
      <w:r>
        <w:rPr>
          <w:spacing w:val="-3"/>
        </w:rPr>
        <w:t xml:space="preserve"> </w:t>
      </w:r>
      <w:r>
        <w:t>and</w:t>
      </w:r>
      <w:r>
        <w:rPr>
          <w:spacing w:val="-2"/>
        </w:rPr>
        <w:t xml:space="preserve"> </w:t>
      </w:r>
      <w:r>
        <w:t>period,</w:t>
      </w:r>
      <w:r>
        <w:rPr>
          <w:spacing w:val="-2"/>
        </w:rPr>
        <w:t xml:space="preserve"> </w:t>
      </w:r>
      <w:r>
        <w:t>not</w:t>
      </w:r>
      <w:r>
        <w:rPr>
          <w:spacing w:val="-3"/>
        </w:rPr>
        <w:t xml:space="preserve"> </w:t>
      </w:r>
      <w:r>
        <w:t>a</w:t>
      </w:r>
      <w:r>
        <w:rPr>
          <w:spacing w:val="-3"/>
        </w:rPr>
        <w:t xml:space="preserve"> </w:t>
      </w:r>
      <w:r>
        <w:t>permanent</w:t>
      </w:r>
      <w:r>
        <w:rPr>
          <w:spacing w:val="-3"/>
        </w:rPr>
        <w:t xml:space="preserve"> </w:t>
      </w:r>
      <w:r>
        <w:t>law</w:t>
      </w:r>
      <w:r>
        <w:rPr>
          <w:spacing w:val="-3"/>
        </w:rPr>
        <w:t xml:space="preserve"> </w:t>
      </w:r>
      <w:r>
        <w:t>of</w:t>
      </w:r>
      <w:r>
        <w:rPr>
          <w:spacing w:val="-2"/>
        </w:rPr>
        <w:t xml:space="preserve"> </w:t>
      </w:r>
      <w:r>
        <w:t>valuation.</w:t>
      </w:r>
      <w:r>
        <w:rPr>
          <w:spacing w:val="-2"/>
        </w:rPr>
        <w:t xml:space="preserve"> </w:t>
      </w:r>
      <w:r>
        <w:t>A</w:t>
      </w:r>
      <w:r>
        <w:rPr>
          <w:spacing w:val="-3"/>
        </w:rPr>
        <w:t xml:space="preserve"> </w:t>
      </w:r>
      <w:r>
        <w:t>serious academic paper should be confident in its results but honest about its boundaries.</w:t>
      </w:r>
    </w:p>
    <w:p w14:paraId="6A012230" w14:textId="77777777" w:rsidR="003C67F1" w:rsidRDefault="003C67F1">
      <w:pPr>
        <w:pStyle w:val="BodyText"/>
        <w:spacing w:before="2" w:line="297" w:lineRule="auto"/>
        <w:ind w:right="2167"/>
        <w:jc w:val="both"/>
      </w:pPr>
    </w:p>
    <w:p w14:paraId="401E3711" w14:textId="77777777" w:rsidR="003C67F1" w:rsidRDefault="003C67F1" w:rsidP="003C67F1">
      <w:pPr>
        <w:pStyle w:val="BodyText"/>
        <w:spacing w:before="2" w:line="297" w:lineRule="auto"/>
        <w:ind w:right="2167"/>
        <w:jc w:val="both"/>
      </w:pPr>
    </w:p>
    <w:p w14:paraId="6233661C" w14:textId="77777777" w:rsidR="003C67F1" w:rsidRDefault="003C67F1" w:rsidP="003C67F1">
      <w:pPr>
        <w:pStyle w:val="BodyText"/>
        <w:spacing w:before="2" w:line="297" w:lineRule="auto"/>
        <w:ind w:right="2167"/>
        <w:jc w:val="both"/>
      </w:pPr>
      <w:r>
        <w:t>Declaration of AI Use</w:t>
      </w:r>
    </w:p>
    <w:p w14:paraId="68E11F54" w14:textId="77777777" w:rsidR="003C67F1" w:rsidRDefault="003C67F1" w:rsidP="003C67F1">
      <w:pPr>
        <w:pStyle w:val="BodyText"/>
        <w:spacing w:before="2" w:line="297" w:lineRule="auto"/>
        <w:ind w:right="2167"/>
        <w:jc w:val="both"/>
      </w:pPr>
    </w:p>
    <w:p w14:paraId="5DFB988D" w14:textId="1F7BCD95" w:rsidR="003C67F1" w:rsidRDefault="003C67F1" w:rsidP="003C67F1">
      <w:pPr>
        <w:pStyle w:val="BodyText"/>
        <w:spacing w:before="2" w:line="297" w:lineRule="auto"/>
        <w:ind w:right="2167"/>
        <w:jc w:val="both"/>
      </w:pPr>
      <w: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4787B765" w14:textId="77777777" w:rsidR="003C67F1" w:rsidRDefault="003C67F1" w:rsidP="003C67F1">
      <w:pPr>
        <w:pStyle w:val="BodyText"/>
        <w:spacing w:before="2" w:line="297" w:lineRule="auto"/>
        <w:ind w:right="2167"/>
        <w:jc w:val="both"/>
      </w:pPr>
    </w:p>
    <w:p w14:paraId="132944C1" w14:textId="77777777" w:rsidR="003C67F1" w:rsidRDefault="003C67F1" w:rsidP="003C67F1">
      <w:pPr>
        <w:pStyle w:val="BodyText"/>
        <w:spacing w:before="2" w:line="297" w:lineRule="auto"/>
        <w:ind w:right="2167"/>
        <w:jc w:val="both"/>
      </w:pPr>
    </w:p>
    <w:p w14:paraId="313F5ED4" w14:textId="2F2EB509" w:rsidR="003C67F1" w:rsidRDefault="003C67F1" w:rsidP="003C67F1">
      <w:pPr>
        <w:pStyle w:val="BodyText"/>
        <w:spacing w:before="2" w:line="297" w:lineRule="auto"/>
        <w:ind w:right="2167"/>
        <w:jc w:val="both"/>
      </w:pPr>
      <w:r>
        <w:t>COMPETING INTERESTS:</w:t>
      </w:r>
    </w:p>
    <w:p w14:paraId="01FE3B54" w14:textId="6725C620" w:rsidR="003C67F1" w:rsidRDefault="003C67F1" w:rsidP="003C67F1">
      <w:pPr>
        <w:pStyle w:val="BodyText"/>
        <w:spacing w:before="2" w:line="297" w:lineRule="auto"/>
        <w:ind w:right="2167"/>
        <w:jc w:val="both"/>
      </w:pPr>
      <w:r>
        <w:t>Authors have declared that they have no known competing financial interests OR non-financial interests OR personal relationships that could have appeared to influence the work reported in this paper.</w:t>
      </w:r>
    </w:p>
    <w:p w14:paraId="5F08017E" w14:textId="77777777" w:rsidR="00ED08FF" w:rsidRDefault="00000000">
      <w:pPr>
        <w:pStyle w:val="Heading2"/>
        <w:spacing w:before="1"/>
        <w:ind w:left="3940"/>
        <w:jc w:val="both"/>
      </w:pPr>
      <w:r>
        <w:t>Table</w:t>
      </w:r>
      <w:r>
        <w:rPr>
          <w:spacing w:val="-5"/>
        </w:rPr>
        <w:t xml:space="preserve"> </w:t>
      </w:r>
      <w:r>
        <w:t>15:</w:t>
      </w:r>
      <w:r>
        <w:rPr>
          <w:spacing w:val="-5"/>
        </w:rPr>
        <w:t xml:space="preserve"> </w:t>
      </w:r>
      <w:r>
        <w:t>Practical</w:t>
      </w:r>
      <w:r>
        <w:rPr>
          <w:spacing w:val="-4"/>
        </w:rPr>
        <w:t xml:space="preserve"> </w:t>
      </w:r>
      <w:r>
        <w:rPr>
          <w:spacing w:val="-2"/>
        </w:rPr>
        <w:t>Recommendations</w:t>
      </w:r>
    </w:p>
    <w:p w14:paraId="512E1F5B" w14:textId="77777777" w:rsidR="00ED08FF" w:rsidRDefault="00000000">
      <w:pPr>
        <w:tabs>
          <w:tab w:val="left" w:pos="4625"/>
        </w:tabs>
        <w:spacing w:before="50" w:line="147" w:lineRule="exact"/>
        <w:ind w:left="100"/>
        <w:jc w:val="center"/>
        <w:rPr>
          <w:rFonts w:ascii="Courier New"/>
          <w:sz w:val="13"/>
        </w:rPr>
      </w:pPr>
      <w:r>
        <w:rPr>
          <w:rFonts w:ascii="Courier New"/>
          <w:sz w:val="13"/>
        </w:rPr>
        <w:t>Target</w:t>
      </w:r>
      <w:r>
        <w:rPr>
          <w:rFonts w:ascii="Courier New"/>
          <w:spacing w:val="-8"/>
          <w:sz w:val="13"/>
        </w:rPr>
        <w:t xml:space="preserve"> </w:t>
      </w:r>
      <w:r>
        <w:rPr>
          <w:rFonts w:ascii="Courier New"/>
          <w:spacing w:val="-4"/>
          <w:sz w:val="13"/>
        </w:rPr>
        <w:t>User</w:t>
      </w:r>
      <w:r>
        <w:rPr>
          <w:rFonts w:ascii="Courier New"/>
          <w:sz w:val="13"/>
        </w:rPr>
        <w:tab/>
      </w:r>
      <w:r>
        <w:rPr>
          <w:rFonts w:ascii="Courier New"/>
          <w:spacing w:val="-2"/>
          <w:sz w:val="13"/>
        </w:rPr>
        <w:t>Recommendation</w:t>
      </w:r>
    </w:p>
    <w:p w14:paraId="7175C511" w14:textId="77777777" w:rsidR="00ED08FF" w:rsidRDefault="00000000">
      <w:pPr>
        <w:tabs>
          <w:tab w:val="left" w:pos="3610"/>
        </w:tabs>
        <w:spacing w:line="147" w:lineRule="exact"/>
        <w:ind w:left="1348"/>
        <w:jc w:val="center"/>
        <w:rPr>
          <w:rFonts w:ascii="Courier New"/>
          <w:sz w:val="13"/>
        </w:rPr>
      </w:pPr>
      <w:r>
        <w:rPr>
          <w:rFonts w:ascii="Courier New"/>
          <w:sz w:val="13"/>
        </w:rPr>
        <w:t>Company</w:t>
      </w:r>
      <w:r>
        <w:rPr>
          <w:rFonts w:ascii="Courier New"/>
          <w:spacing w:val="-7"/>
          <w:sz w:val="13"/>
        </w:rPr>
        <w:t xml:space="preserve"> </w:t>
      </w:r>
      <w:r>
        <w:rPr>
          <w:rFonts w:ascii="Courier New"/>
          <w:spacing w:val="-2"/>
          <w:sz w:val="13"/>
        </w:rPr>
        <w:t>management</w:t>
      </w:r>
      <w:r>
        <w:rPr>
          <w:rFonts w:ascii="Courier New"/>
          <w:sz w:val="13"/>
        </w:rPr>
        <w:tab/>
        <w:t>Focus</w:t>
      </w:r>
      <w:r>
        <w:rPr>
          <w:rFonts w:ascii="Courier New"/>
          <w:spacing w:val="-9"/>
          <w:sz w:val="13"/>
        </w:rPr>
        <w:t xml:space="preserve"> </w:t>
      </w:r>
      <w:r>
        <w:rPr>
          <w:rFonts w:ascii="Courier New"/>
          <w:sz w:val="13"/>
        </w:rPr>
        <w:t>on</w:t>
      </w:r>
      <w:r>
        <w:rPr>
          <w:rFonts w:ascii="Courier New"/>
          <w:spacing w:val="-7"/>
          <w:sz w:val="13"/>
        </w:rPr>
        <w:t xml:space="preserve"> </w:t>
      </w:r>
      <w:r>
        <w:rPr>
          <w:rFonts w:ascii="Courier New"/>
          <w:sz w:val="13"/>
        </w:rPr>
        <w:t>ROA</w:t>
      </w:r>
      <w:r>
        <w:rPr>
          <w:rFonts w:ascii="Courier New"/>
          <w:spacing w:val="-6"/>
          <w:sz w:val="13"/>
        </w:rPr>
        <w:t xml:space="preserve"> </w:t>
      </w:r>
      <w:r>
        <w:rPr>
          <w:rFonts w:ascii="Courier New"/>
          <w:sz w:val="13"/>
        </w:rPr>
        <w:t>improvement,</w:t>
      </w:r>
      <w:r>
        <w:rPr>
          <w:rFonts w:ascii="Courier New"/>
          <w:spacing w:val="-7"/>
          <w:sz w:val="13"/>
        </w:rPr>
        <w:t xml:space="preserve"> </w:t>
      </w:r>
      <w:r>
        <w:rPr>
          <w:rFonts w:ascii="Courier New"/>
          <w:sz w:val="13"/>
        </w:rPr>
        <w:t>efficient</w:t>
      </w:r>
      <w:r>
        <w:rPr>
          <w:rFonts w:ascii="Courier New"/>
          <w:spacing w:val="-6"/>
          <w:sz w:val="13"/>
        </w:rPr>
        <w:t xml:space="preserve"> </w:t>
      </w:r>
      <w:r>
        <w:rPr>
          <w:rFonts w:ascii="Courier New"/>
          <w:sz w:val="13"/>
        </w:rPr>
        <w:t>working</w:t>
      </w:r>
      <w:r>
        <w:rPr>
          <w:rFonts w:ascii="Courier New"/>
          <w:spacing w:val="-7"/>
          <w:sz w:val="13"/>
        </w:rPr>
        <w:t xml:space="preserve"> </w:t>
      </w:r>
      <w:r>
        <w:rPr>
          <w:rFonts w:ascii="Courier New"/>
          <w:sz w:val="13"/>
        </w:rPr>
        <w:t>capital,</w:t>
      </w:r>
      <w:r>
        <w:rPr>
          <w:rFonts w:ascii="Courier New"/>
          <w:spacing w:val="-7"/>
          <w:sz w:val="13"/>
        </w:rPr>
        <w:t xml:space="preserve"> </w:t>
      </w:r>
      <w:r>
        <w:rPr>
          <w:rFonts w:ascii="Courier New"/>
          <w:sz w:val="13"/>
        </w:rPr>
        <w:t>and</w:t>
      </w:r>
      <w:r>
        <w:rPr>
          <w:rFonts w:ascii="Courier New"/>
          <w:spacing w:val="-6"/>
          <w:sz w:val="13"/>
        </w:rPr>
        <w:t xml:space="preserve"> </w:t>
      </w:r>
      <w:r>
        <w:rPr>
          <w:rFonts w:ascii="Courier New"/>
          <w:sz w:val="13"/>
        </w:rPr>
        <w:t>clearer</w:t>
      </w:r>
      <w:r>
        <w:rPr>
          <w:rFonts w:ascii="Courier New"/>
          <w:spacing w:val="-7"/>
          <w:sz w:val="13"/>
        </w:rPr>
        <w:t xml:space="preserve"> </w:t>
      </w:r>
      <w:r>
        <w:rPr>
          <w:rFonts w:ascii="Courier New"/>
          <w:sz w:val="13"/>
        </w:rPr>
        <w:t>explanation</w:t>
      </w:r>
      <w:r>
        <w:rPr>
          <w:rFonts w:ascii="Courier New"/>
          <w:spacing w:val="-6"/>
          <w:sz w:val="13"/>
        </w:rPr>
        <w:t xml:space="preserve"> </w:t>
      </w:r>
      <w:r>
        <w:rPr>
          <w:rFonts w:ascii="Courier New"/>
          <w:spacing w:val="-5"/>
          <w:sz w:val="13"/>
        </w:rPr>
        <w:t>of</w:t>
      </w:r>
    </w:p>
    <w:p w14:paraId="4E16034D" w14:textId="77777777" w:rsidR="00ED08FF" w:rsidRDefault="00ED08FF">
      <w:pPr>
        <w:spacing w:line="147" w:lineRule="exact"/>
        <w:jc w:val="center"/>
        <w:rPr>
          <w:rFonts w:ascii="Courier New"/>
          <w:sz w:val="13"/>
        </w:rPr>
        <w:sectPr w:rsidR="00ED08FF">
          <w:pgSz w:w="12240" w:h="15840"/>
          <w:pgMar w:top="800" w:right="720" w:bottom="900" w:left="720" w:header="0" w:footer="669" w:gutter="0"/>
          <w:cols w:space="720"/>
        </w:sectPr>
      </w:pPr>
    </w:p>
    <w:p w14:paraId="3D8990FE" w14:textId="77777777" w:rsidR="00ED08FF" w:rsidRDefault="00000000">
      <w:pPr>
        <w:spacing w:line="480" w:lineRule="auto"/>
        <w:ind w:left="145" w:right="38"/>
        <w:rPr>
          <w:rFonts w:ascii="Courier New"/>
          <w:sz w:val="13"/>
        </w:rPr>
      </w:pPr>
      <w:r>
        <w:rPr>
          <w:rFonts w:ascii="Courier New"/>
          <w:sz w:val="13"/>
        </w:rPr>
        <w:t xml:space="preserve">debt use. </w:t>
      </w:r>
      <w:r>
        <w:rPr>
          <w:rFonts w:ascii="Courier New"/>
          <w:spacing w:val="-2"/>
          <w:sz w:val="13"/>
        </w:rPr>
        <w:t>expectations.</w:t>
      </w:r>
    </w:p>
    <w:p w14:paraId="618C28F4" w14:textId="77777777" w:rsidR="00ED08FF" w:rsidRDefault="00000000">
      <w:pPr>
        <w:spacing w:before="146"/>
        <w:ind w:left="145"/>
        <w:rPr>
          <w:rFonts w:ascii="Courier New"/>
          <w:sz w:val="13"/>
        </w:rPr>
      </w:pPr>
      <w:r>
        <w:rPr>
          <w:rFonts w:ascii="Courier New"/>
          <w:sz w:val="13"/>
        </w:rPr>
        <w:t>panel</w:t>
      </w:r>
      <w:r>
        <w:rPr>
          <w:rFonts w:ascii="Courier New"/>
          <w:spacing w:val="-5"/>
          <w:sz w:val="13"/>
        </w:rPr>
        <w:t xml:space="preserve"> </w:t>
      </w:r>
      <w:r>
        <w:rPr>
          <w:rFonts w:ascii="Courier New"/>
          <w:spacing w:val="-2"/>
          <w:sz w:val="13"/>
        </w:rPr>
        <w:t>models.</w:t>
      </w:r>
    </w:p>
    <w:p w14:paraId="590BF9D2" w14:textId="77777777" w:rsidR="00ED08FF" w:rsidRDefault="00000000">
      <w:pPr>
        <w:tabs>
          <w:tab w:val="left" w:pos="2407"/>
        </w:tabs>
        <w:spacing w:before="147"/>
        <w:ind w:left="145"/>
        <w:rPr>
          <w:rFonts w:ascii="Courier New"/>
          <w:sz w:val="13"/>
        </w:rPr>
      </w:pPr>
      <w:r>
        <w:br w:type="column"/>
      </w:r>
      <w:r>
        <w:rPr>
          <w:rFonts w:ascii="Courier New"/>
          <w:spacing w:val="-2"/>
          <w:sz w:val="13"/>
        </w:rPr>
        <w:t>Investors</w:t>
      </w:r>
      <w:r>
        <w:rPr>
          <w:rFonts w:ascii="Courier New"/>
          <w:sz w:val="13"/>
        </w:rPr>
        <w:tab/>
        <w:t>Read</w:t>
      </w:r>
      <w:r>
        <w:rPr>
          <w:rFonts w:ascii="Courier New"/>
          <w:spacing w:val="-8"/>
          <w:sz w:val="13"/>
        </w:rPr>
        <w:t xml:space="preserve"> </w:t>
      </w:r>
      <w:r>
        <w:rPr>
          <w:rFonts w:ascii="Courier New"/>
          <w:sz w:val="13"/>
        </w:rPr>
        <w:t>PBV</w:t>
      </w:r>
      <w:r>
        <w:rPr>
          <w:rFonts w:ascii="Courier New"/>
          <w:spacing w:val="-6"/>
          <w:sz w:val="13"/>
        </w:rPr>
        <w:t xml:space="preserve"> </w:t>
      </w:r>
      <w:r>
        <w:rPr>
          <w:rFonts w:ascii="Courier New"/>
          <w:sz w:val="13"/>
        </w:rPr>
        <w:t>together</w:t>
      </w:r>
      <w:r>
        <w:rPr>
          <w:rFonts w:ascii="Courier New"/>
          <w:spacing w:val="-6"/>
          <w:sz w:val="13"/>
        </w:rPr>
        <w:t xml:space="preserve"> </w:t>
      </w:r>
      <w:r>
        <w:rPr>
          <w:rFonts w:ascii="Courier New"/>
          <w:sz w:val="13"/>
        </w:rPr>
        <w:t>with</w:t>
      </w:r>
      <w:r>
        <w:rPr>
          <w:rFonts w:ascii="Courier New"/>
          <w:spacing w:val="-5"/>
          <w:sz w:val="13"/>
        </w:rPr>
        <w:t xml:space="preserve"> </w:t>
      </w:r>
      <w:r>
        <w:rPr>
          <w:rFonts w:ascii="Courier New"/>
          <w:sz w:val="13"/>
        </w:rPr>
        <w:t>ROA,</w:t>
      </w:r>
      <w:r>
        <w:rPr>
          <w:rFonts w:ascii="Courier New"/>
          <w:spacing w:val="-5"/>
          <w:sz w:val="13"/>
        </w:rPr>
        <w:t xml:space="preserve"> </w:t>
      </w:r>
      <w:r>
        <w:rPr>
          <w:rFonts w:ascii="Courier New"/>
          <w:sz w:val="13"/>
        </w:rPr>
        <w:t>liquidity</w:t>
      </w:r>
      <w:r>
        <w:rPr>
          <w:rFonts w:ascii="Courier New"/>
          <w:spacing w:val="-6"/>
          <w:sz w:val="13"/>
        </w:rPr>
        <w:t xml:space="preserve"> </w:t>
      </w:r>
      <w:r>
        <w:rPr>
          <w:rFonts w:ascii="Courier New"/>
          <w:sz w:val="13"/>
        </w:rPr>
        <w:t>quality,</w:t>
      </w:r>
      <w:r>
        <w:rPr>
          <w:rFonts w:ascii="Courier New"/>
          <w:spacing w:val="-5"/>
          <w:sz w:val="13"/>
        </w:rPr>
        <w:t xml:space="preserve"> </w:t>
      </w:r>
      <w:r>
        <w:rPr>
          <w:rFonts w:ascii="Courier New"/>
          <w:sz w:val="13"/>
        </w:rPr>
        <w:t>business</w:t>
      </w:r>
      <w:r>
        <w:rPr>
          <w:rFonts w:ascii="Courier New"/>
          <w:spacing w:val="-6"/>
          <w:sz w:val="13"/>
        </w:rPr>
        <w:t xml:space="preserve"> </w:t>
      </w:r>
      <w:r>
        <w:rPr>
          <w:rFonts w:ascii="Courier New"/>
          <w:sz w:val="13"/>
        </w:rPr>
        <w:t>model,</w:t>
      </w:r>
      <w:r>
        <w:rPr>
          <w:rFonts w:ascii="Courier New"/>
          <w:spacing w:val="-6"/>
          <w:sz w:val="13"/>
        </w:rPr>
        <w:t xml:space="preserve"> </w:t>
      </w:r>
      <w:r>
        <w:rPr>
          <w:rFonts w:ascii="Courier New"/>
          <w:sz w:val="13"/>
        </w:rPr>
        <w:t>and</w:t>
      </w:r>
      <w:r>
        <w:rPr>
          <w:rFonts w:ascii="Courier New"/>
          <w:spacing w:val="-5"/>
          <w:sz w:val="13"/>
        </w:rPr>
        <w:t xml:space="preserve"> </w:t>
      </w:r>
      <w:r>
        <w:rPr>
          <w:rFonts w:ascii="Courier New"/>
          <w:spacing w:val="-2"/>
          <w:sz w:val="13"/>
        </w:rPr>
        <w:t>growth</w:t>
      </w:r>
    </w:p>
    <w:p w14:paraId="3B7BDDAF" w14:textId="77777777" w:rsidR="00ED08FF" w:rsidRDefault="00000000">
      <w:pPr>
        <w:tabs>
          <w:tab w:val="left" w:pos="2407"/>
        </w:tabs>
        <w:spacing w:before="146"/>
        <w:ind w:left="145" w:right="589"/>
        <w:rPr>
          <w:rFonts w:ascii="Courier New"/>
          <w:sz w:val="13"/>
        </w:rPr>
      </w:pPr>
      <w:r>
        <w:rPr>
          <w:rFonts w:ascii="Courier New"/>
          <w:spacing w:val="-2"/>
          <w:sz w:val="13"/>
        </w:rPr>
        <w:t>Students</w:t>
      </w:r>
      <w:r>
        <w:rPr>
          <w:rFonts w:ascii="Courier New"/>
          <w:sz w:val="13"/>
        </w:rPr>
        <w:tab/>
        <w:t>Use transparent datasets and avoid fabricated or unverifiable observations. Future researchers</w:t>
      </w:r>
      <w:r>
        <w:rPr>
          <w:rFonts w:ascii="Courier New"/>
          <w:sz w:val="13"/>
        </w:rPr>
        <w:tab/>
        <w:t>Expand</w:t>
      </w:r>
      <w:r>
        <w:rPr>
          <w:rFonts w:ascii="Courier New"/>
          <w:spacing w:val="-4"/>
          <w:sz w:val="13"/>
        </w:rPr>
        <w:t xml:space="preserve"> </w:t>
      </w:r>
      <w:r>
        <w:rPr>
          <w:rFonts w:ascii="Courier New"/>
          <w:sz w:val="13"/>
        </w:rPr>
        <w:t>sample</w:t>
      </w:r>
      <w:r>
        <w:rPr>
          <w:rFonts w:ascii="Courier New"/>
          <w:spacing w:val="-4"/>
          <w:sz w:val="13"/>
        </w:rPr>
        <w:t xml:space="preserve"> </w:t>
      </w:r>
      <w:r>
        <w:rPr>
          <w:rFonts w:ascii="Courier New"/>
          <w:sz w:val="13"/>
        </w:rPr>
        <w:t>size,</w:t>
      </w:r>
      <w:r>
        <w:rPr>
          <w:rFonts w:ascii="Courier New"/>
          <w:spacing w:val="-4"/>
          <w:sz w:val="13"/>
        </w:rPr>
        <w:t xml:space="preserve"> </w:t>
      </w:r>
      <w:r>
        <w:rPr>
          <w:rFonts w:ascii="Courier New"/>
          <w:sz w:val="13"/>
        </w:rPr>
        <w:t>refine</w:t>
      </w:r>
      <w:r>
        <w:rPr>
          <w:rFonts w:ascii="Courier New"/>
          <w:spacing w:val="-4"/>
          <w:sz w:val="13"/>
        </w:rPr>
        <w:t xml:space="preserve"> </w:t>
      </w:r>
      <w:r>
        <w:rPr>
          <w:rFonts w:ascii="Courier New"/>
          <w:sz w:val="13"/>
        </w:rPr>
        <w:t>variables,</w:t>
      </w:r>
      <w:r>
        <w:rPr>
          <w:rFonts w:ascii="Courier New"/>
          <w:spacing w:val="-4"/>
          <w:sz w:val="13"/>
        </w:rPr>
        <w:t xml:space="preserve"> </w:t>
      </w:r>
      <w:r>
        <w:rPr>
          <w:rFonts w:ascii="Courier New"/>
          <w:sz w:val="13"/>
        </w:rPr>
        <w:t>verify</w:t>
      </w:r>
      <w:r>
        <w:rPr>
          <w:rFonts w:ascii="Courier New"/>
          <w:spacing w:val="-4"/>
          <w:sz w:val="13"/>
        </w:rPr>
        <w:t xml:space="preserve"> </w:t>
      </w:r>
      <w:r>
        <w:rPr>
          <w:rFonts w:ascii="Courier New"/>
          <w:sz w:val="13"/>
        </w:rPr>
        <w:t>annual</w:t>
      </w:r>
      <w:r>
        <w:rPr>
          <w:rFonts w:ascii="Courier New"/>
          <w:spacing w:val="-4"/>
          <w:sz w:val="13"/>
        </w:rPr>
        <w:t xml:space="preserve"> </w:t>
      </w:r>
      <w:r>
        <w:rPr>
          <w:rFonts w:ascii="Courier New"/>
          <w:sz w:val="13"/>
        </w:rPr>
        <w:t>reports,</w:t>
      </w:r>
      <w:r>
        <w:rPr>
          <w:rFonts w:ascii="Courier New"/>
          <w:spacing w:val="-4"/>
          <w:sz w:val="13"/>
        </w:rPr>
        <w:t xml:space="preserve"> </w:t>
      </w:r>
      <w:r>
        <w:rPr>
          <w:rFonts w:ascii="Courier New"/>
          <w:sz w:val="13"/>
        </w:rPr>
        <w:t>and</w:t>
      </w:r>
      <w:r>
        <w:rPr>
          <w:rFonts w:ascii="Courier New"/>
          <w:spacing w:val="-4"/>
          <w:sz w:val="13"/>
        </w:rPr>
        <w:t xml:space="preserve"> </w:t>
      </w:r>
      <w:r>
        <w:rPr>
          <w:rFonts w:ascii="Courier New"/>
          <w:sz w:val="13"/>
        </w:rPr>
        <w:t>test</w:t>
      </w:r>
      <w:r>
        <w:rPr>
          <w:rFonts w:ascii="Courier New"/>
          <w:spacing w:val="-4"/>
          <w:sz w:val="13"/>
        </w:rPr>
        <w:t xml:space="preserve"> </w:t>
      </w:r>
      <w:r>
        <w:rPr>
          <w:rFonts w:ascii="Courier New"/>
          <w:sz w:val="13"/>
        </w:rPr>
        <w:t>stronger</w:t>
      </w:r>
    </w:p>
    <w:p w14:paraId="19F447BC" w14:textId="77777777" w:rsidR="00ED08FF" w:rsidRDefault="00ED08FF">
      <w:pPr>
        <w:rPr>
          <w:rFonts w:ascii="Courier New"/>
          <w:sz w:val="13"/>
        </w:rPr>
        <w:sectPr w:rsidR="00ED08FF">
          <w:type w:val="continuous"/>
          <w:pgSz w:w="12240" w:h="15840"/>
          <w:pgMar w:top="1040" w:right="720" w:bottom="860" w:left="720" w:header="0" w:footer="669" w:gutter="0"/>
          <w:cols w:num="2" w:space="720" w:equalWidth="0">
            <w:col w:w="1201" w:space="516"/>
            <w:col w:w="9083"/>
          </w:cols>
        </w:sectPr>
      </w:pPr>
    </w:p>
    <w:p w14:paraId="4B70C3E0" w14:textId="77777777" w:rsidR="00ED08FF" w:rsidRDefault="00ED08FF">
      <w:pPr>
        <w:pStyle w:val="BodyText"/>
        <w:spacing w:before="52"/>
        <w:ind w:left="0"/>
        <w:rPr>
          <w:rFonts w:ascii="Courier New"/>
        </w:rPr>
      </w:pPr>
    </w:p>
    <w:p w14:paraId="40173447" w14:textId="77777777" w:rsidR="00ED08FF" w:rsidRDefault="00000000">
      <w:pPr>
        <w:pStyle w:val="Heading2"/>
        <w:spacing w:before="1"/>
        <w:ind w:left="145"/>
      </w:pPr>
      <w:r>
        <w:rPr>
          <w:spacing w:val="-2"/>
        </w:rPr>
        <w:t>References</w:t>
      </w:r>
    </w:p>
    <w:p w14:paraId="553D61B5" w14:textId="77777777" w:rsidR="00140B1A" w:rsidRDefault="00000000">
      <w:pPr>
        <w:pStyle w:val="isselectedend"/>
        <w:spacing w:before="0" w:after="0"/>
        <w:ind w:left="389" w:hanging="389"/>
      </w:pPr>
      <w:r>
        <w:t xml:space="preserve">Celestine, C. U., Edeh, O. P., Akpadaka, O. S., &amp; Enekwe, I. C. (2026). Capital structure choices and shareholder value creation in high-cost borrowing environments: Evidence from listed manufacturing firms in Nigeria. </w:t>
      </w:r>
      <w:r>
        <w:rPr>
          <w:rStyle w:val="Emphasis"/>
        </w:rPr>
        <w:t>Asian Journal of Economics, Finance and Management, 8</w:t>
      </w:r>
      <w:r>
        <w:t xml:space="preserve">(1), 16–27. </w:t>
      </w:r>
      <w:hyperlink r:id="rId14">
        <w:r w:rsidR="00140B1A">
          <w:rPr>
            <w:color w:val="000000"/>
          </w:rPr>
          <w:t>https://doi.org/10.56557/ajefm/2026/v8i1350</w:t>
        </w:r>
      </w:hyperlink>
    </w:p>
    <w:p w14:paraId="2EDA3565" w14:textId="77777777" w:rsidR="00140B1A" w:rsidRDefault="00000000">
      <w:pPr>
        <w:pStyle w:val="isselectedend"/>
        <w:spacing w:before="0" w:after="0"/>
        <w:ind w:left="389" w:hanging="389"/>
      </w:pPr>
      <w:r>
        <w:t xml:space="preserve">Damodaran, A. (2012). </w:t>
      </w:r>
      <w:r>
        <w:rPr>
          <w:rStyle w:val="Emphasis"/>
        </w:rPr>
        <w:t>Investment valuation: Tools and techniques for determining the value of any asset</w:t>
      </w:r>
      <w:r>
        <w:t xml:space="preserve"> (3rd ed.). Wiley. </w:t>
      </w:r>
      <w:hyperlink r:id="rId15">
        <w:r w:rsidR="00140B1A">
          <w:rPr>
            <w:color w:val="000000"/>
          </w:rPr>
          <w:t>https://pages.stern.nyu.edu/~adamodar/New_Home_Page/Inv3ed.htm</w:t>
        </w:r>
      </w:hyperlink>
    </w:p>
    <w:p w14:paraId="043F38F7" w14:textId="77777777" w:rsidR="00140B1A" w:rsidRDefault="00000000">
      <w:pPr>
        <w:pStyle w:val="isselectedend"/>
        <w:spacing w:before="0" w:after="0"/>
        <w:ind w:left="389" w:hanging="389"/>
      </w:pPr>
      <w:r>
        <w:t xml:space="preserve">Fama, E. F., &amp; French, K. R. (1992). The cross-section of expected stock returns. </w:t>
      </w:r>
      <w:r>
        <w:rPr>
          <w:rStyle w:val="Emphasis"/>
        </w:rPr>
        <w:t>The Journal of Finance, 47</w:t>
      </w:r>
      <w:r>
        <w:t xml:space="preserve">(2), 427–465. </w:t>
      </w:r>
      <w:hyperlink r:id="rId16">
        <w:r w:rsidR="00140B1A">
          <w:rPr>
            <w:color w:val="000000"/>
          </w:rPr>
          <w:t>https://doi.org/10.1111/j.1540-6261.1992.tb04398.x</w:t>
        </w:r>
      </w:hyperlink>
    </w:p>
    <w:p w14:paraId="087903F8" w14:textId="02C03519" w:rsidR="00140B1A" w:rsidRDefault="00000000">
      <w:pPr>
        <w:pStyle w:val="isselectedend"/>
        <w:spacing w:before="0" w:after="0"/>
        <w:ind w:left="389" w:hanging="389"/>
      </w:pPr>
      <w:r>
        <w:t xml:space="preserve">Gujarati, D. N., &amp; Porter, D. C. (2009). </w:t>
      </w:r>
      <w:r>
        <w:rPr>
          <w:rStyle w:val="Emphasis"/>
        </w:rPr>
        <w:t>Basic econometrics</w:t>
      </w:r>
      <w:r>
        <w:t xml:space="preserve"> (5th ed.). McGraw-Hill/Irwin. </w:t>
      </w:r>
    </w:p>
    <w:p w14:paraId="259A0954" w14:textId="77777777" w:rsidR="00140B1A" w:rsidRDefault="00000000">
      <w:pPr>
        <w:pStyle w:val="isselectedend"/>
        <w:spacing w:before="0" w:after="0"/>
        <w:ind w:left="389" w:hanging="389"/>
      </w:pPr>
      <w:r>
        <w:t xml:space="preserve">Hery. (2018). </w:t>
      </w:r>
      <w:r>
        <w:rPr>
          <w:rStyle w:val="Emphasis"/>
        </w:rPr>
        <w:t>Analisis laporan keuangan</w:t>
      </w:r>
      <w:r>
        <w:t xml:space="preserve">. Grasindo. </w:t>
      </w:r>
      <w:hyperlink r:id="rId17">
        <w:r w:rsidR="00140B1A">
          <w:rPr>
            <w:color w:val="000000"/>
          </w:rPr>
          <w:t>https://opac.perpusnas.go.id/DetailOpac.aspx?id=1171856</w:t>
        </w:r>
      </w:hyperlink>
    </w:p>
    <w:p w14:paraId="216492E4" w14:textId="77777777" w:rsidR="00140B1A" w:rsidRDefault="00000000">
      <w:pPr>
        <w:pStyle w:val="isselectedend"/>
        <w:spacing w:before="0" w:after="0"/>
        <w:ind w:left="389" w:hanging="389"/>
      </w:pPr>
      <w:r>
        <w:t xml:space="preserve">Indonesia Stock Exchange. (n.d.). </w:t>
      </w:r>
      <w:r>
        <w:rPr>
          <w:rStyle w:val="Emphasis"/>
        </w:rPr>
        <w:t>Listed companies, financial statements, and annual reports</w:t>
      </w:r>
      <w:r>
        <w:t xml:space="preserve">. Retrieved June 11, 2026, from </w:t>
      </w:r>
      <w:hyperlink r:id="rId18">
        <w:r w:rsidR="00140B1A">
          <w:rPr>
            <w:color w:val="000000"/>
          </w:rPr>
          <w:t>https://www.idx.co.id/</w:t>
        </w:r>
      </w:hyperlink>
    </w:p>
    <w:p w14:paraId="2A63F139" w14:textId="77777777" w:rsidR="00140B1A" w:rsidRDefault="00000000">
      <w:pPr>
        <w:pStyle w:val="isselectedend"/>
        <w:spacing w:before="0" w:after="0"/>
        <w:ind w:left="389" w:hanging="389"/>
      </w:pPr>
      <w:r>
        <w:t xml:space="preserve">Jensen, M. C., &amp; Meckling, W. H. (1976). Theory of the firm: Managerial behavior, agency costs and ownership structure. </w:t>
      </w:r>
      <w:r>
        <w:rPr>
          <w:rStyle w:val="Emphasis"/>
        </w:rPr>
        <w:t>Journal of Financial Economics, 3</w:t>
      </w:r>
      <w:r>
        <w:t xml:space="preserve">(4), 305–360. </w:t>
      </w:r>
      <w:hyperlink r:id="rId19">
        <w:r w:rsidR="00140B1A">
          <w:rPr>
            <w:color w:val="000000"/>
          </w:rPr>
          <w:t>https://doi.org/10.1016/0304-405X(76)90026-X</w:t>
        </w:r>
      </w:hyperlink>
    </w:p>
    <w:p w14:paraId="5729DA9E" w14:textId="77777777" w:rsidR="00140B1A" w:rsidRDefault="00000000">
      <w:pPr>
        <w:pStyle w:val="isselectedend"/>
        <w:spacing w:before="0" w:after="0"/>
        <w:ind w:left="389" w:hanging="389"/>
      </w:pPr>
      <w:r>
        <w:t xml:space="preserve">Karaca, C., Mensi, W., &amp; Gemici, E. (2025). Inverted U-shaped dynamics of capital structure and firm value: Evidence from an emerging market. </w:t>
      </w:r>
      <w:r>
        <w:rPr>
          <w:rStyle w:val="Emphasis"/>
        </w:rPr>
        <w:t>Borsa Istanbul Review, 25</w:t>
      </w:r>
      <w:r>
        <w:t xml:space="preserve">(5), 939–952. </w:t>
      </w:r>
      <w:hyperlink r:id="rId20">
        <w:r w:rsidR="00140B1A">
          <w:rPr>
            <w:color w:val="000000"/>
          </w:rPr>
          <w:t>https://doi.org/10.1016/j.bir.2025.05.010</w:t>
        </w:r>
      </w:hyperlink>
    </w:p>
    <w:p w14:paraId="7BB4C11A" w14:textId="77777777" w:rsidR="00140B1A" w:rsidRDefault="00000000">
      <w:pPr>
        <w:pStyle w:val="isselectedend"/>
        <w:spacing w:before="0" w:after="0"/>
        <w:ind w:left="389" w:hanging="389"/>
      </w:pPr>
      <w:r>
        <w:t xml:space="preserve">Kasmir. (2019). </w:t>
      </w:r>
      <w:r>
        <w:rPr>
          <w:rStyle w:val="Emphasis"/>
        </w:rPr>
        <w:t>Analisis laporan keuangan</w:t>
      </w:r>
      <w:r>
        <w:t xml:space="preserve">. RajaGrafindo Persada. </w:t>
      </w:r>
      <w:hyperlink r:id="rId21">
        <w:r w:rsidR="00140B1A">
          <w:rPr>
            <w:color w:val="000000"/>
          </w:rPr>
          <w:t>https://elibrary.bsi.ac.id/readbook/212915/analisis-laporan-keuangan</w:t>
        </w:r>
      </w:hyperlink>
    </w:p>
    <w:p w14:paraId="6060FD40" w14:textId="77777777" w:rsidR="00140B1A" w:rsidRDefault="00000000">
      <w:pPr>
        <w:pStyle w:val="isselectedend"/>
        <w:spacing w:before="0" w:after="0"/>
        <w:ind w:left="389" w:hanging="389"/>
      </w:pPr>
      <w:r>
        <w:t xml:space="preserve">Khalifaturofi’ah, S. O., &amp; Setiawan, R. (2025). Profitability’s impact on firm value in Indonesia’s real estate firms: A panel data investigation. </w:t>
      </w:r>
      <w:r>
        <w:rPr>
          <w:rStyle w:val="Emphasis"/>
        </w:rPr>
        <w:t>Property Management, 43</w:t>
      </w:r>
      <w:r>
        <w:t xml:space="preserve">(2), 169–186. </w:t>
      </w:r>
      <w:hyperlink r:id="rId22">
        <w:r w:rsidR="00140B1A">
          <w:rPr>
            <w:color w:val="000000"/>
          </w:rPr>
          <w:t>https://doi.org/10.1108/PM-08-2023-0082</w:t>
        </w:r>
      </w:hyperlink>
    </w:p>
    <w:p w14:paraId="03E0755E" w14:textId="77777777" w:rsidR="00140B1A" w:rsidRDefault="00000000">
      <w:pPr>
        <w:pStyle w:val="isselectedend"/>
        <w:spacing w:before="0" w:after="0"/>
        <w:ind w:left="389" w:hanging="389"/>
      </w:pPr>
      <w:r>
        <w:t xml:space="preserve">Kiymaz, H., Haque, S., &amp; Choudhury, A. A. (2024). Working capital management and firm performance: A comparative analysis of developed and emerging economies. </w:t>
      </w:r>
      <w:r>
        <w:rPr>
          <w:rStyle w:val="Emphasis"/>
        </w:rPr>
        <w:t>Borsa Istanbul Review, 24</w:t>
      </w:r>
      <w:r>
        <w:t xml:space="preserve">(3), 634–642. </w:t>
      </w:r>
      <w:hyperlink r:id="rId23">
        <w:r w:rsidR="00140B1A">
          <w:rPr>
            <w:color w:val="000000"/>
          </w:rPr>
          <w:t>https://doi.org/10.1016/j.bir.2024.03.004</w:t>
        </w:r>
      </w:hyperlink>
    </w:p>
    <w:p w14:paraId="550346F4" w14:textId="77777777" w:rsidR="00140B1A" w:rsidRDefault="00000000">
      <w:pPr>
        <w:pStyle w:val="isselectedend"/>
        <w:spacing w:before="0" w:after="0"/>
        <w:ind w:left="389" w:hanging="389"/>
      </w:pPr>
      <w:r>
        <w:t xml:space="preserve">Penman, S. H. (2013). </w:t>
      </w:r>
      <w:r>
        <w:rPr>
          <w:rStyle w:val="Emphasis"/>
        </w:rPr>
        <w:t>Financial statement analysis and security valuation</w:t>
      </w:r>
      <w:r>
        <w:t xml:space="preserve"> (5th ed.). McGraw-Hill Education. </w:t>
      </w:r>
      <w:hyperlink r:id="rId24">
        <w:r w:rsidR="00140B1A">
          <w:rPr>
            <w:color w:val="000000"/>
          </w:rPr>
          <w:t>https://www.mheducation.com/highered/product/financial-statement-analysis-and-security-valuation-penman.html</w:t>
        </w:r>
      </w:hyperlink>
    </w:p>
    <w:p w14:paraId="79C5D421" w14:textId="77777777" w:rsidR="00140B1A" w:rsidRDefault="00000000">
      <w:pPr>
        <w:pStyle w:val="isselectedend"/>
        <w:spacing w:before="0" w:after="0"/>
        <w:ind w:left="389" w:hanging="389"/>
      </w:pPr>
      <w:r>
        <w:t xml:space="preserve">Penrose, E. T. (1959). </w:t>
      </w:r>
      <w:r>
        <w:rPr>
          <w:rStyle w:val="Emphasis"/>
        </w:rPr>
        <w:t>The theory of the growth of the firm</w:t>
      </w:r>
      <w:r>
        <w:t xml:space="preserve">. Basil Blackwell. </w:t>
      </w:r>
      <w:hyperlink r:id="rId25">
        <w:r w:rsidR="00140B1A">
          <w:rPr>
            <w:color w:val="000000"/>
          </w:rPr>
          <w:t>https://global.oup.com/academic/product/the-theory-of-the-growth-of-the-firm-9780199573844</w:t>
        </w:r>
      </w:hyperlink>
    </w:p>
    <w:p w14:paraId="3567FFDB" w14:textId="77777777" w:rsidR="00140B1A" w:rsidRDefault="00000000">
      <w:pPr>
        <w:pStyle w:val="isselectedend"/>
        <w:spacing w:before="0" w:after="0"/>
        <w:ind w:left="389" w:hanging="389"/>
      </w:pPr>
      <w:r>
        <w:t xml:space="preserve">Rajan, R. G., &amp; Zingales, L. (1995). What do we know about capital structure? Some evidence from international data. </w:t>
      </w:r>
      <w:r>
        <w:rPr>
          <w:rStyle w:val="Emphasis"/>
        </w:rPr>
        <w:t>The Journal of Finance, 50</w:t>
      </w:r>
      <w:r>
        <w:t xml:space="preserve">(5), 1421–1460. </w:t>
      </w:r>
      <w:hyperlink r:id="rId26">
        <w:r w:rsidR="00140B1A">
          <w:rPr>
            <w:color w:val="000000"/>
          </w:rPr>
          <w:t>https://doi.org/10.1111/j.1540-6261.1995.tb05184.x</w:t>
        </w:r>
      </w:hyperlink>
    </w:p>
    <w:p w14:paraId="71CF56C9" w14:textId="77777777" w:rsidR="00140B1A" w:rsidRDefault="00000000">
      <w:pPr>
        <w:pStyle w:val="isselectedend"/>
        <w:spacing w:before="0" w:after="0"/>
        <w:ind w:left="389" w:hanging="389"/>
      </w:pPr>
      <w:r>
        <w:lastRenderedPageBreak/>
        <w:t xml:space="preserve">Ross, S. A. (1977). The determination of financial structure: The incentive-signalling approach. </w:t>
      </w:r>
      <w:r>
        <w:rPr>
          <w:rStyle w:val="Emphasis"/>
        </w:rPr>
        <w:t>The Bell Journal of Economics, 8</w:t>
      </w:r>
      <w:r>
        <w:t xml:space="preserve">(1), 23–40. </w:t>
      </w:r>
      <w:hyperlink r:id="rId27">
        <w:r w:rsidR="00140B1A">
          <w:rPr>
            <w:color w:val="000000"/>
          </w:rPr>
          <w:t>https://doi.org/10.2307/3003485</w:t>
        </w:r>
      </w:hyperlink>
    </w:p>
    <w:p w14:paraId="3A41623E" w14:textId="58A9BCE3" w:rsidR="00140B1A" w:rsidRDefault="00000000">
      <w:pPr>
        <w:pStyle w:val="isselectedend"/>
        <w:spacing w:before="0" w:after="0"/>
        <w:ind w:left="389" w:hanging="389"/>
      </w:pPr>
      <w:r>
        <w:t xml:space="preserve">Ross, S. A., Westerfield, R. W., Jaffe, J., &amp; Jordan, B. D. (2022). </w:t>
      </w:r>
      <w:r>
        <w:rPr>
          <w:rStyle w:val="Emphasis"/>
        </w:rPr>
        <w:t>Corporate finance</w:t>
      </w:r>
      <w:r>
        <w:t xml:space="preserve"> (13th ed.). McGraw Hill. </w:t>
      </w:r>
    </w:p>
    <w:p w14:paraId="7962BCDC" w14:textId="77777777" w:rsidR="00140B1A" w:rsidRDefault="00000000">
      <w:pPr>
        <w:pStyle w:val="isselectedend"/>
        <w:spacing w:before="0" w:after="0"/>
        <w:ind w:left="389" w:hanging="389"/>
      </w:pPr>
      <w:r>
        <w:t xml:space="preserve">Sekaran, U., &amp; Bougie, R. (2016). </w:t>
      </w:r>
      <w:r>
        <w:rPr>
          <w:rStyle w:val="Emphasis"/>
        </w:rPr>
        <w:t>Research methods for business: A skill-building approach</w:t>
      </w:r>
      <w:r>
        <w:t xml:space="preserve"> (7th ed.). Wiley. </w:t>
      </w:r>
      <w:hyperlink r:id="rId28">
        <w:r w:rsidR="00140B1A">
          <w:rPr>
            <w:color w:val="000000"/>
          </w:rPr>
          <w:t>https://bcs.wiley.com/he-bcs/Books?action=index&amp;bcsId=10380&amp;itemId=1119165555</w:t>
        </w:r>
      </w:hyperlink>
    </w:p>
    <w:p w14:paraId="5BF44A0B" w14:textId="77777777" w:rsidR="00140B1A" w:rsidRDefault="00000000">
      <w:pPr>
        <w:pStyle w:val="isselectedend"/>
        <w:spacing w:before="0" w:after="0"/>
        <w:ind w:left="389" w:hanging="389"/>
      </w:pPr>
      <w:r>
        <w:t xml:space="preserve">S&amp;P Global Market Intelligence. (n.d.). </w:t>
      </w:r>
      <w:r>
        <w:rPr>
          <w:rStyle w:val="Emphasis"/>
        </w:rPr>
        <w:t>S&amp;P Global Market Intelligence</w:t>
      </w:r>
      <w:r>
        <w:t xml:space="preserve">. Retrieved June 11, 2026, from </w:t>
      </w:r>
      <w:hyperlink r:id="rId29">
        <w:r w:rsidR="00140B1A">
          <w:rPr>
            <w:color w:val="000000"/>
          </w:rPr>
          <w:t>https://www.spglobal.com/marketintelligence/en/</w:t>
        </w:r>
      </w:hyperlink>
    </w:p>
    <w:p w14:paraId="45C9673B" w14:textId="77777777" w:rsidR="00140B1A" w:rsidRDefault="00000000">
      <w:pPr>
        <w:pStyle w:val="isselectedend"/>
        <w:spacing w:before="0" w:after="0"/>
        <w:ind w:left="389" w:hanging="389"/>
      </w:pPr>
      <w:r>
        <w:t xml:space="preserve">Spence, M. (1973). Job market signaling. </w:t>
      </w:r>
      <w:r>
        <w:rPr>
          <w:rStyle w:val="Emphasis"/>
        </w:rPr>
        <w:t>The Quarterly Journal of Economics, 87</w:t>
      </w:r>
      <w:r>
        <w:t xml:space="preserve">(3), 355–374. </w:t>
      </w:r>
      <w:hyperlink r:id="rId30">
        <w:r w:rsidR="00140B1A">
          <w:rPr>
            <w:color w:val="000000"/>
          </w:rPr>
          <w:t>https://doi.org/10.2307/1882010</w:t>
        </w:r>
      </w:hyperlink>
    </w:p>
    <w:p w14:paraId="5A8A171A" w14:textId="77777777" w:rsidR="00140B1A" w:rsidRDefault="00000000">
      <w:pPr>
        <w:pStyle w:val="isselectedend"/>
        <w:spacing w:before="0" w:after="0"/>
        <w:ind w:left="389" w:hanging="389"/>
      </w:pPr>
      <w:r>
        <w:t xml:space="preserve">StockAnalysis.com. (n.d.-a). </w:t>
      </w:r>
      <w:r>
        <w:rPr>
          <w:rStyle w:val="Emphasis"/>
        </w:rPr>
        <w:t>PT Cisarua Mountain Dairy Tbk (IDX: CMRY) stock price &amp; overview</w:t>
      </w:r>
      <w:r>
        <w:t xml:space="preserve">. Retrieved June 11, 2026, from </w:t>
      </w:r>
      <w:hyperlink r:id="rId31">
        <w:r w:rsidR="00140B1A">
          <w:rPr>
            <w:color w:val="000000"/>
          </w:rPr>
          <w:t>https://stockanalysis.com/quote/idx/CMRY/</w:t>
        </w:r>
      </w:hyperlink>
    </w:p>
    <w:p w14:paraId="7EA52406" w14:textId="77777777" w:rsidR="00140B1A" w:rsidRDefault="00000000">
      <w:pPr>
        <w:pStyle w:val="isselectedend"/>
        <w:spacing w:before="0" w:after="0"/>
        <w:ind w:left="389" w:hanging="389"/>
      </w:pPr>
      <w:r>
        <w:t xml:space="preserve">StockAnalysis.com. (n.d.-b). </w:t>
      </w:r>
      <w:r>
        <w:rPr>
          <w:rStyle w:val="Emphasis"/>
        </w:rPr>
        <w:t>PT Garudafood Putra Putri Jaya Tbk (IDX: GOOD) stock price &amp; overview</w:t>
      </w:r>
      <w:r>
        <w:t xml:space="preserve">. Retrieved June 11, 2026, from </w:t>
      </w:r>
      <w:hyperlink r:id="rId32">
        <w:r w:rsidR="00140B1A">
          <w:rPr>
            <w:color w:val="000000"/>
          </w:rPr>
          <w:t>https://stockanalysis.com/quote/idx/GOOD/</w:t>
        </w:r>
      </w:hyperlink>
    </w:p>
    <w:p w14:paraId="2063E362" w14:textId="77777777" w:rsidR="00140B1A" w:rsidRDefault="00000000">
      <w:pPr>
        <w:pStyle w:val="isselectedend"/>
        <w:spacing w:before="0" w:after="0"/>
        <w:ind w:left="389" w:hanging="389"/>
      </w:pPr>
      <w:r>
        <w:t xml:space="preserve">StockAnalysis.com. (n.d.-c). </w:t>
      </w:r>
      <w:r>
        <w:rPr>
          <w:rStyle w:val="Emphasis"/>
        </w:rPr>
        <w:t>PT Indofood CBP Sukses Makmur Tbk (IDX: ICBP) stock price &amp; overview</w:t>
      </w:r>
      <w:r>
        <w:t xml:space="preserve">. Retrieved June 11, 2026, from </w:t>
      </w:r>
      <w:hyperlink r:id="rId33">
        <w:r w:rsidR="00140B1A">
          <w:rPr>
            <w:color w:val="000000"/>
          </w:rPr>
          <w:t>https://stockanalysis.com/quote/idx/ICBP/</w:t>
        </w:r>
      </w:hyperlink>
    </w:p>
    <w:p w14:paraId="3316DAFA" w14:textId="77777777" w:rsidR="00140B1A" w:rsidRDefault="00000000">
      <w:pPr>
        <w:pStyle w:val="isselectedend"/>
        <w:spacing w:before="0" w:after="0"/>
        <w:ind w:left="389" w:hanging="389"/>
      </w:pPr>
      <w:r>
        <w:t xml:space="preserve">StockAnalysis.com. (n.d.-d). </w:t>
      </w:r>
      <w:r>
        <w:rPr>
          <w:rStyle w:val="Emphasis"/>
        </w:rPr>
        <w:t>PT Indofood Sukses Makmur Tbk (IDX: INDF) stock price &amp; overview</w:t>
      </w:r>
      <w:r>
        <w:t xml:space="preserve">. Retrieved June 11, 2026, from </w:t>
      </w:r>
      <w:hyperlink r:id="rId34">
        <w:r w:rsidR="00140B1A">
          <w:rPr>
            <w:color w:val="000000"/>
          </w:rPr>
          <w:t>https://stockanalysis.com/quote/idx/INDF/</w:t>
        </w:r>
      </w:hyperlink>
    </w:p>
    <w:p w14:paraId="0EDB8164" w14:textId="77777777" w:rsidR="00140B1A" w:rsidRDefault="00000000">
      <w:pPr>
        <w:pStyle w:val="isselectedend"/>
        <w:spacing w:before="0" w:after="0"/>
        <w:ind w:left="389" w:hanging="389"/>
      </w:pPr>
      <w:r>
        <w:t xml:space="preserve">StockAnalysis.com. (n.d.-e). </w:t>
      </w:r>
      <w:r>
        <w:rPr>
          <w:rStyle w:val="Emphasis"/>
        </w:rPr>
        <w:t>PT Nippon Indosari Corpindo Tbk (IDX: ROTI) stock price &amp; overview</w:t>
      </w:r>
      <w:r>
        <w:t xml:space="preserve">. Retrieved June 11, 2026, from </w:t>
      </w:r>
      <w:hyperlink r:id="rId35">
        <w:r w:rsidR="00140B1A">
          <w:rPr>
            <w:color w:val="000000"/>
          </w:rPr>
          <w:t>https://stockanalysis.com/quote/idx/ROTI/</w:t>
        </w:r>
      </w:hyperlink>
    </w:p>
    <w:p w14:paraId="15FF8145" w14:textId="77777777" w:rsidR="00140B1A" w:rsidRDefault="00000000">
      <w:pPr>
        <w:pStyle w:val="isselectedend"/>
        <w:spacing w:before="0" w:after="0"/>
        <w:ind w:left="389" w:hanging="389"/>
      </w:pPr>
      <w:r>
        <w:t xml:space="preserve">StockAnalysis.com. (n.d.-f). </w:t>
      </w:r>
      <w:r>
        <w:rPr>
          <w:rStyle w:val="Emphasis"/>
        </w:rPr>
        <w:t>PT Sumber Alfaria Trijaya Tbk (IDX: AMRT) stock price &amp; overview</w:t>
      </w:r>
      <w:r>
        <w:t xml:space="preserve">. Retrieved June 11, 2026, from </w:t>
      </w:r>
      <w:hyperlink r:id="rId36">
        <w:r w:rsidR="00140B1A">
          <w:rPr>
            <w:color w:val="000000"/>
          </w:rPr>
          <w:t>https://stockanalysis.com/quote/idx/AMRT/</w:t>
        </w:r>
      </w:hyperlink>
    </w:p>
    <w:p w14:paraId="060EE06E" w14:textId="77777777" w:rsidR="00140B1A" w:rsidRDefault="00000000">
      <w:pPr>
        <w:pStyle w:val="isselectedend"/>
        <w:spacing w:before="0" w:after="0"/>
        <w:ind w:left="389" w:hanging="389"/>
      </w:pPr>
      <w:r>
        <w:t xml:space="preserve">StockAnalysis.com. (n.d.-g). </w:t>
      </w:r>
      <w:r>
        <w:rPr>
          <w:rStyle w:val="Emphasis"/>
        </w:rPr>
        <w:t>PT Ultrajaya Milk Industry &amp; Trading Company Tbk (IDX: ULTJ) stock price &amp; overview</w:t>
      </w:r>
      <w:r>
        <w:t xml:space="preserve">. Retrieved June 11, 2026, from </w:t>
      </w:r>
      <w:hyperlink r:id="rId37">
        <w:r w:rsidR="00140B1A">
          <w:rPr>
            <w:color w:val="000000"/>
          </w:rPr>
          <w:t>https://stockanalysis.com/quote/idx/ULTJ/</w:t>
        </w:r>
      </w:hyperlink>
    </w:p>
    <w:p w14:paraId="03C47D75" w14:textId="77777777" w:rsidR="00140B1A" w:rsidRDefault="00000000">
      <w:pPr>
        <w:pStyle w:val="isselectedend"/>
        <w:spacing w:before="0" w:after="0"/>
        <w:ind w:left="389" w:hanging="389"/>
      </w:pPr>
      <w:r>
        <w:t xml:space="preserve">StockAnalysis.com. (n.d.-h). </w:t>
      </w:r>
      <w:r>
        <w:rPr>
          <w:rStyle w:val="Emphasis"/>
        </w:rPr>
        <w:t>PT Unilever Indonesia Tbk (IDX: UNVR) stock price &amp; overview</w:t>
      </w:r>
      <w:r>
        <w:t xml:space="preserve">. Retrieved June 11, 2026, from </w:t>
      </w:r>
      <w:hyperlink r:id="rId38">
        <w:r w:rsidR="00140B1A">
          <w:rPr>
            <w:color w:val="000000"/>
          </w:rPr>
          <w:t>https://stockanalysis.com/quote/idx/UNVR/</w:t>
        </w:r>
      </w:hyperlink>
    </w:p>
    <w:p w14:paraId="240DAC66" w14:textId="77777777" w:rsidR="00140B1A" w:rsidRDefault="00000000">
      <w:pPr>
        <w:pStyle w:val="isselectedend"/>
        <w:spacing w:before="0" w:after="0"/>
        <w:ind w:left="389" w:hanging="389"/>
      </w:pPr>
      <w:r>
        <w:t xml:space="preserve">Sulistiyo, H., Sitawati, R., &amp; Sutono. (2025). The role of company size moderating the effect of capital structure and profitability to firm value in consumer non-cyclicals businesses on the Indonesian Stock Exchange. </w:t>
      </w:r>
      <w:r>
        <w:rPr>
          <w:rStyle w:val="Emphasis"/>
        </w:rPr>
        <w:t>Asian Journal of Economics, Business and Accounting, 25</w:t>
      </w:r>
      <w:r>
        <w:t xml:space="preserve">(1), 222–231. </w:t>
      </w:r>
      <w:hyperlink r:id="rId39">
        <w:r w:rsidR="00140B1A">
          <w:rPr>
            <w:color w:val="000000"/>
          </w:rPr>
          <w:t>https://doi.org/10.9734/ajeba/2025/v25i11644</w:t>
        </w:r>
      </w:hyperlink>
    </w:p>
    <w:p w14:paraId="3B9B960E" w14:textId="77777777" w:rsidR="00140B1A" w:rsidRDefault="00000000">
      <w:pPr>
        <w:pStyle w:val="isselectedend"/>
        <w:spacing w:before="0" w:after="0"/>
        <w:ind w:left="389" w:hanging="389"/>
      </w:pPr>
      <w:r>
        <w:t xml:space="preserve">Wooldridge, J. M. (2010). </w:t>
      </w:r>
      <w:r>
        <w:rPr>
          <w:rStyle w:val="Emphasis"/>
        </w:rPr>
        <w:t>Econometric analysis of cross section and panel data</w:t>
      </w:r>
      <w:r>
        <w:t xml:space="preserve"> (2nd ed.). MIT Press. </w:t>
      </w:r>
      <w:hyperlink r:id="rId40">
        <w:r w:rsidR="00140B1A">
          <w:rPr>
            <w:color w:val="000000"/>
          </w:rPr>
          <w:t>https://mitpress.mit.edu/9780262232586/econometric-analysis-of-cross-section-and-panel-data/</w:t>
        </w:r>
      </w:hyperlink>
    </w:p>
    <w:sectPr w:rsidR="00140B1A">
      <w:pgSz w:w="12240" w:h="15840"/>
      <w:pgMar w:top="800" w:right="720" w:bottom="900" w:left="720" w:header="0" w:footer="66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953A5" w14:textId="77777777" w:rsidR="004C1C8F" w:rsidRDefault="004C1C8F">
      <w:r>
        <w:separator/>
      </w:r>
    </w:p>
  </w:endnote>
  <w:endnote w:type="continuationSeparator" w:id="0">
    <w:p w14:paraId="28E11D2A" w14:textId="77777777" w:rsidR="004C1C8F" w:rsidRDefault="004C1C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76371" w14:textId="77777777" w:rsidR="00ED08FF" w:rsidRDefault="00000000">
    <w:pPr>
      <w:pStyle w:val="BodyText"/>
      <w:spacing w:before="0" w:line="14" w:lineRule="auto"/>
      <w:ind w:left="0"/>
      <w:rPr>
        <w:sz w:val="15"/>
      </w:rPr>
    </w:pPr>
    <w:r>
      <w:rPr>
        <w:noProof/>
        <w:sz w:val="15"/>
      </w:rPr>
      <mc:AlternateContent>
        <mc:Choice Requires="wps">
          <w:drawing>
            <wp:anchor distT="0" distB="0" distL="0" distR="0" simplePos="0" relativeHeight="486551040" behindDoc="1" locked="0" layoutInCell="1" allowOverlap="1" wp14:anchorId="4A010FEF" wp14:editId="25CD1B0B">
              <wp:simplePos x="0" y="0"/>
              <wp:positionH relativeFrom="page">
                <wp:posOffset>3817620</wp:posOffset>
              </wp:positionH>
              <wp:positionV relativeFrom="page">
                <wp:posOffset>9461880</wp:posOffset>
              </wp:positionV>
              <wp:extent cx="139700" cy="1524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152400"/>
                      </a:xfrm>
                      <a:prstGeom prst="rect">
                        <a:avLst/>
                      </a:prstGeom>
                    </wps:spPr>
                    <wps:txbx>
                      <w:txbxContent>
                        <w:p w14:paraId="7B7EB209" w14:textId="77777777" w:rsidR="00ED08FF" w:rsidRDefault="00000000">
                          <w:pPr>
                            <w:pStyle w:val="BodyText"/>
                            <w:spacing w:before="12"/>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4A010FEF" id="_x0000_t202" coordsize="21600,21600" o:spt="202" path="m,l,21600r21600,l21600,xe">
              <v:stroke joinstyle="miter"/>
              <v:path gradientshapeok="t" o:connecttype="rect"/>
            </v:shapetype>
            <v:shape id="Textbox 1" o:spid="_x0000_s1029" type="#_x0000_t202" style="position:absolute;margin-left:300.6pt;margin-top:745.05pt;width:11pt;height:12pt;z-index:-16765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" filled="f" stroked="f">
              <v:textbox inset="0,0,0,0">
                <w:txbxContent>
                  <w:p w14:paraId="7B7EB209" w14:textId="77777777" w:rsidR="00ED08FF" w:rsidRDefault="00000000">
                    <w:pPr>
                      <w:pStyle w:val="BodyText"/>
                      <w:spacing w:before="12"/>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625FD" w14:textId="77777777" w:rsidR="004C1C8F" w:rsidRDefault="004C1C8F">
      <w:r>
        <w:separator/>
      </w:r>
    </w:p>
  </w:footnote>
  <w:footnote w:type="continuationSeparator" w:id="0">
    <w:p w14:paraId="74F67113" w14:textId="77777777" w:rsidR="004C1C8F" w:rsidRDefault="004C1C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034E7E"/>
    <w:multiLevelType w:val="multilevel"/>
    <w:tmpl w:val="70BE9B90"/>
    <w:lvl w:ilvl="0">
      <w:start w:val="1"/>
      <w:numFmt w:val="decimal"/>
      <w:lvlText w:val="%1.0"/>
      <w:lvlJc w:val="left"/>
      <w:pPr>
        <w:ind w:left="416" w:hanging="270"/>
      </w:pPr>
      <w:rPr>
        <w:rFonts w:ascii="Times New Roman" w:eastAsia="Times New Roman" w:hAnsi="Times New Roman" w:cs="Times New Roman" w:hint="default"/>
        <w:b/>
        <w:bCs/>
        <w:i w:val="0"/>
        <w:iCs w:val="0"/>
        <w:spacing w:val="0"/>
        <w:w w:val="100"/>
        <w:sz w:val="18"/>
        <w:szCs w:val="18"/>
        <w:lang w:val="en-US" w:eastAsia="en-US" w:bidi="ar-SA"/>
      </w:rPr>
    </w:lvl>
    <w:lvl w:ilvl="1">
      <w:start w:val="1"/>
      <w:numFmt w:val="decimal"/>
      <w:lvlText w:val="%1.%2"/>
      <w:lvlJc w:val="left"/>
      <w:pPr>
        <w:ind w:left="416" w:hanging="270"/>
      </w:pPr>
      <w:rPr>
        <w:rFonts w:ascii="Times New Roman" w:eastAsia="Times New Roman" w:hAnsi="Times New Roman" w:cs="Times New Roman" w:hint="default"/>
        <w:b/>
        <w:bCs/>
        <w:i w:val="0"/>
        <w:iCs w:val="0"/>
        <w:spacing w:val="0"/>
        <w:w w:val="100"/>
        <w:sz w:val="18"/>
        <w:szCs w:val="18"/>
        <w:lang w:val="en-US" w:eastAsia="en-US" w:bidi="ar-SA"/>
      </w:rPr>
    </w:lvl>
    <w:lvl w:ilvl="2">
      <w:numFmt w:val="bullet"/>
      <w:lvlText w:val="•"/>
      <w:lvlJc w:val="left"/>
      <w:pPr>
        <w:ind w:left="2496" w:hanging="270"/>
      </w:pPr>
      <w:rPr>
        <w:rFonts w:hint="default"/>
        <w:lang w:val="en-US" w:eastAsia="en-US" w:bidi="ar-SA"/>
      </w:rPr>
    </w:lvl>
    <w:lvl w:ilvl="3">
      <w:numFmt w:val="bullet"/>
      <w:lvlText w:val="•"/>
      <w:lvlJc w:val="left"/>
      <w:pPr>
        <w:ind w:left="3534" w:hanging="270"/>
      </w:pPr>
      <w:rPr>
        <w:rFonts w:hint="default"/>
        <w:lang w:val="en-US" w:eastAsia="en-US" w:bidi="ar-SA"/>
      </w:rPr>
    </w:lvl>
    <w:lvl w:ilvl="4">
      <w:numFmt w:val="bullet"/>
      <w:lvlText w:val="•"/>
      <w:lvlJc w:val="left"/>
      <w:pPr>
        <w:ind w:left="4572" w:hanging="270"/>
      </w:pPr>
      <w:rPr>
        <w:rFonts w:hint="default"/>
        <w:lang w:val="en-US" w:eastAsia="en-US" w:bidi="ar-SA"/>
      </w:rPr>
    </w:lvl>
    <w:lvl w:ilvl="5">
      <w:numFmt w:val="bullet"/>
      <w:lvlText w:val="•"/>
      <w:lvlJc w:val="left"/>
      <w:pPr>
        <w:ind w:left="5610" w:hanging="270"/>
      </w:pPr>
      <w:rPr>
        <w:rFonts w:hint="default"/>
        <w:lang w:val="en-US" w:eastAsia="en-US" w:bidi="ar-SA"/>
      </w:rPr>
    </w:lvl>
    <w:lvl w:ilvl="6">
      <w:numFmt w:val="bullet"/>
      <w:lvlText w:val="•"/>
      <w:lvlJc w:val="left"/>
      <w:pPr>
        <w:ind w:left="6648" w:hanging="270"/>
      </w:pPr>
      <w:rPr>
        <w:rFonts w:hint="default"/>
        <w:lang w:val="en-US" w:eastAsia="en-US" w:bidi="ar-SA"/>
      </w:rPr>
    </w:lvl>
    <w:lvl w:ilvl="7">
      <w:numFmt w:val="bullet"/>
      <w:lvlText w:val="•"/>
      <w:lvlJc w:val="left"/>
      <w:pPr>
        <w:ind w:left="7686" w:hanging="270"/>
      </w:pPr>
      <w:rPr>
        <w:rFonts w:hint="default"/>
        <w:lang w:val="en-US" w:eastAsia="en-US" w:bidi="ar-SA"/>
      </w:rPr>
    </w:lvl>
    <w:lvl w:ilvl="8">
      <w:numFmt w:val="bullet"/>
      <w:lvlText w:val="•"/>
      <w:lvlJc w:val="left"/>
      <w:pPr>
        <w:ind w:left="8724" w:hanging="270"/>
      </w:pPr>
      <w:rPr>
        <w:rFonts w:hint="default"/>
        <w:lang w:val="en-US" w:eastAsia="en-US" w:bidi="ar-SA"/>
      </w:rPr>
    </w:lvl>
  </w:abstractNum>
  <w:abstractNum w:abstractNumId="1" w15:restartNumberingAfterBreak="0">
    <w:nsid w:val="5C615132"/>
    <w:multiLevelType w:val="hybridMultilevel"/>
    <w:tmpl w:val="56C8D0A4"/>
    <w:lvl w:ilvl="0" w:tplc="0409000F">
      <w:start w:val="1"/>
      <w:numFmt w:val="decimal"/>
      <w:lvlText w:val="%1."/>
      <w:lvlJc w:val="left"/>
      <w:pPr>
        <w:ind w:left="865" w:hanging="360"/>
      </w:pPr>
    </w:lvl>
    <w:lvl w:ilvl="1" w:tplc="04090019" w:tentative="1">
      <w:start w:val="1"/>
      <w:numFmt w:val="lowerLetter"/>
      <w:lvlText w:val="%2."/>
      <w:lvlJc w:val="left"/>
      <w:pPr>
        <w:ind w:left="1585" w:hanging="360"/>
      </w:pPr>
    </w:lvl>
    <w:lvl w:ilvl="2" w:tplc="0409001B" w:tentative="1">
      <w:start w:val="1"/>
      <w:numFmt w:val="lowerRoman"/>
      <w:lvlText w:val="%3."/>
      <w:lvlJc w:val="right"/>
      <w:pPr>
        <w:ind w:left="2305" w:hanging="180"/>
      </w:pPr>
    </w:lvl>
    <w:lvl w:ilvl="3" w:tplc="0409000F" w:tentative="1">
      <w:start w:val="1"/>
      <w:numFmt w:val="decimal"/>
      <w:lvlText w:val="%4."/>
      <w:lvlJc w:val="left"/>
      <w:pPr>
        <w:ind w:left="3025" w:hanging="360"/>
      </w:pPr>
    </w:lvl>
    <w:lvl w:ilvl="4" w:tplc="04090019" w:tentative="1">
      <w:start w:val="1"/>
      <w:numFmt w:val="lowerLetter"/>
      <w:lvlText w:val="%5."/>
      <w:lvlJc w:val="left"/>
      <w:pPr>
        <w:ind w:left="3745" w:hanging="360"/>
      </w:pPr>
    </w:lvl>
    <w:lvl w:ilvl="5" w:tplc="0409001B" w:tentative="1">
      <w:start w:val="1"/>
      <w:numFmt w:val="lowerRoman"/>
      <w:lvlText w:val="%6."/>
      <w:lvlJc w:val="right"/>
      <w:pPr>
        <w:ind w:left="4465" w:hanging="180"/>
      </w:pPr>
    </w:lvl>
    <w:lvl w:ilvl="6" w:tplc="0409000F" w:tentative="1">
      <w:start w:val="1"/>
      <w:numFmt w:val="decimal"/>
      <w:lvlText w:val="%7."/>
      <w:lvlJc w:val="left"/>
      <w:pPr>
        <w:ind w:left="5185" w:hanging="360"/>
      </w:pPr>
    </w:lvl>
    <w:lvl w:ilvl="7" w:tplc="04090019" w:tentative="1">
      <w:start w:val="1"/>
      <w:numFmt w:val="lowerLetter"/>
      <w:lvlText w:val="%8."/>
      <w:lvlJc w:val="left"/>
      <w:pPr>
        <w:ind w:left="5905" w:hanging="360"/>
      </w:pPr>
    </w:lvl>
    <w:lvl w:ilvl="8" w:tplc="0409001B" w:tentative="1">
      <w:start w:val="1"/>
      <w:numFmt w:val="lowerRoman"/>
      <w:lvlText w:val="%9."/>
      <w:lvlJc w:val="right"/>
      <w:pPr>
        <w:ind w:left="6625" w:hanging="180"/>
      </w:pPr>
    </w:lvl>
  </w:abstractNum>
  <w:num w:numId="1" w16cid:durableId="1278871033">
    <w:abstractNumId w:val="0"/>
  </w:num>
  <w:num w:numId="2" w16cid:durableId="559772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D08FF"/>
    <w:rsid w:val="000B0822"/>
    <w:rsid w:val="00140B1A"/>
    <w:rsid w:val="00345F83"/>
    <w:rsid w:val="0035192F"/>
    <w:rsid w:val="003C67F1"/>
    <w:rsid w:val="00484A79"/>
    <w:rsid w:val="004C1C8F"/>
    <w:rsid w:val="00575CBC"/>
    <w:rsid w:val="005E4270"/>
    <w:rsid w:val="005E527E"/>
    <w:rsid w:val="0065647C"/>
    <w:rsid w:val="00B07160"/>
    <w:rsid w:val="00B813D9"/>
    <w:rsid w:val="00BA000D"/>
    <w:rsid w:val="00D770F2"/>
    <w:rsid w:val="00ED08FF"/>
    <w:rsid w:val="00F314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F458A"/>
  <w15:docId w15:val="{7BB1A4D4-4645-4FD2-A953-E80F33BBD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415" w:hanging="270"/>
      <w:outlineLvl w:val="0"/>
    </w:pPr>
    <w:rPr>
      <w:b/>
      <w:bCs/>
      <w:sz w:val="18"/>
      <w:szCs w:val="18"/>
    </w:rPr>
  </w:style>
  <w:style w:type="paragraph" w:styleId="Heading2">
    <w:name w:val="heading 2"/>
    <w:basedOn w:val="Normal"/>
    <w:uiPriority w:val="9"/>
    <w:unhideWhenUsed/>
    <w:qFormat/>
    <w:pPr>
      <w:ind w:left="415"/>
      <w:outlineLvl w:val="1"/>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ind w:left="145"/>
    </w:pPr>
    <w:rPr>
      <w:sz w:val="18"/>
      <w:szCs w:val="18"/>
    </w:rPr>
  </w:style>
  <w:style w:type="paragraph" w:styleId="ListParagraph">
    <w:name w:val="List Paragraph"/>
    <w:basedOn w:val="Normal"/>
    <w:uiPriority w:val="1"/>
    <w:qFormat/>
    <w:pPr>
      <w:ind w:left="415" w:hanging="270"/>
    </w:pPr>
  </w:style>
  <w:style w:type="paragraph" w:customStyle="1" w:styleId="TableParagraph">
    <w:name w:val="Table Paragraph"/>
    <w:basedOn w:val="Normal"/>
    <w:uiPriority w:val="1"/>
    <w:qFormat/>
    <w:pPr>
      <w:spacing w:line="127" w:lineRule="exact"/>
      <w:jc w:val="center"/>
    </w:pPr>
    <w:rPr>
      <w:rFonts w:ascii="Courier New" w:eastAsia="Courier New" w:hAnsi="Courier New" w:cs="Courier New"/>
    </w:rPr>
  </w:style>
  <w:style w:type="paragraph" w:customStyle="1" w:styleId="isselectedend">
    <w:name w:val="isselectedend"/>
    <w:basedOn w:val="Normal"/>
    <w:rsid w:val="00BA000D"/>
    <w:pPr>
      <w:widowControl/>
      <w:autoSpaceDE/>
      <w:autoSpaceDN/>
      <w:spacing w:before="100" w:beforeAutospacing="1" w:after="100" w:afterAutospacing="1"/>
    </w:pPr>
    <w:rPr>
      <w:sz w:val="24"/>
      <w:szCs w:val="24"/>
    </w:rPr>
  </w:style>
  <w:style w:type="character" w:styleId="Emphasis">
    <w:name w:val="Emphasis"/>
    <w:basedOn w:val="DefaultParagraphFont"/>
    <w:uiPriority w:val="20"/>
    <w:qFormat/>
    <w:rsid w:val="00BA000D"/>
    <w:rPr>
      <w:i/>
      <w:iCs/>
    </w:rPr>
  </w:style>
  <w:style w:type="character" w:styleId="Hyperlink">
    <w:name w:val="Hyperlink"/>
    <w:basedOn w:val="DefaultParagraphFont"/>
    <w:uiPriority w:val="99"/>
    <w:semiHidden/>
    <w:unhideWhenUsed/>
    <w:rsid w:val="00BA000D"/>
    <w:rPr>
      <w:color w:val="0000FF"/>
      <w:u w:val="single"/>
    </w:rPr>
  </w:style>
  <w:style w:type="character" w:styleId="Strong">
    <w:name w:val="Strong"/>
    <w:basedOn w:val="DefaultParagraphFont"/>
    <w:uiPriority w:val="22"/>
    <w:qFormat/>
    <w:rsid w:val="00BA000D"/>
    <w:rPr>
      <w:b/>
      <w:bCs/>
    </w:rPr>
  </w:style>
  <w:style w:type="character" w:customStyle="1" w:styleId="text-token-text-primary">
    <w:name w:val="text-token-text-primary"/>
    <w:basedOn w:val="DefaultParagraphFont"/>
    <w:rsid w:val="00BA000D"/>
  </w:style>
  <w:style w:type="paragraph" w:styleId="NormalWeb">
    <w:name w:val="Normal (Web)"/>
    <w:basedOn w:val="Normal"/>
    <w:uiPriority w:val="99"/>
    <w:semiHidden/>
    <w:unhideWhenUsed/>
    <w:rsid w:val="00BA000D"/>
    <w:pPr>
      <w:widowControl/>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www.idx.co.id/" TargetMode="External"/><Relationship Id="rId26" Type="http://schemas.openxmlformats.org/officeDocument/2006/relationships/hyperlink" Target="https://doi.org/10.1111/j.1540-6261.1995.tb05184.x" TargetMode="External"/><Relationship Id="rId39" Type="http://schemas.openxmlformats.org/officeDocument/2006/relationships/hyperlink" Target="https://doi.org/10.9734/ajeba/2025/v25i11644" TargetMode="External"/><Relationship Id="rId21" Type="http://schemas.openxmlformats.org/officeDocument/2006/relationships/hyperlink" Target="https://elibrary.bsi.ac.id/readbook/212915/analisis-laporan-keuangan" TargetMode="External"/><Relationship Id="rId34" Type="http://schemas.openxmlformats.org/officeDocument/2006/relationships/hyperlink" Target="https://stockanalysis.com/quote/idx/INDF/" TargetMode="External"/><Relationship Id="rId42" Type="http://schemas.openxmlformats.org/officeDocument/2006/relationships/theme" Target="theme/theme1.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doi.org/10.1111/j.1540-6261.1992.tb04398.x" TargetMode="External"/><Relationship Id="rId20" Type="http://schemas.openxmlformats.org/officeDocument/2006/relationships/hyperlink" Target="https://doi.org/10.1016/j.bir.2025.05.010" TargetMode="External"/><Relationship Id="rId29" Type="http://schemas.openxmlformats.org/officeDocument/2006/relationships/hyperlink" Target="https://www.spglobal.com/marketintelligence/en/"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s://www.mheducation.com/highered/product/financial-statement-analysis-and-security-valuation-penman.html" TargetMode="External"/><Relationship Id="rId32" Type="http://schemas.openxmlformats.org/officeDocument/2006/relationships/hyperlink" Target="https://stockanalysis.com/quote/idx/GOOD/" TargetMode="External"/><Relationship Id="rId37" Type="http://schemas.openxmlformats.org/officeDocument/2006/relationships/hyperlink" Target="https://stockanalysis.com/quote/idx/ULTJ/" TargetMode="External"/><Relationship Id="rId40" Type="http://schemas.openxmlformats.org/officeDocument/2006/relationships/hyperlink" Target="https://mitpress.mit.edu/9780262232586/econometric-analysis-of-cross-section-and-panel-data/" TargetMode="External"/><Relationship Id="rId5" Type="http://schemas.openxmlformats.org/officeDocument/2006/relationships/footnotes" Target="footnotes.xml"/><Relationship Id="rId15" Type="http://schemas.openxmlformats.org/officeDocument/2006/relationships/hyperlink" Target="https://pages.stern.nyu.edu/~adamodar/New_Home_Page/Inv3ed.htm" TargetMode="External"/><Relationship Id="rId23" Type="http://schemas.openxmlformats.org/officeDocument/2006/relationships/hyperlink" Target="https://doi.org/10.1016/j.bir.2024.03.004" TargetMode="External"/><Relationship Id="rId28" Type="http://schemas.openxmlformats.org/officeDocument/2006/relationships/hyperlink" Target="https://bcs.wiley.com/he-bcs/Books?action=index&amp;bcsId=10380&amp;itemId=1119165555" TargetMode="External"/><Relationship Id="rId36" Type="http://schemas.openxmlformats.org/officeDocument/2006/relationships/hyperlink" Target="https://stockanalysis.com/quote/idx/AMRT/" TargetMode="External"/><Relationship Id="rId10" Type="http://schemas.openxmlformats.org/officeDocument/2006/relationships/image" Target="media/image3.png"/><Relationship Id="rId19" Type="http://schemas.openxmlformats.org/officeDocument/2006/relationships/hyperlink" Target="https://doi.org/10.1016/0304-405X(76)90026-X" TargetMode="External"/><Relationship Id="rId31" Type="http://schemas.openxmlformats.org/officeDocument/2006/relationships/hyperlink" Target="https://stockanalysis.com/quote/idx/CMRY/"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oi.org/10.56557/ajefm/2026/v8i1350" TargetMode="External"/><Relationship Id="rId22" Type="http://schemas.openxmlformats.org/officeDocument/2006/relationships/hyperlink" Target="https://doi.org/10.1108/PM-08-2023-0082" TargetMode="External"/><Relationship Id="rId27" Type="http://schemas.openxmlformats.org/officeDocument/2006/relationships/hyperlink" Target="https://doi.org/10.2307/3003485" TargetMode="External"/><Relationship Id="rId30" Type="http://schemas.openxmlformats.org/officeDocument/2006/relationships/hyperlink" Target="https://doi.org/10.2307/1882010" TargetMode="External"/><Relationship Id="rId35" Type="http://schemas.openxmlformats.org/officeDocument/2006/relationships/hyperlink" Target="https://stockanalysis.com/quote/idx/ROTI/" TargetMode="External"/><Relationship Id="rId8" Type="http://schemas.openxmlformats.org/officeDocument/2006/relationships/image" Target="media/image1.png"/><Relationship Id="rId3"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hyperlink" Target="https://opac.perpusnas.go.id/DetailOpac.aspx?id=1171856" TargetMode="External"/><Relationship Id="rId25" Type="http://schemas.openxmlformats.org/officeDocument/2006/relationships/hyperlink" Target="https://global.oup.com/academic/product/the-theory-of-the-growth-of-the-firm-9780199573844" TargetMode="External"/><Relationship Id="rId33" Type="http://schemas.openxmlformats.org/officeDocument/2006/relationships/hyperlink" Target="https://stockanalysis.com/quote/idx/ICBP/" TargetMode="External"/><Relationship Id="rId38" Type="http://schemas.openxmlformats.org/officeDocument/2006/relationships/hyperlink" Target="https://stockanalysis.com/quote/idx/UNV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22</Pages>
  <Words>13235</Words>
  <Characters>75446</Characters>
  <Application>Microsoft Office Word</Application>
  <DocSecurity>0</DocSecurity>
  <Lines>628</Lines>
  <Paragraphs>177</Paragraphs>
  <ScaleCrop>false</ScaleCrop>
  <Company/>
  <LinksUpToDate>false</LinksUpToDate>
  <CharactersWithSpaces>88504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cp:lastModifiedBy>SDI CPU 1117</cp:lastModifiedBy>
  <cp:revision>6</cp:revision>
  <dcterms:created xsi:type="dcterms:W3CDTF">2026-07-15T12:14:00Z</dcterms:created>
  <dcterms:modified xsi:type="dcterms:W3CDTF">2026-07-16T04:56:00Z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2013-12-23T00:00:00Z</vt:filetime>
  </property>
  <property fmtid="{D5CDD505-2E9C-101B-9397-08002B2CF9AE}" pid="4" name="Creator">
    <vt:lpwstr>Writer</vt:lpwstr>
  </property>
  <property fmtid="{D5CDD505-2E9C-101B-9397-08002B2CF9AE}" pid="5" name="Producer">
    <vt:lpwstr>LibreOffice 25.2.3.2 (X86_64) / LibreOffice Community</vt:lpwstr>
  </property>
  <property fmtid="{D5CDD505-2E9C-101B-9397-08002B2CF9AE}" pid="6" name="LastSaved">
    <vt:filetime>2013-12-23T00:00:00Z</vt:filetime>
  </property>
</Properties>
</file>