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ABBE" w14:textId="77777777" w:rsidR="00132AB2" w:rsidRPr="00132AB2" w:rsidRDefault="00132AB2" w:rsidP="00AB7AFF">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132AB2">
        <w:rPr>
          <w:rFonts w:ascii="Times New Roman" w:eastAsia="Times New Roman" w:hAnsi="Times New Roman" w:cs="Times New Roman"/>
          <w:b/>
          <w:bCs/>
          <w:i/>
          <w:iCs/>
          <w:sz w:val="36"/>
          <w:szCs w:val="36"/>
          <w:u w:val="single"/>
          <w:lang w:val="en-US" w:eastAsia="en-GB"/>
        </w:rPr>
        <w:t>Review Article</w:t>
      </w:r>
    </w:p>
    <w:p w14:paraId="1B46BB1C" w14:textId="77777777" w:rsidR="00397623" w:rsidRPr="00AB7AFF" w:rsidRDefault="00397623" w:rsidP="00AB7AFF">
      <w:pPr>
        <w:spacing w:before="100" w:beforeAutospacing="1" w:after="100" w:afterAutospacing="1" w:line="240" w:lineRule="auto"/>
        <w:jc w:val="both"/>
        <w:outlineLvl w:val="1"/>
        <w:rPr>
          <w:rFonts w:ascii="Times New Roman" w:eastAsia="Times New Roman" w:hAnsi="Times New Roman" w:cs="Times New Roman"/>
          <w:b/>
          <w:bCs/>
          <w:sz w:val="32"/>
          <w:szCs w:val="32"/>
          <w:lang w:eastAsia="en-GB"/>
        </w:rPr>
      </w:pPr>
      <w:r w:rsidRPr="00AB7AFF">
        <w:rPr>
          <w:rFonts w:ascii="Times New Roman" w:eastAsia="Times New Roman" w:hAnsi="Times New Roman" w:cs="Times New Roman"/>
          <w:b/>
          <w:bCs/>
          <w:sz w:val="32"/>
          <w:szCs w:val="32"/>
          <w:lang w:eastAsia="en-GB"/>
        </w:rPr>
        <w:t>Corporate Greenwashing in the ESG Era: Sustainability Claims, Regulatory Challenges, and Investor Risk</w:t>
      </w:r>
    </w:p>
    <w:p w14:paraId="0384E0A4"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Abstract</w:t>
      </w:r>
    </w:p>
    <w:p w14:paraId="1BAAA149"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rapid expansion of environmental, social and governance investing has been accompanied by a parallel rise in corporate greenwashing, the practice of overstating, selectively disclosing, or fabricating environmental credentials to secure reputational, regulatory, or financial advantage. This review synthesises the multidisciplinary literature on greenwashing published across finance, accounting, management, marketing, and environmental law to provide an integrated account of its definitions, drivers, detection methods, regulatory treatment, and consequences for investors. The review traces the evolution of greenwashing typologies from early legitimacy-based accounts to contemporary measurement frameworks built on the gap between disclosed and actual environmental performance, and it examines how divergence among environmental, social and governance rating agencies compounds the difficulty of distinguishing genuine sustainability leaders from symbolic compliers. It then evaluates the regulatory landscape, contrasting the European Union's mandatory disclosure architecture with the more contested and currently unsettled position in the United States, before assessing evidence linking greenwashing to investor risk through channels including cost of capital, ownership structure, and litigation exposure. Sector-specific evidence from executive compensation design is reviewed alongside emerging computational methods for detecting inconsistencies between corporate rhetoric and verifiable environmental outcomes. The review closes by identifying priority directions for future research, drawing conclusions for practitioners and policymakers, and outlining the limitations inherent in a narrative synthesis of a fast-moving and methodologically heterogeneous field.</w:t>
      </w:r>
    </w:p>
    <w:p w14:paraId="7BFA3FB6"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b/>
          <w:bCs/>
          <w:sz w:val="24"/>
          <w:szCs w:val="24"/>
          <w:lang w:eastAsia="en-GB"/>
        </w:rPr>
        <w:t>Keywords:</w:t>
      </w:r>
      <w:r w:rsidRPr="00397623">
        <w:rPr>
          <w:rFonts w:ascii="Times New Roman" w:eastAsia="Times New Roman" w:hAnsi="Times New Roman" w:cs="Times New Roman"/>
          <w:sz w:val="24"/>
          <w:szCs w:val="24"/>
          <w:lang w:eastAsia="en-GB"/>
        </w:rPr>
        <w:t xml:space="preserve"> greenwashing; environmental, social and governance disclosure; sustainability reporting; investor risk; regulatory compliance; corporate governance</w:t>
      </w:r>
    </w:p>
    <w:p w14:paraId="4A6B3349"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 Introduction</w:t>
      </w:r>
    </w:p>
    <w:p w14:paraId="0D9B4F44"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1.1 The sustainability disclosure landscape</w:t>
      </w:r>
    </w:p>
    <w:p w14:paraId="1A3C8BB8" w14:textId="77777777" w:rsidR="00397623" w:rsidRPr="00AB7AFF" w:rsidRDefault="00397623" w:rsidP="00AB7AFF">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397623">
        <w:rPr>
          <w:rFonts w:ascii="Times New Roman" w:eastAsia="Times New Roman" w:hAnsi="Times New Roman" w:cs="Times New Roman"/>
          <w:sz w:val="24"/>
          <w:szCs w:val="24"/>
          <w:lang w:eastAsia="en-GB"/>
        </w:rPr>
        <w:t>Corporate environmental communication has moved from a peripheral public relations function to a central component of firm valuation, capital allocation, and regulatory compliance. Investors, regulators, and consumers increasingly expect companies to substantiate claims about emissions reduction, resource efficiency, and social responsibility with verifiable evidence, yet the incentives to overstate such claims have grown alongside the rewards attached to a credible environmental, social and governance (ESG) profile. Greenwashing, commonly understood as the practice of misrepresenting the environmental performance of a firm, product, or investment strategy, sits at the intersection of these pressures. It is neither a new phenomenon nor confined to any single sector, but its scale and sophistication have expanded considerably alongside the growth of sustainable finance markets, mandatory non-financial reporting regimes, and algorithmic scrutiny of corporate disclosures.</w:t>
      </w:r>
      <w:r>
        <w:rPr>
          <w:b/>
          <w:highlight w:val="yellow"/>
        </w:rPr>
        <w:t xml:space="preserve"> </w:t>
      </w:r>
      <w:r w:rsidRPr="00AB7AFF">
        <w:rPr>
          <w:bCs/>
          <w:highlight w:val="yellow"/>
        </w:rPr>
        <w:t xml:space="preserve">Recent bibliometric evidence further indicates that greenwashing prevention research </w:t>
      </w:r>
      <w:r w:rsidRPr="00AB7AFF">
        <w:rPr>
          <w:bCs/>
          <w:highlight w:val="yellow"/>
        </w:rPr>
        <w:lastRenderedPageBreak/>
        <w:t>increasingly emphasises the reliability, comparability and quality of ESG disclosures, rather than disclosure volume alone (</w:t>
      </w:r>
      <w:proofErr w:type="spellStart"/>
      <w:r w:rsidRPr="00AB7AFF">
        <w:rPr>
          <w:bCs/>
          <w:highlight w:val="yellow"/>
        </w:rPr>
        <w:t>Sneideriene</w:t>
      </w:r>
      <w:proofErr w:type="spellEnd"/>
      <w:r w:rsidRPr="00AB7AFF">
        <w:rPr>
          <w:bCs/>
          <w:highlight w:val="yellow"/>
        </w:rPr>
        <w:t xml:space="preserve"> &amp; </w:t>
      </w:r>
      <w:proofErr w:type="spellStart"/>
      <w:r w:rsidRPr="00AB7AFF">
        <w:rPr>
          <w:bCs/>
          <w:highlight w:val="yellow"/>
        </w:rPr>
        <w:t>Legenzova</w:t>
      </w:r>
      <w:proofErr w:type="spellEnd"/>
      <w:r w:rsidRPr="00AB7AFF">
        <w:rPr>
          <w:bCs/>
          <w:highlight w:val="yellow"/>
        </w:rPr>
        <w:t>, 2025).</w:t>
      </w:r>
    </w:p>
    <w:p w14:paraId="1FC8C52C"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1.2 The rise of ESG investing and its unintended consequences</w:t>
      </w:r>
    </w:p>
    <w:p w14:paraId="7440ECB7"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expansion of ESG-labelled assets under management has created strong commercial incentives for asset managers, index providers, and portfolio companies to signal sustainability credentials, sometimes independently of underlying operational change. This dynamic has been described as a market for corporate reputational capital, in which the disclosure of favourable environmental information yields financial value regardless of whether the disclosed activity meaningfully reduces environmental harm. Because verification of environmental claims typically lags disclosure, and because ESG rating methodologies differ substantially across providers, firms retain considerable latitude in how they construct and time their sustainability narratives.</w:t>
      </w:r>
      <w:r>
        <w:rPr>
          <w:b/>
          <w:highlight w:val="yellow"/>
        </w:rPr>
        <w:t xml:space="preserve"> </w:t>
      </w:r>
      <w:r w:rsidRPr="00AB7AFF">
        <w:rPr>
          <w:bCs/>
          <w:highlight w:val="yellow"/>
        </w:rPr>
        <w:t>This concern is reinforced by evidence that ESG scores may reflect apparent environmental performance more strongly than real environmental impact, exposing investors who rely on high ESG-rated firms to greenwashing risk (Kathan et al., 2025). Third-party ESG ratings may discipline greenwashing in some settings, but recent evidence also suggests that their effect depends on rating credibility and the information environment in which firms operate (Zhang et al., 2025).</w:t>
      </w:r>
    </w:p>
    <w:p w14:paraId="79C63079"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1.3 Scope, research gap and objectives</w:t>
      </w:r>
    </w:p>
    <w:p w14:paraId="433E85DF"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t xml:space="preserve">This review focuses on corporate-level greenwashing in the context of ESG investing, sustainability reporting, and financial market discipline, drawing on literature from corporate finance, accounting, strategic management, marketing, and environmental regulation. It does not attempt to catalogue every corporate scandal, nor does it apply a systematic, protocol-driven synthesis in the sense of a Preferred Reporting Items for Systematic Reviews and Meta-Analyses exercise; instead it adopts a narrative review approach suited to a topic that spans disciplinary boundaries, evolves through regulatory change, and resists reduction to a single outcome variable. A persistent gap in the existing literature is the absence of an integrated account that connects the conceptual and typological work on greenwashing with the empirical finance literature on investor risk, the regulatory literature on disclosure mandates, and the emerging computational literature on automated detection. Existing reviews tend to specialise in one of these strands, leaving practitioners and policymakers without a single point of reference spanning measurement, regulation, and consequence. </w:t>
      </w:r>
      <w:r w:rsidRPr="00AB7AFF">
        <w:rPr>
          <w:bCs/>
          <w:highlight w:val="yellow"/>
        </w:rPr>
        <w:t>Recent modelling of interactions among enterprises, investors and rating agencies further indicates that greenwashing governance depends on the interaction between market-based discipline, credible ESG evaluation and regulatory oversight, underscoring the need for an integrated treatment of measurement, regulation and investor risk (Hao et al., 2026).</w:t>
      </w:r>
      <w:r>
        <w:rPr>
          <w:b/>
          <w:highlight w:val="yellow"/>
        </w:rPr>
        <w:t xml:space="preserve"> </w:t>
      </w:r>
      <w:r>
        <w:t>This review addresses that gap with three objectives: first, to synthesise how greenwashing has been conceptualised and measured across disciplines and to clarify the sources of disagreement in that measurement; second, to evaluate the evidence on the financial and reputational consequences of greenwashing for investors; and third, to assess how regulatory and technological developments, from mandatory assurance regimes to natural language processing-based detection tools, are reshaping the incentives and opportunities for greenwashing.</w:t>
      </w:r>
    </w:p>
    <w:p w14:paraId="50A295DA"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2. Methods for Literature Selection</w:t>
      </w:r>
    </w:p>
    <w:p w14:paraId="085B9DDF"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2.1 Databases and indexing sources searched</w:t>
      </w:r>
    </w:p>
    <w:p w14:paraId="3DC4270A"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literature underpinning this review was identified through structured searches of Web of Science, Scopus, Google Scholar, and PubMed, supplemented by searches of six field-specific indexing databases selected for their relevance to finance, accounting, and </w:t>
      </w:r>
      <w:r w:rsidRPr="00397623">
        <w:rPr>
          <w:rFonts w:ascii="Times New Roman" w:eastAsia="Times New Roman" w:hAnsi="Times New Roman" w:cs="Times New Roman"/>
          <w:sz w:val="24"/>
          <w:szCs w:val="24"/>
          <w:lang w:eastAsia="en-GB"/>
        </w:rPr>
        <w:lastRenderedPageBreak/>
        <w:t xml:space="preserve">sustainability research: Business Source Complete, </w:t>
      </w:r>
      <w:proofErr w:type="spellStart"/>
      <w:r w:rsidRPr="00397623">
        <w:rPr>
          <w:rFonts w:ascii="Times New Roman" w:eastAsia="Times New Roman" w:hAnsi="Times New Roman" w:cs="Times New Roman"/>
          <w:sz w:val="24"/>
          <w:szCs w:val="24"/>
          <w:lang w:eastAsia="en-GB"/>
        </w:rPr>
        <w:t>EconLit</w:t>
      </w:r>
      <w:proofErr w:type="spellEnd"/>
      <w:r w:rsidRPr="00397623">
        <w:rPr>
          <w:rFonts w:ascii="Times New Roman" w:eastAsia="Times New Roman" w:hAnsi="Times New Roman" w:cs="Times New Roman"/>
          <w:sz w:val="24"/>
          <w:szCs w:val="24"/>
          <w:lang w:eastAsia="en-GB"/>
        </w:rPr>
        <w:t>, the Directory of Open Access Journals, ScienceDirect's Environmental and Social Sciences collection, and two additional citation-tracing resources used only to locate subsequently published peer-reviewed versions of working papers, never as a direct source of citable material. Search strings combined the terms "greenwashing" OR "green-washing" OR "ESG-washing" with "corporate," "disclosure," "sustainability reporting," "investor risk," "regulation," and "detection," using Boolean operators and truncation appropriate to each database's syntax.</w:t>
      </w:r>
    </w:p>
    <w:p w14:paraId="291A78DC"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2.2 Date range and inclusion criteria</w:t>
      </w:r>
    </w:p>
    <w:p w14:paraId="779B5BAC"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search covered publications from January 2011 to April 2026. The starting point of 2011 was chosen because it corresponds to the publication of two foundational papers that established much of the modern analytical vocabulary of greenwashing research, giving a natural anchor for tracing the field's conceptual development. Eligible sources were peer-reviewed journal articles in indexed academic journals, together with authoritative institutional reports from bodies such as the European Commission and the United States Securities and Exchange Commission, included only where no peer-reviewed equivalent existed and a verifiable uniform resource locator was available. Books, conference proceedings, working papers not subsequently published in a peer-reviewed outlet, patents, trade press, and non-peer-reviewed preprints were excluded, even where such material had shaped the discourse, in order to preserve the evidentiary standard of the review.</w:t>
      </w:r>
    </w:p>
    <w:p w14:paraId="1E18C7D4"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2.3 Screening workflow, duplicate handling and language restrictions</w:t>
      </w:r>
    </w:p>
    <w:p w14:paraId="37B6CAAF"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Records retrieved from each database were exported and screened in two stages. Titles and abstracts were first screened for topical relevance to corporate-level greenwashing, ESG disclosure integrity, or related regulatory and investor-risk themes; full texts of the remaining records were then assessed against the inclusion criteria above. Duplicate records arising from overlapping database coverage were identified through matching digital object identifiers and retained once. The search was restricted to English-language publications, a restriction that inevitably underrepresents scholarship examining greenwashing in East Asian and continental European jurisdictions where much of the underlying empirical activity occurs; this is acknowledged as a limitation of the review. Influential studies published before the formal search window, including foundational contributions to institutional and legitimacy theory, were retained on the basis of their continued citation frequency and conceptual centrality, a selection criterion consistent with guidance on conducting narrative reviews of interdisciplinary literatures (Grant &amp; Booth, 2009).</w:t>
      </w:r>
    </w:p>
    <w:p w14:paraId="7A8A7E07"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2.4 Rationale for a narrative rather than systematic review approach</w:t>
      </w:r>
    </w:p>
    <w:p w14:paraId="2E11C64F"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 systematic review protocol, with its emphasis on a single, prespecified outcome measure and homogeneous study designs, sits awkwardly with a topic that spans econometric event studies, qualitative case analysis, regulatory doctrine, and computational linguistics. Greenwashing research lacks a single agreed outcome metric, a common unit of analysis, or a stable regulatory baseline against which effect sizes could be meaningfully pooled. A narrative synthesis instead allows the reviewer to trace conceptual development, reconcile terminology across disciplines, and integrate qualitative regulatory analysis with quantitative financial evidence, an approach consistent with established guidance distinguishing narrative from systematic reviews according to the breadth and heterogeneity of the underlying evidence base (Grant &amp; Booth, 2009).</w:t>
      </w:r>
    </w:p>
    <w:p w14:paraId="7AF19099"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Table 1 summarises the search protocol described above, including the databases consulted, the terms combined, the date range applied, and the criteria used to admit or exclude candidate sources.</w:t>
      </w:r>
    </w:p>
    <w:p w14:paraId="20453DDD"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740"/>
        <w:gridCol w:w="7502"/>
      </w:tblGrid>
      <w:tr w:rsidR="00397623" w:rsidRPr="00397623" w14:paraId="6BC3C8BA" w14:textId="77777777" w:rsidTr="00397623">
        <w:tc>
          <w:tcPr>
            <w:tcW w:w="0" w:type="auto"/>
            <w:hideMark/>
          </w:tcPr>
          <w:p w14:paraId="1B62F991"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Element</w:t>
            </w:r>
          </w:p>
        </w:tc>
        <w:tc>
          <w:tcPr>
            <w:tcW w:w="0" w:type="auto"/>
            <w:hideMark/>
          </w:tcPr>
          <w:p w14:paraId="3F0CDE95"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Specification</w:t>
            </w:r>
          </w:p>
        </w:tc>
      </w:tr>
      <w:tr w:rsidR="00397623" w:rsidRPr="00397623" w14:paraId="554B2107" w14:textId="77777777" w:rsidTr="00397623">
        <w:tc>
          <w:tcPr>
            <w:tcW w:w="0" w:type="auto"/>
            <w:hideMark/>
          </w:tcPr>
          <w:p w14:paraId="50F8762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Databases searched</w:t>
            </w:r>
          </w:p>
        </w:tc>
        <w:tc>
          <w:tcPr>
            <w:tcW w:w="0" w:type="auto"/>
            <w:hideMark/>
          </w:tcPr>
          <w:p w14:paraId="66DA06F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Web of Science; Scopus; Google Scholar; PubMed; Business Source Complete; </w:t>
            </w:r>
            <w:proofErr w:type="spellStart"/>
            <w:r w:rsidRPr="00397623">
              <w:rPr>
                <w:rFonts w:ascii="Times New Roman" w:eastAsia="Times New Roman" w:hAnsi="Times New Roman" w:cs="Times New Roman"/>
                <w:sz w:val="24"/>
                <w:szCs w:val="24"/>
                <w:lang w:eastAsia="en-GB"/>
              </w:rPr>
              <w:t>EconLit</w:t>
            </w:r>
            <w:proofErr w:type="spellEnd"/>
            <w:r w:rsidRPr="00397623">
              <w:rPr>
                <w:rFonts w:ascii="Times New Roman" w:eastAsia="Times New Roman" w:hAnsi="Times New Roman" w:cs="Times New Roman"/>
                <w:sz w:val="24"/>
                <w:szCs w:val="24"/>
                <w:lang w:eastAsia="en-GB"/>
              </w:rPr>
              <w:t>; Directory of Open Access Journals; ScienceDirect Environmental and Social Sciences collection</w:t>
            </w:r>
          </w:p>
        </w:tc>
      </w:tr>
      <w:tr w:rsidR="00397623" w:rsidRPr="00397623" w14:paraId="6FDBA44B" w14:textId="77777777" w:rsidTr="00397623">
        <w:tc>
          <w:tcPr>
            <w:tcW w:w="0" w:type="auto"/>
            <w:hideMark/>
          </w:tcPr>
          <w:p w14:paraId="3E3EF2D1"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Search terms</w:t>
            </w:r>
          </w:p>
        </w:tc>
        <w:tc>
          <w:tcPr>
            <w:tcW w:w="0" w:type="auto"/>
            <w:hideMark/>
          </w:tcPr>
          <w:p w14:paraId="0FF61DA3"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"greenwashing" OR "green-washing" OR "ESG-washing" combined with "corporate," "disclosure," "sustainability reporting," "investor risk," "regulation," "detection"</w:t>
            </w:r>
          </w:p>
        </w:tc>
      </w:tr>
      <w:tr w:rsidR="00397623" w:rsidRPr="00397623" w14:paraId="5D7C0533" w14:textId="77777777" w:rsidTr="00397623">
        <w:tc>
          <w:tcPr>
            <w:tcW w:w="0" w:type="auto"/>
            <w:hideMark/>
          </w:tcPr>
          <w:p w14:paraId="583AC648"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Date range</w:t>
            </w:r>
          </w:p>
        </w:tc>
        <w:tc>
          <w:tcPr>
            <w:tcW w:w="0" w:type="auto"/>
            <w:hideMark/>
          </w:tcPr>
          <w:p w14:paraId="61D5ADD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January 2011 to April 2026</w:t>
            </w:r>
          </w:p>
        </w:tc>
      </w:tr>
      <w:tr w:rsidR="00397623" w:rsidRPr="00397623" w14:paraId="36870E26" w14:textId="77777777" w:rsidTr="00397623">
        <w:tc>
          <w:tcPr>
            <w:tcW w:w="0" w:type="auto"/>
            <w:hideMark/>
          </w:tcPr>
          <w:p w14:paraId="79E0506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Language</w:t>
            </w:r>
          </w:p>
        </w:tc>
        <w:tc>
          <w:tcPr>
            <w:tcW w:w="0" w:type="auto"/>
            <w:hideMark/>
          </w:tcPr>
          <w:p w14:paraId="2D79D903"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English only</w:t>
            </w:r>
          </w:p>
        </w:tc>
      </w:tr>
      <w:tr w:rsidR="00397623" w:rsidRPr="00397623" w14:paraId="31CA1FCB" w14:textId="77777777" w:rsidTr="00397623">
        <w:tc>
          <w:tcPr>
            <w:tcW w:w="0" w:type="auto"/>
            <w:hideMark/>
          </w:tcPr>
          <w:p w14:paraId="76369B46"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Document types included</w:t>
            </w:r>
          </w:p>
        </w:tc>
        <w:tc>
          <w:tcPr>
            <w:tcW w:w="0" w:type="auto"/>
            <w:hideMark/>
          </w:tcPr>
          <w:p w14:paraId="27EFB39C"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Peer-reviewed journal articles; authoritative institutional reports with verifiable source</w:t>
            </w:r>
          </w:p>
        </w:tc>
      </w:tr>
      <w:tr w:rsidR="00397623" w:rsidRPr="00397623" w14:paraId="2922DFEA" w14:textId="77777777" w:rsidTr="00397623">
        <w:tc>
          <w:tcPr>
            <w:tcW w:w="0" w:type="auto"/>
            <w:hideMark/>
          </w:tcPr>
          <w:p w14:paraId="32328A76"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Document types excluded</w:t>
            </w:r>
          </w:p>
        </w:tc>
        <w:tc>
          <w:tcPr>
            <w:tcW w:w="0" w:type="auto"/>
            <w:hideMark/>
          </w:tcPr>
          <w:p w14:paraId="57F690E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Books, conference proceedings, unpublished working papers, patents, trade press, preprints</w:t>
            </w:r>
          </w:p>
        </w:tc>
      </w:tr>
      <w:tr w:rsidR="00397623" w:rsidRPr="00397623" w14:paraId="70631888" w14:textId="77777777" w:rsidTr="00397623">
        <w:tc>
          <w:tcPr>
            <w:tcW w:w="0" w:type="auto"/>
            <w:hideMark/>
          </w:tcPr>
          <w:p w14:paraId="39F4EB9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Screening</w:t>
            </w:r>
          </w:p>
        </w:tc>
        <w:tc>
          <w:tcPr>
            <w:tcW w:w="0" w:type="auto"/>
            <w:hideMark/>
          </w:tcPr>
          <w:p w14:paraId="03FF3363"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Title/abstract screening followed by full-text assessment; duplicates removed by digital object identifier matching</w:t>
            </w:r>
          </w:p>
        </w:tc>
      </w:tr>
    </w:tbl>
    <w:p w14:paraId="24B102C2"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Source: compiled by the author based on the search protocol described in Section 2.</w:t>
      </w:r>
    </w:p>
    <w:p w14:paraId="35C38EF0"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3. Conceptualising Greenwashing: Definitions, Typologies and Theoretical Foundations</w:t>
      </w:r>
    </w:p>
    <w:p w14:paraId="2A4F6B73"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3.1 Definitional evolution</w:t>
      </w:r>
    </w:p>
    <w:p w14:paraId="43D9E196"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Early treatments of greenwashing framed it narrowly as a marketing phenomenon involving false or exaggerated claims about the environmental attributes of individual products. As sustainability reporting matured into a firm-level, multi-stakeholder communication exercise, the concept broadened to encompass discrepancies between an organisation's disclosed environmental commitments and its underlying operational practices (Delmas &amp; Burbano, 2011). Contemporary scholarship generally converges on a definition of greenwashing as a communicative discrepancy in which an organisation portrays itself, its products, or its processes as more environmentally responsible than warranted by actual practice, whether through false, vague, irrelevant, or selectively favourable information. Terminological consensus nonetheless remains incomplete, reflecting the concept's simultaneous use across marketing, accounting, and legal literatures with somewhat different emphases.</w:t>
      </w:r>
    </w:p>
    <w:p w14:paraId="18B003EC"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3.2 Typologies of greenwashing behaviour</w:t>
      </w:r>
    </w:p>
    <w:p w14:paraId="339332B3"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Three analytically distinct forms of greenwashing recur across the typological literature. The first, often labelled decoupling or the talk-walk gap, refers to a discrepancy between symbolic commitments, such as net-zero pledges or sustainability policy statements, and substantive operational change; this behaviour is theorised as a rational response to institutional pressure for legitimacy when genuine compliance is costly (Meyer &amp; Rowan, 1977). The second, selective or asymmetric disclosure, involves the disproportionate reporting of favourable </w:t>
      </w:r>
      <w:r w:rsidRPr="00397623">
        <w:rPr>
          <w:rFonts w:ascii="Times New Roman" w:eastAsia="Times New Roman" w:hAnsi="Times New Roman" w:cs="Times New Roman"/>
          <w:sz w:val="24"/>
          <w:szCs w:val="24"/>
          <w:lang w:eastAsia="en-GB"/>
        </w:rPr>
        <w:lastRenderedPageBreak/>
        <w:t>environmental outcomes relative to unfavourable ones, allowing firms to construct a misleadingly positive aggregate impression without technically falsifying any individual disclosure (Marquis et al., 2016). The third, exaggeration or symbolic action without corresponding substantive investment, captures cases in which firms undertake highly visible but low-cost environmental gestures while continuing environmentally damaging core operations largely unchanged (Walker &amp; Wan, 2012). These distinctions matter empirically because they imply different measurement strategies: decoupling is typically captured through the gap between disclosed targets and realised emissions trajectories, selective disclosure through content analysis of what is omitted rather than what is stated, and symbolic action through the ratio of communication expenditure to verified environmental investment.</w:t>
      </w:r>
    </w:p>
    <w:p w14:paraId="310CDF2F"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A further refinement distinguishes greenwashing from its inverse, sometimes termed </w:t>
      </w:r>
      <w:proofErr w:type="spellStart"/>
      <w:r w:rsidRPr="00397623">
        <w:rPr>
          <w:rFonts w:ascii="Times New Roman" w:eastAsia="Times New Roman" w:hAnsi="Times New Roman" w:cs="Times New Roman"/>
          <w:sz w:val="24"/>
          <w:szCs w:val="24"/>
          <w:lang w:eastAsia="en-GB"/>
        </w:rPr>
        <w:t>brownwashing</w:t>
      </w:r>
      <w:proofErr w:type="spellEnd"/>
      <w:r w:rsidRPr="00397623">
        <w:rPr>
          <w:rFonts w:ascii="Times New Roman" w:eastAsia="Times New Roman" w:hAnsi="Times New Roman" w:cs="Times New Roman"/>
          <w:sz w:val="24"/>
          <w:szCs w:val="24"/>
          <w:lang w:eastAsia="en-GB"/>
        </w:rPr>
        <w:t xml:space="preserve"> or greenhushing, in which firms understate genuine environmental achievements out of caution regarding scrutiny or litigation risk. The coexistence of overstatement and understatement tendencies within the same reporting population complicates any simple binary classification of firms as truthful or deceptive, since observed disclosure choices reflect a strategic trade-off between reputational upside and legal exposure rather than a fixed propensity to mislead (Kim &amp; Lyon, 2015).</w:t>
      </w:r>
    </w:p>
    <w:p w14:paraId="55DAE5F7"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3.3 Theoretical lenses: legitimacy, institutional and signalling theory</w:t>
      </w:r>
    </w:p>
    <w:p w14:paraId="49B5110B"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Three theoretical traditions dominate explanations of why firms engage in greenwashing. Legitimacy theory holds that organisations seek congruence between their behaviour and prevailing social norms in order to secure continued access to resources, and that greenwashing represents a low-cost route to perceived legitimacy when substantive compliance is expensive or slow to demonstrate (Suchman, 1995). Institutional theory extends this logic by describing how formal organisational structures, including sustainability committees, reporting frameworks, and stated policies, can become decoupled from actual operating routines, persisting as symbolic artefacts that satisfy external audiences without altering core technical activities (Meyer &amp; Rowan, 1977). Signalling theory, drawn from information economics, frames voluntary environmental disclosure as a costly signal intended to differentiate genuinely sustainable firms from imitators; greenwashing occurs when the signalling cost is insufficiently high to deter low-quality firms from mimicking high-quality disclosure, eroding the informational value of the signal for the market as a whole. These three lenses are complementary rather than competing: institutional pressure explains the origin of the incentive to appear compliant, legitimacy theory explains the reputational payoff, and signalling theory explains why capital markets remain structurally vulnerable to being misled absent independent verification.</w:t>
      </w:r>
    </w:p>
    <w:p w14:paraId="425BA471"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2 draws these three typologies together with their associated theoretical framing and a representative measurement approach for each.</w:t>
      </w:r>
    </w:p>
    <w:p w14:paraId="50C06DE6"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2. Typology of corporate greenwashing behaviours and associated theoretical framing</w:t>
      </w:r>
    </w:p>
    <w:tbl>
      <w:tblPr>
        <w:tblStyle w:val="TableGrid"/>
        <w:tblW w:w="0" w:type="auto"/>
        <w:tblLook w:val="04A0" w:firstRow="1" w:lastRow="0" w:firstColumn="1" w:lastColumn="0" w:noHBand="0" w:noVBand="1"/>
      </w:tblPr>
      <w:tblGrid>
        <w:gridCol w:w="1742"/>
        <w:gridCol w:w="2959"/>
        <w:gridCol w:w="1800"/>
        <w:gridCol w:w="2741"/>
      </w:tblGrid>
      <w:tr w:rsidR="00397623" w:rsidRPr="00397623" w14:paraId="1F06840F" w14:textId="77777777" w:rsidTr="00397623">
        <w:tc>
          <w:tcPr>
            <w:tcW w:w="0" w:type="auto"/>
            <w:hideMark/>
          </w:tcPr>
          <w:p w14:paraId="0144EB26"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Type</w:t>
            </w:r>
          </w:p>
        </w:tc>
        <w:tc>
          <w:tcPr>
            <w:tcW w:w="0" w:type="auto"/>
            <w:hideMark/>
          </w:tcPr>
          <w:p w14:paraId="4BFDB512"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Description</w:t>
            </w:r>
          </w:p>
        </w:tc>
        <w:tc>
          <w:tcPr>
            <w:tcW w:w="0" w:type="auto"/>
            <w:hideMark/>
          </w:tcPr>
          <w:p w14:paraId="5F184A15"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Primary theoretical lens</w:t>
            </w:r>
          </w:p>
        </w:tc>
        <w:tc>
          <w:tcPr>
            <w:tcW w:w="0" w:type="auto"/>
            <w:hideMark/>
          </w:tcPr>
          <w:p w14:paraId="41DEE511"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Representative measurement approach</w:t>
            </w:r>
          </w:p>
        </w:tc>
      </w:tr>
      <w:tr w:rsidR="00397623" w:rsidRPr="00397623" w14:paraId="09049488" w14:textId="77777777" w:rsidTr="00397623">
        <w:tc>
          <w:tcPr>
            <w:tcW w:w="0" w:type="auto"/>
            <w:hideMark/>
          </w:tcPr>
          <w:p w14:paraId="580506D8"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Decoupling (talk-walk gap)</w:t>
            </w:r>
          </w:p>
        </w:tc>
        <w:tc>
          <w:tcPr>
            <w:tcW w:w="0" w:type="auto"/>
            <w:hideMark/>
          </w:tcPr>
          <w:p w14:paraId="53E46CAD"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Symbolic commitments unmatched by operational </w:t>
            </w:r>
            <w:r w:rsidRPr="00397623">
              <w:rPr>
                <w:rFonts w:ascii="Times New Roman" w:eastAsia="Times New Roman" w:hAnsi="Times New Roman" w:cs="Times New Roman"/>
                <w:sz w:val="24"/>
                <w:szCs w:val="24"/>
                <w:lang w:eastAsia="en-GB"/>
              </w:rPr>
              <w:lastRenderedPageBreak/>
              <w:t>change</w:t>
            </w:r>
          </w:p>
        </w:tc>
        <w:tc>
          <w:tcPr>
            <w:tcW w:w="0" w:type="auto"/>
            <w:hideMark/>
          </w:tcPr>
          <w:p w14:paraId="7D2A0B60"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Institutional theory</w:t>
            </w:r>
          </w:p>
        </w:tc>
        <w:tc>
          <w:tcPr>
            <w:tcW w:w="0" w:type="auto"/>
            <w:hideMark/>
          </w:tcPr>
          <w:p w14:paraId="51035C9B"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Gap between disclosed targets and realised </w:t>
            </w:r>
            <w:r w:rsidRPr="00397623">
              <w:rPr>
                <w:rFonts w:ascii="Times New Roman" w:eastAsia="Times New Roman" w:hAnsi="Times New Roman" w:cs="Times New Roman"/>
                <w:sz w:val="24"/>
                <w:szCs w:val="24"/>
                <w:lang w:eastAsia="en-GB"/>
              </w:rPr>
              <w:lastRenderedPageBreak/>
              <w:t>outcomes</w:t>
            </w:r>
          </w:p>
        </w:tc>
      </w:tr>
      <w:tr w:rsidR="00397623" w:rsidRPr="00397623" w14:paraId="311D96D0" w14:textId="77777777" w:rsidTr="00397623">
        <w:tc>
          <w:tcPr>
            <w:tcW w:w="0" w:type="auto"/>
            <w:hideMark/>
          </w:tcPr>
          <w:p w14:paraId="0FC2E04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Selective disclosure</w:t>
            </w:r>
          </w:p>
        </w:tc>
        <w:tc>
          <w:tcPr>
            <w:tcW w:w="0" w:type="auto"/>
            <w:hideMark/>
          </w:tcPr>
          <w:p w14:paraId="4223BAF8"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Disproportionate reporting of favourable relative to unfavourable outcomes</w:t>
            </w:r>
          </w:p>
        </w:tc>
        <w:tc>
          <w:tcPr>
            <w:tcW w:w="0" w:type="auto"/>
            <w:hideMark/>
          </w:tcPr>
          <w:p w14:paraId="6FC8A37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Legitimacy theory</w:t>
            </w:r>
          </w:p>
        </w:tc>
        <w:tc>
          <w:tcPr>
            <w:tcW w:w="0" w:type="auto"/>
            <w:hideMark/>
          </w:tcPr>
          <w:p w14:paraId="7F350C16"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Content analysis of omission patterns in sustainability reports</w:t>
            </w:r>
          </w:p>
        </w:tc>
      </w:tr>
      <w:tr w:rsidR="00397623" w:rsidRPr="00397623" w14:paraId="0B45985F" w14:textId="77777777" w:rsidTr="00397623">
        <w:tc>
          <w:tcPr>
            <w:tcW w:w="0" w:type="auto"/>
            <w:hideMark/>
          </w:tcPr>
          <w:p w14:paraId="572F75E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Symbolic action</w:t>
            </w:r>
          </w:p>
        </w:tc>
        <w:tc>
          <w:tcPr>
            <w:tcW w:w="0" w:type="auto"/>
            <w:hideMark/>
          </w:tcPr>
          <w:p w14:paraId="52CB6F5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Visible low-cost gestures substituting for substantive investment</w:t>
            </w:r>
          </w:p>
        </w:tc>
        <w:tc>
          <w:tcPr>
            <w:tcW w:w="0" w:type="auto"/>
            <w:hideMark/>
          </w:tcPr>
          <w:p w14:paraId="617C4F6D"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Signalling theory</w:t>
            </w:r>
          </w:p>
        </w:tc>
        <w:tc>
          <w:tcPr>
            <w:tcW w:w="0" w:type="auto"/>
            <w:hideMark/>
          </w:tcPr>
          <w:p w14:paraId="78FFE01C"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Ratio of communication expenditure to verified environmental capital investment</w:t>
            </w:r>
          </w:p>
        </w:tc>
      </w:tr>
      <w:tr w:rsidR="00397623" w:rsidRPr="00397623" w14:paraId="6818B7C3" w14:textId="77777777" w:rsidTr="00397623">
        <w:tc>
          <w:tcPr>
            <w:tcW w:w="0" w:type="auto"/>
            <w:hideMark/>
          </w:tcPr>
          <w:p w14:paraId="07F33448"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Rating-based greenwashing</w:t>
            </w:r>
          </w:p>
        </w:tc>
        <w:tc>
          <w:tcPr>
            <w:tcW w:w="0" w:type="auto"/>
            <w:hideMark/>
          </w:tcPr>
          <w:p w14:paraId="18295160"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Divergence between disclosed ESG data and independently assessed environmental performance</w:t>
            </w:r>
          </w:p>
        </w:tc>
        <w:tc>
          <w:tcPr>
            <w:tcW w:w="0" w:type="auto"/>
            <w:hideMark/>
          </w:tcPr>
          <w:p w14:paraId="04239197"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Information asymmetry / signalling theory</w:t>
            </w:r>
          </w:p>
        </w:tc>
        <w:tc>
          <w:tcPr>
            <w:tcW w:w="0" w:type="auto"/>
            <w:hideMark/>
          </w:tcPr>
          <w:p w14:paraId="63950CCB"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Comparison of self-reported ESG scores against third-party or algorithmic assessments</w:t>
            </w:r>
          </w:p>
        </w:tc>
      </w:tr>
    </w:tbl>
    <w:p w14:paraId="174EA2E3"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Sources: Meyer and Rowan (1977); Suchman (1995); Delmas and Burbano (2011); Walker and Wan (2012); Kim and Lyon (2015); Marquis et al. (2016).</w:t>
      </w:r>
    </w:p>
    <w:p w14:paraId="3ECB9949"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4. The ESG Rating Ecosystem and Measurement Challenges</w:t>
      </w:r>
    </w:p>
    <w:p w14:paraId="23C44F8D"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4.1 Rating divergence and aggregate confusion</w:t>
      </w:r>
    </w:p>
    <w:p w14:paraId="3D2C9962"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 defining feature of the contemporary ESG data landscape is the low correlation among ratings issued by different providers for the same firm, a phenomenon documented across multiple large-sample studies and often summarised under the label of aggregate confusion (Berg et al., 2022). Average agreement among major rating agencies typically falls well short of strong consensus, in contrast to the near-perfect correlation observed among credit rating agencies assessing the same debt instrument. This divergence has direct implications for greenwashing risk, since it creates opportunities for firms to selectively cite whichever rating presents them most favourably, and it weakens the disciplining function ratings are meant to perform for investors who rely on them as a proxy for costly independent due diligence.</w:t>
      </w:r>
    </w:p>
    <w:p w14:paraId="7305112D"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4.2 Sources of measurement, scope and weight disagreement</w:t>
      </w:r>
    </w:p>
    <w:p w14:paraId="2470DD9E"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Decomposition studies attribute divergence in ESG ratings to three distinct sources: disagreement over which underlying indicators fall within scope, disagreement over how individual indicators should be measured once selected, and disagreement over the relative weight assigned to each pillar in constructing an aggregate score. Measurement disagreement, arising from differing methodologies applied to ostensibly the same underlying indicator, typically accounts for the largest share of total divergence, followed by scope disagreement and, to a lesser extent, weighting disagreement (Berg et al., 2022). This decomposition matters for greenwashing analysis because it clarifies that much of the observed divergence reflects genuine methodological pluralism among conscientious raters rather than deliberate manipulation by rated firms; the practical consequence for investors, however, is much the same regardless of cause, namely an inability to rely on any single rating as an unambiguous signal of underlying environmental performance. Recent evidence extends this line of work by linking rating disagreement to trading behaviour, showing that heightened disagreement is associated with reduced abnormal trading volume, consistent with disagreement generating investor uncertainty rather than encouraging speculative divergence of opinion, an effect more pronounced among firms with weaker underlying ESG performance and thinner analyst coverage (</w:t>
      </w:r>
      <w:proofErr w:type="spellStart"/>
      <w:r w:rsidRPr="00397623">
        <w:rPr>
          <w:rFonts w:ascii="Times New Roman" w:eastAsia="Times New Roman" w:hAnsi="Times New Roman" w:cs="Times New Roman"/>
          <w:sz w:val="24"/>
          <w:szCs w:val="24"/>
          <w:lang w:eastAsia="en-GB"/>
        </w:rPr>
        <w:t>Quotb</w:t>
      </w:r>
      <w:proofErr w:type="spellEnd"/>
      <w:r w:rsidRPr="00397623">
        <w:rPr>
          <w:rFonts w:ascii="Times New Roman" w:eastAsia="Times New Roman" w:hAnsi="Times New Roman" w:cs="Times New Roman"/>
          <w:sz w:val="24"/>
          <w:szCs w:val="24"/>
          <w:lang w:eastAsia="en-GB"/>
        </w:rPr>
        <w:t xml:space="preserve"> et al., 2026).</w:t>
      </w:r>
    </w:p>
    <w:p w14:paraId="18F2AA07"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lastRenderedPageBreak/>
        <w:t>4.3 Implications for greenwashing risk and disclosure quality</w:t>
      </w:r>
    </w:p>
    <w:p w14:paraId="307187CA"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Quantitative disclosure volume does not straightforwardly resolve rating divergence; under some conditions, greater volumes of unstandardised numerical disclosure appear to widen rather than narrow it, since raters retain scope to apply divergent interpretive judgements absent comparable, standardised metrics (Berg et al., 2022). This has direct policy relevance: mandatory disclosure regimes that increase reporting volume without simultaneously standardising units, boundaries, and calculation methodologies risk exacerbating the very informational opacity that enables greenwashing. It also implies that voluntary over-disclosure, sometimes adopted defensively against greenwashing accusations, can paradoxically increase perceived risk if the additional disclosure is inconsistent across reporting periods or unaudited.</w:t>
      </w:r>
    </w:p>
    <w:p w14:paraId="0E732189"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5. Regulatory Responses to Greenwashing</w:t>
      </w:r>
    </w:p>
    <w:p w14:paraId="71DA2D61"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5.1 The European Union framework</w:t>
      </w:r>
    </w:p>
    <w:p w14:paraId="5A0BCD4F" w14:textId="4F72EA44"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European Union has constructed the most comprehensive mandatory disclosure architecture addressing greenwashing risk internationally, built around three interlocking instruments (European Commission, 202</w:t>
      </w:r>
      <w:r w:rsidR="00981299">
        <w:rPr>
          <w:rFonts w:ascii="Times New Roman" w:eastAsia="Times New Roman" w:hAnsi="Times New Roman" w:cs="Times New Roman"/>
          <w:sz w:val="24"/>
          <w:szCs w:val="24"/>
          <w:lang w:eastAsia="en-GB"/>
        </w:rPr>
        <w:t>6</w:t>
      </w:r>
      <w:r w:rsidRPr="00397623">
        <w:rPr>
          <w:rFonts w:ascii="Times New Roman" w:eastAsia="Times New Roman" w:hAnsi="Times New Roman" w:cs="Times New Roman"/>
          <w:sz w:val="24"/>
          <w:szCs w:val="24"/>
          <w:lang w:eastAsia="en-GB"/>
        </w:rPr>
        <w:t>). The Corporate Sustainability Reporting Directive extends mandatory, standardised, digitally tagged sustainability reporting to a substantially wider population of large undertakings than its predecessor, requiring disclosure against the European Sustainability Reporting Standards together with mandatory external assurance, initially on a limited basis with a planned transition toward reasonable assurance as reporting infrastructure matures (Bauer &amp; Greiling, 202</w:t>
      </w:r>
      <w:r w:rsidR="00981299">
        <w:rPr>
          <w:rFonts w:ascii="Times New Roman" w:eastAsia="Times New Roman" w:hAnsi="Times New Roman" w:cs="Times New Roman"/>
          <w:sz w:val="24"/>
          <w:szCs w:val="24"/>
          <w:lang w:eastAsia="en-GB"/>
        </w:rPr>
        <w:t>4</w:t>
      </w:r>
      <w:r w:rsidRPr="00397623">
        <w:rPr>
          <w:rFonts w:ascii="Times New Roman" w:eastAsia="Times New Roman" w:hAnsi="Times New Roman" w:cs="Times New Roman"/>
          <w:sz w:val="24"/>
          <w:szCs w:val="24"/>
          <w:lang w:eastAsia="en-GB"/>
        </w:rPr>
        <w:t>). The European Union Taxonomy Regulation complements this by providing a classification system for environmentally sustainable economic activities, intended specifically to prevent ordinary economic activity being mislabelled as green by anchoring sustainability claims to defined technical screening criteria. Consumer-facing greenwashing is addressed separately through the Directive on Empowering Consumers for the Green Transition, which entered into force in 2024 and, from September 2026, prohibits generic and unsubstantiated environmental claims such as "climate-friendly" or "eco" absent clear, verifiable specification. A complementary proposal, the Green Claims Directive, was intended to introduce mandatory ex-ante third-party verification of environmental claims prior to publication, but its legislative progress stalled in 2025 amid disagreement over the administrative burden imposed on micro-enterprises, leaving its final status unresolved. Irrespective of that outcome, the existing consumer protection framework continues to provide a basis for greenwashing enforcement in the meantime.</w:t>
      </w:r>
    </w:p>
    <w:p w14:paraId="11D03F45"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5.2 The United States: an unsettled trajectory</w:t>
      </w:r>
    </w:p>
    <w:p w14:paraId="7D17FF4C"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regulatory trajectory in the United States has proven considerably less settled than in the European Union. The Securities and Exchange Commission adopted climate-related disclosure rules in March 2024 requiring registrants to disclose material climate risks, governance processes, and, for the largest filers, limited assurance over Scope 1 and Scope 2 greenhouse gas emissions (U.S. Securities and Exchange Commission, 2025). These rules were challenged in multiple federal circuits, consolidated before the Eighth Circuit Court of Appeals, and voluntarily stayed by the Commission pending judicial review; the Commission subsequently voted to end its defence of the rules, leaving their ultimate status contingent on further rulemaking or judicial action. This uncertainty carries practical consequences for </w:t>
      </w:r>
      <w:r w:rsidRPr="00397623">
        <w:rPr>
          <w:rFonts w:ascii="Times New Roman" w:eastAsia="Times New Roman" w:hAnsi="Times New Roman" w:cs="Times New Roman"/>
          <w:sz w:val="24"/>
          <w:szCs w:val="24"/>
          <w:lang w:eastAsia="en-GB"/>
        </w:rPr>
        <w:lastRenderedPageBreak/>
        <w:t>greenwashing risk, leaving United States-listed issuers without a harmonised mandatory disclosure baseline comparable to the European framework and increasing reliance on private litigation and voluntary frameworks to discipline misleading environmental claims.</w:t>
      </w:r>
    </w:p>
    <w:p w14:paraId="1CAA0085"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5.3 Other jurisdictions</w:t>
      </w:r>
    </w:p>
    <w:p w14:paraId="40E2B62C"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Regulatory approaches outside the European Union and the United States vary considerably in stringency and scope, and several jurisdictions have moved toward comply-or-explain disclosure obligations broadly modelled on international climate-related financial disclosure recommendations. The overall pattern across jurisdictions is one of gradual convergence on the principle that environmental claims require substantiation, even where the precise institutional mechanism, whether securities regulation, consumer protection law, or financial conduct rules, differs markedly. The point of sharpest divergence across jurisdictions is not whether disclosure obligations exist but how rigorously assurance and verification are enforced once disclosure has been made.</w:t>
      </w:r>
    </w:p>
    <w:p w14:paraId="5473973E"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5.4 Assurance and verification as the pivotal regulatory lever</w:t>
      </w:r>
    </w:p>
    <w:p w14:paraId="717DF685" w14:textId="6666F760"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Across jurisdictions, the literature converges on third-party assurance as the mechanism separating credible from non-credible sustainability disclosure. The Corporate Sustainability Reporting Directive's phased move from limited toward reasonable assurance reflects a recognition that assurance intensity, not disclosure volume, is what ultimately closes the verification gap that enables greenwashing (Bauer &amp; Greiling, 202</w:t>
      </w:r>
      <w:r w:rsidR="00981299">
        <w:rPr>
          <w:rFonts w:ascii="Times New Roman" w:eastAsia="Times New Roman" w:hAnsi="Times New Roman" w:cs="Times New Roman"/>
          <w:sz w:val="24"/>
          <w:szCs w:val="24"/>
          <w:lang w:eastAsia="en-GB"/>
        </w:rPr>
        <w:t>4</w:t>
      </w:r>
      <w:r w:rsidRPr="00397623">
        <w:rPr>
          <w:rFonts w:ascii="Times New Roman" w:eastAsia="Times New Roman" w:hAnsi="Times New Roman" w:cs="Times New Roman"/>
          <w:sz w:val="24"/>
          <w:szCs w:val="24"/>
          <w:lang w:eastAsia="en-GB"/>
        </w:rPr>
        <w:t>). The proposed Green Claims Directive's core innovation, mandatory ex-ante verification, targeted precisely the gap that voluntary or post-hoc assurance regimes leave unaddressed: the absence of any independent check prior to publication of a claim, as opposed to audit of a report already released into the market.</w:t>
      </w:r>
    </w:p>
    <w:p w14:paraId="086733B9"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3 sets out the principal regulatory instruments discussed in this section alongside their scope, verification requirements, and current status.</w:t>
      </w:r>
    </w:p>
    <w:p w14:paraId="7A37E6CB"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3. Comparative summary of major regulatory instruments addressing greenwashing</w:t>
      </w:r>
    </w:p>
    <w:tbl>
      <w:tblPr>
        <w:tblStyle w:val="TableGrid"/>
        <w:tblW w:w="0" w:type="auto"/>
        <w:tblLook w:val="04A0" w:firstRow="1" w:lastRow="0" w:firstColumn="1" w:lastColumn="0" w:noHBand="0" w:noVBand="1"/>
      </w:tblPr>
      <w:tblGrid>
        <w:gridCol w:w="1464"/>
        <w:gridCol w:w="1795"/>
        <w:gridCol w:w="2008"/>
        <w:gridCol w:w="2030"/>
        <w:gridCol w:w="1945"/>
      </w:tblGrid>
      <w:tr w:rsidR="00397623" w:rsidRPr="00397623" w14:paraId="7A839881" w14:textId="77777777" w:rsidTr="00397623">
        <w:tc>
          <w:tcPr>
            <w:tcW w:w="0" w:type="auto"/>
            <w:hideMark/>
          </w:tcPr>
          <w:p w14:paraId="4D9DE87D"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Jurisdiction</w:t>
            </w:r>
          </w:p>
        </w:tc>
        <w:tc>
          <w:tcPr>
            <w:tcW w:w="0" w:type="auto"/>
            <w:hideMark/>
          </w:tcPr>
          <w:p w14:paraId="3DECEF3B"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Instrument</w:t>
            </w:r>
          </w:p>
        </w:tc>
        <w:tc>
          <w:tcPr>
            <w:tcW w:w="0" w:type="auto"/>
            <w:hideMark/>
          </w:tcPr>
          <w:p w14:paraId="45A292E2"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Scope</w:t>
            </w:r>
          </w:p>
        </w:tc>
        <w:tc>
          <w:tcPr>
            <w:tcW w:w="0" w:type="auto"/>
            <w:hideMark/>
          </w:tcPr>
          <w:p w14:paraId="08E9C9E3"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Verification requirement</w:t>
            </w:r>
          </w:p>
        </w:tc>
        <w:tc>
          <w:tcPr>
            <w:tcW w:w="0" w:type="auto"/>
            <w:hideMark/>
          </w:tcPr>
          <w:p w14:paraId="0BF2BE85"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Status</w:t>
            </w:r>
          </w:p>
        </w:tc>
      </w:tr>
      <w:tr w:rsidR="00397623" w:rsidRPr="00397623" w14:paraId="05EAB684" w14:textId="77777777" w:rsidTr="00397623">
        <w:tc>
          <w:tcPr>
            <w:tcW w:w="0" w:type="auto"/>
            <w:hideMark/>
          </w:tcPr>
          <w:p w14:paraId="257E82CD"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016CC8B8"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Corporate Sustainability Reporting Directive</w:t>
            </w:r>
          </w:p>
        </w:tc>
        <w:tc>
          <w:tcPr>
            <w:tcW w:w="0" w:type="auto"/>
            <w:hideMark/>
          </w:tcPr>
          <w:p w14:paraId="455CF0F1"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Large undertakings meeting size thresholds</w:t>
            </w:r>
          </w:p>
        </w:tc>
        <w:tc>
          <w:tcPr>
            <w:tcW w:w="0" w:type="auto"/>
            <w:hideMark/>
          </w:tcPr>
          <w:p w14:paraId="19942CF0"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Mandatory limited assurance, transitioning toward reasonable assurance</w:t>
            </w:r>
          </w:p>
        </w:tc>
        <w:tc>
          <w:tcPr>
            <w:tcW w:w="0" w:type="auto"/>
            <w:hideMark/>
          </w:tcPr>
          <w:p w14:paraId="648CBAE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 force, phased implementation</w:t>
            </w:r>
          </w:p>
        </w:tc>
      </w:tr>
      <w:tr w:rsidR="00397623" w:rsidRPr="00397623" w14:paraId="28B71A7B" w14:textId="77777777" w:rsidTr="00397623">
        <w:tc>
          <w:tcPr>
            <w:tcW w:w="0" w:type="auto"/>
            <w:hideMark/>
          </w:tcPr>
          <w:p w14:paraId="186898D5"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7FBBE3A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Taxonomy Regulation</w:t>
            </w:r>
          </w:p>
        </w:tc>
        <w:tc>
          <w:tcPr>
            <w:tcW w:w="0" w:type="auto"/>
            <w:hideMark/>
          </w:tcPr>
          <w:p w14:paraId="6619EB1D"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Classification of environmentally sustainable activities</w:t>
            </w:r>
          </w:p>
        </w:tc>
        <w:tc>
          <w:tcPr>
            <w:tcW w:w="0" w:type="auto"/>
            <w:hideMark/>
          </w:tcPr>
          <w:p w14:paraId="0B5DA93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Alignment disclosure against technical screening criteria</w:t>
            </w:r>
          </w:p>
        </w:tc>
        <w:tc>
          <w:tcPr>
            <w:tcW w:w="0" w:type="auto"/>
            <w:hideMark/>
          </w:tcPr>
          <w:p w14:paraId="2330F86C"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 force</w:t>
            </w:r>
          </w:p>
        </w:tc>
      </w:tr>
      <w:tr w:rsidR="00397623" w:rsidRPr="00397623" w14:paraId="7451A582" w14:textId="77777777" w:rsidTr="00397623">
        <w:tc>
          <w:tcPr>
            <w:tcW w:w="0" w:type="auto"/>
            <w:hideMark/>
          </w:tcPr>
          <w:p w14:paraId="137FB2F5"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2501256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Empowering Consumers for the Green Transition Directive</w:t>
            </w:r>
          </w:p>
        </w:tc>
        <w:tc>
          <w:tcPr>
            <w:tcW w:w="0" w:type="auto"/>
            <w:hideMark/>
          </w:tcPr>
          <w:p w14:paraId="38052721"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Business-to-consumer environmental marketing claims</w:t>
            </w:r>
          </w:p>
        </w:tc>
        <w:tc>
          <w:tcPr>
            <w:tcW w:w="0" w:type="auto"/>
            <w:hideMark/>
          </w:tcPr>
          <w:p w14:paraId="38BAEBBD"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Substantiation requirement; bans generic unsubstantiated claims</w:t>
            </w:r>
          </w:p>
        </w:tc>
        <w:tc>
          <w:tcPr>
            <w:tcW w:w="0" w:type="auto"/>
            <w:hideMark/>
          </w:tcPr>
          <w:p w14:paraId="75F287D3"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 force; applicable from September 2026</w:t>
            </w:r>
          </w:p>
        </w:tc>
      </w:tr>
      <w:tr w:rsidR="00397623" w:rsidRPr="00397623" w14:paraId="027BDA0C" w14:textId="77777777" w:rsidTr="00397623">
        <w:tc>
          <w:tcPr>
            <w:tcW w:w="0" w:type="auto"/>
            <w:hideMark/>
          </w:tcPr>
          <w:p w14:paraId="7B474FCE"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European Union</w:t>
            </w:r>
          </w:p>
        </w:tc>
        <w:tc>
          <w:tcPr>
            <w:tcW w:w="0" w:type="auto"/>
            <w:hideMark/>
          </w:tcPr>
          <w:p w14:paraId="79CD7B1B"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Green Claims Directive (proposed)</w:t>
            </w:r>
          </w:p>
        </w:tc>
        <w:tc>
          <w:tcPr>
            <w:tcW w:w="0" w:type="auto"/>
            <w:hideMark/>
          </w:tcPr>
          <w:p w14:paraId="5AF8C2F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Business-to-consumer environmental claims and labels</w:t>
            </w:r>
          </w:p>
        </w:tc>
        <w:tc>
          <w:tcPr>
            <w:tcW w:w="0" w:type="auto"/>
            <w:hideMark/>
          </w:tcPr>
          <w:p w14:paraId="145BE622"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Mandatory ex-ante third-party verification</w:t>
            </w:r>
          </w:p>
        </w:tc>
        <w:tc>
          <w:tcPr>
            <w:tcW w:w="0" w:type="auto"/>
            <w:hideMark/>
          </w:tcPr>
          <w:p w14:paraId="24985183"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Legislative status unresolved</w:t>
            </w:r>
          </w:p>
        </w:tc>
      </w:tr>
      <w:tr w:rsidR="00397623" w:rsidRPr="00397623" w14:paraId="24E5EB53" w14:textId="77777777" w:rsidTr="00397623">
        <w:tc>
          <w:tcPr>
            <w:tcW w:w="0" w:type="auto"/>
            <w:hideMark/>
          </w:tcPr>
          <w:p w14:paraId="6468AE76"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United States</w:t>
            </w:r>
          </w:p>
        </w:tc>
        <w:tc>
          <w:tcPr>
            <w:tcW w:w="0" w:type="auto"/>
            <w:hideMark/>
          </w:tcPr>
          <w:p w14:paraId="1EF9D63D"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SEC Climate-Related Disclosure Rules</w:t>
            </w:r>
          </w:p>
        </w:tc>
        <w:tc>
          <w:tcPr>
            <w:tcW w:w="0" w:type="auto"/>
            <w:hideMark/>
          </w:tcPr>
          <w:p w14:paraId="719CA5D1"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Public registrants</w:t>
            </w:r>
          </w:p>
        </w:tc>
        <w:tc>
          <w:tcPr>
            <w:tcW w:w="0" w:type="auto"/>
            <w:hideMark/>
          </w:tcPr>
          <w:p w14:paraId="219243F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Limited assurance over Scope 1 and 2 emissions for large filers</w:t>
            </w:r>
          </w:p>
        </w:tc>
        <w:tc>
          <w:tcPr>
            <w:tcW w:w="0" w:type="auto"/>
            <w:hideMark/>
          </w:tcPr>
          <w:p w14:paraId="0345B96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Adopted, stayed pending litigation, defence withdrawn</w:t>
            </w:r>
          </w:p>
        </w:tc>
      </w:tr>
    </w:tbl>
    <w:p w14:paraId="23819943" w14:textId="2EC3C1F8"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Sources: Bauer and Greiling (202</w:t>
      </w:r>
      <w:r w:rsidR="00981299">
        <w:rPr>
          <w:rFonts w:ascii="Times New Roman" w:eastAsia="Times New Roman" w:hAnsi="Times New Roman" w:cs="Times New Roman"/>
          <w:i/>
          <w:iCs/>
          <w:sz w:val="24"/>
          <w:szCs w:val="24"/>
          <w:lang w:eastAsia="en-GB"/>
        </w:rPr>
        <w:t>4</w:t>
      </w:r>
      <w:r w:rsidRPr="00397623">
        <w:rPr>
          <w:rFonts w:ascii="Times New Roman" w:eastAsia="Times New Roman" w:hAnsi="Times New Roman" w:cs="Times New Roman"/>
          <w:i/>
          <w:iCs/>
          <w:sz w:val="24"/>
          <w:szCs w:val="24"/>
          <w:lang w:eastAsia="en-GB"/>
        </w:rPr>
        <w:t>); European Commission (202</w:t>
      </w:r>
      <w:r w:rsidR="00981299">
        <w:rPr>
          <w:rFonts w:ascii="Times New Roman" w:eastAsia="Times New Roman" w:hAnsi="Times New Roman" w:cs="Times New Roman"/>
          <w:i/>
          <w:iCs/>
          <w:sz w:val="24"/>
          <w:szCs w:val="24"/>
          <w:lang w:eastAsia="en-GB"/>
        </w:rPr>
        <w:t>6</w:t>
      </w:r>
      <w:r w:rsidRPr="00397623">
        <w:rPr>
          <w:rFonts w:ascii="Times New Roman" w:eastAsia="Times New Roman" w:hAnsi="Times New Roman" w:cs="Times New Roman"/>
          <w:i/>
          <w:iCs/>
          <w:sz w:val="24"/>
          <w:szCs w:val="24"/>
          <w:lang w:eastAsia="en-GB"/>
        </w:rPr>
        <w:t>); U.S. Securities and Exchange Commission (2025).</w:t>
      </w:r>
    </w:p>
    <w:p w14:paraId="3DE15C1B"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6. Investor Risk: Financial Materiality, Market Reactions and Litigation</w:t>
      </w:r>
    </w:p>
    <w:p w14:paraId="09975D91"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6.1 Market reactions and financing effects</w:t>
      </w:r>
    </w:p>
    <w:p w14:paraId="0EED2A6B"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Empirical evidence linking greenwashing to adverse capital market outcomes has grown considerably, though the precision and consistency of findings vary by market, allegation type, and measurement approach. The broad pattern emerging from this literature is that greenwashing is associated with heightened uncertainty for investors rather than a uniform, mechanical price penalty: reactions tend to be strongest where reputational visibility is highest and weakest where disclosure is diffuse or difficult to verify independently. This pattern is consistent with the theoretical framing set out in Section 3, in which greenwashing operates through both an information-asymmetry channel and a legitimacy channel, with the relative strength of each depending on firm visibility and stakeholder proximity.</w:t>
      </w:r>
    </w:p>
    <w:p w14:paraId="3B80FAD3"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6.2 Ownership, monitoring and financing effects</w:t>
      </w:r>
    </w:p>
    <w:p w14:paraId="5E235415"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Beyond immediate price reactions, greenwashing appears to raise firms' cost of external financing through governance-related channels. Evidence on green bond issuance in China indicates that bonds issued by firms with weaker underlying environmental credentials, consistent with greenwashing intent, are associated with reduced stock pricing efficiency for the issuer, suggesting that markets partially, though imperfectly, discount green-labelled financing instruments lacking credible substantiation (Huang et al., 2025). Ownership structure also shapes greenwashing propensity: state shareholding in privately owned firms shows an ambiguous relationship with greenwashing outcomes, varying with the strength of complementary governance mechanisms rather than operating as a uniform disciplining or permissive force (Wang et al., 2024).</w:t>
      </w:r>
    </w:p>
    <w:p w14:paraId="0C5D84E5"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6.3 Litigation and reputational exposure</w:t>
      </w:r>
    </w:p>
    <w:p w14:paraId="7AC001CE"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Climate-related and greenwashing-specific litigation has expanded across jurisdictions, with firms across several sectors facing legal challenges over the substantiation of environmental claims, particularly those tied to carbon neutrality and offsetting. This litigation exposure represents a distinct component of greenwashing risk for investors, separate from the market's ex-ante pricing of reputational uncertainty, because adverse outcomes can trigger direct financial liabilities, mandated corrective disclosure, and reputational spillover extending beyond the immediate parties to the dispute. Regulatory uncertainty at the level of harmonised, cross-border rulemaking does not eliminate this exposure, since national and </w:t>
      </w:r>
      <w:r w:rsidRPr="00397623">
        <w:rPr>
          <w:rFonts w:ascii="Times New Roman" w:eastAsia="Times New Roman" w:hAnsi="Times New Roman" w:cs="Times New Roman"/>
          <w:sz w:val="24"/>
          <w:szCs w:val="24"/>
          <w:lang w:eastAsia="en-GB"/>
        </w:rPr>
        <w:lastRenderedPageBreak/>
        <w:t>sector-level enforcement continues in parallel regardless of the pace of higher-level legislative reform.</w:t>
      </w:r>
    </w:p>
    <w:p w14:paraId="33123A04"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7. Sectoral Considerations: Green-Labelled Financial Instruments</w:t>
      </w:r>
    </w:p>
    <w:p w14:paraId="5D4880CC"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Instruments carrying an explicit environmental label, such as green bonds, present a distinct greenwashing risk relative to firm-level ESG disclosure, because the label attaches to the use of proceeds rather than to the issuer's aggregate environmental performance. This creates scope for firms with otherwise weak environmental credentials to access green-labelled financing on favourable terms. Evidence from the Chinese corporate bond market indicates that green bond issuance is associated with reduced stock pricing efficiency for issuers exhibiting weaker underlying environmental performance, consistent with the market's partial but incomplete ability to distinguish credible from greenwashed green bond issuance (Huang et al., 2025). This finding mirrors the broader pattern observed in equity markets, in which label-based signals retain informational value only to the extent that they are backed by independent verification infrastructure comparable to that applied to conventional credit ratings.</w:t>
      </w:r>
    </w:p>
    <w:p w14:paraId="4181E7AD"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8. Corporate Governance, Ownership and Incentive Structures</w:t>
      </w:r>
    </w:p>
    <w:p w14:paraId="2FA1C252"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8.1 Executive compensation and ESG-linked pay</w:t>
      </w:r>
    </w:p>
    <w:p w14:paraId="6BA8A1E6"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increasing prevalence of environmental, social and governance metrics in executive compensation contracts has generated a substantial and somewhat contested literature on whether such linkage curbs or exacerbates greenwashing. International evidence indicates that firms adopting ESG-linked compensation structures do so in patterns broadly consistent with efficient incentive contracting, and that adoption is associated with greater institutional investor engagement, voting activity, and trading interest (Cohen et al., 2023). Sector-specific evidence from the global banking industry points to a negative and statistically significant relationship between adoption of ESG-linked compensation policies and subsequent greenwashing behaviour, measured as the gap between the volume of ESG information disclosed and independently assessed ESG performance (Abis &amp; </w:t>
      </w:r>
      <w:proofErr w:type="spellStart"/>
      <w:r w:rsidRPr="00397623">
        <w:rPr>
          <w:rFonts w:ascii="Times New Roman" w:eastAsia="Times New Roman" w:hAnsi="Times New Roman" w:cs="Times New Roman"/>
          <w:sz w:val="24"/>
          <w:szCs w:val="24"/>
          <w:lang w:eastAsia="en-GB"/>
        </w:rPr>
        <w:t>Damilano</w:t>
      </w:r>
      <w:proofErr w:type="spellEnd"/>
      <w:r w:rsidRPr="00397623">
        <w:rPr>
          <w:rFonts w:ascii="Times New Roman" w:eastAsia="Times New Roman" w:hAnsi="Times New Roman" w:cs="Times New Roman"/>
          <w:sz w:val="24"/>
          <w:szCs w:val="24"/>
          <w:lang w:eastAsia="en-GB"/>
        </w:rPr>
        <w:t>, 2026). This relationship is not uniform, however: evidence from Chinese listed firms indicates that the composition of executive pay matters considerably, with a higher proportion of cash relative to equity compensation associated with more severe greenwashing behaviour, an effect partially mitigated by stronger internal control quality, while a widening pay gap between the chief executive officer and other senior executives is independently associated with elevated greenwashing risk (Li &amp; Chen, 2024). Taken together with the distinction between greenwashing and its inverse discussed in Section 3.2, this body of evidence suggests that incentive redesign alone is unlikely to eliminate disclosure distortion, since compensation structures that discourage overstatement can simultaneously create pressure toward understatement (Kim &amp; Lyon, 2015).</w:t>
      </w:r>
    </w:p>
    <w:p w14:paraId="3F57D3CA"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8.2 Ownership structure and regulatory cost internalisation</w:t>
      </w:r>
    </w:p>
    <w:p w14:paraId="2764C121"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State shareholding in privately owned firms shows a mixed association with greenwashing outcomes across the literature, suggesting that state ownership can function either as a stabilising governance influence, through closer regulatory alignment and reduced short-term earnings pressure, or as a source of weaker market discipline, depending on the strength of complementary institutional oversight (Wang et al., 2024). Capital market liberalisation </w:t>
      </w:r>
      <w:r w:rsidRPr="00397623">
        <w:rPr>
          <w:rFonts w:ascii="Times New Roman" w:eastAsia="Times New Roman" w:hAnsi="Times New Roman" w:cs="Times New Roman"/>
          <w:sz w:val="24"/>
          <w:szCs w:val="24"/>
          <w:lang w:eastAsia="en-GB"/>
        </w:rPr>
        <w:lastRenderedPageBreak/>
        <w:t xml:space="preserve">offers a further, quasi-experimental angle on this question: examined through the natural experiment of cross-border stock connect programmes linking Mainland Chinese exchanges with Hong Kong, market access for foreign institutional investors is associated with a significant reduction in domestic firms' greenwashing levels, consistent with the hypothesis that exposure to internationally sophisticated capital disciplines disclosure quality (Huang &amp; Xiang, 2025). </w:t>
      </w:r>
      <w:r w:rsidRPr="00397623">
        <w:rPr>
          <w:rFonts w:ascii="Times New Roman" w:eastAsia="Times New Roman" w:hAnsi="Times New Roman" w:cs="Times New Roman"/>
          <w:bCs/>
          <w:sz w:val="24"/>
          <w:szCs w:val="24"/>
          <w:lang w:eastAsia="en-GB"/>
        </w:rPr>
        <w:t>Regulatory cost internalisation, by contrast, does not uniformly reduce greenwashing: a difference-in-differences analysis of an environmental tax reform among Chinese listed companies finds that the reform significantly increased greenwashing among high-polluting firms, as the rising cost of compliance appears to have encouraged some firms to substitute symbolic disclosure for the costlier route of genuine emissions reduction (Hu et al., 2023). This finding qualifies the broader claim that raising the cost of environmental harm necessarily substitutes for shareholder-based monitoring; instead, it suggests that the effect of cost-based regulatory instruments on greenwashing depends on whether firms have a credible, affordable path to substantive compliance, and that poorly targeted cost increases can perversely incentivise disclosure distortion rather than curbing it.</w:t>
      </w:r>
    </w:p>
    <w:p w14:paraId="5F51D32C"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4 draws together the governance mechanisms discussed in this section and the direction of their documented association with greenwashing.</w:t>
      </w:r>
    </w:p>
    <w:p w14:paraId="611F2410" w14:textId="77777777" w:rsidR="00397623" w:rsidRPr="00397623" w:rsidRDefault="00397623" w:rsidP="00AB7AFF">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4. Governance mechanisms and their documented association with greenwashing</w:t>
      </w:r>
    </w:p>
    <w:tbl>
      <w:tblPr>
        <w:tblStyle w:val="TableGrid"/>
        <w:tblW w:w="0" w:type="auto"/>
        <w:tblLook w:val="04A0" w:firstRow="1" w:lastRow="0" w:firstColumn="1" w:lastColumn="0" w:noHBand="0" w:noVBand="1"/>
      </w:tblPr>
      <w:tblGrid>
        <w:gridCol w:w="2987"/>
        <w:gridCol w:w="3123"/>
        <w:gridCol w:w="3132"/>
      </w:tblGrid>
      <w:tr w:rsidR="00397623" w:rsidRPr="00397623" w14:paraId="1BD2C050" w14:textId="77777777" w:rsidTr="00397623">
        <w:tc>
          <w:tcPr>
            <w:tcW w:w="0" w:type="auto"/>
            <w:hideMark/>
          </w:tcPr>
          <w:p w14:paraId="02B754EE"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Mechanism</w:t>
            </w:r>
          </w:p>
        </w:tc>
        <w:tc>
          <w:tcPr>
            <w:tcW w:w="0" w:type="auto"/>
            <w:hideMark/>
          </w:tcPr>
          <w:p w14:paraId="4E41DD24"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Documented direction of association with greenwashing</w:t>
            </w:r>
          </w:p>
        </w:tc>
        <w:tc>
          <w:tcPr>
            <w:tcW w:w="0" w:type="auto"/>
            <w:hideMark/>
          </w:tcPr>
          <w:p w14:paraId="4FCD8E23" w14:textId="77777777" w:rsidR="00397623" w:rsidRPr="00397623" w:rsidRDefault="00397623" w:rsidP="00AB7AFF">
            <w:pPr>
              <w:jc w:val="both"/>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Representative evidence context</w:t>
            </w:r>
          </w:p>
        </w:tc>
      </w:tr>
      <w:tr w:rsidR="00397623" w:rsidRPr="00397623" w14:paraId="273D14D3" w14:textId="77777777" w:rsidTr="00397623">
        <w:tc>
          <w:tcPr>
            <w:tcW w:w="0" w:type="auto"/>
            <w:hideMark/>
          </w:tcPr>
          <w:p w14:paraId="7F28909B"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ESG-linked executive compensation (equity-weighted)</w:t>
            </w:r>
          </w:p>
        </w:tc>
        <w:tc>
          <w:tcPr>
            <w:tcW w:w="0" w:type="auto"/>
            <w:hideMark/>
          </w:tcPr>
          <w:p w14:paraId="5240787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Reduced greenwashing</w:t>
            </w:r>
          </w:p>
        </w:tc>
        <w:tc>
          <w:tcPr>
            <w:tcW w:w="0" w:type="auto"/>
            <w:hideMark/>
          </w:tcPr>
          <w:p w14:paraId="0E59D495"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Global banking sector; Chinese listed firms</w:t>
            </w:r>
          </w:p>
        </w:tc>
      </w:tr>
      <w:tr w:rsidR="00397623" w:rsidRPr="00397623" w14:paraId="30FD9FA1" w14:textId="77777777" w:rsidTr="00397623">
        <w:tc>
          <w:tcPr>
            <w:tcW w:w="0" w:type="auto"/>
            <w:hideMark/>
          </w:tcPr>
          <w:p w14:paraId="6D549B12"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Cash-weighted executive compensation</w:t>
            </w:r>
          </w:p>
        </w:tc>
        <w:tc>
          <w:tcPr>
            <w:tcW w:w="0" w:type="auto"/>
            <w:hideMark/>
          </w:tcPr>
          <w:p w14:paraId="61CDF91F"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Increased greenwashing</w:t>
            </w:r>
          </w:p>
        </w:tc>
        <w:tc>
          <w:tcPr>
            <w:tcW w:w="0" w:type="auto"/>
            <w:hideMark/>
          </w:tcPr>
          <w:p w14:paraId="35DB1692"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Chinese listed firms, 2013–2022</w:t>
            </w:r>
          </w:p>
        </w:tc>
      </w:tr>
      <w:tr w:rsidR="00397623" w:rsidRPr="00397623" w14:paraId="1FBF420A" w14:textId="77777777" w:rsidTr="00397623">
        <w:tc>
          <w:tcPr>
            <w:tcW w:w="0" w:type="auto"/>
            <w:hideMark/>
          </w:tcPr>
          <w:p w14:paraId="0CE1ACFF"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Executive pay gap (CEO relative to other executives)</w:t>
            </w:r>
          </w:p>
        </w:tc>
        <w:tc>
          <w:tcPr>
            <w:tcW w:w="0" w:type="auto"/>
            <w:hideMark/>
          </w:tcPr>
          <w:p w14:paraId="48B66D61"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Increased greenwashing</w:t>
            </w:r>
          </w:p>
        </w:tc>
        <w:tc>
          <w:tcPr>
            <w:tcW w:w="0" w:type="auto"/>
            <w:hideMark/>
          </w:tcPr>
          <w:p w14:paraId="198F0BA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Chinese listed firms</w:t>
            </w:r>
          </w:p>
        </w:tc>
      </w:tr>
      <w:tr w:rsidR="00397623" w:rsidRPr="00397623" w14:paraId="44886023" w14:textId="77777777" w:rsidTr="00397623">
        <w:tc>
          <w:tcPr>
            <w:tcW w:w="0" w:type="auto"/>
            <w:hideMark/>
          </w:tcPr>
          <w:p w14:paraId="075545D7"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Capital market liberalisation (foreign investor access)</w:t>
            </w:r>
          </w:p>
        </w:tc>
        <w:tc>
          <w:tcPr>
            <w:tcW w:w="0" w:type="auto"/>
            <w:hideMark/>
          </w:tcPr>
          <w:p w14:paraId="6D64F22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Reduced greenwashing</w:t>
            </w:r>
          </w:p>
        </w:tc>
        <w:tc>
          <w:tcPr>
            <w:tcW w:w="0" w:type="auto"/>
            <w:hideMark/>
          </w:tcPr>
          <w:p w14:paraId="54AB23C7"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Shanghai/Shenzhen–Hong Kong Stock Connect</w:t>
            </w:r>
          </w:p>
        </w:tc>
      </w:tr>
      <w:tr w:rsidR="00397623" w:rsidRPr="00397623" w14:paraId="0FAE44B3" w14:textId="77777777" w:rsidTr="00397623">
        <w:tc>
          <w:tcPr>
            <w:tcW w:w="0" w:type="auto"/>
            <w:hideMark/>
          </w:tcPr>
          <w:p w14:paraId="3EDCE632"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Environmental tax reform</w:t>
            </w:r>
          </w:p>
        </w:tc>
        <w:tc>
          <w:tcPr>
            <w:tcW w:w="0" w:type="auto"/>
            <w:hideMark/>
          </w:tcPr>
          <w:p w14:paraId="3B77F0F1"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Increased greenwashing (among high-polluting firms)</w:t>
            </w:r>
          </w:p>
        </w:tc>
        <w:tc>
          <w:tcPr>
            <w:tcW w:w="0" w:type="auto"/>
            <w:hideMark/>
          </w:tcPr>
          <w:p w14:paraId="03633328"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Chinese listed companies</w:t>
            </w:r>
          </w:p>
        </w:tc>
      </w:tr>
      <w:tr w:rsidR="00397623" w:rsidRPr="00397623" w14:paraId="61C3E4E4" w14:textId="77777777" w:rsidTr="00397623">
        <w:tc>
          <w:tcPr>
            <w:tcW w:w="0" w:type="auto"/>
            <w:hideMark/>
          </w:tcPr>
          <w:p w14:paraId="2B8E3F3A"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State ownership in privately controlled firms</w:t>
            </w:r>
          </w:p>
        </w:tc>
        <w:tc>
          <w:tcPr>
            <w:tcW w:w="0" w:type="auto"/>
            <w:hideMark/>
          </w:tcPr>
          <w:p w14:paraId="0B1C5064"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Mixed, context-dependent</w:t>
            </w:r>
          </w:p>
        </w:tc>
        <w:tc>
          <w:tcPr>
            <w:tcW w:w="0" w:type="auto"/>
            <w:hideMark/>
          </w:tcPr>
          <w:p w14:paraId="5844C845" w14:textId="77777777" w:rsidR="00397623" w:rsidRPr="00397623" w:rsidRDefault="00397623" w:rsidP="00AB7AFF">
            <w:pPr>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Chinese listed firms</w:t>
            </w:r>
          </w:p>
        </w:tc>
      </w:tr>
    </w:tbl>
    <w:p w14:paraId="3330F943"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 xml:space="preserve">Sources: Cohen et al. (2023); Hu et al. (2023); Li and Chen (2024); Wang et al. (2024); Abis and </w:t>
      </w:r>
      <w:proofErr w:type="spellStart"/>
      <w:r w:rsidRPr="00397623">
        <w:rPr>
          <w:rFonts w:ascii="Times New Roman" w:eastAsia="Times New Roman" w:hAnsi="Times New Roman" w:cs="Times New Roman"/>
          <w:i/>
          <w:iCs/>
          <w:sz w:val="24"/>
          <w:szCs w:val="24"/>
          <w:lang w:eastAsia="en-GB"/>
        </w:rPr>
        <w:t>Damilano</w:t>
      </w:r>
      <w:proofErr w:type="spellEnd"/>
      <w:r w:rsidRPr="00397623">
        <w:rPr>
          <w:rFonts w:ascii="Times New Roman" w:eastAsia="Times New Roman" w:hAnsi="Times New Roman" w:cs="Times New Roman"/>
          <w:i/>
          <w:iCs/>
          <w:sz w:val="24"/>
          <w:szCs w:val="24"/>
          <w:lang w:eastAsia="en-GB"/>
        </w:rPr>
        <w:t xml:space="preserve"> (2026); Huang and Xiang (2025).</w:t>
      </w:r>
    </w:p>
    <w:p w14:paraId="78D75188"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9. Detection and Monitoring: Natural Language Processing and Emerging Computational Methods</w:t>
      </w:r>
    </w:p>
    <w:p w14:paraId="775FD892"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scale and unstructured nature of corporate sustainability disclosure has motivated a growing computational literature applying natural language processing and machine learning to greenwashing detection. Early approaches relied on dictionary-based sentiment and keyword analysis of corporate social responsibility reports; more recent work increasingly employs domain-adapted language models to classify statements according to specificity, </w:t>
      </w:r>
      <w:r w:rsidRPr="00397623">
        <w:rPr>
          <w:rFonts w:ascii="Times New Roman" w:eastAsia="Times New Roman" w:hAnsi="Times New Roman" w:cs="Times New Roman"/>
          <w:sz w:val="24"/>
          <w:szCs w:val="24"/>
          <w:lang w:eastAsia="en-GB"/>
        </w:rPr>
        <w:lastRenderedPageBreak/>
        <w:t>stance, and the presence of linguistically deceptive cues. A persistent methodological constraint in this literature is the scarcity of large, independently verified datasets pairing disclosed claims with confirmed greenwashing outcomes, meaning most detection systems are trained as proxies, such as climate-relevance classifiers or sentiment scorers, rather than as direct greenwashing classifiers validated against independently confirmed cases.</w:t>
      </w:r>
    </w:p>
    <w:p w14:paraId="33045725"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Regional applications illustrate both the promise and the current limits of this approach. Analysis comparing corporate sustainability reports with external media coverage for firms across Central and Eastern Europe constructs a greenwashing severity index from sentiment analysis, term-weighting, and topic modelling, finding moderate but widespread evidence of discrepancy between self-representation and external narrative, with variation linked to differences in regulatory maturity across the sample (Davidescu et al., 2026). Such index-based approaches offer a scalable complement to manual content analysis, though their reliability depends heavily on the quality and comparability of the external benchmark data against which corporate disclosure is compared, and cross-market transferability of any single trained model remains limited by jurisdiction-specific reporting conventions.</w:t>
      </w:r>
    </w:p>
    <w:p w14:paraId="488FF4E4"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10. Consumer Perceptions and Market-Based Discipline</w:t>
      </w:r>
    </w:p>
    <w:p w14:paraId="55B2AF7C"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Consumer-facing evidence complements the investor-focused literature reviewed above by pointing to a further channel through which greenwashing carries commercial consequences: perceived deception in environmental marketing can weaken brand trust and dampen the demand-side reward that firms seek from sustainability positioning in the first place. The precise behavioural pathway through which this occurs, whether through cognitive </w:t>
      </w:r>
      <w:proofErr w:type="spellStart"/>
      <w:r w:rsidRPr="00397623">
        <w:rPr>
          <w:rFonts w:ascii="Times New Roman" w:eastAsia="Times New Roman" w:hAnsi="Times New Roman" w:cs="Times New Roman"/>
          <w:sz w:val="24"/>
          <w:szCs w:val="24"/>
          <w:lang w:eastAsia="en-GB"/>
        </w:rPr>
        <w:t>skepticism</w:t>
      </w:r>
      <w:proofErr w:type="spellEnd"/>
      <w:r w:rsidRPr="00397623">
        <w:rPr>
          <w:rFonts w:ascii="Times New Roman" w:eastAsia="Times New Roman" w:hAnsi="Times New Roman" w:cs="Times New Roman"/>
          <w:sz w:val="24"/>
          <w:szCs w:val="24"/>
          <w:lang w:eastAsia="en-GB"/>
        </w:rPr>
        <w:t>, affective brand attachment, or simple avoidance, appears to vary across product categories and cultural settings, and the review of this behavioural literature falls outside the primary financial and regulatory focus of the present synthesis. What matters for the argument developed here is the broader implication for policy design: disclosure-based remedies directed at investors and disclosure-based remedies directed at consumers address related but not identical failures, and neither substitutes fully for the other.</w:t>
      </w:r>
    </w:p>
    <w:p w14:paraId="43030E06"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11. Future Directions</w:t>
      </w:r>
    </w:p>
    <w:p w14:paraId="673DDE2F"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Several priority directions emerge from this synthesis. The persistent divergence among ESG rating providers, and the demonstrated risk that increased disclosure volume can widen rather than narrow this divergence absent standardisation, points to a need for harmonised, machine-readable disclosure taxonomies that reduce discretionary interpretation at the point of data ingestion by rating agencies, rather than relying solely on downstream aggregation methodology reform. The growing but still fragmented literature on automated greenwashing detection would benefit from the construction of large, cross-jurisdictional, independently verified benchmark datasets pairing disclosed claims with audited outcome data, a resource gap explicitly identified as constraining progress in the computational literature. The regulatory divergence between the European Union's increasingly codified assurance-based framework and the more contested position in the United States creates a natural setting for future research examining whether mandatory ex-ante verification produces measurably different greenwashing outcomes than ex-post, litigation-driven enforcement, once sufficient post-implementation data accumulate under the Corporate Sustainability Reporting Directive. The governance literature reviewed in Section 8 would benefit from closer attention to interaction effects between compensation design, ownership structure, and assurance quality, since the evidence to date treats these mechanisms largely in isolation despite theoretical </w:t>
      </w:r>
      <w:r w:rsidRPr="00397623">
        <w:rPr>
          <w:rFonts w:ascii="Times New Roman" w:eastAsia="Times New Roman" w:hAnsi="Times New Roman" w:cs="Times New Roman"/>
          <w:sz w:val="24"/>
          <w:szCs w:val="24"/>
          <w:lang w:eastAsia="en-GB"/>
        </w:rPr>
        <w:lastRenderedPageBreak/>
        <w:t xml:space="preserve">reasons to expect they act as complements or substitutes for one another. </w:t>
      </w:r>
      <w:r w:rsidRPr="00397623">
        <w:rPr>
          <w:rFonts w:ascii="Times New Roman" w:eastAsia="Times New Roman" w:hAnsi="Times New Roman" w:cs="Times New Roman"/>
          <w:bCs/>
          <w:sz w:val="24"/>
          <w:szCs w:val="24"/>
          <w:lang w:eastAsia="en-GB"/>
        </w:rPr>
        <w:t>The finding that environmental tax reform can increase rather than decrease greenwashing among high-polluting firms also warrants further investigation into the conditions under which cost-based regulatory instruments backfire, particularly the role of firm-level financial constraints and access to affordable abatement technology in determining whether firms respond to higher compliance costs with genuine adaptation or symbolic disclosure.</w:t>
      </w:r>
      <w:r w:rsidRPr="00397623">
        <w:rPr>
          <w:rFonts w:ascii="Times New Roman" w:eastAsia="Times New Roman" w:hAnsi="Times New Roman" w:cs="Times New Roman"/>
          <w:sz w:val="24"/>
          <w:szCs w:val="24"/>
          <w:lang w:eastAsia="en-GB"/>
        </w:rPr>
        <w:t xml:space="preserve"> Green-labelled financial instruments remain comparatively under-researched relative to equity-market greenwashing, despite their direct relevance to net-zero commitments, and future work should prioritise instrument-level credibility assessment methodologies analogous to those developed for equity disclosure.</w:t>
      </w:r>
    </w:p>
    <w:p w14:paraId="4B81A164"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12. Conclusions</w:t>
      </w:r>
    </w:p>
    <w:p w14:paraId="47195DE2" w14:textId="77777777" w:rsidR="00397623" w:rsidRP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Corporate greenwashing has evolved from a narrowly defined marketing concern into a systemic feature of the sustainable finance ecosystem, shaped jointly by measurement ambiguity in ESG ratings, uneven and still-developing regulatory architecture, and incentive structures embedded in executive compensation and ownership design. The evidence reviewed here indicates that greenwashing carries measurable financial consequences for investors, including elevated uncertainty around firm valuation, higher effective cost of capital for weakly substantiated green-labelled financing, and expanding litigation exposure, though the precision of these effects depends considerably on market context, disclosure channel, and the credibility of the underlying measurement approach. Regulatory responses, particularly the European Union's assurance-based disclosure architecture, represent the most developed institutional attempt to close the verification gap that enables greenwashing, while the unsettled trajectory of climate disclosure regulation in the United States illustrates that mandatory disclosure alone, without durable political and judicial consensus, cannot reliably discipline corporate environmental communication. Emerging computational detection methods offer a promising complement to regulatory assurance, but their current reliance on proxy measures rather than verified ground-truth greenwashing labels limits their standalone reliability. </w:t>
      </w:r>
      <w:r w:rsidRPr="00397623">
        <w:rPr>
          <w:rFonts w:ascii="Times New Roman" w:eastAsia="Times New Roman" w:hAnsi="Times New Roman" w:cs="Times New Roman"/>
          <w:bCs/>
          <w:sz w:val="24"/>
          <w:szCs w:val="24"/>
          <w:lang w:eastAsia="en-GB"/>
        </w:rPr>
        <w:t>The evidence on regulatory cost instruments is a further reminder that not every intervention pushes in the intended direction: raising the cost of environmental harm can, in some circumstances, encourage disclosure distortion rather than genuine improvement, which argues for pairing cost-based regulation with credible verification rather than relying on cost pressure alone.</w:t>
      </w:r>
      <w:r w:rsidRPr="00397623">
        <w:rPr>
          <w:rFonts w:ascii="Times New Roman" w:eastAsia="Times New Roman" w:hAnsi="Times New Roman" w:cs="Times New Roman"/>
          <w:sz w:val="24"/>
          <w:szCs w:val="24"/>
          <w:lang w:eastAsia="en-GB"/>
        </w:rPr>
        <w:t xml:space="preserve"> For investors, the practical implication is that no single data source, whether a proprietary ESG rating, a corporate sustainability report, or a green-labelled financial instrument, can currently be relied upon in isolation as a reliable signal of genuine environmental performance, and meaningful risk assessment requires triangulation across independently sourced disclosure, assurance status, and governance structure.</w:t>
      </w:r>
    </w:p>
    <w:p w14:paraId="333377CD"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13. Limitations</w:t>
      </w:r>
    </w:p>
    <w:p w14:paraId="5887BF00" w14:textId="77777777" w:rsidR="00397623" w:rsidRDefault="00397623"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This review is subject to several limitations that qualify its conclusions. The restriction to English-language, peer-reviewed sources excludes a substantial body of relevant scholarship published in other languages, particularly work examining greenwashing dynamics in continental European and East Asian jurisdictions where much of the underlying regulatory and empirical activity is concentrated, and this exclusion may understate the extent of geographic and institutional variation documented in the broader global literature. As a narrative rather than systematic review, the synthesis does not apply a standardised quality-appraisal instrument to each included study, meaning studies of varying methodological rigour are discussed alongside one another with qualitative rather than formally weighted </w:t>
      </w:r>
      <w:r w:rsidRPr="00397623">
        <w:rPr>
          <w:rFonts w:ascii="Times New Roman" w:eastAsia="Times New Roman" w:hAnsi="Times New Roman" w:cs="Times New Roman"/>
          <w:sz w:val="24"/>
          <w:szCs w:val="24"/>
          <w:lang w:eastAsia="en-GB"/>
        </w:rPr>
        <w:lastRenderedPageBreak/>
        <w:t>emphasis. The regulatory landscape addressed in this review, particularly developments concerning the European Union's Green Claims Directive and the litigation status of the United States Securities and Exchange Commission's climate disclosure rules, remains unsettled at the time of writing, and material developments occurring after the literature search cut-off date could alter the regulatory conclusions presented here. Finally, the empirical literature reviewed draws disproportionately on evidence from Chinese listed firms in several sections, particularly those addressing ownership structure and executive compensation, reflecting the current concentration of large-sample greenwashing research in that market; the generalisability of these findings to firms operating under different institutional, legal, and disclosure regimes should therefore be treated with appropriate caution.</w:t>
      </w:r>
    </w:p>
    <w:p w14:paraId="5602F9B9" w14:textId="77777777" w:rsidR="00B76F71" w:rsidRPr="000839CE" w:rsidRDefault="00B76F71" w:rsidP="00AB7AFF">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4B3323EB" w14:textId="77777777" w:rsidR="00B76F71" w:rsidRPr="000839CE" w:rsidRDefault="00B76F71" w:rsidP="00AB7AFF">
      <w:pPr>
        <w:spacing w:after="0" w:line="240" w:lineRule="auto"/>
        <w:jc w:val="both"/>
        <w:rPr>
          <w:rFonts w:ascii="Times New Roman" w:hAnsi="Times New Roman" w:cs="Times New Roman"/>
        </w:rPr>
      </w:pPr>
    </w:p>
    <w:p w14:paraId="03F5D5ED" w14:textId="77777777" w:rsidR="00B76F71" w:rsidRPr="000839CE" w:rsidRDefault="00B76F71" w:rsidP="00AB7AF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537BDFA" w14:textId="77777777" w:rsidR="00B76F71" w:rsidRPr="00397623" w:rsidRDefault="00B76F71" w:rsidP="00AB7AFF">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6AB7406F" w14:textId="77777777" w:rsidR="00397623" w:rsidRPr="00397623" w:rsidRDefault="00397623" w:rsidP="00AB7AFF">
      <w:pPr>
        <w:spacing w:after="0" w:line="240" w:lineRule="auto"/>
        <w:jc w:val="both"/>
        <w:rPr>
          <w:rFonts w:ascii="Times New Roman" w:eastAsia="Times New Roman" w:hAnsi="Times New Roman" w:cs="Times New Roman"/>
          <w:sz w:val="24"/>
          <w:szCs w:val="24"/>
          <w:lang w:eastAsia="en-GB"/>
        </w:rPr>
      </w:pPr>
    </w:p>
    <w:p w14:paraId="132FCF93" w14:textId="77777777" w:rsidR="00397623" w:rsidRPr="00397623" w:rsidRDefault="00397623" w:rsidP="00AB7AFF">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References</w:t>
      </w:r>
    </w:p>
    <w:p w14:paraId="1ABE4725"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Abis, D., &amp; </w:t>
      </w:r>
      <w:proofErr w:type="spellStart"/>
      <w:r w:rsidRPr="003C5D97">
        <w:rPr>
          <w:rFonts w:ascii="Times New Roman" w:eastAsia="Times New Roman" w:hAnsi="Times New Roman" w:cs="Times New Roman"/>
          <w:sz w:val="24"/>
          <w:szCs w:val="24"/>
          <w:lang w:val="en-US"/>
        </w:rPr>
        <w:t>Damilano</w:t>
      </w:r>
      <w:proofErr w:type="spellEnd"/>
      <w:r w:rsidRPr="003C5D97">
        <w:rPr>
          <w:rFonts w:ascii="Times New Roman" w:eastAsia="Times New Roman" w:hAnsi="Times New Roman" w:cs="Times New Roman"/>
          <w:sz w:val="24"/>
          <w:szCs w:val="24"/>
          <w:lang w:val="en-US"/>
        </w:rPr>
        <w:t xml:space="preserve">, M. (2026). Greenwashing and executive compensation: What is the link? Evidence from banks. </w:t>
      </w:r>
      <w:r w:rsidRPr="003C5D97">
        <w:rPr>
          <w:rFonts w:ascii="Times New Roman" w:eastAsia="Times New Roman" w:hAnsi="Times New Roman" w:cs="Times New Roman"/>
          <w:i/>
          <w:iCs/>
          <w:sz w:val="24"/>
          <w:szCs w:val="24"/>
          <w:lang w:val="en-US"/>
        </w:rPr>
        <w:t>International Journal of Bank Marketing, 44</w:t>
      </w:r>
      <w:r w:rsidRPr="003C5D97">
        <w:rPr>
          <w:rFonts w:ascii="Times New Roman" w:eastAsia="Times New Roman" w:hAnsi="Times New Roman" w:cs="Times New Roman"/>
          <w:sz w:val="24"/>
          <w:szCs w:val="24"/>
          <w:lang w:val="en-US"/>
        </w:rPr>
        <w:t xml:space="preserve">(5), 923–942. </w:t>
      </w:r>
      <w:hyperlink r:id="rId7" w:tgtFrame="_new" w:history="1">
        <w:r w:rsidRPr="003C5D97">
          <w:rPr>
            <w:rFonts w:ascii="Times New Roman" w:eastAsia="Times New Roman" w:hAnsi="Times New Roman" w:cs="Times New Roman"/>
            <w:color w:val="0000FF"/>
            <w:sz w:val="24"/>
            <w:szCs w:val="24"/>
            <w:u w:val="single"/>
            <w:lang w:val="en-US"/>
          </w:rPr>
          <w:t>https://doi.org/10.1108/IJBM-09-2024-0564</w:t>
        </w:r>
      </w:hyperlink>
      <w:r w:rsidRPr="003C5D97">
        <w:rPr>
          <w:rFonts w:ascii="Times New Roman" w:eastAsia="Times New Roman" w:hAnsi="Times New Roman" w:cs="Times New Roman"/>
          <w:sz w:val="24"/>
          <w:szCs w:val="24"/>
          <w:lang w:val="en-US"/>
        </w:rPr>
        <w:t xml:space="preserve"> </w:t>
      </w:r>
    </w:p>
    <w:p w14:paraId="10BC0460" w14:textId="09A37794"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Bauer, P., &amp; Greiling, D. (2024). Greening Austrian social service and healthcare non-profits. </w:t>
      </w:r>
      <w:proofErr w:type="spellStart"/>
      <w:r w:rsidRPr="003C5D97">
        <w:rPr>
          <w:rFonts w:ascii="Times New Roman" w:eastAsia="Times New Roman" w:hAnsi="Times New Roman" w:cs="Times New Roman"/>
          <w:i/>
          <w:iCs/>
          <w:sz w:val="24"/>
          <w:szCs w:val="24"/>
          <w:lang w:val="en-US"/>
        </w:rPr>
        <w:t>Heliyon</w:t>
      </w:r>
      <w:proofErr w:type="spellEnd"/>
      <w:r w:rsidRPr="003C5D97">
        <w:rPr>
          <w:rFonts w:ascii="Times New Roman" w:eastAsia="Times New Roman" w:hAnsi="Times New Roman" w:cs="Times New Roman"/>
          <w:i/>
          <w:iCs/>
          <w:sz w:val="24"/>
          <w:szCs w:val="24"/>
          <w:lang w:val="en-US"/>
        </w:rPr>
        <w:t>, 10</w:t>
      </w:r>
      <w:r w:rsidRPr="003C5D97">
        <w:rPr>
          <w:rFonts w:ascii="Times New Roman" w:eastAsia="Times New Roman" w:hAnsi="Times New Roman" w:cs="Times New Roman"/>
          <w:sz w:val="24"/>
          <w:szCs w:val="24"/>
          <w:lang w:val="en-US"/>
        </w:rPr>
        <w:t xml:space="preserve">(1), Article e23767. </w:t>
      </w:r>
      <w:hyperlink r:id="rId8" w:tgtFrame="_new" w:history="1">
        <w:r w:rsidRPr="003C5D97">
          <w:rPr>
            <w:rFonts w:ascii="Times New Roman" w:eastAsia="Times New Roman" w:hAnsi="Times New Roman" w:cs="Times New Roman"/>
            <w:color w:val="0000FF"/>
            <w:sz w:val="24"/>
            <w:szCs w:val="24"/>
            <w:u w:val="single"/>
            <w:lang w:val="en-US"/>
          </w:rPr>
          <w:t>https://doi.org/10.1016/j.heliyon.2023.e23767</w:t>
        </w:r>
      </w:hyperlink>
      <w:r w:rsidRPr="003C5D97">
        <w:rPr>
          <w:rFonts w:ascii="Times New Roman" w:eastAsia="Times New Roman" w:hAnsi="Times New Roman" w:cs="Times New Roman"/>
          <w:sz w:val="24"/>
          <w:szCs w:val="24"/>
          <w:lang w:val="en-US"/>
        </w:rPr>
        <w:t xml:space="preserve">  </w:t>
      </w:r>
    </w:p>
    <w:p w14:paraId="1800979E"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Berg, F., Kölbel, J. F., &amp; </w:t>
      </w:r>
      <w:proofErr w:type="spellStart"/>
      <w:r w:rsidRPr="003C5D97">
        <w:rPr>
          <w:rFonts w:ascii="Times New Roman" w:eastAsia="Times New Roman" w:hAnsi="Times New Roman" w:cs="Times New Roman"/>
          <w:sz w:val="24"/>
          <w:szCs w:val="24"/>
          <w:lang w:val="en-US"/>
        </w:rPr>
        <w:t>Rigobon</w:t>
      </w:r>
      <w:proofErr w:type="spellEnd"/>
      <w:r w:rsidRPr="003C5D97">
        <w:rPr>
          <w:rFonts w:ascii="Times New Roman" w:eastAsia="Times New Roman" w:hAnsi="Times New Roman" w:cs="Times New Roman"/>
          <w:sz w:val="24"/>
          <w:szCs w:val="24"/>
          <w:lang w:val="en-US"/>
        </w:rPr>
        <w:t xml:space="preserve">, R. (2022). Aggregate confusion: The divergence of ESG ratings. </w:t>
      </w:r>
      <w:r w:rsidRPr="003C5D97">
        <w:rPr>
          <w:rFonts w:ascii="Times New Roman" w:eastAsia="Times New Roman" w:hAnsi="Times New Roman" w:cs="Times New Roman"/>
          <w:i/>
          <w:iCs/>
          <w:sz w:val="24"/>
          <w:szCs w:val="24"/>
          <w:lang w:val="en-US"/>
        </w:rPr>
        <w:t>Review of Finance, 26</w:t>
      </w:r>
      <w:r w:rsidRPr="003C5D97">
        <w:rPr>
          <w:rFonts w:ascii="Times New Roman" w:eastAsia="Times New Roman" w:hAnsi="Times New Roman" w:cs="Times New Roman"/>
          <w:sz w:val="24"/>
          <w:szCs w:val="24"/>
          <w:lang w:val="en-US"/>
        </w:rPr>
        <w:t xml:space="preserve">(6), 1315–1344. </w:t>
      </w:r>
      <w:hyperlink r:id="rId9" w:tgtFrame="_new" w:history="1">
        <w:r w:rsidRPr="003C5D97">
          <w:rPr>
            <w:rFonts w:ascii="Times New Roman" w:eastAsia="Times New Roman" w:hAnsi="Times New Roman" w:cs="Times New Roman"/>
            <w:color w:val="0000FF"/>
            <w:sz w:val="24"/>
            <w:szCs w:val="24"/>
            <w:u w:val="single"/>
            <w:lang w:val="en-US"/>
          </w:rPr>
          <w:t>https://doi.org/10.1093/rof/rfac033</w:t>
        </w:r>
      </w:hyperlink>
      <w:r w:rsidRPr="003C5D97">
        <w:rPr>
          <w:rFonts w:ascii="Times New Roman" w:eastAsia="Times New Roman" w:hAnsi="Times New Roman" w:cs="Times New Roman"/>
          <w:sz w:val="24"/>
          <w:szCs w:val="24"/>
          <w:lang w:val="en-US"/>
        </w:rPr>
        <w:t xml:space="preserve"> </w:t>
      </w:r>
    </w:p>
    <w:p w14:paraId="69C53979"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Cohen, S., </w:t>
      </w:r>
      <w:proofErr w:type="spellStart"/>
      <w:r w:rsidRPr="003C5D97">
        <w:rPr>
          <w:rFonts w:ascii="Times New Roman" w:eastAsia="Times New Roman" w:hAnsi="Times New Roman" w:cs="Times New Roman"/>
          <w:sz w:val="24"/>
          <w:szCs w:val="24"/>
          <w:lang w:val="en-US"/>
        </w:rPr>
        <w:t>Kadach</w:t>
      </w:r>
      <w:proofErr w:type="spellEnd"/>
      <w:r w:rsidRPr="003C5D97">
        <w:rPr>
          <w:rFonts w:ascii="Times New Roman" w:eastAsia="Times New Roman" w:hAnsi="Times New Roman" w:cs="Times New Roman"/>
          <w:sz w:val="24"/>
          <w:szCs w:val="24"/>
          <w:lang w:val="en-US"/>
        </w:rPr>
        <w:t xml:space="preserve">, I., </w:t>
      </w:r>
      <w:proofErr w:type="spellStart"/>
      <w:r w:rsidRPr="003C5D97">
        <w:rPr>
          <w:rFonts w:ascii="Times New Roman" w:eastAsia="Times New Roman" w:hAnsi="Times New Roman" w:cs="Times New Roman"/>
          <w:sz w:val="24"/>
          <w:szCs w:val="24"/>
          <w:lang w:val="en-US"/>
        </w:rPr>
        <w:t>Ormazabal</w:t>
      </w:r>
      <w:proofErr w:type="spellEnd"/>
      <w:r w:rsidRPr="003C5D97">
        <w:rPr>
          <w:rFonts w:ascii="Times New Roman" w:eastAsia="Times New Roman" w:hAnsi="Times New Roman" w:cs="Times New Roman"/>
          <w:sz w:val="24"/>
          <w:szCs w:val="24"/>
          <w:lang w:val="en-US"/>
        </w:rPr>
        <w:t xml:space="preserve">, G., &amp; </w:t>
      </w:r>
      <w:proofErr w:type="spellStart"/>
      <w:r w:rsidRPr="003C5D97">
        <w:rPr>
          <w:rFonts w:ascii="Times New Roman" w:eastAsia="Times New Roman" w:hAnsi="Times New Roman" w:cs="Times New Roman"/>
          <w:sz w:val="24"/>
          <w:szCs w:val="24"/>
          <w:lang w:val="en-US"/>
        </w:rPr>
        <w:t>Reichelstein</w:t>
      </w:r>
      <w:proofErr w:type="spellEnd"/>
      <w:r w:rsidRPr="003C5D97">
        <w:rPr>
          <w:rFonts w:ascii="Times New Roman" w:eastAsia="Times New Roman" w:hAnsi="Times New Roman" w:cs="Times New Roman"/>
          <w:sz w:val="24"/>
          <w:szCs w:val="24"/>
          <w:lang w:val="en-US"/>
        </w:rPr>
        <w:t xml:space="preserve">, S. (2023). Executive compensation tied to ESG performance: International evidence. </w:t>
      </w:r>
      <w:r w:rsidRPr="003C5D97">
        <w:rPr>
          <w:rFonts w:ascii="Times New Roman" w:eastAsia="Times New Roman" w:hAnsi="Times New Roman" w:cs="Times New Roman"/>
          <w:i/>
          <w:iCs/>
          <w:sz w:val="24"/>
          <w:szCs w:val="24"/>
          <w:lang w:val="en-US"/>
        </w:rPr>
        <w:t>Journal of Accounting Research, 61</w:t>
      </w:r>
      <w:r w:rsidRPr="003C5D97">
        <w:rPr>
          <w:rFonts w:ascii="Times New Roman" w:eastAsia="Times New Roman" w:hAnsi="Times New Roman" w:cs="Times New Roman"/>
          <w:sz w:val="24"/>
          <w:szCs w:val="24"/>
          <w:lang w:val="en-US"/>
        </w:rPr>
        <w:t xml:space="preserve">(3), 805–853. </w:t>
      </w:r>
      <w:hyperlink r:id="rId10" w:tgtFrame="_new" w:history="1">
        <w:r w:rsidRPr="003C5D97">
          <w:rPr>
            <w:rFonts w:ascii="Times New Roman" w:eastAsia="Times New Roman" w:hAnsi="Times New Roman" w:cs="Times New Roman"/>
            <w:color w:val="0000FF"/>
            <w:sz w:val="24"/>
            <w:szCs w:val="24"/>
            <w:u w:val="single"/>
            <w:lang w:val="en-US"/>
          </w:rPr>
          <w:t>https://doi.org/10.1111/1475-679X.12481</w:t>
        </w:r>
      </w:hyperlink>
      <w:r w:rsidRPr="003C5D97">
        <w:rPr>
          <w:rFonts w:ascii="Times New Roman" w:eastAsia="Times New Roman" w:hAnsi="Times New Roman" w:cs="Times New Roman"/>
          <w:sz w:val="24"/>
          <w:szCs w:val="24"/>
          <w:lang w:val="en-US"/>
        </w:rPr>
        <w:t xml:space="preserve"> </w:t>
      </w:r>
    </w:p>
    <w:p w14:paraId="4E3AD62F"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Davidescu, A. A., Manta, E. M., </w:t>
      </w:r>
      <w:proofErr w:type="spellStart"/>
      <w:r w:rsidRPr="003C5D97">
        <w:rPr>
          <w:rFonts w:ascii="Times New Roman" w:eastAsia="Times New Roman" w:hAnsi="Times New Roman" w:cs="Times New Roman"/>
          <w:sz w:val="24"/>
          <w:szCs w:val="24"/>
          <w:lang w:val="en-US"/>
        </w:rPr>
        <w:t>Bîrlan</w:t>
      </w:r>
      <w:proofErr w:type="spellEnd"/>
      <w:r w:rsidRPr="003C5D97">
        <w:rPr>
          <w:rFonts w:ascii="Times New Roman" w:eastAsia="Times New Roman" w:hAnsi="Times New Roman" w:cs="Times New Roman"/>
          <w:sz w:val="24"/>
          <w:szCs w:val="24"/>
          <w:lang w:val="en-US"/>
        </w:rPr>
        <w:t xml:space="preserve">, I., Miler, A.-M., &amp; Niță, S.-C. (2026). Detecting greenwashing in ESG disclosure: An NLP-based analysis of Central and Eastern European firms. </w:t>
      </w:r>
      <w:r w:rsidRPr="003C5D97">
        <w:rPr>
          <w:rFonts w:ascii="Times New Roman" w:eastAsia="Times New Roman" w:hAnsi="Times New Roman" w:cs="Times New Roman"/>
          <w:i/>
          <w:iCs/>
          <w:sz w:val="24"/>
          <w:szCs w:val="24"/>
          <w:lang w:val="en-US"/>
        </w:rPr>
        <w:t>Sustainability, 18</w:t>
      </w:r>
      <w:r w:rsidRPr="003C5D97">
        <w:rPr>
          <w:rFonts w:ascii="Times New Roman" w:eastAsia="Times New Roman" w:hAnsi="Times New Roman" w:cs="Times New Roman"/>
          <w:sz w:val="24"/>
          <w:szCs w:val="24"/>
          <w:lang w:val="en-US"/>
        </w:rPr>
        <w:t xml:space="preserve">(3), Article 1486. </w:t>
      </w:r>
      <w:hyperlink r:id="rId11" w:tgtFrame="_new" w:history="1">
        <w:r w:rsidRPr="003C5D97">
          <w:rPr>
            <w:rFonts w:ascii="Times New Roman" w:eastAsia="Times New Roman" w:hAnsi="Times New Roman" w:cs="Times New Roman"/>
            <w:color w:val="0000FF"/>
            <w:sz w:val="24"/>
            <w:szCs w:val="24"/>
            <w:u w:val="single"/>
            <w:lang w:val="en-US"/>
          </w:rPr>
          <w:t>https://doi.org/10.3390/su18031486</w:t>
        </w:r>
      </w:hyperlink>
      <w:r w:rsidRPr="003C5D97">
        <w:rPr>
          <w:rFonts w:ascii="Times New Roman" w:eastAsia="Times New Roman" w:hAnsi="Times New Roman" w:cs="Times New Roman"/>
          <w:sz w:val="24"/>
          <w:szCs w:val="24"/>
          <w:lang w:val="en-US"/>
        </w:rPr>
        <w:t xml:space="preserve"> </w:t>
      </w:r>
    </w:p>
    <w:p w14:paraId="4237B33F"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Delmas, M. A., &amp; Burbano, V. C. (2011). The drivers of greenwashing. </w:t>
      </w:r>
      <w:r w:rsidRPr="003C5D97">
        <w:rPr>
          <w:rFonts w:ascii="Times New Roman" w:eastAsia="Times New Roman" w:hAnsi="Times New Roman" w:cs="Times New Roman"/>
          <w:i/>
          <w:iCs/>
          <w:sz w:val="24"/>
          <w:szCs w:val="24"/>
          <w:lang w:val="en-US"/>
        </w:rPr>
        <w:t>California Management Review, 54</w:t>
      </w:r>
      <w:r w:rsidRPr="003C5D97">
        <w:rPr>
          <w:rFonts w:ascii="Times New Roman" w:eastAsia="Times New Roman" w:hAnsi="Times New Roman" w:cs="Times New Roman"/>
          <w:sz w:val="24"/>
          <w:szCs w:val="24"/>
          <w:lang w:val="en-US"/>
        </w:rPr>
        <w:t xml:space="preserve">(1), 64–87. </w:t>
      </w:r>
      <w:hyperlink r:id="rId12" w:tgtFrame="_new" w:history="1">
        <w:r w:rsidRPr="003C5D97">
          <w:rPr>
            <w:rFonts w:ascii="Times New Roman" w:eastAsia="Times New Roman" w:hAnsi="Times New Roman" w:cs="Times New Roman"/>
            <w:color w:val="0000FF"/>
            <w:sz w:val="24"/>
            <w:szCs w:val="24"/>
            <w:u w:val="single"/>
            <w:lang w:val="en-US"/>
          </w:rPr>
          <w:t>https://doi.org/10.1525/cmr.2011.54.1.64</w:t>
        </w:r>
      </w:hyperlink>
      <w:r w:rsidRPr="003C5D97">
        <w:rPr>
          <w:rFonts w:ascii="Times New Roman" w:eastAsia="Times New Roman" w:hAnsi="Times New Roman" w:cs="Times New Roman"/>
          <w:sz w:val="24"/>
          <w:szCs w:val="24"/>
          <w:lang w:val="en-US"/>
        </w:rPr>
        <w:t xml:space="preserve"> </w:t>
      </w:r>
    </w:p>
    <w:p w14:paraId="6DE4607C" w14:textId="2E2E3352"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European Commission. (2026, July 3). </w:t>
      </w:r>
      <w:r w:rsidRPr="003C5D97">
        <w:rPr>
          <w:rFonts w:ascii="Times New Roman" w:eastAsia="Times New Roman" w:hAnsi="Times New Roman" w:cs="Times New Roman"/>
          <w:i/>
          <w:iCs/>
          <w:sz w:val="24"/>
          <w:szCs w:val="24"/>
          <w:lang w:val="en-US"/>
        </w:rPr>
        <w:t>Corporate sustainability reporting</w:t>
      </w:r>
      <w:r w:rsidRPr="003C5D97">
        <w:rPr>
          <w:rFonts w:ascii="Times New Roman" w:eastAsia="Times New Roman" w:hAnsi="Times New Roman" w:cs="Times New Roman"/>
          <w:sz w:val="24"/>
          <w:szCs w:val="24"/>
          <w:lang w:val="en-US"/>
        </w:rPr>
        <w:t xml:space="preserve">. </w:t>
      </w:r>
      <w:hyperlink r:id="rId13" w:tgtFrame="_new" w:history="1">
        <w:r w:rsidRPr="003C5D97">
          <w:rPr>
            <w:rFonts w:ascii="Times New Roman" w:eastAsia="Times New Roman" w:hAnsi="Times New Roman" w:cs="Times New Roman"/>
            <w:color w:val="0000FF"/>
            <w:sz w:val="24"/>
            <w:szCs w:val="24"/>
            <w:u w:val="single"/>
            <w:lang w:val="en-US"/>
          </w:rPr>
          <w:t>https://finance.ec.europa.eu/financial-markets/company-reporting-and-auditing/company-reporting/corporate-sustainability-reporting_en</w:t>
        </w:r>
      </w:hyperlink>
      <w:r w:rsidRPr="003C5D97">
        <w:rPr>
          <w:rFonts w:ascii="Times New Roman" w:eastAsia="Times New Roman" w:hAnsi="Times New Roman" w:cs="Times New Roman"/>
          <w:sz w:val="24"/>
          <w:szCs w:val="24"/>
          <w:lang w:val="en-US"/>
        </w:rPr>
        <w:t xml:space="preserve"> </w:t>
      </w:r>
    </w:p>
    <w:p w14:paraId="6D5664C3"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Grant, M. J., &amp; Booth, A. (2009). A typology of reviews: An analysis of 14 review types and associated methodologies. </w:t>
      </w:r>
      <w:r w:rsidRPr="003C5D97">
        <w:rPr>
          <w:rFonts w:ascii="Times New Roman" w:eastAsia="Times New Roman" w:hAnsi="Times New Roman" w:cs="Times New Roman"/>
          <w:i/>
          <w:iCs/>
          <w:sz w:val="24"/>
          <w:szCs w:val="24"/>
          <w:lang w:val="en-US"/>
        </w:rPr>
        <w:t>Health Information &amp; Libraries Journal, 26</w:t>
      </w:r>
      <w:r w:rsidRPr="003C5D97">
        <w:rPr>
          <w:rFonts w:ascii="Times New Roman" w:eastAsia="Times New Roman" w:hAnsi="Times New Roman" w:cs="Times New Roman"/>
          <w:sz w:val="24"/>
          <w:szCs w:val="24"/>
          <w:lang w:val="en-US"/>
        </w:rPr>
        <w:t xml:space="preserve">(2), 91–108. </w:t>
      </w:r>
      <w:hyperlink r:id="rId14" w:tgtFrame="_new" w:history="1">
        <w:r w:rsidRPr="003C5D97">
          <w:rPr>
            <w:rFonts w:ascii="Times New Roman" w:eastAsia="Times New Roman" w:hAnsi="Times New Roman" w:cs="Times New Roman"/>
            <w:color w:val="0000FF"/>
            <w:sz w:val="24"/>
            <w:szCs w:val="24"/>
            <w:u w:val="single"/>
            <w:lang w:val="en-US"/>
          </w:rPr>
          <w:t>https://doi.org/10.1111/j.1471-1842.2009.00848.x</w:t>
        </w:r>
      </w:hyperlink>
      <w:r w:rsidRPr="003C5D97">
        <w:rPr>
          <w:rFonts w:ascii="Times New Roman" w:eastAsia="Times New Roman" w:hAnsi="Times New Roman" w:cs="Times New Roman"/>
          <w:sz w:val="24"/>
          <w:szCs w:val="24"/>
          <w:lang w:val="en-US"/>
        </w:rPr>
        <w:t xml:space="preserve"> </w:t>
      </w:r>
    </w:p>
    <w:p w14:paraId="26648673"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lastRenderedPageBreak/>
        <w:t></w:t>
      </w:r>
      <w:r w:rsidRPr="003C5D97">
        <w:rPr>
          <w:rFonts w:ascii="Times New Roman" w:eastAsia="Times New Roman" w:hAnsi="Times New Roman" w:cs="Times New Roman"/>
          <w:sz w:val="24"/>
          <w:szCs w:val="24"/>
          <w:lang w:val="en-US"/>
        </w:rPr>
        <w:t xml:space="preserve">  Hao, X., Tian, T., Dong, L., Wong, C. W. Y., &amp; Lai, K. H. (2026). Unmasking greenwashing in ESG disclosure: Insights from evolutionary game analysis. </w:t>
      </w:r>
      <w:r w:rsidRPr="003C5D97">
        <w:rPr>
          <w:rFonts w:ascii="Times New Roman" w:eastAsia="Times New Roman" w:hAnsi="Times New Roman" w:cs="Times New Roman"/>
          <w:i/>
          <w:iCs/>
          <w:sz w:val="24"/>
          <w:szCs w:val="24"/>
          <w:lang w:val="en-US"/>
        </w:rPr>
        <w:t>Annals of Operations Research, 356</w:t>
      </w:r>
      <w:r w:rsidRPr="003C5D97">
        <w:rPr>
          <w:rFonts w:ascii="Times New Roman" w:eastAsia="Times New Roman" w:hAnsi="Times New Roman" w:cs="Times New Roman"/>
          <w:sz w:val="24"/>
          <w:szCs w:val="24"/>
          <w:lang w:val="en-US"/>
        </w:rPr>
        <w:t xml:space="preserve">, 667–695. </w:t>
      </w:r>
      <w:hyperlink r:id="rId15" w:tgtFrame="_new" w:history="1">
        <w:r w:rsidRPr="003C5D97">
          <w:rPr>
            <w:rFonts w:ascii="Times New Roman" w:eastAsia="Times New Roman" w:hAnsi="Times New Roman" w:cs="Times New Roman"/>
            <w:color w:val="0000FF"/>
            <w:sz w:val="24"/>
            <w:szCs w:val="24"/>
            <w:u w:val="single"/>
            <w:lang w:val="en-US"/>
          </w:rPr>
          <w:t>https://doi.org/10.1007/s10479-025-06538-3</w:t>
        </w:r>
      </w:hyperlink>
      <w:r w:rsidRPr="003C5D97">
        <w:rPr>
          <w:rFonts w:ascii="Times New Roman" w:eastAsia="Times New Roman" w:hAnsi="Times New Roman" w:cs="Times New Roman"/>
          <w:sz w:val="24"/>
          <w:szCs w:val="24"/>
          <w:lang w:val="en-US"/>
        </w:rPr>
        <w:t xml:space="preserve"> </w:t>
      </w:r>
    </w:p>
    <w:p w14:paraId="7986BC1F"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Hu, S., Wang, A., &amp; Du, K. (2023). Environmental tax reform and greenwashing: Evidence from Chinese listed companies. </w:t>
      </w:r>
      <w:r w:rsidRPr="003C5D97">
        <w:rPr>
          <w:rFonts w:ascii="Times New Roman" w:eastAsia="Times New Roman" w:hAnsi="Times New Roman" w:cs="Times New Roman"/>
          <w:i/>
          <w:iCs/>
          <w:sz w:val="24"/>
          <w:szCs w:val="24"/>
          <w:lang w:val="en-US"/>
        </w:rPr>
        <w:t>Energy Economics, 124</w:t>
      </w:r>
      <w:r w:rsidRPr="003C5D97">
        <w:rPr>
          <w:rFonts w:ascii="Times New Roman" w:eastAsia="Times New Roman" w:hAnsi="Times New Roman" w:cs="Times New Roman"/>
          <w:sz w:val="24"/>
          <w:szCs w:val="24"/>
          <w:lang w:val="en-US"/>
        </w:rPr>
        <w:t xml:space="preserve">, Article 106873. </w:t>
      </w:r>
      <w:hyperlink r:id="rId16" w:tgtFrame="_new" w:history="1">
        <w:r w:rsidRPr="003C5D97">
          <w:rPr>
            <w:rFonts w:ascii="Times New Roman" w:eastAsia="Times New Roman" w:hAnsi="Times New Roman" w:cs="Times New Roman"/>
            <w:color w:val="0000FF"/>
            <w:sz w:val="24"/>
            <w:szCs w:val="24"/>
            <w:u w:val="single"/>
            <w:lang w:val="en-US"/>
          </w:rPr>
          <w:t>https://doi.org/10.1016/j.eneco.2023.106873</w:t>
        </w:r>
      </w:hyperlink>
      <w:r w:rsidRPr="003C5D97">
        <w:rPr>
          <w:rFonts w:ascii="Times New Roman" w:eastAsia="Times New Roman" w:hAnsi="Times New Roman" w:cs="Times New Roman"/>
          <w:sz w:val="24"/>
          <w:szCs w:val="24"/>
          <w:lang w:val="en-US"/>
        </w:rPr>
        <w:t xml:space="preserve"> </w:t>
      </w:r>
    </w:p>
    <w:p w14:paraId="40EBE301"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Huang, H., &amp; Xiang, C. (2025). Stock market liberalization and corporate greenwashing: Empirical evidence from the Shanghai–Shenzhen–Hong Kong Connect. </w:t>
      </w:r>
      <w:r w:rsidRPr="003C5D97">
        <w:rPr>
          <w:rFonts w:ascii="Times New Roman" w:eastAsia="Times New Roman" w:hAnsi="Times New Roman" w:cs="Times New Roman"/>
          <w:i/>
          <w:iCs/>
          <w:sz w:val="24"/>
          <w:szCs w:val="24"/>
          <w:lang w:val="en-US"/>
        </w:rPr>
        <w:t>Corporate Social Responsibility and Environmental Management, 32</w:t>
      </w:r>
      <w:r w:rsidRPr="003C5D97">
        <w:rPr>
          <w:rFonts w:ascii="Times New Roman" w:eastAsia="Times New Roman" w:hAnsi="Times New Roman" w:cs="Times New Roman"/>
          <w:sz w:val="24"/>
          <w:szCs w:val="24"/>
          <w:lang w:val="en-US"/>
        </w:rPr>
        <w:t xml:space="preserve">(5), 6843–6863. </w:t>
      </w:r>
      <w:hyperlink r:id="rId17" w:tgtFrame="_new" w:history="1">
        <w:r w:rsidRPr="003C5D97">
          <w:rPr>
            <w:rFonts w:ascii="Times New Roman" w:eastAsia="Times New Roman" w:hAnsi="Times New Roman" w:cs="Times New Roman"/>
            <w:color w:val="0000FF"/>
            <w:sz w:val="24"/>
            <w:szCs w:val="24"/>
            <w:u w:val="single"/>
            <w:lang w:val="en-US"/>
          </w:rPr>
          <w:t>https://doi.org/10.1002/csr.70066</w:t>
        </w:r>
      </w:hyperlink>
      <w:r w:rsidRPr="003C5D97">
        <w:rPr>
          <w:rFonts w:ascii="Times New Roman" w:eastAsia="Times New Roman" w:hAnsi="Times New Roman" w:cs="Times New Roman"/>
          <w:sz w:val="24"/>
          <w:szCs w:val="24"/>
          <w:lang w:val="en-US"/>
        </w:rPr>
        <w:t xml:space="preserve"> </w:t>
      </w:r>
    </w:p>
    <w:p w14:paraId="34706D03"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Huang, X., Tang, C., Liu, Y., &amp; Ge, P. (2025). Greening or greenwashing? Corporate green bonds and stock pricing efficiency in China. </w:t>
      </w:r>
      <w:r w:rsidRPr="003C5D97">
        <w:rPr>
          <w:rFonts w:ascii="Times New Roman" w:eastAsia="Times New Roman" w:hAnsi="Times New Roman" w:cs="Times New Roman"/>
          <w:i/>
          <w:iCs/>
          <w:sz w:val="24"/>
          <w:szCs w:val="24"/>
          <w:lang w:val="en-US"/>
        </w:rPr>
        <w:t>Sustainability Accounting, Management and Policy Journal, 16</w:t>
      </w:r>
      <w:r w:rsidRPr="003C5D97">
        <w:rPr>
          <w:rFonts w:ascii="Times New Roman" w:eastAsia="Times New Roman" w:hAnsi="Times New Roman" w:cs="Times New Roman"/>
          <w:sz w:val="24"/>
          <w:szCs w:val="24"/>
          <w:lang w:val="en-US"/>
        </w:rPr>
        <w:t xml:space="preserve">(3), 874–913. </w:t>
      </w:r>
      <w:hyperlink r:id="rId18" w:tgtFrame="_new" w:history="1">
        <w:r w:rsidRPr="003C5D97">
          <w:rPr>
            <w:rFonts w:ascii="Times New Roman" w:eastAsia="Times New Roman" w:hAnsi="Times New Roman" w:cs="Times New Roman"/>
            <w:color w:val="0000FF"/>
            <w:sz w:val="24"/>
            <w:szCs w:val="24"/>
            <w:u w:val="single"/>
            <w:lang w:val="en-US"/>
          </w:rPr>
          <w:t>https://doi.org/10.1108/SAMPJ-03-2024-0212</w:t>
        </w:r>
      </w:hyperlink>
      <w:r w:rsidRPr="003C5D97">
        <w:rPr>
          <w:rFonts w:ascii="Times New Roman" w:eastAsia="Times New Roman" w:hAnsi="Times New Roman" w:cs="Times New Roman"/>
          <w:sz w:val="24"/>
          <w:szCs w:val="24"/>
          <w:lang w:val="en-US"/>
        </w:rPr>
        <w:t xml:space="preserve"> </w:t>
      </w:r>
    </w:p>
    <w:p w14:paraId="5812E926"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Kathan, M. C., Utz, S., </w:t>
      </w:r>
      <w:proofErr w:type="spellStart"/>
      <w:r w:rsidRPr="003C5D97">
        <w:rPr>
          <w:rFonts w:ascii="Times New Roman" w:eastAsia="Times New Roman" w:hAnsi="Times New Roman" w:cs="Times New Roman"/>
          <w:sz w:val="24"/>
          <w:szCs w:val="24"/>
          <w:lang w:val="en-US"/>
        </w:rPr>
        <w:t>Dorfleitner</w:t>
      </w:r>
      <w:proofErr w:type="spellEnd"/>
      <w:r w:rsidRPr="003C5D97">
        <w:rPr>
          <w:rFonts w:ascii="Times New Roman" w:eastAsia="Times New Roman" w:hAnsi="Times New Roman" w:cs="Times New Roman"/>
          <w:sz w:val="24"/>
          <w:szCs w:val="24"/>
          <w:lang w:val="en-US"/>
        </w:rPr>
        <w:t xml:space="preserve">, G., Eckberg, J., &amp; Chmel, L. (2025). What you see is not what you get: ESG scores and greenwashing risk. </w:t>
      </w:r>
      <w:r w:rsidRPr="003C5D97">
        <w:rPr>
          <w:rFonts w:ascii="Times New Roman" w:eastAsia="Times New Roman" w:hAnsi="Times New Roman" w:cs="Times New Roman"/>
          <w:i/>
          <w:iCs/>
          <w:sz w:val="24"/>
          <w:szCs w:val="24"/>
          <w:lang w:val="en-US"/>
        </w:rPr>
        <w:t>Finance Research Letters, 74</w:t>
      </w:r>
      <w:r w:rsidRPr="003C5D97">
        <w:rPr>
          <w:rFonts w:ascii="Times New Roman" w:eastAsia="Times New Roman" w:hAnsi="Times New Roman" w:cs="Times New Roman"/>
          <w:sz w:val="24"/>
          <w:szCs w:val="24"/>
          <w:lang w:val="en-US"/>
        </w:rPr>
        <w:t xml:space="preserve">, Article 106710. </w:t>
      </w:r>
      <w:hyperlink r:id="rId19" w:tgtFrame="_new" w:history="1">
        <w:r w:rsidRPr="003C5D97">
          <w:rPr>
            <w:rFonts w:ascii="Times New Roman" w:eastAsia="Times New Roman" w:hAnsi="Times New Roman" w:cs="Times New Roman"/>
            <w:color w:val="0000FF"/>
            <w:sz w:val="24"/>
            <w:szCs w:val="24"/>
            <w:u w:val="single"/>
            <w:lang w:val="en-US"/>
          </w:rPr>
          <w:t>https://doi.org/10.1016/j.frl.2024.106710</w:t>
        </w:r>
      </w:hyperlink>
      <w:r w:rsidRPr="003C5D97">
        <w:rPr>
          <w:rFonts w:ascii="Times New Roman" w:eastAsia="Times New Roman" w:hAnsi="Times New Roman" w:cs="Times New Roman"/>
          <w:sz w:val="24"/>
          <w:szCs w:val="24"/>
          <w:lang w:val="en-US"/>
        </w:rPr>
        <w:t xml:space="preserve"> </w:t>
      </w:r>
    </w:p>
    <w:p w14:paraId="68874792"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Kim, E.-H., &amp; Lyon, T. P. (2015). Greenwash vs. </w:t>
      </w:r>
      <w:proofErr w:type="spellStart"/>
      <w:r w:rsidRPr="003C5D97">
        <w:rPr>
          <w:rFonts w:ascii="Times New Roman" w:eastAsia="Times New Roman" w:hAnsi="Times New Roman" w:cs="Times New Roman"/>
          <w:sz w:val="24"/>
          <w:szCs w:val="24"/>
          <w:lang w:val="en-US"/>
        </w:rPr>
        <w:t>brownwash</w:t>
      </w:r>
      <w:proofErr w:type="spellEnd"/>
      <w:r w:rsidRPr="003C5D97">
        <w:rPr>
          <w:rFonts w:ascii="Times New Roman" w:eastAsia="Times New Roman" w:hAnsi="Times New Roman" w:cs="Times New Roman"/>
          <w:sz w:val="24"/>
          <w:szCs w:val="24"/>
          <w:lang w:val="en-US"/>
        </w:rPr>
        <w:t xml:space="preserve">: Exaggeration and undue modesty in corporate sustainability disclosure. </w:t>
      </w:r>
      <w:r w:rsidRPr="003C5D97">
        <w:rPr>
          <w:rFonts w:ascii="Times New Roman" w:eastAsia="Times New Roman" w:hAnsi="Times New Roman" w:cs="Times New Roman"/>
          <w:i/>
          <w:iCs/>
          <w:sz w:val="24"/>
          <w:szCs w:val="24"/>
          <w:lang w:val="en-US"/>
        </w:rPr>
        <w:t>Organization Science, 26</w:t>
      </w:r>
      <w:r w:rsidRPr="003C5D97">
        <w:rPr>
          <w:rFonts w:ascii="Times New Roman" w:eastAsia="Times New Roman" w:hAnsi="Times New Roman" w:cs="Times New Roman"/>
          <w:sz w:val="24"/>
          <w:szCs w:val="24"/>
          <w:lang w:val="en-US"/>
        </w:rPr>
        <w:t xml:space="preserve">(3), 705–723. </w:t>
      </w:r>
      <w:hyperlink r:id="rId20" w:tgtFrame="_new" w:history="1">
        <w:r w:rsidRPr="003C5D97">
          <w:rPr>
            <w:rFonts w:ascii="Times New Roman" w:eastAsia="Times New Roman" w:hAnsi="Times New Roman" w:cs="Times New Roman"/>
            <w:color w:val="0000FF"/>
            <w:sz w:val="24"/>
            <w:szCs w:val="24"/>
            <w:u w:val="single"/>
            <w:lang w:val="en-US"/>
          </w:rPr>
          <w:t>https://doi.org/10.1287/orsc.2014.0949</w:t>
        </w:r>
      </w:hyperlink>
      <w:r w:rsidRPr="003C5D97">
        <w:rPr>
          <w:rFonts w:ascii="Times New Roman" w:eastAsia="Times New Roman" w:hAnsi="Times New Roman" w:cs="Times New Roman"/>
          <w:sz w:val="24"/>
          <w:szCs w:val="24"/>
          <w:lang w:val="en-US"/>
        </w:rPr>
        <w:t xml:space="preserve"> </w:t>
      </w:r>
    </w:p>
    <w:p w14:paraId="28D1940B"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Li, M., &amp; Chen, Q. (2024). Executive pay gap and corporate ESG greenwashing: Evidence from China. </w:t>
      </w:r>
      <w:r w:rsidRPr="003C5D97">
        <w:rPr>
          <w:rFonts w:ascii="Times New Roman" w:eastAsia="Times New Roman" w:hAnsi="Times New Roman" w:cs="Times New Roman"/>
          <w:i/>
          <w:iCs/>
          <w:sz w:val="24"/>
          <w:szCs w:val="24"/>
          <w:lang w:val="en-US"/>
        </w:rPr>
        <w:t>International Review of Financial Analysis, 95</w:t>
      </w:r>
      <w:r w:rsidRPr="003C5D97">
        <w:rPr>
          <w:rFonts w:ascii="Times New Roman" w:eastAsia="Times New Roman" w:hAnsi="Times New Roman" w:cs="Times New Roman"/>
          <w:sz w:val="24"/>
          <w:szCs w:val="24"/>
          <w:lang w:val="en-US"/>
        </w:rPr>
        <w:t xml:space="preserve">, Article 103375. </w:t>
      </w:r>
      <w:hyperlink r:id="rId21" w:tgtFrame="_new" w:history="1">
        <w:r w:rsidRPr="003C5D97">
          <w:rPr>
            <w:rFonts w:ascii="Times New Roman" w:eastAsia="Times New Roman" w:hAnsi="Times New Roman" w:cs="Times New Roman"/>
            <w:color w:val="0000FF"/>
            <w:sz w:val="24"/>
            <w:szCs w:val="24"/>
            <w:u w:val="single"/>
            <w:lang w:val="en-US"/>
          </w:rPr>
          <w:t>https://doi.org/10.1016/j.irfa.2024.103375</w:t>
        </w:r>
      </w:hyperlink>
      <w:r w:rsidRPr="003C5D97">
        <w:rPr>
          <w:rFonts w:ascii="Times New Roman" w:eastAsia="Times New Roman" w:hAnsi="Times New Roman" w:cs="Times New Roman"/>
          <w:sz w:val="24"/>
          <w:szCs w:val="24"/>
          <w:lang w:val="en-US"/>
        </w:rPr>
        <w:t xml:space="preserve"> </w:t>
      </w:r>
    </w:p>
    <w:p w14:paraId="0B2921F9"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Marquis, C., Toffel, M. W., &amp; Zhou, Y. (2016). Scrutiny, norms, and selective disclosure: A global study of greenwashing. </w:t>
      </w:r>
      <w:r w:rsidRPr="003C5D97">
        <w:rPr>
          <w:rFonts w:ascii="Times New Roman" w:eastAsia="Times New Roman" w:hAnsi="Times New Roman" w:cs="Times New Roman"/>
          <w:i/>
          <w:iCs/>
          <w:sz w:val="24"/>
          <w:szCs w:val="24"/>
          <w:lang w:val="en-US"/>
        </w:rPr>
        <w:t>Organization Science, 27</w:t>
      </w:r>
      <w:r w:rsidRPr="003C5D97">
        <w:rPr>
          <w:rFonts w:ascii="Times New Roman" w:eastAsia="Times New Roman" w:hAnsi="Times New Roman" w:cs="Times New Roman"/>
          <w:sz w:val="24"/>
          <w:szCs w:val="24"/>
          <w:lang w:val="en-US"/>
        </w:rPr>
        <w:t xml:space="preserve">(2), 483–504. </w:t>
      </w:r>
      <w:hyperlink r:id="rId22" w:tgtFrame="_new" w:history="1">
        <w:r w:rsidRPr="003C5D97">
          <w:rPr>
            <w:rFonts w:ascii="Times New Roman" w:eastAsia="Times New Roman" w:hAnsi="Times New Roman" w:cs="Times New Roman"/>
            <w:color w:val="0000FF"/>
            <w:sz w:val="24"/>
            <w:szCs w:val="24"/>
            <w:u w:val="single"/>
            <w:lang w:val="en-US"/>
          </w:rPr>
          <w:t>https://doi.org/10.1287/orsc.2015.1039</w:t>
        </w:r>
      </w:hyperlink>
      <w:r w:rsidRPr="003C5D97">
        <w:rPr>
          <w:rFonts w:ascii="Times New Roman" w:eastAsia="Times New Roman" w:hAnsi="Times New Roman" w:cs="Times New Roman"/>
          <w:sz w:val="24"/>
          <w:szCs w:val="24"/>
          <w:lang w:val="en-US"/>
        </w:rPr>
        <w:t xml:space="preserve"> </w:t>
      </w:r>
    </w:p>
    <w:p w14:paraId="4408F4DF"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Meyer, J. W., &amp; Rowan, B. (1977). Institutionalized organizations: Formal structure as myth and ceremony. </w:t>
      </w:r>
      <w:r w:rsidRPr="003C5D97">
        <w:rPr>
          <w:rFonts w:ascii="Times New Roman" w:eastAsia="Times New Roman" w:hAnsi="Times New Roman" w:cs="Times New Roman"/>
          <w:i/>
          <w:iCs/>
          <w:sz w:val="24"/>
          <w:szCs w:val="24"/>
          <w:lang w:val="en-US"/>
        </w:rPr>
        <w:t>American Journal of Sociology, 83</w:t>
      </w:r>
      <w:r w:rsidRPr="003C5D97">
        <w:rPr>
          <w:rFonts w:ascii="Times New Roman" w:eastAsia="Times New Roman" w:hAnsi="Times New Roman" w:cs="Times New Roman"/>
          <w:sz w:val="24"/>
          <w:szCs w:val="24"/>
          <w:lang w:val="en-US"/>
        </w:rPr>
        <w:t xml:space="preserve">(2), 340–363. </w:t>
      </w:r>
      <w:hyperlink r:id="rId23" w:tgtFrame="_new" w:history="1">
        <w:r w:rsidRPr="003C5D97">
          <w:rPr>
            <w:rFonts w:ascii="Times New Roman" w:eastAsia="Times New Roman" w:hAnsi="Times New Roman" w:cs="Times New Roman"/>
            <w:color w:val="0000FF"/>
            <w:sz w:val="24"/>
            <w:szCs w:val="24"/>
            <w:u w:val="single"/>
            <w:lang w:val="en-US"/>
          </w:rPr>
          <w:t>https://doi.org/10.1086/226550</w:t>
        </w:r>
      </w:hyperlink>
      <w:r w:rsidRPr="003C5D97">
        <w:rPr>
          <w:rFonts w:ascii="Times New Roman" w:eastAsia="Times New Roman" w:hAnsi="Times New Roman" w:cs="Times New Roman"/>
          <w:sz w:val="24"/>
          <w:szCs w:val="24"/>
          <w:lang w:val="en-US"/>
        </w:rPr>
        <w:t xml:space="preserve"> </w:t>
      </w:r>
    </w:p>
    <w:p w14:paraId="26A6D752"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w:t>
      </w:r>
      <w:proofErr w:type="spellStart"/>
      <w:r w:rsidRPr="003C5D97">
        <w:rPr>
          <w:rFonts w:ascii="Times New Roman" w:eastAsia="Times New Roman" w:hAnsi="Times New Roman" w:cs="Times New Roman"/>
          <w:sz w:val="24"/>
          <w:szCs w:val="24"/>
          <w:lang w:val="en-US"/>
        </w:rPr>
        <w:t>Quotb</w:t>
      </w:r>
      <w:proofErr w:type="spellEnd"/>
      <w:r w:rsidRPr="003C5D97">
        <w:rPr>
          <w:rFonts w:ascii="Times New Roman" w:eastAsia="Times New Roman" w:hAnsi="Times New Roman" w:cs="Times New Roman"/>
          <w:sz w:val="24"/>
          <w:szCs w:val="24"/>
          <w:lang w:val="en-US"/>
        </w:rPr>
        <w:t xml:space="preserve">, M., Keasey, K., Li, P., &amp; Mascia, D. V. (2026). ESG ratings disagreement and trading </w:t>
      </w:r>
      <w:proofErr w:type="spellStart"/>
      <w:r w:rsidRPr="003C5D97">
        <w:rPr>
          <w:rFonts w:ascii="Times New Roman" w:eastAsia="Times New Roman" w:hAnsi="Times New Roman" w:cs="Times New Roman"/>
          <w:sz w:val="24"/>
          <w:szCs w:val="24"/>
          <w:lang w:val="en-US"/>
        </w:rPr>
        <w:t>behaviour</w:t>
      </w:r>
      <w:proofErr w:type="spellEnd"/>
      <w:r w:rsidRPr="003C5D97">
        <w:rPr>
          <w:rFonts w:ascii="Times New Roman" w:eastAsia="Times New Roman" w:hAnsi="Times New Roman" w:cs="Times New Roman"/>
          <w:sz w:val="24"/>
          <w:szCs w:val="24"/>
          <w:lang w:val="en-US"/>
        </w:rPr>
        <w:t xml:space="preserve">. </w:t>
      </w:r>
      <w:r w:rsidRPr="003C5D97">
        <w:rPr>
          <w:rFonts w:ascii="Times New Roman" w:eastAsia="Times New Roman" w:hAnsi="Times New Roman" w:cs="Times New Roman"/>
          <w:i/>
          <w:iCs/>
          <w:sz w:val="24"/>
          <w:szCs w:val="24"/>
          <w:lang w:val="en-US"/>
        </w:rPr>
        <w:t>European Financial Management, 32</w:t>
      </w:r>
      <w:r w:rsidRPr="003C5D97">
        <w:rPr>
          <w:rFonts w:ascii="Times New Roman" w:eastAsia="Times New Roman" w:hAnsi="Times New Roman" w:cs="Times New Roman"/>
          <w:sz w:val="24"/>
          <w:szCs w:val="24"/>
          <w:lang w:val="en-US"/>
        </w:rPr>
        <w:t xml:space="preserve">(1), 206–231. </w:t>
      </w:r>
      <w:hyperlink r:id="rId24" w:tgtFrame="_new" w:history="1">
        <w:r w:rsidRPr="003C5D97">
          <w:rPr>
            <w:rFonts w:ascii="Times New Roman" w:eastAsia="Times New Roman" w:hAnsi="Times New Roman" w:cs="Times New Roman"/>
            <w:color w:val="0000FF"/>
            <w:sz w:val="24"/>
            <w:szCs w:val="24"/>
            <w:u w:val="single"/>
            <w:lang w:val="en-US"/>
          </w:rPr>
          <w:t>https://doi.org/10.1111/eufm.70009</w:t>
        </w:r>
      </w:hyperlink>
      <w:r w:rsidRPr="003C5D97">
        <w:rPr>
          <w:rFonts w:ascii="Times New Roman" w:eastAsia="Times New Roman" w:hAnsi="Times New Roman" w:cs="Times New Roman"/>
          <w:sz w:val="24"/>
          <w:szCs w:val="24"/>
          <w:lang w:val="en-US"/>
        </w:rPr>
        <w:t xml:space="preserve"> </w:t>
      </w:r>
    </w:p>
    <w:p w14:paraId="699F2321"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w:t>
      </w:r>
      <w:proofErr w:type="spellStart"/>
      <w:r w:rsidRPr="003C5D97">
        <w:rPr>
          <w:rFonts w:ascii="Times New Roman" w:eastAsia="Times New Roman" w:hAnsi="Times New Roman" w:cs="Times New Roman"/>
          <w:sz w:val="24"/>
          <w:szCs w:val="24"/>
          <w:lang w:val="en-US"/>
        </w:rPr>
        <w:t>Sneideriene</w:t>
      </w:r>
      <w:proofErr w:type="spellEnd"/>
      <w:r w:rsidRPr="003C5D97">
        <w:rPr>
          <w:rFonts w:ascii="Times New Roman" w:eastAsia="Times New Roman" w:hAnsi="Times New Roman" w:cs="Times New Roman"/>
          <w:sz w:val="24"/>
          <w:szCs w:val="24"/>
          <w:lang w:val="en-US"/>
        </w:rPr>
        <w:t xml:space="preserve">, A., &amp; </w:t>
      </w:r>
      <w:proofErr w:type="spellStart"/>
      <w:r w:rsidRPr="003C5D97">
        <w:rPr>
          <w:rFonts w:ascii="Times New Roman" w:eastAsia="Times New Roman" w:hAnsi="Times New Roman" w:cs="Times New Roman"/>
          <w:sz w:val="24"/>
          <w:szCs w:val="24"/>
          <w:lang w:val="en-US"/>
        </w:rPr>
        <w:t>Legenzova</w:t>
      </w:r>
      <w:proofErr w:type="spellEnd"/>
      <w:r w:rsidRPr="003C5D97">
        <w:rPr>
          <w:rFonts w:ascii="Times New Roman" w:eastAsia="Times New Roman" w:hAnsi="Times New Roman" w:cs="Times New Roman"/>
          <w:sz w:val="24"/>
          <w:szCs w:val="24"/>
          <w:lang w:val="en-US"/>
        </w:rPr>
        <w:t xml:space="preserve">, R. (2025). Greenwashing prevention in environmental, social, and governance (ESG) disclosures: A bibliometric analysis. </w:t>
      </w:r>
      <w:r w:rsidRPr="003C5D97">
        <w:rPr>
          <w:rFonts w:ascii="Times New Roman" w:eastAsia="Times New Roman" w:hAnsi="Times New Roman" w:cs="Times New Roman"/>
          <w:i/>
          <w:iCs/>
          <w:sz w:val="24"/>
          <w:szCs w:val="24"/>
          <w:lang w:val="en-US"/>
        </w:rPr>
        <w:t>Research in International Business and Finance, 74</w:t>
      </w:r>
      <w:r w:rsidRPr="003C5D97">
        <w:rPr>
          <w:rFonts w:ascii="Times New Roman" w:eastAsia="Times New Roman" w:hAnsi="Times New Roman" w:cs="Times New Roman"/>
          <w:sz w:val="24"/>
          <w:szCs w:val="24"/>
          <w:lang w:val="en-US"/>
        </w:rPr>
        <w:t xml:space="preserve">, Article 102720. </w:t>
      </w:r>
      <w:hyperlink r:id="rId25" w:tgtFrame="_new" w:history="1">
        <w:r w:rsidRPr="003C5D97">
          <w:rPr>
            <w:rFonts w:ascii="Times New Roman" w:eastAsia="Times New Roman" w:hAnsi="Times New Roman" w:cs="Times New Roman"/>
            <w:color w:val="0000FF"/>
            <w:sz w:val="24"/>
            <w:szCs w:val="24"/>
            <w:u w:val="single"/>
            <w:lang w:val="en-US"/>
          </w:rPr>
          <w:t>https://doi.org/10.1016/j.ribaf.2024.102720</w:t>
        </w:r>
      </w:hyperlink>
      <w:r w:rsidRPr="003C5D97">
        <w:rPr>
          <w:rFonts w:ascii="Times New Roman" w:eastAsia="Times New Roman" w:hAnsi="Times New Roman" w:cs="Times New Roman"/>
          <w:sz w:val="24"/>
          <w:szCs w:val="24"/>
          <w:lang w:val="en-US"/>
        </w:rPr>
        <w:t xml:space="preserve"> </w:t>
      </w:r>
    </w:p>
    <w:p w14:paraId="191387A0"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Suchman, M. C. (1995). Managing legitimacy: Strategic and institutional approaches. </w:t>
      </w:r>
      <w:r w:rsidRPr="003C5D97">
        <w:rPr>
          <w:rFonts w:ascii="Times New Roman" w:eastAsia="Times New Roman" w:hAnsi="Times New Roman" w:cs="Times New Roman"/>
          <w:i/>
          <w:iCs/>
          <w:sz w:val="24"/>
          <w:szCs w:val="24"/>
          <w:lang w:val="en-US"/>
        </w:rPr>
        <w:t>Academy of Management Review, 20</w:t>
      </w:r>
      <w:r w:rsidRPr="003C5D97">
        <w:rPr>
          <w:rFonts w:ascii="Times New Roman" w:eastAsia="Times New Roman" w:hAnsi="Times New Roman" w:cs="Times New Roman"/>
          <w:sz w:val="24"/>
          <w:szCs w:val="24"/>
          <w:lang w:val="en-US"/>
        </w:rPr>
        <w:t xml:space="preserve">(3), 571–610. </w:t>
      </w:r>
      <w:hyperlink r:id="rId26" w:tgtFrame="_new" w:history="1">
        <w:r w:rsidRPr="003C5D97">
          <w:rPr>
            <w:rFonts w:ascii="Times New Roman" w:eastAsia="Times New Roman" w:hAnsi="Times New Roman" w:cs="Times New Roman"/>
            <w:color w:val="0000FF"/>
            <w:sz w:val="24"/>
            <w:szCs w:val="24"/>
            <w:u w:val="single"/>
            <w:lang w:val="en-US"/>
          </w:rPr>
          <w:t>https://doi.org/10.5465/amr.1995.9508080331</w:t>
        </w:r>
      </w:hyperlink>
      <w:r w:rsidRPr="003C5D97">
        <w:rPr>
          <w:rFonts w:ascii="Times New Roman" w:eastAsia="Times New Roman" w:hAnsi="Times New Roman" w:cs="Times New Roman"/>
          <w:sz w:val="24"/>
          <w:szCs w:val="24"/>
          <w:lang w:val="en-US"/>
        </w:rPr>
        <w:t xml:space="preserve"> </w:t>
      </w:r>
    </w:p>
    <w:p w14:paraId="1D46C86A"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U.S. Securities and Exchange Commission. (2025, March 27). </w:t>
      </w:r>
      <w:r w:rsidRPr="003C5D97">
        <w:rPr>
          <w:rFonts w:ascii="Times New Roman" w:eastAsia="Times New Roman" w:hAnsi="Times New Roman" w:cs="Times New Roman"/>
          <w:i/>
          <w:iCs/>
          <w:sz w:val="24"/>
          <w:szCs w:val="24"/>
          <w:lang w:val="en-US"/>
        </w:rPr>
        <w:t>SEC votes to end defense of climate disclosure rules</w:t>
      </w:r>
      <w:r w:rsidRPr="003C5D97">
        <w:rPr>
          <w:rFonts w:ascii="Times New Roman" w:eastAsia="Times New Roman" w:hAnsi="Times New Roman" w:cs="Times New Roman"/>
          <w:sz w:val="24"/>
          <w:szCs w:val="24"/>
          <w:lang w:val="en-US"/>
        </w:rPr>
        <w:t xml:space="preserve"> [Press release]. </w:t>
      </w:r>
      <w:hyperlink r:id="rId27" w:tgtFrame="_new" w:history="1">
        <w:r w:rsidRPr="003C5D97">
          <w:rPr>
            <w:rFonts w:ascii="Times New Roman" w:eastAsia="Times New Roman" w:hAnsi="Times New Roman" w:cs="Times New Roman"/>
            <w:color w:val="0000FF"/>
            <w:sz w:val="24"/>
            <w:szCs w:val="24"/>
            <w:u w:val="single"/>
            <w:lang w:val="en-US"/>
          </w:rPr>
          <w:t>https://www.sec.gov/newsroom/press-releases/2025-58</w:t>
        </w:r>
      </w:hyperlink>
      <w:r w:rsidRPr="003C5D97">
        <w:rPr>
          <w:rFonts w:ascii="Times New Roman" w:eastAsia="Times New Roman" w:hAnsi="Times New Roman" w:cs="Times New Roman"/>
          <w:sz w:val="24"/>
          <w:szCs w:val="24"/>
          <w:lang w:val="en-US"/>
        </w:rPr>
        <w:t xml:space="preserve"> </w:t>
      </w:r>
    </w:p>
    <w:p w14:paraId="3F834254"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Walker, K., &amp; Wan, F. (2012). The harm of symbolic actions and green-washing: Corporate actions and communications on environmental performance and their financial implications. </w:t>
      </w:r>
      <w:r w:rsidRPr="003C5D97">
        <w:rPr>
          <w:rFonts w:ascii="Times New Roman" w:eastAsia="Times New Roman" w:hAnsi="Times New Roman" w:cs="Times New Roman"/>
          <w:i/>
          <w:iCs/>
          <w:sz w:val="24"/>
          <w:szCs w:val="24"/>
          <w:lang w:val="en-US"/>
        </w:rPr>
        <w:t>Journal of Business Ethics, 109</w:t>
      </w:r>
      <w:r w:rsidRPr="003C5D97">
        <w:rPr>
          <w:rFonts w:ascii="Times New Roman" w:eastAsia="Times New Roman" w:hAnsi="Times New Roman" w:cs="Times New Roman"/>
          <w:sz w:val="24"/>
          <w:szCs w:val="24"/>
          <w:lang w:val="en-US"/>
        </w:rPr>
        <w:t xml:space="preserve">(2), 227–242. </w:t>
      </w:r>
      <w:hyperlink r:id="rId28" w:tgtFrame="_new" w:history="1">
        <w:r w:rsidRPr="003C5D97">
          <w:rPr>
            <w:rFonts w:ascii="Times New Roman" w:eastAsia="Times New Roman" w:hAnsi="Times New Roman" w:cs="Times New Roman"/>
            <w:color w:val="0000FF"/>
            <w:sz w:val="24"/>
            <w:szCs w:val="24"/>
            <w:u w:val="single"/>
            <w:lang w:val="en-US"/>
          </w:rPr>
          <w:t>https://doi.org/10.1007/s10551-011-1122-4</w:t>
        </w:r>
      </w:hyperlink>
      <w:r w:rsidRPr="003C5D97">
        <w:rPr>
          <w:rFonts w:ascii="Times New Roman" w:eastAsia="Times New Roman" w:hAnsi="Times New Roman" w:cs="Times New Roman"/>
          <w:sz w:val="24"/>
          <w:szCs w:val="24"/>
          <w:lang w:val="en-US"/>
        </w:rPr>
        <w:t xml:space="preserve"> </w:t>
      </w:r>
    </w:p>
    <w:p w14:paraId="299476B8" w14:textId="77777777" w:rsidR="003C5D97" w:rsidRPr="003C5D97" w:rsidRDefault="003C5D97" w:rsidP="003C5D97">
      <w:pPr>
        <w:spacing w:after="0" w:line="240" w:lineRule="auto"/>
        <w:rPr>
          <w:rFonts w:ascii="Times New Roman" w:eastAsia="Times New Roman" w:hAnsi="Times New Roman" w:cs="Times New Roman"/>
          <w:sz w:val="24"/>
          <w:szCs w:val="24"/>
          <w:lang w:val="en-US"/>
        </w:rPr>
      </w:pPr>
      <w:r w:rsidRPr="003C5D97">
        <w:rPr>
          <w:rFonts w:ascii="Times New Roman" w:eastAsia="Times New Roman" w:hAnsi="Symbol" w:cs="Times New Roman"/>
          <w:sz w:val="24"/>
          <w:szCs w:val="24"/>
          <w:lang w:val="en-US"/>
        </w:rPr>
        <w:t></w:t>
      </w:r>
      <w:r w:rsidRPr="003C5D97">
        <w:rPr>
          <w:rFonts w:ascii="Times New Roman" w:eastAsia="Times New Roman" w:hAnsi="Times New Roman" w:cs="Times New Roman"/>
          <w:sz w:val="24"/>
          <w:szCs w:val="24"/>
          <w:lang w:val="en-US"/>
        </w:rPr>
        <w:t xml:space="preserve">  Wang, Q., Ma, Z., Zhao, J., &amp; Shu, G. (2024). State shareholding in privately-owned firms and greenwashing: Evidence from China. </w:t>
      </w:r>
      <w:r w:rsidRPr="003C5D97">
        <w:rPr>
          <w:rFonts w:ascii="Times New Roman" w:eastAsia="Times New Roman" w:hAnsi="Times New Roman" w:cs="Times New Roman"/>
          <w:i/>
          <w:iCs/>
          <w:sz w:val="24"/>
          <w:szCs w:val="24"/>
          <w:lang w:val="en-US"/>
        </w:rPr>
        <w:t>Finance Research Letters, 62</w:t>
      </w:r>
      <w:r w:rsidRPr="003C5D97">
        <w:rPr>
          <w:rFonts w:ascii="Times New Roman" w:eastAsia="Times New Roman" w:hAnsi="Times New Roman" w:cs="Times New Roman"/>
          <w:sz w:val="24"/>
          <w:szCs w:val="24"/>
          <w:lang w:val="en-US"/>
        </w:rPr>
        <w:t xml:space="preserve">, Article 105176. </w:t>
      </w:r>
      <w:hyperlink r:id="rId29" w:tgtFrame="_new" w:history="1">
        <w:r w:rsidRPr="003C5D97">
          <w:rPr>
            <w:rFonts w:ascii="Times New Roman" w:eastAsia="Times New Roman" w:hAnsi="Times New Roman" w:cs="Times New Roman"/>
            <w:color w:val="0000FF"/>
            <w:sz w:val="24"/>
            <w:szCs w:val="24"/>
            <w:u w:val="single"/>
            <w:lang w:val="en-US"/>
          </w:rPr>
          <w:t>https://doi.org/10.1016/j.frl.2024.105176</w:t>
        </w:r>
      </w:hyperlink>
      <w:r w:rsidRPr="003C5D97">
        <w:rPr>
          <w:rFonts w:ascii="Times New Roman" w:eastAsia="Times New Roman" w:hAnsi="Times New Roman" w:cs="Times New Roman"/>
          <w:sz w:val="24"/>
          <w:szCs w:val="24"/>
          <w:lang w:val="en-US"/>
        </w:rPr>
        <w:t xml:space="preserve"> </w:t>
      </w:r>
    </w:p>
    <w:p w14:paraId="43D18ADF" w14:textId="3F9B4164" w:rsidR="004841B3" w:rsidRDefault="003C5D97" w:rsidP="003C5D97">
      <w:pPr>
        <w:jc w:val="both"/>
      </w:pPr>
      <w:r w:rsidRPr="003C5D97">
        <w:rPr>
          <w:rFonts w:ascii="Times New Roman" w:eastAsia="Times New Roman" w:hAnsi="Symbol" w:cs="Times New Roman"/>
          <w:sz w:val="24"/>
          <w:szCs w:val="24"/>
          <w:lang w:val="en-US"/>
        </w:rPr>
        <w:lastRenderedPageBreak/>
        <w:t></w:t>
      </w:r>
      <w:r w:rsidRPr="003C5D97">
        <w:rPr>
          <w:rFonts w:ascii="Times New Roman" w:eastAsia="Times New Roman" w:hAnsi="Times New Roman" w:cs="Times New Roman"/>
          <w:sz w:val="24"/>
          <w:szCs w:val="24"/>
          <w:lang w:val="en-US"/>
        </w:rPr>
        <w:t xml:space="preserve">  Zhang, H., Lai, J., &amp; Guo, Z. (2025). When greenwashing meets ESG: Exploring the role of third-party ESG ratings in corporate greenwashing behavior. </w:t>
      </w:r>
      <w:r w:rsidRPr="003C5D97">
        <w:rPr>
          <w:rFonts w:ascii="Times New Roman" w:eastAsia="Times New Roman" w:hAnsi="Times New Roman" w:cs="Times New Roman"/>
          <w:i/>
          <w:iCs/>
          <w:sz w:val="24"/>
          <w:szCs w:val="24"/>
          <w:lang w:val="en-US"/>
        </w:rPr>
        <w:t>Journal of Business Research, 200</w:t>
      </w:r>
      <w:r w:rsidRPr="003C5D97">
        <w:rPr>
          <w:rFonts w:ascii="Times New Roman" w:eastAsia="Times New Roman" w:hAnsi="Times New Roman" w:cs="Times New Roman"/>
          <w:sz w:val="24"/>
          <w:szCs w:val="24"/>
          <w:lang w:val="en-US"/>
        </w:rPr>
        <w:t xml:space="preserve">, Article 115611. </w:t>
      </w:r>
      <w:hyperlink r:id="rId30" w:tgtFrame="_new" w:history="1">
        <w:r w:rsidRPr="003C5D97">
          <w:rPr>
            <w:rFonts w:ascii="Times New Roman" w:eastAsia="Times New Roman" w:hAnsi="Times New Roman" w:cs="Times New Roman"/>
            <w:color w:val="0000FF"/>
            <w:sz w:val="24"/>
            <w:szCs w:val="24"/>
            <w:u w:val="single"/>
            <w:lang w:val="en-US"/>
          </w:rPr>
          <w:t>https://doi.org/10.1016/j.jbusres.2025.115611</w:t>
        </w:r>
      </w:hyperlink>
    </w:p>
    <w:sectPr w:rsidR="004841B3" w:rsidSect="004841B3">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675B" w14:textId="77777777" w:rsidR="00D31A17" w:rsidRDefault="00D31A17" w:rsidP="00836F2D">
      <w:pPr>
        <w:spacing w:after="0" w:line="240" w:lineRule="auto"/>
      </w:pPr>
      <w:r>
        <w:separator/>
      </w:r>
    </w:p>
  </w:endnote>
  <w:endnote w:type="continuationSeparator" w:id="0">
    <w:p w14:paraId="042A93B2" w14:textId="77777777" w:rsidR="00D31A17" w:rsidRDefault="00D31A17" w:rsidP="0083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DCE7" w14:textId="77777777" w:rsidR="00836F2D" w:rsidRDefault="00836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5DD9" w14:textId="77777777" w:rsidR="00836F2D" w:rsidRDefault="00836F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A942" w14:textId="77777777" w:rsidR="00836F2D" w:rsidRDefault="00836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E4EA0" w14:textId="77777777" w:rsidR="00D31A17" w:rsidRDefault="00D31A17" w:rsidP="00836F2D">
      <w:pPr>
        <w:spacing w:after="0" w:line="240" w:lineRule="auto"/>
      </w:pPr>
      <w:r>
        <w:separator/>
      </w:r>
    </w:p>
  </w:footnote>
  <w:footnote w:type="continuationSeparator" w:id="0">
    <w:p w14:paraId="1C930C32" w14:textId="77777777" w:rsidR="00D31A17" w:rsidRDefault="00D31A17" w:rsidP="00836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70F5" w14:textId="329CA9DF" w:rsidR="00836F2D" w:rsidRDefault="00000000">
    <w:pPr>
      <w:pStyle w:val="Header"/>
    </w:pPr>
    <w:r>
      <w:rPr>
        <w:noProof/>
      </w:rPr>
      <w:pict w14:anchorId="1F44EF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17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DAD1" w14:textId="6FCDEC82" w:rsidR="00836F2D" w:rsidRDefault="00000000">
    <w:pPr>
      <w:pStyle w:val="Header"/>
    </w:pPr>
    <w:r>
      <w:rPr>
        <w:noProof/>
      </w:rPr>
      <w:pict w14:anchorId="7F796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17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3E80" w14:textId="49A2203A" w:rsidR="00836F2D" w:rsidRDefault="00000000">
    <w:pPr>
      <w:pStyle w:val="Header"/>
    </w:pPr>
    <w:r>
      <w:rPr>
        <w:noProof/>
      </w:rPr>
      <w:pict w14:anchorId="64631E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17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56865"/>
    <w:multiLevelType w:val="hybridMultilevel"/>
    <w:tmpl w:val="5AE69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F641C"/>
    <w:multiLevelType w:val="hybridMultilevel"/>
    <w:tmpl w:val="BC6E5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2028662">
    <w:abstractNumId w:val="1"/>
  </w:num>
  <w:num w:numId="2" w16cid:durableId="127743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ewtDQyszQ3sDAxMjRV0lEKTi0uzszPAykwrAUAChN+eywAAAA="/>
  </w:docVars>
  <w:rsids>
    <w:rsidRoot w:val="00397623"/>
    <w:rsid w:val="00132AB2"/>
    <w:rsid w:val="00345F3B"/>
    <w:rsid w:val="00397623"/>
    <w:rsid w:val="003C5D97"/>
    <w:rsid w:val="004841B3"/>
    <w:rsid w:val="00526F18"/>
    <w:rsid w:val="0077779A"/>
    <w:rsid w:val="00824882"/>
    <w:rsid w:val="00836F2D"/>
    <w:rsid w:val="00981299"/>
    <w:rsid w:val="00AB7AFF"/>
    <w:rsid w:val="00AC5B69"/>
    <w:rsid w:val="00B30FFC"/>
    <w:rsid w:val="00B76F71"/>
    <w:rsid w:val="00D12BB3"/>
    <w:rsid w:val="00D31A17"/>
    <w:rsid w:val="00D84AB6"/>
    <w:rsid w:val="00D85DC3"/>
    <w:rsid w:val="00D86244"/>
    <w:rsid w:val="00E22E09"/>
    <w:rsid w:val="00F57562"/>
    <w:rsid w:val="00FA4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F6958"/>
  <w15:docId w15:val="{D4A3BD27-15DE-4CB8-ADCE-4707F74B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3976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976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976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976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976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976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3976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97623"/>
    <w:rPr>
      <w:b/>
      <w:bCs/>
    </w:rPr>
  </w:style>
  <w:style w:type="character" w:styleId="Emphasis">
    <w:name w:val="Emphasis"/>
    <w:basedOn w:val="DefaultParagraphFont"/>
    <w:uiPriority w:val="20"/>
    <w:qFormat/>
    <w:rsid w:val="00397623"/>
    <w:rPr>
      <w:i/>
      <w:iCs/>
    </w:rPr>
  </w:style>
  <w:style w:type="character" w:styleId="Hyperlink">
    <w:name w:val="Hyperlink"/>
    <w:basedOn w:val="DefaultParagraphFont"/>
    <w:uiPriority w:val="99"/>
    <w:semiHidden/>
    <w:unhideWhenUsed/>
    <w:rsid w:val="00397623"/>
    <w:rPr>
      <w:color w:val="0000FF"/>
      <w:u w:val="single"/>
    </w:rPr>
  </w:style>
  <w:style w:type="paragraph" w:styleId="ListParagraph">
    <w:name w:val="List Paragraph"/>
    <w:basedOn w:val="Normal"/>
    <w:uiPriority w:val="34"/>
    <w:qFormat/>
    <w:rsid w:val="00397623"/>
    <w:pPr>
      <w:ind w:left="720"/>
      <w:contextualSpacing/>
    </w:pPr>
  </w:style>
  <w:style w:type="table" w:styleId="TableGrid">
    <w:name w:val="Table Grid"/>
    <w:basedOn w:val="TableNormal"/>
    <w:uiPriority w:val="59"/>
    <w:rsid w:val="0039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6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F2D"/>
  </w:style>
  <w:style w:type="paragraph" w:styleId="Footer">
    <w:name w:val="footer"/>
    <w:basedOn w:val="Normal"/>
    <w:link w:val="FooterChar"/>
    <w:uiPriority w:val="99"/>
    <w:unhideWhenUsed/>
    <w:rsid w:val="00836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199597">
      <w:bodyDiv w:val="1"/>
      <w:marLeft w:val="0"/>
      <w:marRight w:val="0"/>
      <w:marTop w:val="0"/>
      <w:marBottom w:val="0"/>
      <w:divBdr>
        <w:top w:val="none" w:sz="0" w:space="0" w:color="auto"/>
        <w:left w:val="none" w:sz="0" w:space="0" w:color="auto"/>
        <w:bottom w:val="none" w:sz="0" w:space="0" w:color="auto"/>
        <w:right w:val="none" w:sz="0" w:space="0" w:color="auto"/>
      </w:divBdr>
      <w:divsChild>
        <w:div w:id="1832864208">
          <w:marLeft w:val="0"/>
          <w:marRight w:val="0"/>
          <w:marTop w:val="0"/>
          <w:marBottom w:val="0"/>
          <w:divBdr>
            <w:top w:val="none" w:sz="0" w:space="0" w:color="auto"/>
            <w:left w:val="none" w:sz="0" w:space="0" w:color="auto"/>
            <w:bottom w:val="none" w:sz="0" w:space="0" w:color="auto"/>
            <w:right w:val="none" w:sz="0" w:space="0" w:color="auto"/>
          </w:divBdr>
        </w:div>
        <w:div w:id="1372799255">
          <w:marLeft w:val="0"/>
          <w:marRight w:val="0"/>
          <w:marTop w:val="0"/>
          <w:marBottom w:val="0"/>
          <w:divBdr>
            <w:top w:val="none" w:sz="0" w:space="0" w:color="auto"/>
            <w:left w:val="none" w:sz="0" w:space="0" w:color="auto"/>
            <w:bottom w:val="none" w:sz="0" w:space="0" w:color="auto"/>
            <w:right w:val="none" w:sz="0" w:space="0" w:color="auto"/>
          </w:divBdr>
        </w:div>
        <w:div w:id="932278096">
          <w:marLeft w:val="0"/>
          <w:marRight w:val="0"/>
          <w:marTop w:val="0"/>
          <w:marBottom w:val="0"/>
          <w:divBdr>
            <w:top w:val="none" w:sz="0" w:space="0" w:color="auto"/>
            <w:left w:val="none" w:sz="0" w:space="0" w:color="auto"/>
            <w:bottom w:val="none" w:sz="0" w:space="0" w:color="auto"/>
            <w:right w:val="none" w:sz="0" w:space="0" w:color="auto"/>
          </w:divBdr>
        </w:div>
        <w:div w:id="2027780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nance.ec.europa.eu/financial-markets/company-reporting-and-auditing/company-reporting/corporate-sustainability-reporting_en?utm_source=chatgpt.com" TargetMode="External"/><Relationship Id="rId18" Type="http://schemas.openxmlformats.org/officeDocument/2006/relationships/hyperlink" Target="https://doi.org/10.1108/SAMPJ-03-2024-0212" TargetMode="External"/><Relationship Id="rId26" Type="http://schemas.openxmlformats.org/officeDocument/2006/relationships/hyperlink" Target="https://doi.org/10.5465/amr.1995.9508080331" TargetMode="External"/><Relationship Id="rId21" Type="http://schemas.openxmlformats.org/officeDocument/2006/relationships/hyperlink" Target="https://doi.org/10.1016/j.irfa.2024.103375" TargetMode="External"/><Relationship Id="rId34" Type="http://schemas.openxmlformats.org/officeDocument/2006/relationships/footer" Target="footer2.xml"/><Relationship Id="rId7" Type="http://schemas.openxmlformats.org/officeDocument/2006/relationships/hyperlink" Target="https://doi.org/10.1108/IJBM-09-2024-0564" TargetMode="External"/><Relationship Id="rId12" Type="http://schemas.openxmlformats.org/officeDocument/2006/relationships/hyperlink" Target="https://doi.org/10.1525/cmr.2011.54.1.64" TargetMode="External"/><Relationship Id="rId17" Type="http://schemas.openxmlformats.org/officeDocument/2006/relationships/hyperlink" Target="https://doi.org/10.1002/csr.70066" TargetMode="External"/><Relationship Id="rId25" Type="http://schemas.openxmlformats.org/officeDocument/2006/relationships/hyperlink" Target="https://doi.org/10.1016/j.ribaf.2024.102720"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eneco.2023.106873" TargetMode="External"/><Relationship Id="rId20" Type="http://schemas.openxmlformats.org/officeDocument/2006/relationships/hyperlink" Target="https://doi.org/10.1287/orsc.2014.0949" TargetMode="External"/><Relationship Id="rId29" Type="http://schemas.openxmlformats.org/officeDocument/2006/relationships/hyperlink" Target="https://doi.org/10.1016/j.frl.2024.1051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su18031486" TargetMode="External"/><Relationship Id="rId24" Type="http://schemas.openxmlformats.org/officeDocument/2006/relationships/hyperlink" Target="https://doi.org/10.1111/eufm.70009"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07/s10479-025-06538-3" TargetMode="External"/><Relationship Id="rId23" Type="http://schemas.openxmlformats.org/officeDocument/2006/relationships/hyperlink" Target="https://doi.org/10.1086/226550" TargetMode="External"/><Relationship Id="rId28" Type="http://schemas.openxmlformats.org/officeDocument/2006/relationships/hyperlink" Target="https://doi.org/10.1007/s10551-011-1122-4" TargetMode="External"/><Relationship Id="rId36" Type="http://schemas.openxmlformats.org/officeDocument/2006/relationships/footer" Target="footer3.xml"/><Relationship Id="rId10" Type="http://schemas.openxmlformats.org/officeDocument/2006/relationships/hyperlink" Target="https://doi.org/10.1111/1475-679X.12481" TargetMode="External"/><Relationship Id="rId19" Type="http://schemas.openxmlformats.org/officeDocument/2006/relationships/hyperlink" Target="https://doi.org/10.1016/j.frl.2024.10671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93/rof/rfac033" TargetMode="External"/><Relationship Id="rId14" Type="http://schemas.openxmlformats.org/officeDocument/2006/relationships/hyperlink" Target="https://doi.org/10.1111/j.1471-1842.2009.00848.x" TargetMode="External"/><Relationship Id="rId22" Type="http://schemas.openxmlformats.org/officeDocument/2006/relationships/hyperlink" Target="https://doi.org/10.1287/orsc.2015.1039" TargetMode="External"/><Relationship Id="rId27" Type="http://schemas.openxmlformats.org/officeDocument/2006/relationships/hyperlink" Target="https://www.sec.gov/newsroom/press-releases/2025-58?utm_source=chatgpt.com" TargetMode="External"/><Relationship Id="rId30" Type="http://schemas.openxmlformats.org/officeDocument/2006/relationships/hyperlink" Target="https://doi.org/10.1016/j.jbusres.2025.115611" TargetMode="External"/><Relationship Id="rId35" Type="http://schemas.openxmlformats.org/officeDocument/2006/relationships/header" Target="header3.xml"/><Relationship Id="rId8" Type="http://schemas.openxmlformats.org/officeDocument/2006/relationships/hyperlink" Target="https://doi.org/10.1016/j.heliyon.2023.e23767"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7869</Words>
  <Characters>44858</Characters>
  <Application>Microsoft Office Word</Application>
  <DocSecurity>0</DocSecurity>
  <Lines>373</Lines>
  <Paragraphs>105</Paragraphs>
  <ScaleCrop>false</ScaleCrop>
  <Company>HP</Company>
  <LinksUpToDate>false</LinksUpToDate>
  <CharactersWithSpaces>52622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12</cp:revision>
  <dcterms:created xsi:type="dcterms:W3CDTF">2026-07-04T11:56:00Z</dcterms:created>
  <dcterms:modified xsi:type="dcterms:W3CDTF">2026-07-09T05:34:00Z</dcterms:modified>
</cp:coreProperties>
</file>