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B1D81" w14:textId="77777777" w:rsidR="004470EC" w:rsidRPr="00F66E23" w:rsidRDefault="00000000">
      <w:pPr>
        <w:pStyle w:val="ListParagraph"/>
        <w:spacing w:line="360" w:lineRule="auto"/>
        <w:ind w:left="0"/>
        <w:jc w:val="center"/>
        <w:rPr>
          <w:rFonts w:ascii="Times New Roman Regular" w:hAnsi="Times New Roman Regular" w:cs="Times New Roman Regular"/>
          <w:b/>
          <w:bCs/>
          <w:sz w:val="24"/>
          <w:szCs w:val="24"/>
        </w:rPr>
      </w:pPr>
      <w:bookmarkStart w:id="0" w:name="_Toc156224697"/>
      <w:bookmarkStart w:id="1" w:name="_Toc156569072"/>
      <w:r w:rsidRPr="00F66E23">
        <w:rPr>
          <w:rFonts w:ascii="Times New Roman Regular" w:hAnsi="Times New Roman Regular" w:cs="Times New Roman Regular"/>
          <w:b/>
          <w:bCs/>
          <w:sz w:val="24"/>
          <w:szCs w:val="24"/>
        </w:rPr>
        <w:t>The Nexus Between Climate Risk and Financial Performance of Selected Universal Banks on Ghana Stock Exchange</w:t>
      </w:r>
    </w:p>
    <w:p w14:paraId="09B78D26" w14:textId="77777777" w:rsidR="004470EC" w:rsidRPr="00F66E23" w:rsidRDefault="00000000">
      <w:pPr>
        <w:pStyle w:val="ListParagraph"/>
        <w:spacing w:line="360" w:lineRule="auto"/>
        <w:ind w:left="0"/>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w:t>
      </w:r>
    </w:p>
    <w:p w14:paraId="61AE8F85" w14:textId="77777777" w:rsidR="004470EC" w:rsidRPr="00F66E23" w:rsidRDefault="004470EC">
      <w:pPr>
        <w:jc w:val="center"/>
        <w:rPr>
          <w:rFonts w:ascii="Times New Roman Regular" w:hAnsi="Times New Roman Regular" w:cs="Times New Roman Regular"/>
          <w:sz w:val="24"/>
          <w:szCs w:val="24"/>
        </w:rPr>
      </w:pPr>
    </w:p>
    <w:p w14:paraId="00C4BB4F" w14:textId="77777777" w:rsidR="004470EC" w:rsidRPr="00F66E23" w:rsidRDefault="004470EC"/>
    <w:p w14:paraId="16527EF3" w14:textId="77777777" w:rsidR="004470EC" w:rsidRPr="00F66E23" w:rsidRDefault="00000000">
      <w:pPr>
        <w:pStyle w:val="Heading1"/>
        <w:spacing w:line="360" w:lineRule="auto"/>
        <w:jc w:val="center"/>
        <w:rPr>
          <w:rFonts w:ascii="Times New Roman Regular" w:hAnsi="Times New Roman Regular" w:cs="Times New Roman Regular"/>
          <w:color w:val="auto"/>
          <w:sz w:val="24"/>
          <w:szCs w:val="24"/>
        </w:rPr>
      </w:pPr>
      <w:r w:rsidRPr="00F66E23">
        <w:rPr>
          <w:rFonts w:ascii="Times New Roman Regular" w:hAnsi="Times New Roman Regular" w:cs="Times New Roman Regular"/>
          <w:color w:val="auto"/>
          <w:sz w:val="24"/>
          <w:szCs w:val="24"/>
        </w:rPr>
        <w:t>ABSTRACT</w:t>
      </w:r>
      <w:bookmarkEnd w:id="0"/>
      <w:bookmarkEnd w:id="1"/>
    </w:p>
    <w:p w14:paraId="34CCCF4A" w14:textId="30836D6C" w:rsidR="004470EC" w:rsidRPr="00F66E23" w:rsidRDefault="00EE1DF4">
      <w:pPr>
        <w:autoSpaceDE w:val="0"/>
        <w:autoSpaceDN w:val="0"/>
        <w:adjustRightInd w:val="0"/>
        <w:spacing w:line="480" w:lineRule="auto"/>
        <w:jc w:val="both"/>
        <w:rPr>
          <w:rFonts w:ascii="Times New Roman Regular" w:hAnsi="Times New Roman Regular" w:cs="Times New Roman Regular"/>
          <w:sz w:val="26"/>
          <w:szCs w:val="26"/>
        </w:rPr>
      </w:pPr>
      <w:r w:rsidRPr="00F66E23">
        <w:rPr>
          <w:sz w:val="22"/>
          <w:szCs w:val="22"/>
        </w:rPr>
        <w:t>Climate risk has become an important issue in financial-sector analysis because it may affect bank operations, borrower capacity, credit quality, and overall financial performance. This study examined the nexus between climate risk and the financial performance of selected licensed universal banks in Ghana. The study covered a fifteen-year period, from 2010 to 2024, and was restricted to ten universal banks based on data availability and convenience. Bank financial performance was proxied through a Financial Performance Index derived from net interest margin, return on assets, return on equity, and liquid funds to total assets using Principal Component Analysis. Climate risk was measured using the Climate Risk Index, while bank size, leverage, real GDP growth, and inflation were included as control variables. The study employed a panel data regression approach and used the Generalized Least Square Regression method to control for autocorrelation and heteroskedasticity in the panel data. The results showed that climate risk has a significant negative impact on the financial performance of selected licensed universal banks in Ghana. The findings suggest that climate-related risks may reduce bank performance by affecting bank operations, borrowers, and the wider business environment. The study recommends improving climate prediction, strengthening energy conservation measures, and enhancing emissions-reduction policies.</w:t>
      </w:r>
    </w:p>
    <w:p w14:paraId="1A709B89" w14:textId="217E65E4" w:rsidR="004470EC" w:rsidRPr="00F66E23" w:rsidRDefault="00000000" w:rsidP="00EE1DF4">
      <w:pPr>
        <w:spacing w:line="360" w:lineRule="auto"/>
        <w:sectPr w:rsidR="004470EC" w:rsidRPr="00F66E23">
          <w:pgSz w:w="12240" w:h="15840"/>
          <w:pgMar w:top="1440" w:right="1440" w:bottom="1440" w:left="1440" w:header="720" w:footer="720" w:gutter="0"/>
          <w:pgNumType w:fmt="lowerRoman" w:start="1"/>
          <w:cols w:space="720"/>
          <w:docGrid w:linePitch="360"/>
        </w:sectPr>
      </w:pPr>
      <w:r w:rsidRPr="00F66E23">
        <w:rPr>
          <w:b/>
          <w:bCs/>
        </w:rPr>
        <w:t>Keywords</w:t>
      </w:r>
      <w:r w:rsidRPr="00F66E23">
        <w:t xml:space="preserve">: </w:t>
      </w:r>
      <w:r w:rsidR="00EE1DF4" w:rsidRPr="00F66E23">
        <w:t>Climate risk; bank financial performance; universal banks; Ghana Stock Exchange; financial performance index; Principal Component Analysis; Generalized Least Square Regression; climate risk index; bank profitability; panel data.</w:t>
      </w:r>
    </w:p>
    <w:p w14:paraId="6D0B84C6" w14:textId="77777777" w:rsidR="004470EC" w:rsidRPr="00F66E23" w:rsidRDefault="004470EC">
      <w:pPr>
        <w:spacing w:line="360" w:lineRule="auto"/>
        <w:rPr>
          <w:rFonts w:ascii="Times New Roman Regular" w:hAnsi="Times New Roman Regular" w:cs="Times New Roman Regular"/>
          <w:sz w:val="24"/>
          <w:szCs w:val="24"/>
        </w:rPr>
      </w:pPr>
    </w:p>
    <w:p w14:paraId="6DF18DFF" w14:textId="77777777" w:rsidR="004470EC" w:rsidRPr="00F66E23" w:rsidRDefault="00000000">
      <w:pPr>
        <w:spacing w:line="360" w:lineRule="auto"/>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1.0 Introduction</w:t>
      </w:r>
    </w:p>
    <w:p w14:paraId="709527F9" w14:textId="424B3CD6" w:rsidR="004470EC" w:rsidRPr="00F66E23" w:rsidRDefault="00000000" w:rsidP="00EE1DF4">
      <w:pPr>
        <w:spacing w:line="360" w:lineRule="auto"/>
        <w:jc w:val="both"/>
        <w:rPr>
          <w:rFonts w:ascii="Times New Roman Regular" w:hAnsi="Times New Roman Regular" w:cs="Times New Roman Regular"/>
          <w:sz w:val="24"/>
          <w:szCs w:val="24"/>
        </w:rPr>
      </w:pPr>
      <w:r w:rsidRPr="00F66E23"/>
      <w:proofErr w:type="spellStart"/>
      <w:r w:rsidRPr="00F66E23"/>
      <w:proofErr w:type="spellEnd"/>
      <w:r w:rsidRPr="00F66E23"/>
      <w:proofErr w:type="spellStart"/>
      <w:r w:rsidRPr="00F66E23"/>
      <w:proofErr w:type="spellEnd"/>
      <w:r w:rsidRPr="00F66E23"/>
      <w:proofErr w:type="spellStart"/>
      <w:r w:rsidRPr="00F66E23"/>
      <w:proofErr w:type="spellEnd"/>
      <w:r w:rsidRPr="00F66E23"/>
      <w:r w:rsidR="00EE1DF4" w:rsidRPr="00F66E23">
        <w:rPr>
          <w:rFonts w:ascii="Times New Roman Regular" w:hAnsi="Times New Roman Regular" w:cs="Times New Roman Regular"/>
          <w:sz w:val="24"/>
          <w:szCs w:val="24"/>
        </w:rPr>
      </w:r>
      <w:r w:rsidRPr="00F66E23">
        <w:rPr>
          <w:bCs/>
        </w:rPr>
      </w:r>
      <w:r>
        <w:rPr/>
        <w:t>Climate change is rapidly being recognised as a major threat to global economic growth and financial stability (Dafermos, Nikolaidi, and Galanis, 2018; Lee et al., 2022). Climate change refers to projected major changes in global weather patterns that are attributed to elevated levels of greenhouse gas emissions caused by human activities (IPCC, 2014). The predicted impacts of climate change are becoming increasingly visible. Climate change gives rise to environmental and climate-related risks (Asante et al., 2015). These risks include severe weather events, water shortages, and inadequate responses to the consequences of climate change. It is becoming increasingly apparent to policymakers, scholars, and the general public that there is an urgent need to address climate-related security concerns through collaboration and dialogue. Recent international evidence further suggests that climate risk is associated with reduced bank stability and lower bank profitability, strengthening the relevance of examining its implications for banking performance (Le et al., 2023; Lee &amp; Alam, 2024).</w:t>
      </w:r>
    </w:p>
    <w:p w14:paraId="252B64F5" w14:textId="77777777" w:rsidR="004470EC" w:rsidRPr="00F66E23" w:rsidRDefault="004470EC">
      <w:pPr>
        <w:spacing w:line="360" w:lineRule="auto"/>
        <w:jc w:val="both"/>
        <w:rPr>
          <w:rFonts w:ascii="Times New Roman Regular" w:hAnsi="Times New Roman Regular" w:cs="Times New Roman Regular"/>
          <w:sz w:val="24"/>
          <w:szCs w:val="24"/>
        </w:rPr>
      </w:pPr>
    </w:p>
    <w:p w14:paraId="2A0414B2" w14:textId="0432C418" w:rsidR="004470EC" w:rsidRPr="00F66E23" w:rsidRDefault="00000000" w:rsidP="00EE1DF4">
      <w:pPr>
        <w:spacing w:line="360" w:lineRule="auto"/>
        <w:jc w:val="both"/>
        <w:rPr>
          <w:rFonts w:ascii="Times New Roman Regular" w:hAnsi="Times New Roman Regular" w:cs="Times New Roman Regular"/>
          <w:sz w:val="24"/>
          <w:szCs w:val="24"/>
        </w:rPr>
      </w:pPr>
      <w:r w:rsidRPr="00F66E23">
        <w:t>Practically every industry in the economy is exposed to hazards arising from the immediate and long-term physical impacts of climate change. The entire business value chain is affected by climate risk, from primary materials to final consumers. In addition to inadequate adaptation capabilities, the current state of climate risk exposes the economies and societies of many countries to the direct and indirect negative effects of climate change and climate-related disasters. Recent research indicates that climate risk can affect both overall economic indicators and the operations and characteristics of companies through two main channels: (</w:t>
      </w:r>
      <w:proofErr w:type="spellStart"/>
      <w:r w:rsidRPr="00F66E23">
        <w:t>i</w:t>
      </w:r>
      <w:proofErr w:type="spellEnd"/>
      <w:r w:rsidRPr="00F66E23">
        <w:t>) physical channels, which involve direct physical harm caused by climate-related events; and (ii) transition channels, which encompass disruptions associated with the transition towards a less environmentally damaging economy (Lee et al., 2022). In research undertaken by Dietz et al. (2016), the aim was to measure the impact of climate change on the global financial system. Based on their research, climate change could potentially reduce the dividend payments of businesses, thereby affecting the value of financial assets.</w:t>
      </w:r>
      <w:r w:rsidR="00EE1DF4" w:rsidRPr="00F66E23">
        <w:rPr>
          <w:rFonts w:ascii="Times New Roman Regular" w:hAnsi="Times New Roman Regular" w:cs="Times New Roman Regular"/>
          <w:sz w:val="24"/>
          <w:szCs w:val="24"/>
        </w:rPr>
        <w:t xml:space="preserve"> </w:t>
      </w:r>
      <w:r w:rsidRPr="00F66E23">
        <w:rPr>
          <w:bCs/>
        </w:rPr>
        <w:t>In the banking industry, physical climate risks have been reported to weaken return-based performance and lending growth, while transition-risk effects may differ according to the way banks integrate climate considerations into their risk frameworks (Chalabi-Jabado &amp; Ziane, 2024).</w:t>
      </w:r>
    </w:p>
    <w:p w14:paraId="7A425BCF" w14:textId="06005B2E" w:rsidR="004470EC" w:rsidRPr="00F66E23" w:rsidRDefault="00000000" w:rsidP="00EE1DF4">
      <w:pPr>
        <w:spacing w:line="360" w:lineRule="auto"/>
        <w:jc w:val="both"/>
        <w:rPr>
          <w:rFonts w:ascii="Times New Roman Regular" w:hAnsi="Times New Roman Regular" w:cs="Times New Roman Regular"/>
          <w:sz w:val="24"/>
          <w:szCs w:val="24"/>
        </w:rPr>
      </w:pPr>
      <w:r w:rsidRPr="00F66E23"/>
      <w:proofErr w:type="spellStart"/>
      <w:r w:rsidRPr="00F66E23"/>
      <w:proofErr w:type="spellEnd"/>
      <w:r w:rsidRPr="00F66E23"/>
      <w:r w:rsidRPr="00F66E23"/>
      <w:r w:rsidR="00EE1DF4" w:rsidRPr="00F66E23">
        <w:rPr>
          <w:rFonts w:ascii="Times New Roman Regular" w:hAnsi="Times New Roman Regular" w:cs="Times New Roman Regular"/>
          <w:sz w:val="24"/>
          <w:szCs w:val="24"/>
        </w:rPr>
      </w:r>
      <w:r w:rsidRPr="00F66E23">
        <w:rPr>
          <w:bCs/>
        </w:rPr>
      </w:r>
      <w:r w:rsidR="00EE1DF4" w:rsidRPr="00F66E23">
        <w:rPr>
          <w:rFonts w:ascii="Times New Roman Regular" w:hAnsi="Times New Roman Regular" w:cs="Times New Roman Regular"/>
          <w:sz w:val="24"/>
          <w:szCs w:val="24"/>
        </w:rPr>
      </w:r>
      <w:r w:rsidRPr="00F66E23">
        <w:rPr>
          <w:bCs/>
        </w:rPr>
      </w:r>
      <w:r>
        <w:rPr/>
        <w:t>The current scientific understanding of climate change provides substantial evidence on climate risk, or the potential adverse consequences of climate change for society as a whole in the decades to come (Roncoroni et al., 2021). In contrast, asset prices do not currently reflect such scientific understanding. One explanation for this situation concerns financial markets' failure to absorb externalities (High-Level Commission on Carbon Prices, 2017; Stiglitz, 2019), particularly over time horizons longer than a few years. Climate change and climate-related risk are projected to have serious consequences for the stability of the financial sector, notably in banking (Scott et al., 2017). Climate risks could influence the safety of the banking industry through transitional risks, such as uncertainty around the shift towards a low-carbon economy, as well as physical risks, such as severe weather events. Over the years, banks have had to monitor closely how extreme weather events affect their ability to continue operations. According to Jack et al. (2021), climate risk is a systemic problem with broad implications for the global economy, health, security, and prosperity. Mitigating climate danger will require a coordinated global effort to implement systematic changes, although several questions remain regarding the optimal configuration of this effort. At the systemic level, climate risk can also heighten bank systemic risk through credit-quality deterioration, although stronger profitability and capital adequacy may mitigate this exposure (Wu et al., 2024). Evidence from Sub-Saharan African banks indicates that climate change initiative disclosures and governance mechanisms may be relevant to bank financial performance, supporting the need to consider climate-related issues within banking performance analysis (Adu et al., 2024).</w:t>
      </w:r>
    </w:p>
    <w:p w14:paraId="5EC8FCF3" w14:textId="77777777" w:rsidR="004470EC" w:rsidRPr="00F66E23" w:rsidRDefault="00000000">
      <w:pPr>
        <w:spacing w:line="360" w:lineRule="auto"/>
        <w:jc w:val="both"/>
        <w:rPr>
          <w:rFonts w:ascii="Times New Roman Regular" w:hAnsi="Times New Roman Regular" w:cs="Times New Roman Regular"/>
          <w:bCs/>
          <w:sz w:val="24"/>
          <w:szCs w:val="24"/>
        </w:rPr>
      </w:pPr>
      <w:r w:rsidRPr="00F66E23">
        <w:t>United Nations System Staff College (2020), reposting UN Climate Change News, states that robust and high-quality institutions are essential for sustainable development as well as successful and sustained climate mitigation and adaptation. To prevent corruption from undermining the fight against climate change, institutions need to coordinate their anti-corruption efforts. Transparency International (2025) reports that corruption is a major threat to climate action because it weakens governance and diverts climate finance.</w:t>
      </w:r>
    </w:p>
    <w:p w14:paraId="5F9CCDB8" w14:textId="77777777" w:rsidR="004470EC" w:rsidRPr="00F66E23" w:rsidRDefault="004470EC">
      <w:pPr>
        <w:spacing w:line="360" w:lineRule="auto"/>
        <w:jc w:val="both"/>
        <w:rPr>
          <w:rFonts w:ascii="Times New Roman Regular" w:hAnsi="Times New Roman Regular" w:cs="Times New Roman Regular"/>
          <w:bCs/>
          <w:sz w:val="24"/>
          <w:szCs w:val="24"/>
        </w:rPr>
      </w:pPr>
    </w:p>
    <w:p w14:paraId="1D8CE4B6" w14:textId="77777777" w:rsidR="004470EC" w:rsidRPr="00F66E23" w:rsidRDefault="00000000">
      <w:pPr>
        <w:pStyle w:val="Heading1"/>
        <w:spacing w:line="360" w:lineRule="auto"/>
        <w:jc w:val="left"/>
        <w:rPr>
          <w:rFonts w:ascii="Times New Roman Regular" w:hAnsi="Times New Roman Regular" w:cs="Times New Roman Regular"/>
          <w:sz w:val="24"/>
          <w:szCs w:val="24"/>
        </w:rPr>
      </w:pPr>
      <w:bookmarkStart w:id="2" w:name="_Toc156569077"/>
      <w:r w:rsidRPr="00F66E23">
        <w:rPr>
          <w:rFonts w:ascii="Times New Roman Regular" w:hAnsi="Times New Roman Regular" w:cs="Times New Roman Regular"/>
          <w:sz w:val="24"/>
          <w:szCs w:val="24"/>
        </w:rPr>
        <w:t>1.1 Problem Statement</w:t>
      </w:r>
      <w:bookmarkEnd w:id="2"/>
    </w:p>
    <w:p w14:paraId="55BB5D62" w14:textId="6E7FC1F8" w:rsidR="004470EC" w:rsidRPr="00F66E23" w:rsidRDefault="00000000" w:rsidP="00EE1DF4">
      <w:pPr>
        <w:spacing w:line="360" w:lineRule="auto"/>
        <w:jc w:val="both"/>
        <w:rPr>
          <w:rFonts w:ascii="Times New Roman Regular" w:hAnsi="Times New Roman Regular" w:cs="Times New Roman Regular"/>
          <w:bCs/>
          <w:sz w:val="24"/>
          <w:szCs w:val="24"/>
        </w:rPr>
      </w:pPr>
      <w:r w:rsidRPr="00F66E23">
        <w:t xml:space="preserve">According to the 2022 Country Climate and Development Report (CCDR) for Ghana published by the World Bank Group (2022), if immediate efforts are not undertaken regarding climate change in Ghana, at least one million people could fall into poverty as a result of climatic shocks. It is estimated that, by 2050, low-income families may experience a decline in income of up to forty per cent. Universal banks fund a substantial number of projects in Ghana, as they do in many other developing nations. Universal banks also provide finance for activities that have a negative influence on environmental quality and social standards. For example, activities such as mining, forestry, and cocoa-induced agricultural development have resulted in a decline in total forest cover from 32.7% in 1990 to 21.7% in 2010. The Network for Greening the Financial System (NGFS), which was founded in December 2017, </w:t>
      </w:r>
      <w:proofErr w:type="spellStart"/>
      <w:r w:rsidRPr="00F66E23">
        <w:t>recognised</w:t>
      </w:r>
      <w:proofErr w:type="spellEnd"/>
      <w:r w:rsidRPr="00F66E23">
        <w:t xml:space="preserve"> that climate change risks were a source of financial risk and could have a negative impact on the banking system's overall performance. As a result, central banks and regulators are responsible for ensuring that the financial system is resilient to risks associated with climate change.</w:t>
      </w:r>
      <w:r w:rsidR="00EE1DF4" w:rsidRPr="00F66E23">
        <w:rPr>
          <w:rFonts w:ascii="Times New Roman Regular" w:hAnsi="Times New Roman Regular" w:cs="Times New Roman Regular"/>
          <w:bCs/>
          <w:sz w:val="24"/>
          <w:szCs w:val="24"/>
        </w:rPr>
        <w:t xml:space="preserve"> </w:t>
      </w:r>
      <w:r w:rsidRPr="00F66E23">
        <w:rPr>
          <w:bCs/>
        </w:rPr>
        <w:t>Recent evidence from ASEAN banks also indicates that green credit may support bank profitability when sustainable financing is strategically implemented (</w:t>
      </w:r>
      <w:proofErr w:type="spellStart"/>
      <w:r w:rsidRPr="00F66E23">
        <w:rPr>
          <w:bCs/>
        </w:rPr>
        <w:t>Herlina</w:t>
      </w:r>
      <w:proofErr w:type="spellEnd"/>
      <w:r w:rsidRPr="00F66E23">
        <w:rPr>
          <w:bCs/>
        </w:rPr>
        <w:t xml:space="preserve"> et al., 2025).</w:t>
      </w:r>
      <w:r w:rsidR="00EE1DF4" w:rsidRPr="00F66E23">
        <w:rPr>
          <w:rFonts w:ascii="Times New Roman Regular" w:hAnsi="Times New Roman Regular" w:cs="Times New Roman Regular"/>
          <w:bCs/>
          <w:sz w:val="24"/>
          <w:szCs w:val="24"/>
        </w:rPr>
        <w:t xml:space="preserve"> </w:t>
      </w:r>
      <w:r w:rsidRPr="00F66E23">
        <w:rPr>
          <w:bCs/>
        </w:rPr>
        <w:t>Climate-resilient project management has become relevant for investment-linked activities because climate shocks can disrupt supply systems, delay projects and raise costs (Aduwa et al., 2025).</w:t>
      </w:r>
    </w:p>
    <w:p w14:paraId="0FFA4BC6" w14:textId="77777777" w:rsidR="004470EC" w:rsidRPr="00F66E23" w:rsidRDefault="00000000">
      <w:pPr>
        <w:spacing w:line="360" w:lineRule="auto"/>
        <w:jc w:val="both"/>
        <w:rPr>
          <w:rFonts w:ascii="Times New Roman Regular" w:hAnsi="Times New Roman Regular" w:cs="Times New Roman Regular"/>
          <w:bCs/>
          <w:sz w:val="24"/>
          <w:szCs w:val="24"/>
        </w:rPr>
      </w:pPr>
      <w:r w:rsidRPr="00F66E23">
        <w:t xml:space="preserve">Physical hazards can manifest in various ways for financial institutions, including direct and indirect consequences. These consequences may arise from institutions' exposure to companies and </w:t>
      </w:r>
      <w:r w:rsidRPr="00F66E23">
        <w:lastRenderedPageBreak/>
        <w:t xml:space="preserve">households affected by climate disruptions, as well as from the effects of climate change on the wider economy and the feedback mechanisms within the financial system (Zhang, Zhang, &amp; Lu, 2022). Financial institutions may be affected by the consequences of climate change on their operations and personnel, supply chain, distribution chain, consumers, tangible assets, and the communities on which they depend. While some consequences will be immediate, such as the destruction of property caused by floods, others will have longer-lasting effects, such as reduced water supply resulting from heightened demand in other regions. Climate-related risks have the potential to affect borrowers' capacity to </w:t>
      </w:r>
      <w:proofErr w:type="spellStart"/>
      <w:r w:rsidRPr="00F66E23">
        <w:t>amortise</w:t>
      </w:r>
      <w:proofErr w:type="spellEnd"/>
      <w:r w:rsidRPr="00F66E23">
        <w:t xml:space="preserve"> their bank debts completely, either directly or indirectly. This, in turn, can increase the probability of default (Buhr et al., 2018; </w:t>
      </w:r>
      <w:proofErr w:type="spellStart"/>
      <w:r w:rsidRPr="00F66E23">
        <w:t>Dowla</w:t>
      </w:r>
      <w:proofErr w:type="spellEnd"/>
      <w:r w:rsidRPr="00F66E23">
        <w:t xml:space="preserve">, 2018). Furthermore, the potential deterioration of </w:t>
      </w:r>
      <w:proofErr w:type="spellStart"/>
      <w:r w:rsidRPr="00F66E23">
        <w:t>collateralised</w:t>
      </w:r>
      <w:proofErr w:type="spellEnd"/>
      <w:r w:rsidRPr="00F66E23">
        <w:t xml:space="preserve"> assets may exacerbate credit risks, which may adversely affect the profitability of financial institutions.</w:t>
      </w:r>
    </w:p>
    <w:p w14:paraId="1039B63C" w14:textId="77777777" w:rsidR="004470EC" w:rsidRPr="00F66E23" w:rsidRDefault="00000000">
      <w:pPr>
        <w:spacing w:line="360" w:lineRule="auto"/>
        <w:jc w:val="both"/>
        <w:rPr>
          <w:rFonts w:ascii="Times New Roman Regular" w:hAnsi="Times New Roman Regular" w:cs="Times New Roman Regular"/>
          <w:bCs/>
          <w:sz w:val="24"/>
          <w:szCs w:val="24"/>
        </w:rPr>
      </w:pPr>
      <w:r w:rsidRPr="00F66E23">
        <w:t>Despite the existence of empirical evidence demonstrating the influence of climate risk on microeconomic and macroeconomic systems, there has been limited research on the relationship between climate risk and bank performance in Ghana and Africa as a whole (Zhang et al., 2021). To address this empirical gap, the present study examines the relationship between climate risk and the financial performance of licensed commercial banks in Ghana. Financial institutions generate liquidity by converting illiquid assets into liquid assets and deposits into assets (Berger &amp; Bouwman, 2009). This research posits that climate risk can affect banks' overall liquidity creation by influencing the demand and supply aspects of liquidity creation through its effects on the economy and various economic sectors. Motivated by this concern, the research addresses this empirical gap by investigating whether climate risk can influence banks' liquidity creation in the Ghanaian context.</w:t>
      </w:r>
    </w:p>
    <w:p w14:paraId="1110E455" w14:textId="77777777" w:rsidR="004470EC" w:rsidRPr="00F66E23" w:rsidRDefault="00000000">
      <w:pPr>
        <w:spacing w:line="360" w:lineRule="auto"/>
        <w:jc w:val="both"/>
        <w:rPr>
          <w:rFonts w:ascii="Times New Roman Regular" w:hAnsi="Times New Roman Regular" w:cs="Times New Roman Regular"/>
          <w:bCs/>
          <w:sz w:val="24"/>
          <w:szCs w:val="24"/>
        </w:rPr>
      </w:pPr>
      <w:r w:rsidRPr="00F66E23">
        <w:t>A limited number of scholars have employed exhaustive indicators in their efforts to quantify the impacts of climate risks (Liu et al., 2024; Huang et al., 2018). This study provides a scholarly contribution by drawing upon the works of Huang et al. (2018) and Liu et al. (2024), employing the global climate risk index (CRI) as a measure of climate risks and their influence on the performance of banks. In contrast to individual climate indicators such as temperature, precipitation, floods, and landslides, the Climate Risk Index (CRI) provides a comprehensive assessment of severe weather-related losses and fatalities on a country-by-country basis. This metric measures the vulnerability and risk of each nation to extreme weather events, such as hurricanes, droughts, and heatwaves.</w:t>
      </w:r>
    </w:p>
    <w:p w14:paraId="50143DC3" w14:textId="77777777" w:rsidR="004470EC" w:rsidRPr="00F66E23" w:rsidRDefault="004470EC">
      <w:pPr>
        <w:spacing w:line="360" w:lineRule="auto"/>
        <w:jc w:val="both"/>
        <w:rPr>
          <w:rFonts w:ascii="Times New Roman Regular" w:hAnsi="Times New Roman Regular" w:cs="Times New Roman Regular"/>
          <w:bCs/>
          <w:sz w:val="24"/>
          <w:szCs w:val="24"/>
        </w:rPr>
      </w:pPr>
    </w:p>
    <w:p w14:paraId="3392341D" w14:textId="77777777" w:rsidR="004470EC" w:rsidRPr="00F66E23" w:rsidRDefault="00000000">
      <w:pPr>
        <w:pStyle w:val="Heading1"/>
        <w:spacing w:line="360" w:lineRule="auto"/>
        <w:rPr>
          <w:rFonts w:ascii="Times New Roman Regular" w:hAnsi="Times New Roman Regular" w:cs="Times New Roman Regular"/>
          <w:sz w:val="24"/>
          <w:szCs w:val="24"/>
        </w:rPr>
      </w:pPr>
      <w:bookmarkStart w:id="3" w:name="_Toc156569081"/>
      <w:r w:rsidRPr="00F66E23">
        <w:rPr>
          <w:rFonts w:ascii="Times New Roman Regular" w:hAnsi="Times New Roman Regular" w:cs="Times New Roman Regular"/>
          <w:sz w:val="24"/>
          <w:szCs w:val="24"/>
        </w:rPr>
        <w:t>1.3 Study Hypotheses</w:t>
      </w:r>
      <w:bookmarkEnd w:id="3"/>
    </w:p>
    <w:p w14:paraId="0AE600F3" w14:textId="77777777" w:rsidR="004470EC" w:rsidRPr="00F66E23" w:rsidRDefault="00000000">
      <w:pPr>
        <w:pStyle w:val="ListParagraph"/>
        <w:spacing w:line="360" w:lineRule="auto"/>
        <w:ind w:left="0"/>
        <w:jc w:val="both"/>
        <w:rPr>
          <w:rFonts w:ascii="Times New Roman Regular" w:hAnsi="Times New Roman Regular" w:cs="Times New Roman Regular"/>
          <w:bCs/>
          <w:sz w:val="24"/>
          <w:szCs w:val="24"/>
        </w:rPr>
      </w:pPr>
      <w:r w:rsidRPr="00F66E23">
        <w:t>H0: Climate risk has a significant negative impact on the financial performance of licensed universal banks in Ghana.</w:t>
      </w:r>
    </w:p>
    <w:p w14:paraId="34BF1789" w14:textId="77777777" w:rsidR="004470EC" w:rsidRPr="00F66E23" w:rsidRDefault="004470EC">
      <w:pPr>
        <w:spacing w:line="360" w:lineRule="auto"/>
        <w:jc w:val="both"/>
        <w:rPr>
          <w:rFonts w:ascii="Times New Roman Regular" w:hAnsi="Times New Roman Regular" w:cs="Times New Roman Regular"/>
          <w:bCs/>
          <w:sz w:val="24"/>
          <w:szCs w:val="24"/>
        </w:rPr>
      </w:pPr>
    </w:p>
    <w:p w14:paraId="21F6B185" w14:textId="77777777" w:rsidR="004470EC" w:rsidRPr="00F66E23" w:rsidRDefault="004470EC">
      <w:pPr>
        <w:spacing w:line="360" w:lineRule="auto"/>
        <w:rPr>
          <w:rFonts w:ascii="Times New Roman Regular" w:hAnsi="Times New Roman Regular" w:cs="Times New Roman Regular"/>
          <w:sz w:val="24"/>
          <w:szCs w:val="24"/>
        </w:rPr>
      </w:pPr>
    </w:p>
    <w:p w14:paraId="1005117D" w14:textId="77777777" w:rsidR="004470EC" w:rsidRPr="00F66E23" w:rsidRDefault="004470EC">
      <w:pPr>
        <w:spacing w:line="360" w:lineRule="auto"/>
        <w:rPr>
          <w:rFonts w:ascii="Times New Roman Regular" w:hAnsi="Times New Roman Regular" w:cs="Times New Roman Regular"/>
          <w:sz w:val="24"/>
          <w:szCs w:val="24"/>
        </w:rPr>
      </w:pPr>
    </w:p>
    <w:p w14:paraId="2D7C978B" w14:textId="77777777" w:rsidR="00BE39DC" w:rsidRPr="00F66E23" w:rsidRDefault="00BE39DC"/>
    <w:p w14:paraId="1FCE6CA4" w14:textId="77777777" w:rsidR="00BE39DC" w:rsidRPr="00F66E23" w:rsidRDefault="00000000">
      <w:pPr>
        <w:pStyle w:val="Heading1"/>
      </w:pPr>
      <w:r w:rsidRPr="00F66E23">
        <w:t>1.4 Research Gap</w:t>
      </w:r>
    </w:p>
    <w:p w14:paraId="4D2A8B72" w14:textId="77777777" w:rsidR="00BE39DC" w:rsidRPr="00F66E23" w:rsidRDefault="00000000">
      <w:r w:rsidRPr="00F66E23">
        <w:t>Although the manuscript identifies climate risk as a potential determinant of bank financial performance, the Ghanaian banking context remains insufficiently examined, particularly for licensed universal banks whose operations and clients may be exposed to physical and transition-related climate risks.</w:t>
      </w:r>
    </w:p>
    <w:p w14:paraId="7EA71F64" w14:textId="77777777" w:rsidR="00EE1DF4" w:rsidRPr="00F66E23" w:rsidRDefault="00EE1DF4"/>
    <w:p w14:paraId="74347345" w14:textId="77777777" w:rsidR="00BE39DC" w:rsidRPr="00F66E23" w:rsidRDefault="00000000">
      <w:pPr>
        <w:pStyle w:val="Heading1"/>
      </w:pPr>
      <w:r w:rsidRPr="00F66E23">
        <w:t>1.5 Objective of the Study</w:t>
      </w:r>
    </w:p>
    <w:p w14:paraId="1B371C9F" w14:textId="77777777" w:rsidR="00BE39DC" w:rsidRPr="00F66E23" w:rsidRDefault="00000000">
      <w:r w:rsidRPr="00F66E23">
        <w:t>The objective of this study is to examine the nexus between climate risk and the financial performance of selected licensed universal banks in Ghana.</w:t>
      </w:r>
    </w:p>
    <w:p w14:paraId="2C51D1A9" w14:textId="77777777" w:rsidR="00BE39DC" w:rsidRPr="00F66E23" w:rsidRDefault="00BE39DC"/>
    <w:p w14:paraId="59E50853" w14:textId="77777777" w:rsidR="004470EC" w:rsidRPr="00F66E23" w:rsidRDefault="00000000">
      <w:pPr>
        <w:pStyle w:val="Heading1"/>
        <w:spacing w:line="360" w:lineRule="auto"/>
        <w:rPr>
          <w:rFonts w:ascii="Times New Roman Regular" w:hAnsi="Times New Roman Regular" w:cs="Times New Roman Regular"/>
          <w:bCs/>
          <w:sz w:val="24"/>
          <w:szCs w:val="24"/>
        </w:rPr>
      </w:pPr>
      <w:bookmarkStart w:id="4" w:name="_Toc156569088"/>
      <w:r w:rsidRPr="00F66E23">
        <w:rPr>
          <w:rFonts w:ascii="Times New Roman Regular" w:hAnsi="Times New Roman Regular" w:cs="Times New Roman Regular"/>
          <w:bCs/>
          <w:sz w:val="24"/>
          <w:szCs w:val="24"/>
        </w:rPr>
        <w:t xml:space="preserve">2.0 </w:t>
      </w:r>
      <w:bookmarkEnd w:id="4"/>
      <w:r w:rsidRPr="00F66E23">
        <w:rPr>
          <w:rFonts w:ascii="Times New Roman Regular" w:hAnsi="Times New Roman Regular" w:cs="Times New Roman Regular"/>
          <w:bCs/>
          <w:sz w:val="24"/>
          <w:szCs w:val="24"/>
        </w:rPr>
        <w:t>Literature Review</w:t>
      </w:r>
    </w:p>
    <w:p w14:paraId="0743CC7F" w14:textId="0F863977" w:rsidR="004470EC" w:rsidRPr="00F66E23" w:rsidRDefault="00000000">
      <w:pPr>
        <w:pStyle w:val="Heading1"/>
        <w:spacing w:line="360" w:lineRule="auto"/>
        <w:rPr>
          <w:rFonts w:ascii="Times New Roman Regular" w:hAnsi="Times New Roman Regular" w:cs="Times New Roman Regular"/>
          <w:bCs/>
          <w:sz w:val="24"/>
          <w:szCs w:val="24"/>
          <w:lang w:val="en-GB"/>
        </w:rPr>
      </w:pPr>
      <w:bookmarkStart w:id="5" w:name="_Toc156569090"/>
      <w:r w:rsidRPr="00F66E23">
        <w:rPr>
          <w:rFonts w:ascii="Times New Roman Regular" w:hAnsi="Times New Roman Regular" w:cs="Times New Roman Regular"/>
          <w:bCs/>
          <w:sz w:val="24"/>
          <w:szCs w:val="24"/>
          <w:lang w:val="en-GB"/>
        </w:rPr>
        <w:t>2.</w:t>
      </w:r>
      <w:proofErr w:type="gramStart"/>
      <w:r w:rsidRPr="00F66E23">
        <w:rPr>
          <w:rFonts w:ascii="Times New Roman Regular" w:hAnsi="Times New Roman Regular" w:cs="Times New Roman Regular"/>
          <w:bCs/>
          <w:sz w:val="24"/>
          <w:szCs w:val="24"/>
          <w:lang w:val="en-GB"/>
        </w:rPr>
        <w:t>1.Climate</w:t>
      </w:r>
      <w:proofErr w:type="gramEnd"/>
      <w:r w:rsidRPr="00F66E23">
        <w:rPr>
          <w:rFonts w:ascii="Times New Roman Regular" w:hAnsi="Times New Roman Regular" w:cs="Times New Roman Regular"/>
          <w:bCs/>
          <w:sz w:val="24"/>
          <w:szCs w:val="24"/>
          <w:lang w:val="en-GB"/>
        </w:rPr>
        <w:t xml:space="preserve"> Change and Climate Risk</w:t>
      </w:r>
      <w:bookmarkEnd w:id="5"/>
      <w:r w:rsidRPr="00F66E23">
        <w:rPr>
          <w:rFonts w:ascii="Times New Roman Regular" w:hAnsi="Times New Roman Regular" w:cs="Times New Roman Regular"/>
          <w:bCs/>
          <w:sz w:val="24"/>
          <w:szCs w:val="24"/>
          <w:lang w:val="en-GB"/>
        </w:rPr>
        <w:t xml:space="preserve"> </w:t>
      </w:r>
    </w:p>
    <w:p w14:paraId="4F08D7E9" w14:textId="77777777" w:rsidR="004470EC" w:rsidRPr="00F66E23" w:rsidRDefault="00000000">
      <w:pPr>
        <w:spacing w:line="360" w:lineRule="auto"/>
        <w:jc w:val="both"/>
        <w:rPr>
          <w:rFonts w:ascii="Times New Roman Regular" w:hAnsi="Times New Roman Regular" w:cs="Times New Roman Regular"/>
          <w:sz w:val="24"/>
          <w:szCs w:val="24"/>
          <w:lang w:val="en-GB"/>
        </w:rPr>
      </w:pPr>
      <w:r w:rsidRPr="00F66E23">
        <w:t xml:space="preserve">Climate change is an unusual variation in weather. This might involve a variation in the amount of precipitation that a place receives on a yearly average, or it could involve a variation in the temperature that a place experiences on a monthly or seasonal basis (NASA, n.d.). Social, economic, and cultural </w:t>
      </w:r>
      <w:proofErr w:type="spellStart"/>
      <w:r w:rsidRPr="00F66E23">
        <w:t>behaviours</w:t>
      </w:r>
      <w:proofErr w:type="spellEnd"/>
      <w:r w:rsidRPr="00F66E23">
        <w:t xml:space="preserve"> are both directly and indirectly affected by climate change, which has a significant impact on nature and human activity. According to the Intergovernmental Panel on Climate Change (IPCC, 2014), climate risk is the possibility that a hazardous weather event and its consequences will affect a specific system and the system's vulnerability to those consequences. The possibility that climate change may have a negative impact on natural or human systems is known as climate risk, according to the IPCC. It is crucial to comprehend and anticipate how climate change risks may affect economic activity as long as global temperatures are predicted to increase (Dell, Jones, &amp; Olken, 2014). Extreme weather events have a direct impact on businesses such as mining, forestry, fisheries, and agriculture because these sectors are susceptible to climate change. Because the market may connect all sectors, industries such as banking that rely less directly on the environment are equally affected by climate change (Sun et al., 2020).</w:t>
      </w:r>
    </w:p>
    <w:p w14:paraId="214FF331" w14:textId="77777777" w:rsidR="004470EC" w:rsidRPr="00F66E23" w:rsidRDefault="004470EC">
      <w:pPr>
        <w:spacing w:line="360" w:lineRule="auto"/>
        <w:jc w:val="both"/>
        <w:rPr>
          <w:rFonts w:ascii="Times New Roman Regular" w:hAnsi="Times New Roman Regular" w:cs="Times New Roman Regular"/>
          <w:sz w:val="24"/>
          <w:szCs w:val="24"/>
          <w:lang w:val="en-GB"/>
        </w:rPr>
      </w:pPr>
    </w:p>
    <w:p w14:paraId="133167B6" w14:textId="4D2097D7" w:rsidR="004470EC" w:rsidRPr="00F66E23" w:rsidRDefault="00000000">
      <w:pPr>
        <w:pStyle w:val="Heading1"/>
        <w:spacing w:line="360" w:lineRule="auto"/>
        <w:rPr>
          <w:rFonts w:ascii="Times New Roman Regular" w:hAnsi="Times New Roman Regular" w:cs="Times New Roman Regular"/>
          <w:sz w:val="24"/>
          <w:szCs w:val="24"/>
          <w:lang w:val="en-GB"/>
        </w:rPr>
      </w:pPr>
      <w:bookmarkStart w:id="6" w:name="_Toc156569091"/>
      <w:r w:rsidRPr="00F66E23">
        <w:rPr>
          <w:rFonts w:ascii="Times New Roman Regular" w:hAnsi="Times New Roman Regular" w:cs="Times New Roman Regular"/>
          <w:sz w:val="24"/>
          <w:szCs w:val="24"/>
          <w:lang w:val="en-GB"/>
        </w:rPr>
        <w:t>2.2 Categories of Climate Risks</w:t>
      </w:r>
      <w:bookmarkEnd w:id="6"/>
    </w:p>
    <w:p w14:paraId="69645A7A" w14:textId="77777777" w:rsidR="004470EC" w:rsidRPr="00F66E23" w:rsidRDefault="00000000">
      <w:pPr>
        <w:spacing w:line="360" w:lineRule="auto"/>
        <w:jc w:val="both"/>
        <w:rPr>
          <w:rFonts w:ascii="Times New Roman Regular" w:hAnsi="Times New Roman Regular" w:cs="Times New Roman Regular"/>
          <w:sz w:val="24"/>
          <w:szCs w:val="24"/>
          <w:lang w:val="en-GB"/>
        </w:rPr>
      </w:pPr>
      <w:r w:rsidRPr="00F66E23"/>
      <w:proofErr w:type="spellStart"/>
      <w:r w:rsidRPr="00F66E23"/>
      <w:proofErr w:type="spellEnd"/>
      <w:r w:rsidRPr="00F66E23"/>
      <w:r w:rsidRPr="00F66E23"/>
      <w:proofErr w:type="spellStart"/>
      <w:r w:rsidRPr="00F66E23"/>
      <w:proofErr w:type="spellEnd"/>
      <w:r w:rsidRPr="00F66E23"/>
      <w:r>
        <w:rPr/>
        <w:t>The literature on climate risk classifies climate risks into two categories (Lee et al., 2022). The first strand of literature claims that climate risk directly harms society and the economy through physical channels, known as physical risks. Physical risks are risks related to physical changes brought about by climate change. The US Environmental Protection Agency claims that these risks may be either acute or chronic. According to Mazmanian, Jurewitz, and Nelson (2020), acute physical risks are triggered by specific events, such as the heightened intensity of severe weather events, including hurricanes, cyclones, heatwaves, or floods. Acute physical risks may result in lower income from fewer units produced due to supply chain disruptions and transportation problems. Chronic physical risks refer to longer-term changes in climate patterns, such as persistently high temperatures, rising sea levels, and altered precipitation patterns, which may result in heatwaves or sea-level rise (Lavell et al., 2012; Pinchot et al., 2021). Chronic hazards lead to higher capital and operational costs because they may cause infrastructure damage or insufficient water supply for cooling hydropower, nuclear, and fossil fuel plants. Changes in water availability, sourcing, and quality, as well as food security and significant temperature fluctuations, may affect the financial performance of firms. These changes can influence all aspects of organisations, including their premises, operations, supply chains, transportation requirements, and employee safety. Burke et al. (2015) observe a non-linear link between global temperature and economic development, noting that when global temperature rises above 13 °C, economic growth decreases markedly. Similarly, Kahn et al. (2021) claim that, in addition to hindering global economic development, a temperature increase of 0.04 °C per year without mitigation measures might reduce real global GDP per capita by more than 7%.</w:t>
      </w:r>
    </w:p>
    <w:p w14:paraId="49EFDE59" w14:textId="77777777" w:rsidR="004470EC" w:rsidRPr="00F66E23" w:rsidRDefault="00000000">
      <w:pPr>
        <w:spacing w:line="360" w:lineRule="auto"/>
        <w:jc w:val="both"/>
        <w:rPr>
          <w:rFonts w:ascii="Times New Roman Regular" w:hAnsi="Times New Roman Regular" w:cs="Times New Roman Regular"/>
          <w:sz w:val="24"/>
          <w:szCs w:val="24"/>
          <w:lang w:val="en-GB"/>
        </w:rPr>
      </w:pPr>
      <w:r w:rsidRPr="00F66E23">
        <w:t xml:space="preserve">The second category of research on climate risk argues that climate risk has an indirect impact in the form of transition hazards. Transition risks refer to the potential challenges that arise from an </w:t>
      </w:r>
      <w:proofErr w:type="spellStart"/>
      <w:r w:rsidRPr="00F66E23">
        <w:t>organisation's</w:t>
      </w:r>
      <w:proofErr w:type="spellEnd"/>
      <w:r w:rsidRPr="00F66E23">
        <w:t xml:space="preserve"> ability to manage and adapt effectively and efficiently to both internal and external changes in order to decrease greenhouse gas emissions and shift towards renewable energy sources. The transition process requires governmental and legislative measures, technological advancements, and market adjustments to satisfy the needs for both mitigation and adaptation to climate change. The level of risk and financial consequences resulting from policy changes are contingent upon the characteristics and timing of these policy alterations. As the magnitude of loss and damage resulting from climate change expands, the probability of facing legal action is also expected to rise. Causes of such legal action include </w:t>
      </w:r>
      <w:proofErr w:type="spellStart"/>
      <w:r w:rsidRPr="00F66E23">
        <w:t>organisations'</w:t>
      </w:r>
      <w:proofErr w:type="spellEnd"/>
      <w:r w:rsidRPr="00F66E23">
        <w:t xml:space="preserve"> negligence in reducing the effects of climate change, their inability to adjust to climate change, and their inadequate disclosure of significant financial risks. Furthermore, the adoption of technological advancements or breakthroughs that facilitate the shift towards a more sustainable and energy-efficient economic framework may greatly influence enterprises. Carbon risk is the most prevalent kind of transition risk. Pinchot et al. (2021) </w:t>
      </w:r>
      <w:proofErr w:type="spellStart"/>
      <w:r w:rsidRPr="00F66E23">
        <w:t>analyse</w:t>
      </w:r>
      <w:proofErr w:type="spellEnd"/>
      <w:r w:rsidRPr="00F66E23">
        <w:t xml:space="preserve"> the impact of Australia's involvement in the Kyoto Protocol, which requires the nation to reduce carbon emissions. They find that enterprises, especially those with high carbon emissions, have more financial difficulties, leading to a reduction in the leverage ratio.</w:t>
      </w:r>
    </w:p>
    <w:p w14:paraId="1231E8FB" w14:textId="77777777" w:rsidR="004470EC" w:rsidRPr="00F66E23" w:rsidRDefault="004470EC">
      <w:pPr>
        <w:spacing w:line="360" w:lineRule="auto"/>
        <w:jc w:val="both"/>
        <w:rPr>
          <w:rFonts w:ascii="Times New Roman Regular" w:hAnsi="Times New Roman Regular" w:cs="Times New Roman Regular"/>
          <w:b/>
          <w:bCs/>
          <w:sz w:val="24"/>
          <w:szCs w:val="24"/>
          <w:lang w:val="en-GB"/>
        </w:rPr>
      </w:pPr>
    </w:p>
    <w:p w14:paraId="1FC3A733" w14:textId="77777777" w:rsidR="004470EC" w:rsidRPr="00F66E23" w:rsidRDefault="00000000">
      <w:pPr>
        <w:pStyle w:val="Heading1"/>
        <w:spacing w:line="360" w:lineRule="auto"/>
        <w:rPr>
          <w:rFonts w:ascii="Times New Roman Regular" w:hAnsi="Times New Roman Regular" w:cs="Times New Roman Regular"/>
          <w:sz w:val="24"/>
          <w:szCs w:val="24"/>
          <w:lang w:val="en-GB"/>
        </w:rPr>
      </w:pPr>
      <w:bookmarkStart w:id="7" w:name="_Toc156569092"/>
      <w:r w:rsidRPr="00F66E23">
        <w:rPr>
          <w:rFonts w:ascii="Times New Roman Regular" w:hAnsi="Times New Roman Regular" w:cs="Times New Roman Regular"/>
          <w:sz w:val="24"/>
          <w:szCs w:val="24"/>
          <w:lang w:val="en-GB"/>
        </w:rPr>
        <w:t>2.1.2 Climate Risks in the Context of Banking</w:t>
      </w:r>
      <w:bookmarkEnd w:id="7"/>
      <w:r w:rsidRPr="00F66E23">
        <w:rPr>
          <w:rFonts w:ascii="Times New Roman Regular" w:hAnsi="Times New Roman Regular" w:cs="Times New Roman Regular"/>
          <w:sz w:val="24"/>
          <w:szCs w:val="24"/>
          <w:lang w:val="en-GB"/>
        </w:rPr>
        <w:t xml:space="preserve"> </w:t>
      </w:r>
    </w:p>
    <w:p w14:paraId="2FF203FA" w14:textId="77777777" w:rsidR="004470EC" w:rsidRPr="00F66E23" w:rsidRDefault="00000000">
      <w:pPr>
        <w:spacing w:line="360" w:lineRule="auto"/>
        <w:jc w:val="both"/>
        <w:rPr>
          <w:rFonts w:ascii="Times New Roman Regular" w:hAnsi="Times New Roman Regular" w:cs="Times New Roman Regular"/>
          <w:sz w:val="24"/>
          <w:szCs w:val="24"/>
          <w:lang w:val="en-GB"/>
        </w:rPr>
      </w:pPr>
      <w:r w:rsidRPr="00F66E23">
        <w:t>Climate risks may significantly affect financial services, particularly banking services. Physical risk drivers, which may be either immediate or long term, interact with transition risk drivers to convey climate-related financial dangers through various microeconomic and macroeconomic channels of transmission. These risks differ based on geographical differences, factors that increase or decrease financial and economic conditions, and often manifest as credit, market, liquidity, and operational risks. Climate risk may affect credit risk by directly or indirectly exposing borrowers to a decline in their capacity to repay loans. This can result in increased chances of default and larger losses in the event of default.</w:t>
      </w:r>
    </w:p>
    <w:p w14:paraId="728F6D5A" w14:textId="77777777" w:rsidR="004470EC" w:rsidRPr="00F66E23" w:rsidRDefault="004470EC">
      <w:pPr>
        <w:spacing w:line="360" w:lineRule="auto"/>
        <w:jc w:val="both"/>
        <w:rPr>
          <w:rFonts w:ascii="Times New Roman Regular" w:hAnsi="Times New Roman Regular" w:cs="Times New Roman Regular"/>
          <w:sz w:val="24"/>
          <w:szCs w:val="24"/>
          <w:lang w:val="en-GB"/>
        </w:rPr>
      </w:pPr>
    </w:p>
    <w:p w14:paraId="627724F8" w14:textId="77777777" w:rsidR="008F3D03" w:rsidRDefault="00000000">
      <w:pPr>
        <w:spacing w:line="360" w:lineRule="auto"/>
        <w:jc w:val="both"/>
      </w:pPr>
      <w:r w:rsidRPr="00F66E23">
        <w:lastRenderedPageBreak/>
        <w:t xml:space="preserve">Climate-related risks have the potential to initiate risks in the financial market. Financial assets may be affected by a change in investors' perceptions of profitability if there is a sudden transition, with a significant number of assets becoming obsolete. This decline in market value could lead to forced sales at significantly reduced prices, potentially triggering a severe financial disaster. Banks face market risk in addition to climate risk. Banks that experience negative impacts on their balance sheets due to credit and market concerns may face difficulties in obtaining short-term refinancing, which could create tensions in the interbank lending market. Climate risk may also influence the operational risk of banks. If banks face physical hazards that threaten their offices or data </w:t>
      </w:r>
      <w:proofErr w:type="spellStart"/>
      <w:r w:rsidRPr="00F66E23">
        <w:t>centres</w:t>
      </w:r>
      <w:proofErr w:type="spellEnd"/>
      <w:r w:rsidRPr="00F66E23">
        <w:t xml:space="preserve">, they may experience alterations in their operational procedures and an impact on other institutions in their value chain. </w:t>
      </w:r>
    </w:p>
    <w:p w14:paraId="0363063E" w14:textId="5086E7CB" w:rsidR="004470EC" w:rsidRPr="00F66E23" w:rsidRDefault="00000000">
      <w:pPr>
        <w:spacing w:line="360" w:lineRule="auto"/>
        <w:jc w:val="both"/>
        <w:rPr>
          <w:rFonts w:ascii="Times New Roman Regular" w:hAnsi="Times New Roman Regular" w:cs="Times New Roman Regular"/>
          <w:sz w:val="24"/>
          <w:szCs w:val="24"/>
          <w:lang w:val="en-GB"/>
        </w:rPr>
      </w:pPr>
      <w:r w:rsidRPr="00F66E23">
        <w:t>Fig 1 illustrates the influence of climate hazards on the financial services sector.</w:t>
      </w:r>
    </w:p>
    <w:p w14:paraId="08F32569" w14:textId="77777777" w:rsidR="004470EC" w:rsidRPr="00F66E23" w:rsidRDefault="00000000">
      <w:pPr>
        <w:spacing w:line="360" w:lineRule="auto"/>
        <w:jc w:val="both"/>
        <w:rPr>
          <w:rFonts w:ascii="Times New Roman Regular" w:hAnsi="Times New Roman Regular" w:cs="Times New Roman Regular"/>
          <w:b/>
          <w:bCs/>
          <w:sz w:val="24"/>
          <w:szCs w:val="24"/>
          <w:lang w:val="en-GB"/>
        </w:rPr>
      </w:pPr>
      <w:r w:rsidRPr="00F66E23">
        <w:rPr>
          <w:rFonts w:ascii="Times New Roman Regular" w:hAnsi="Times New Roman Regular" w:cs="Times New Roman Regular"/>
          <w:noProof/>
          <w:sz w:val="24"/>
          <w:szCs w:val="24"/>
          <w:lang w:eastAsia="en-US"/>
        </w:rPr>
        <w:drawing>
          <wp:inline distT="0" distB="0" distL="0" distR="0" wp14:anchorId="32351399" wp14:editId="393DA8E1">
            <wp:extent cx="5814060" cy="4103370"/>
            <wp:effectExtent l="0" t="0" r="2540"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a:stretch>
                      <a:fillRect/>
                    </a:stretch>
                  </pic:blipFill>
                  <pic:spPr>
                    <a:xfrm>
                      <a:off x="0" y="0"/>
                      <a:ext cx="5887759" cy="4155617"/>
                    </a:xfrm>
                    <a:prstGeom prst="rect">
                      <a:avLst/>
                    </a:prstGeom>
                  </pic:spPr>
                </pic:pic>
              </a:graphicData>
            </a:graphic>
          </wp:inline>
        </w:drawing>
      </w:r>
    </w:p>
    <w:p w14:paraId="72EED90D" w14:textId="77777777" w:rsidR="004470EC" w:rsidRPr="00F66E23" w:rsidRDefault="00000000">
      <w:pPr>
        <w:spacing w:line="360" w:lineRule="auto"/>
        <w:jc w:val="both"/>
        <w:rPr>
          <w:rFonts w:ascii="Times New Roman Regular" w:eastAsia="Calibri" w:hAnsi="Times New Roman Regular" w:cs="Times New Roman Regular"/>
          <w:b/>
          <w:sz w:val="24"/>
          <w:szCs w:val="24"/>
        </w:rPr>
      </w:pPr>
      <w:r w:rsidRPr="00F66E23">
        <w:t>Source: Basel Committee on Banking Supervision (2021)</w:t>
      </w:r>
    </w:p>
    <w:p w14:paraId="5009B27F" w14:textId="77777777" w:rsidR="004470EC" w:rsidRPr="00F66E23" w:rsidRDefault="004470EC">
      <w:pPr>
        <w:spacing w:line="360" w:lineRule="auto"/>
        <w:rPr>
          <w:rFonts w:ascii="Times New Roman Regular" w:hAnsi="Times New Roman Regular" w:cs="Times New Roman Regular"/>
          <w:b/>
          <w:bCs/>
          <w:sz w:val="24"/>
          <w:szCs w:val="24"/>
          <w:lang w:val="en-GB"/>
        </w:rPr>
      </w:pPr>
    </w:p>
    <w:p w14:paraId="1F1185D5" w14:textId="77777777" w:rsidR="004470EC" w:rsidRPr="00F66E23" w:rsidRDefault="00000000">
      <w:pPr>
        <w:pStyle w:val="Heading1"/>
        <w:spacing w:line="360" w:lineRule="auto"/>
        <w:rPr>
          <w:rFonts w:ascii="Times New Roman Regular" w:hAnsi="Times New Roman Regular" w:cs="Times New Roman Regular"/>
          <w:sz w:val="24"/>
          <w:szCs w:val="24"/>
          <w:lang w:val="en-GB"/>
        </w:rPr>
      </w:pPr>
      <w:bookmarkStart w:id="8" w:name="_Toc156569093"/>
      <w:r w:rsidRPr="00F66E23">
        <w:rPr>
          <w:rFonts w:ascii="Times New Roman Regular" w:hAnsi="Times New Roman Regular" w:cs="Times New Roman Regular"/>
          <w:sz w:val="24"/>
          <w:szCs w:val="24"/>
          <w:lang w:val="en-GB"/>
        </w:rPr>
        <w:t>2.1.3 Measures of Climate Risk</w:t>
      </w:r>
      <w:bookmarkEnd w:id="8"/>
    </w:p>
    <w:p w14:paraId="7E481218" w14:textId="77777777" w:rsidR="004470EC" w:rsidRPr="00F66E23" w:rsidRDefault="00000000">
      <w:pPr>
        <w:spacing w:line="360" w:lineRule="auto"/>
        <w:jc w:val="both"/>
        <w:rPr>
          <w:rFonts w:ascii="Times New Roman Regular" w:hAnsi="Times New Roman Regular" w:cs="Times New Roman Regular"/>
          <w:sz w:val="24"/>
          <w:szCs w:val="24"/>
          <w:lang w:val="en-GB"/>
        </w:rPr>
      </w:pPr>
      <w:r w:rsidRPr="00F66E23"/>
      <w:proofErr w:type="spellStart"/>
      <w:r w:rsidRPr="00F66E23"/>
      <w:proofErr w:type="spellEnd"/>
      <w:r w:rsidRPr="00F66E23"/>
      <w:proofErr w:type="spellStart"/>
      <w:r w:rsidRPr="00F66E23"/>
      <w:proofErr w:type="spellEnd"/>
      <w:r w:rsidRPr="00F66E23"/>
      <w:proofErr w:type="spellStart"/>
      <w:r w:rsidRPr="00F66E23"/>
      <w:proofErr w:type="spellEnd"/>
      <w:r w:rsidRPr="00F66E23"/>
      <w:r w:rsidRPr="00F66E23"/>
      <w:proofErr w:type="spellStart"/>
      <w:r w:rsidRPr="00F66E23"/>
      <w:proofErr w:type="spellEnd"/>
      <w:r w:rsidRPr="00F66E23"/>
      <w:proofErr w:type="spellStart"/>
      <w:r w:rsidRPr="00F66E23"/>
      <w:proofErr w:type="spellEnd"/>
      <w:r w:rsidRPr="00F66E23"/>
      <w:proofErr w:type="spellStart"/>
      <w:r w:rsidRPr="00F66E23"/>
      <w:proofErr w:type="spellEnd"/>
      <w:r w:rsidRPr="00F66E23"/>
      <w:r>
        <w:rPr/>
        <w:t>Climate risk measures can be categorised into two groups. The study by Salisu and Oloko (2023) examines two types of measures: those influenced by weather conditions and those influenced by weather-related losses. Measures based on weather conditions primarily emphasise the physical aspects of climate risk, such as heatwaves, intense rainfall, drought, and tropical cyclones (Wiklund, 2023). Temperature and other related variables are commonly used to measure and assess climate risk. Bressan and Romagnoli (2021) assessed climate risk by using temperature as a metric while investigating the effectiveness of weather and climate derivatives as instruments for managing risk. Furthermore, Sheng et al. (2022) and Sheng, Gupta, and Cepni (2022) measured climate risk by temperature when examining the influence of climatic hazards on the economic operations of certain states in the United States.</w:t>
      </w:r>
    </w:p>
    <w:p w14:paraId="2DEB1B21" w14:textId="77777777" w:rsidR="004470EC" w:rsidRPr="00F66E23" w:rsidRDefault="004470EC">
      <w:pPr>
        <w:spacing w:line="360" w:lineRule="auto"/>
        <w:jc w:val="both"/>
        <w:rPr>
          <w:rFonts w:ascii="Times New Roman Regular" w:hAnsi="Times New Roman Regular" w:cs="Times New Roman Regular"/>
          <w:sz w:val="24"/>
          <w:szCs w:val="24"/>
          <w:lang w:val="en-GB"/>
        </w:rPr>
      </w:pPr>
    </w:p>
    <w:p w14:paraId="2F7C96EF" w14:textId="77777777" w:rsidR="004470EC" w:rsidRPr="00F66E23" w:rsidRDefault="00000000">
      <w:pPr>
        <w:spacing w:line="360" w:lineRule="auto"/>
        <w:jc w:val="both"/>
        <w:rPr>
          <w:rFonts w:ascii="Times New Roman Regular" w:hAnsi="Times New Roman Regular" w:cs="Times New Roman Regular"/>
          <w:sz w:val="24"/>
          <w:szCs w:val="24"/>
          <w:lang w:val="en-GB"/>
        </w:rPr>
      </w:pPr>
      <w:r w:rsidRPr="00F66E23">
        <w:t>Weather-related indicators take into account indications of financial damage as well as casualties, such as the number of deaths caused by extreme weather events. Extreme weather events typically inflict physical harm on the environment, as well as negative implications for socioeconomic activity. Such losses and interruptions will have a detrimental impact on corporate economic gains (Huang, Kerstein, &amp; Wang, 2018). Measures of weather-related loss account for both the transition and physical consequences of climate change, as well as other direct impacts on peoples' lives. While physical risk can be defined as material damage to the environment directly caused by natural disasters, such as droughts, forest fires, hurricanes, and floods, the transition effects of climate change are considered to be the aftermath of these environmental transformations in the form of adaptation and sudden policy action (Ren et al., 2022).</w:t>
      </w:r>
    </w:p>
    <w:p w14:paraId="59B70F69" w14:textId="77777777" w:rsidR="004470EC" w:rsidRPr="00F66E23" w:rsidRDefault="004470EC">
      <w:pPr>
        <w:spacing w:line="360" w:lineRule="auto"/>
        <w:jc w:val="both"/>
        <w:rPr>
          <w:rFonts w:ascii="Times New Roman Regular" w:hAnsi="Times New Roman Regular" w:cs="Times New Roman Regular"/>
          <w:sz w:val="24"/>
          <w:szCs w:val="24"/>
          <w:lang w:val="en-GB"/>
        </w:rPr>
      </w:pPr>
    </w:p>
    <w:p w14:paraId="5ED71F03" w14:textId="77777777" w:rsidR="004470EC" w:rsidRPr="00F66E23" w:rsidRDefault="00000000">
      <w:pPr>
        <w:spacing w:line="360" w:lineRule="auto"/>
        <w:jc w:val="both"/>
        <w:rPr>
          <w:rFonts w:ascii="Times New Roman Regular" w:hAnsi="Times New Roman Regular" w:cs="Times New Roman Regular"/>
          <w:sz w:val="24"/>
          <w:szCs w:val="24"/>
          <w:lang w:val="en-GB"/>
        </w:rPr>
      </w:pPr>
      <w:r w:rsidRPr="00F66E23">
        <w:t xml:space="preserve">The Climate Risk Index, created by </w:t>
      </w:r>
      <w:proofErr w:type="spellStart"/>
      <w:r w:rsidRPr="00F66E23">
        <w:t>Germanwatch</w:t>
      </w:r>
      <w:proofErr w:type="spellEnd"/>
      <w:r w:rsidRPr="00F66E23">
        <w:t xml:space="preserve"> and documented in Eckstein et al. (2021), is a significant climate risk assessment that encompasses the tangible and transformative influences of climate change. The index primarily evaluates the extent of harm inflicted by severe climatic events, such as hurricanes, droughts, and heatwaves, in various regions and countries. This index tends to be more beneficial for creating climate change strategies at both national and global levels, and it appears to be more suitable for country-specific analysis. This study employs the Global Climate Risk Index as a measure of climate risk.</w:t>
      </w:r>
    </w:p>
    <w:p w14:paraId="7DCD9732" w14:textId="77777777" w:rsidR="004470EC" w:rsidRPr="00F66E23" w:rsidRDefault="004470EC">
      <w:pPr>
        <w:spacing w:line="360" w:lineRule="auto"/>
        <w:rPr>
          <w:rFonts w:ascii="Times New Roman Regular" w:hAnsi="Times New Roman Regular" w:cs="Times New Roman Regular"/>
          <w:sz w:val="24"/>
          <w:szCs w:val="24"/>
        </w:rPr>
      </w:pPr>
    </w:p>
    <w:p w14:paraId="532E4296" w14:textId="77777777" w:rsidR="004470EC" w:rsidRPr="00F66E23" w:rsidRDefault="00000000">
      <w:pPr>
        <w:pStyle w:val="Heading1"/>
        <w:spacing w:line="360" w:lineRule="auto"/>
        <w:rPr>
          <w:rFonts w:ascii="Times New Roman Regular" w:hAnsi="Times New Roman Regular" w:cs="Times New Roman Regular"/>
          <w:sz w:val="24"/>
          <w:szCs w:val="24"/>
        </w:rPr>
      </w:pPr>
      <w:bookmarkStart w:id="9" w:name="_Toc156569095"/>
      <w:r w:rsidRPr="00F66E23">
        <w:rPr>
          <w:rFonts w:ascii="Times New Roman Regular" w:hAnsi="Times New Roman Regular" w:cs="Times New Roman Regular"/>
          <w:sz w:val="24"/>
          <w:szCs w:val="24"/>
        </w:rPr>
        <w:t>2.1.4 Bank Performance</w:t>
      </w:r>
      <w:bookmarkEnd w:id="9"/>
      <w:r w:rsidRPr="00F66E23">
        <w:rPr>
          <w:rFonts w:ascii="Times New Roman Regular" w:hAnsi="Times New Roman Regular" w:cs="Times New Roman Regular"/>
          <w:sz w:val="24"/>
          <w:szCs w:val="24"/>
        </w:rPr>
        <w:t xml:space="preserve"> </w:t>
      </w:r>
    </w:p>
    <w:p w14:paraId="30BD6436" w14:textId="77777777" w:rsidR="004470EC" w:rsidRPr="00F66E23" w:rsidRDefault="00000000">
      <w:pPr>
        <w:spacing w:line="360" w:lineRule="auto"/>
        <w:contextualSpacing/>
        <w:jc w:val="both"/>
        <w:rPr>
          <w:rFonts w:ascii="Times New Roman Regular" w:hAnsi="Times New Roman Regular" w:cs="Times New Roman Regular"/>
          <w:sz w:val="24"/>
          <w:szCs w:val="24"/>
        </w:rPr>
      </w:pPr>
      <w:r w:rsidRPr="00F66E23"/>
      <w:proofErr w:type="spellStart"/>
      <w:r w:rsidRPr="00F66E23"/>
      <w:proofErr w:type="spellEnd"/>
      <w:r w:rsidRPr="00F66E23"/>
      <w:proofErr w:type="spellStart"/>
      <w:r w:rsidRPr="00F66E23"/>
      <w:proofErr w:type="spellEnd"/>
      <w:r w:rsidRPr="00F66E23"/>
      <w:r w:rsidRPr="00F66E23"/>
      <w:proofErr w:type="spellStart"/>
      <w:r w:rsidRPr="00F66E23"/>
      <w:proofErr w:type="spellEnd"/>
      <w:r w:rsidRPr="00F66E23"/>
      <w:proofErr w:type="spellStart"/>
      <w:r w:rsidRPr="00F66E23"/>
      <w:proofErr w:type="spellEnd"/>
      <w:r w:rsidRPr="00F66E23"/>
      <w:proofErr w:type="spellStart"/>
      <w:r w:rsidRPr="00F66E23"/>
      <w:proofErr w:type="spellEnd"/>
      <w:r w:rsidRPr="00F66E23"/>
      <w:proofErr w:type="spellStart"/>
      <w:r w:rsidRPr="00F66E23"/>
      <w:proofErr w:type="spellEnd"/>
      <w:r w:rsidRPr="00F66E23"/>
      <w:proofErr w:type="spellStart"/>
      <w:r w:rsidRPr="00F66E23"/>
      <w:proofErr w:type="spellEnd"/>
      <w:r w:rsidRPr="00F66E23"/>
      <w:r>
        <w:rPr/>
        <w:t>In its simplest form, bank performance is described as the accomplishment of the bank's goals within the predetermined timeframe, at the lowest possible cost, and with the best use of available resources (Chenini &amp; Jarboui, 2018). For a manager, performance may take many different forms, such as profitability, competitiveness for the company or the individual, the work environment, or the standard of services offered to clients. Performance measurement acts as a technique for directing people and motivating them to perform, just as any other control and management function does. As a result, while measuring performance is the first step in improving performance, improvement cannot occur without a mechanism to obtain feedback on performance. There are two distinct types of performance measurement: financial and non-financial. While non-financial performance measurement is focused on the factors that influence results, financial performance measurement is focused on outcomes or results (Dossi &amp; Patelli, 2010). The financial performance of a company indicates the efficiency with which it generates profits from the resources it employs in its core business. Additionally, financial performance is employed as a general gauge of an organisation's long-term financial health. Investors are informed about a bank's overall health by its financial performance. It provides a picture of management effectiveness and the state of the economy. The main financial performance metrics of banks include interest income, net interest margin, earnings per share, return on equity, and return on assets (Alshatti, 2015; Nuhiu et al., 2017; Puspitasari et al., 2021). Non-financial performance measures convey performance in terms other than money. Non-financial performance measurements provide performance information in non-monetary terms, such as market share, customer satisfaction, innovation or new product creation, and staff attrition (Dossi &amp; Patelli, 2010; Marie et al., 2014; Kori et al., 2020).</w:t>
      </w:r>
    </w:p>
    <w:p w14:paraId="6CBA3EC9" w14:textId="77777777" w:rsidR="004470EC" w:rsidRPr="00F66E23" w:rsidRDefault="004470EC">
      <w:pPr>
        <w:spacing w:line="360" w:lineRule="auto"/>
        <w:contextualSpacing/>
        <w:jc w:val="both"/>
        <w:rPr>
          <w:rFonts w:ascii="Times New Roman Regular" w:hAnsi="Times New Roman Regular" w:cs="Times New Roman Regular"/>
          <w:sz w:val="24"/>
          <w:szCs w:val="24"/>
        </w:rPr>
      </w:pPr>
    </w:p>
    <w:p w14:paraId="400796B0" w14:textId="77777777" w:rsidR="004470EC" w:rsidRPr="00F66E23" w:rsidRDefault="00000000">
      <w:pPr>
        <w:pStyle w:val="Heading1"/>
        <w:spacing w:line="360" w:lineRule="auto"/>
        <w:rPr>
          <w:rFonts w:ascii="Times New Roman Regular" w:hAnsi="Times New Roman Regular" w:cs="Times New Roman Regular"/>
          <w:sz w:val="24"/>
          <w:szCs w:val="24"/>
        </w:rPr>
      </w:pPr>
      <w:bookmarkStart w:id="10" w:name="_Toc156569098"/>
      <w:r w:rsidRPr="00F66E23">
        <w:rPr>
          <w:rFonts w:ascii="Times New Roman Regular" w:hAnsi="Times New Roman Regular" w:cs="Times New Roman Regular"/>
          <w:sz w:val="24"/>
          <w:szCs w:val="24"/>
        </w:rPr>
        <w:t>2.3 Empirical Review</w:t>
      </w:r>
      <w:bookmarkEnd w:id="10"/>
      <w:r w:rsidRPr="00F66E23">
        <w:rPr>
          <w:rFonts w:ascii="Times New Roman Regular" w:hAnsi="Times New Roman Regular" w:cs="Times New Roman Regular"/>
          <w:sz w:val="24"/>
          <w:szCs w:val="24"/>
        </w:rPr>
        <w:t xml:space="preserve"> </w:t>
      </w:r>
    </w:p>
    <w:p w14:paraId="7E2CA68A" w14:textId="77777777" w:rsidR="004470EC" w:rsidRPr="00F66E23" w:rsidRDefault="00000000">
      <w:pPr>
        <w:pStyle w:val="Heading1"/>
        <w:spacing w:line="360" w:lineRule="auto"/>
        <w:rPr>
          <w:rFonts w:ascii="Times New Roman Regular" w:hAnsi="Times New Roman Regular" w:cs="Times New Roman Regular"/>
          <w:sz w:val="24"/>
          <w:szCs w:val="24"/>
        </w:rPr>
      </w:pPr>
      <w:bookmarkStart w:id="11" w:name="_Toc156569099"/>
      <w:r w:rsidRPr="00F66E23">
        <w:rPr>
          <w:rFonts w:ascii="Times New Roman Regular" w:hAnsi="Times New Roman Regular" w:cs="Times New Roman Regular"/>
          <w:sz w:val="24"/>
          <w:szCs w:val="24"/>
        </w:rPr>
        <w:t>2.3.1 Climate Risk and Financial Performance</w:t>
      </w:r>
      <w:bookmarkEnd w:id="11"/>
      <w:r w:rsidRPr="00F66E23">
        <w:rPr>
          <w:rFonts w:ascii="Times New Roman Regular" w:hAnsi="Times New Roman Regular" w:cs="Times New Roman Regular"/>
          <w:sz w:val="24"/>
          <w:szCs w:val="24"/>
        </w:rPr>
        <w:t xml:space="preserve"> </w:t>
      </w:r>
    </w:p>
    <w:p w14:paraId="11FDFCB7" w14:textId="77777777" w:rsidR="004470EC" w:rsidRPr="00F66E23" w:rsidRDefault="00000000">
      <w:pPr>
        <w:pStyle w:val="NoSpacing"/>
        <w:spacing w:line="360" w:lineRule="auto"/>
        <w:contextualSpacing/>
        <w:rPr>
          <w:rFonts w:ascii="Times New Roman Regular" w:hAnsi="Times New Roman Regular" w:cs="Times New Roman Regular"/>
          <w:szCs w:val="24"/>
        </w:rPr>
      </w:pPr>
      <w:r w:rsidRPr="00F66E23">
        <w:t>Climate change and climate risk have long been recognised as having a significant influence on a country's economic performance and on the financial performance and viability of its firms (</w:t>
      </w:r>
      <w:proofErr w:type="spellStart"/>
      <w:r w:rsidRPr="00F66E23">
        <w:t>Michalisin</w:t>
      </w:r>
      <w:proofErr w:type="spellEnd"/>
      <w:r w:rsidRPr="00F66E23">
        <w:t xml:space="preserve"> &amp; Stinchfield, 2010; Dell et al., 2014; Pan &amp; Qiu, 2022; Ozkan, Temiz, &amp; Yildiz, 2023). A critical review of extant literature shows the following empirical results.</w:t>
      </w:r>
    </w:p>
    <w:p w14:paraId="57D4A044" w14:textId="77777777" w:rsidR="004470EC" w:rsidRPr="00F66E23" w:rsidRDefault="00000000">
      <w:pPr>
        <w:pStyle w:val="NoSpacing"/>
        <w:spacing w:line="360" w:lineRule="auto"/>
        <w:contextualSpacing/>
        <w:rPr>
          <w:rFonts w:ascii="Times New Roman Regular" w:hAnsi="Times New Roman Regular" w:cs="Times New Roman Regular"/>
          <w:szCs w:val="24"/>
        </w:rPr>
      </w:pPr>
      <w:proofErr w:type="spellStart"/>
      <w:r w:rsidRPr="00F66E23"/>
      <w:proofErr w:type="spellEnd"/>
      <w:r w:rsidRPr="00F66E23"/>
      <w:proofErr w:type="spellStart"/>
      <w:r w:rsidRPr="00F66E23"/>
      <w:proofErr w:type="spellEnd"/>
      <w:r w:rsidRPr="00F66E23"/>
      <w:r>
        <w:rPr/>
        <w:t>Cevik and Miryugin (2023) made a research contribution by analysing the impact of climate change susceptibility on the performance of over 3.3 million non-financial enterprises across 24 countries from 1997 to 2019. The dataset used to assess climate change susceptibility was obtained from the Notre Dame Global Adaptation Institute (ND-GAIN), with comprehensive consideration of macroeconomic factors and firm characteristics. Climate change susceptibility has a statistically significant effect on a variety of firm performance indicators, including leverage, interest burden, profitability, and total factor productivity (TFP), according to the empirical findings. Access to debt financing for non-financial firms operating in countries with greater vulnerability to climate change is typically more difficult to obtain, even at higher interest rates, compared with firms operating in countries with lower vulnerability to climate change. Furthermore, these firms tend to be less productive and profitable. In conclusion, although climate change is unavoidable, policymakers can strengthen structural and financial resilience to withstand disruptions to economic activity, reduce the financial burden on private firms, and generate development opportunities.</w:t>
      </w:r>
    </w:p>
    <w:p w14:paraId="13153BDB" w14:textId="77777777" w:rsidR="004470EC" w:rsidRPr="00F66E23" w:rsidRDefault="004470EC">
      <w:pPr>
        <w:pStyle w:val="NoSpacing"/>
        <w:spacing w:line="360" w:lineRule="auto"/>
        <w:contextualSpacing/>
        <w:rPr>
          <w:rFonts w:ascii="Times New Roman Regular" w:hAnsi="Times New Roman Regular" w:cs="Times New Roman Regular"/>
          <w:szCs w:val="24"/>
        </w:rPr>
      </w:pPr>
    </w:p>
    <w:p w14:paraId="30A5EA4B" w14:textId="77777777" w:rsidR="004470EC" w:rsidRPr="00F66E23" w:rsidRDefault="00000000">
      <w:pPr>
        <w:pStyle w:val="NoSpacing"/>
        <w:spacing w:line="360" w:lineRule="auto"/>
        <w:contextualSpacing/>
        <w:rPr>
          <w:rFonts w:ascii="Times New Roman Regular" w:hAnsi="Times New Roman Regular" w:cs="Times New Roman Regular"/>
          <w:szCs w:val="24"/>
        </w:rPr>
      </w:pPr>
      <w:r w:rsidRPr="00F66E23">
        <w:t xml:space="preserve">Huang, Kerstein, and Wang (2018) conducted an international study to examine the effect of climate risk on financing and performance decisions. The study discovered, through the use of the Global Climate Risk Index compiled and published by </w:t>
      </w:r>
      <w:proofErr w:type="spellStart"/>
      <w:r w:rsidRPr="00F66E23">
        <w:t>Germanwatch</w:t>
      </w:r>
      <w:proofErr w:type="spellEnd"/>
      <w:r w:rsidRPr="00F66E23">
        <w:t>, that significant cyclones, heatwaves, and floods increase the volatility of firms' cash flows and earnings. Businesses are more likely to maintain cash reserves in nations with unfavourable weather conditions as a means of strengthening organisational resilience against weather-related obstacles and generating financial flexibility. Additionally, these businesses have a propensity to distribute fewer cash dividends and to have a greater long-term debt to short-term debt ratio.</w:t>
      </w:r>
    </w:p>
    <w:p w14:paraId="681A1FC0" w14:textId="77777777" w:rsidR="004470EC" w:rsidRPr="00F66E23" w:rsidRDefault="00000000">
      <w:pPr>
        <w:pStyle w:val="NoSpacing"/>
        <w:spacing w:line="360" w:lineRule="auto"/>
        <w:contextualSpacing/>
        <w:rPr>
          <w:rFonts w:ascii="Times New Roman Regular" w:hAnsi="Times New Roman Regular" w:cs="Times New Roman Regular"/>
          <w:szCs w:val="24"/>
        </w:rPr>
      </w:pPr>
      <w:r w:rsidRPr="00F66E23">
        <w:t>Moyo and Wingard (2015) evaluated how climate change affected South African companies' financial performance. The goal of the study was to determine the extent to which financial performance is affected by climate change response. The study revealed a favourable and statistically significant association between climate-change performance and financial performance.</w:t>
      </w:r>
    </w:p>
    <w:p w14:paraId="4D410727" w14:textId="77777777" w:rsidR="004470EC" w:rsidRPr="00F66E23" w:rsidRDefault="00000000">
      <w:pPr>
        <w:pStyle w:val="NoSpacing"/>
        <w:spacing w:line="360" w:lineRule="auto"/>
        <w:contextualSpacing/>
        <w:rPr>
          <w:rFonts w:ascii="Times New Roman Regular" w:hAnsi="Times New Roman Regular" w:cs="Times New Roman Regular"/>
          <w:szCs w:val="24"/>
          <w:lang w:val="en-US"/>
        </w:rPr>
      </w:pPr>
      <w:r w:rsidRPr="00F66E23">
        <w:t>Sun et al. (2020) conducted a study on the nexus between climate change risks and the financial performance of listed mining firms in China. The primary goal of the study was to examine the direct and indirect mechanisms through which climate change risks affect company financial results. The article also used a novel dataset and a climate risk indicator with five categories of climate risks to examine the impact of climate risks on China's listed mineral companies. Based on the findings, a relationship was observed between climate change and the financial performance of mining companies. Different resource types present different risks for mining firms in relation to climate change. According to this study, the financial performance of mining firms is affected by climate change risks in both positive and negative ways. To enhance their brand value and provide new competitive advantages for sustained growth, mining businesses have to take proactive measures to implement low-carbon policies and release emission information in response to the concerns posed by climate change.</w:t>
      </w:r>
    </w:p>
    <w:p w14:paraId="52BC4D6A" w14:textId="77777777" w:rsidR="004470EC" w:rsidRPr="00F66E23" w:rsidRDefault="00000000">
      <w:pPr>
        <w:pStyle w:val="NoSpacing"/>
        <w:spacing w:line="360" w:lineRule="auto"/>
        <w:contextualSpacing/>
        <w:rPr>
          <w:rFonts w:ascii="Times New Roman Regular" w:hAnsi="Times New Roman Regular" w:cs="Times New Roman Regular"/>
          <w:szCs w:val="24"/>
        </w:rPr>
      </w:pPr>
      <w:r w:rsidRPr="00F66E23">
        <w:t xml:space="preserve">A study was carried out by Luan et al. (2022), who examined the relationship between climate risk and enterprise performance. Chinese A-listed businesses from 2004 to 2018 were chosen as the sample in this research. The research discovered that the return on assets of businesses is greatly reduced by the total loss caused by meteorological disasters, the most evident of which are downpour, drought, gale, hail, and lightning catastrophes. Furthermore, the effects of typhoons on the provinces </w:t>
      </w:r>
      <w:r w:rsidRPr="00F66E23">
        <w:lastRenderedPageBreak/>
        <w:t>have a significant impact on return on business assets. The research also suggests that companies with diversified portfolios are less susceptible to natural disasters and assume a lesser portion of climate risk.</w:t>
      </w:r>
    </w:p>
    <w:p w14:paraId="1CF2CB14" w14:textId="77777777" w:rsidR="004470EC" w:rsidRPr="00F66E23" w:rsidRDefault="00000000">
      <w:pPr>
        <w:pStyle w:val="NoSpacing"/>
        <w:spacing w:line="360" w:lineRule="auto"/>
        <w:contextualSpacing/>
        <w:rPr>
          <w:rFonts w:ascii="Times New Roman Regular" w:hAnsi="Times New Roman Regular" w:cs="Times New Roman Regular"/>
          <w:szCs w:val="24"/>
        </w:rPr>
      </w:pPr>
      <w:proofErr w:type="spellStart"/>
      <w:r w:rsidRPr="00F66E23"/>
      <w:proofErr w:type="spellEnd"/>
      <w:r w:rsidRPr="00F66E23"/>
      <w:proofErr w:type="spellStart"/>
      <w:r w:rsidRPr="00F66E23"/>
      <w:proofErr w:type="spellEnd"/>
      <w:r w:rsidRPr="00F66E23"/>
      <w:r>
        <w:rPr/>
        <w:t>Curcio, Gianfrancesco, and Vioto (2023) investigated the connection between the financial systemic risk of US banks and insurers and climate change. The first objective was to determine whether, how much, and how quickly the systemic risk of the US banking and insurance sectors responds to billion-dollar weather-related climate catastrophes. The research shows that some severe events might increase risks to the financial system. Second, using quantile regressions, the research examined the relationship between the systemic risk of the two US financial sectors and the performance of the green and brown market indices. Higher green index levels, with a rising magnitude in tail circumstances, were shown to minimise systemic risk more than a rise in brown indices. The study's findings support the need for appropriate policies to counteract the increase in the frequency and severity of climate catastrophes.</w:t>
      </w:r>
    </w:p>
    <w:p w14:paraId="29658380" w14:textId="77777777" w:rsidR="004470EC" w:rsidRPr="00F66E23" w:rsidRDefault="00000000">
      <w:pPr>
        <w:pStyle w:val="NoSpacing"/>
        <w:spacing w:line="360" w:lineRule="auto"/>
        <w:contextualSpacing/>
        <w:rPr>
          <w:rFonts w:ascii="Times New Roman Regular" w:hAnsi="Times New Roman Regular" w:cs="Times New Roman Regular"/>
          <w:szCs w:val="24"/>
        </w:rPr>
      </w:pPr>
      <w:r w:rsidRPr="00F66E23">
        <w:t>Using data from 56 countries between 1995 and 2012, Lee et al. (2022) investigated how climate risk affected bank liquidity creation. In particular, it examines whether bank and country factors affect the relationship between climate risk and bank liquidity creation. According to the research, climate adaptation has a positive impact on overall liquidity creation, while climate sensitivity and exposure have negative effects. According to the study, these effects are especially severe for larger banks with less capital, banks located in emerging and lower-GDP countries, and banks in Asia.</w:t>
      </w:r>
    </w:p>
    <w:p w14:paraId="3672990C" w14:textId="77777777" w:rsidR="004470EC" w:rsidRPr="00F66E23" w:rsidRDefault="00000000">
      <w:pPr>
        <w:pStyle w:val="NoSpacing"/>
        <w:spacing w:line="360" w:lineRule="auto"/>
        <w:contextualSpacing/>
        <w:rPr>
          <w:rFonts w:ascii="Times New Roman Regular" w:hAnsi="Times New Roman Regular" w:cs="Times New Roman Regular"/>
          <w:szCs w:val="24"/>
        </w:rPr>
      </w:pPr>
      <w:r w:rsidRPr="00F66E23"/>
      <w:proofErr w:type="spellStart"/>
      <w:r w:rsidRPr="00F66E23"/>
      <w:proofErr w:type="spellEnd"/>
      <w:r w:rsidRPr="00F66E23"/>
      <w:proofErr w:type="spellStart"/>
      <w:r w:rsidRPr="00F66E23"/>
      <w:proofErr w:type="spellEnd"/>
      <w:r w:rsidRPr="00F66E23"/>
      <w:r w:rsidRPr="00F66E23"/>
      <w:r>
        <w:rPr/>
        <w:t>A study was conducted by Dafermos, Nikolaidi, and Galanis (2018) to examine the relationship between monetary policy, climate change, and financial stability through the lens of the stock-flow ecological macroeconomic model. Four pivotal findings emerged from their research. Climate change is anticipated to progressively undermine the liquidity of businesses by eradicating their capital and diminishing their profitability. This, in turn, may result in an increased default rate, which has the potential to negatively affect both the financial and non-financial corporate sectors. Secondly, portfolio reallocations prompted by climate change damage may result in a progressive decline in the value of corporate bonds. Furthermore, the expansion of credit could be negatively affected by climate-induced financial instability, which could further intensify the adverse effects of climate change on economic activity. In addition, the adoption of an environmentally friendly quantitative easing (QE) programme by corporations has the potential to mitigate climate-induced financial instability and curtail the acceleration of global warming.</w:t>
      </w:r>
    </w:p>
    <w:p w14:paraId="65662924" w14:textId="77777777" w:rsidR="004470EC" w:rsidRPr="00F66E23" w:rsidRDefault="00000000">
      <w:pPr>
        <w:pStyle w:val="NoSpacing"/>
        <w:spacing w:line="360" w:lineRule="auto"/>
        <w:contextualSpacing/>
        <w:rPr>
          <w:rFonts w:ascii="Times New Roman Regular" w:hAnsi="Times New Roman Regular" w:cs="Times New Roman Regular"/>
          <w:szCs w:val="24"/>
        </w:rPr>
      </w:pPr>
      <w:r w:rsidRPr="00F66E23">
        <w:t>Physical channels through which climate risks influence corporate activities and decisions have been empirically demonstrated to disrupt business performance and decisions. As a precaution against climate change, Huang et al. (2018) discovered that climate-related weather events, particularly heatwaves, floods, and cyclones, can increase the volatility of a company's earnings and prompt it to retain more capital, reduce dividend payments, and increase long-term obligations. In line with this, Javadi &amp; Masum (2021) establish that drought risk is significantly positively correlated with an increase in the cost of financing for U.S. companies.</w:t>
      </w:r>
    </w:p>
    <w:p w14:paraId="1B45245F" w14:textId="77777777" w:rsidR="004470EC" w:rsidRPr="00F66E23" w:rsidRDefault="00000000">
      <w:pPr>
        <w:pStyle w:val="NoSpacing"/>
        <w:spacing w:line="360" w:lineRule="auto"/>
        <w:contextualSpacing/>
        <w:rPr>
          <w:rFonts w:ascii="Times New Roman Regular" w:hAnsi="Times New Roman Regular" w:cs="Times New Roman Regular"/>
          <w:szCs w:val="24"/>
        </w:rPr>
      </w:pPr>
      <w:r w:rsidRPr="00F66E23">
        <w:t>Dietz et al. (2016) examined the physical effects of climate change on the financial system quantitatively. They used the climate value-at-risk framework in addition to a typical integrated assessment model. Dietz et al. (2016) assert that a changing environment may result in lower dividend payments from businesses and, therefore, lower prices for financial assets. According to this research, climate risk has the potential to negatively affect the banking industry and influence decisions.</w:t>
      </w:r>
    </w:p>
    <w:p w14:paraId="4690FF44" w14:textId="77777777" w:rsidR="004470EC" w:rsidRPr="00F66E23" w:rsidRDefault="00000000">
      <w:pPr>
        <w:pStyle w:val="NoSpacing"/>
        <w:spacing w:line="360" w:lineRule="auto"/>
        <w:contextualSpacing/>
        <w:rPr>
          <w:rFonts w:ascii="Times New Roman Regular" w:hAnsi="Times New Roman Regular" w:cs="Times New Roman Regular"/>
          <w:szCs w:val="24"/>
        </w:rPr>
      </w:pPr>
      <w:r w:rsidRPr="00F66E23">
        <w:t>Giang et al. (2021) examined the relationship between the financial performance of listed industrial companies in Vietnam and the risks associated with climate change. Through the use of control variables and an econometric regression model, this research examines the link between climate change risk and corporate performance using both quantitative and qualitative methodologies. The data were taken from 144 listed firms between 2015 and 2019. This empirical analysis revealed a relationship between the financial performance of industrial businesses and climate change. The findings suggest that financial performance is negatively affected by climate change. There exists a noteworthy and adverse association between humidity risk and the financial performance of corporations. Nonetheless, several independent factors, including rainfall, daylight hours, and temperature, have very little effect on financial performance.</w:t>
      </w:r>
    </w:p>
    <w:p w14:paraId="439DBABB" w14:textId="77777777" w:rsidR="004470EC" w:rsidRPr="00F66E23" w:rsidRDefault="004470EC">
      <w:pPr>
        <w:pStyle w:val="NoSpacing"/>
        <w:spacing w:line="360" w:lineRule="auto"/>
        <w:contextualSpacing/>
        <w:rPr>
          <w:rFonts w:ascii="Times New Roman Regular" w:hAnsi="Times New Roman Regular" w:cs="Times New Roman Regular"/>
          <w:szCs w:val="24"/>
        </w:rPr>
      </w:pPr>
    </w:p>
    <w:p w14:paraId="15116869" w14:textId="77777777" w:rsidR="004470EC" w:rsidRPr="00F66E23" w:rsidRDefault="00000000">
      <w:pPr>
        <w:pStyle w:val="NoSpacing"/>
        <w:spacing w:line="360" w:lineRule="auto"/>
        <w:ind w:firstLineChars="1000" w:firstLine="2409"/>
        <w:contextualSpacing/>
        <w:rPr>
          <w:rFonts w:ascii="Times New Roman Regular" w:hAnsi="Times New Roman Regular" w:cs="Times New Roman Regular"/>
          <w:b/>
          <w:bCs/>
          <w:szCs w:val="24"/>
        </w:rPr>
      </w:pPr>
      <w:r w:rsidRPr="00F66E23">
        <w:rPr>
          <w:rFonts w:ascii="Times New Roman Regular" w:hAnsi="Times New Roman Regular" w:cs="Times New Roman Regular"/>
          <w:b/>
          <w:bCs/>
          <w:szCs w:val="24"/>
        </w:rPr>
        <w:t xml:space="preserve">Fig </w:t>
      </w:r>
      <w:proofErr w:type="gramStart"/>
      <w:r w:rsidRPr="00F66E23">
        <w:rPr>
          <w:rFonts w:ascii="Times New Roman Regular" w:hAnsi="Times New Roman Regular" w:cs="Times New Roman Regular"/>
          <w:b/>
          <w:bCs/>
          <w:szCs w:val="24"/>
        </w:rPr>
        <w:t>2 :</w:t>
      </w:r>
      <w:proofErr w:type="gramEnd"/>
      <w:r w:rsidRPr="00F66E23">
        <w:rPr>
          <w:rFonts w:ascii="Times New Roman Regular" w:hAnsi="Times New Roman Regular" w:cs="Times New Roman Regular"/>
          <w:b/>
          <w:bCs/>
          <w:szCs w:val="24"/>
        </w:rPr>
        <w:t xml:space="preserve"> Conceptual Framework</w:t>
      </w:r>
    </w:p>
    <w:p w14:paraId="57DF3AC4"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eastAsia="Calibri" w:hAnsi="Times New Roman Regular" w:cs="Times New Roman Regular"/>
          <w:b/>
          <w:bCs/>
          <w:noProof/>
          <w:sz w:val="24"/>
          <w:szCs w:val="24"/>
          <w:lang w:eastAsia="en-US"/>
        </w:rPr>
        <mc:AlternateContent>
          <mc:Choice Requires="wps">
            <w:drawing>
              <wp:anchor distT="0" distB="0" distL="114300" distR="114300" simplePos="0" relativeHeight="251659264" behindDoc="0" locked="0" layoutInCell="1" allowOverlap="1" wp14:anchorId="0D84807B" wp14:editId="2F419FC3">
                <wp:simplePos x="0" y="0"/>
                <wp:positionH relativeFrom="column">
                  <wp:posOffset>-596265</wp:posOffset>
                </wp:positionH>
                <wp:positionV relativeFrom="paragraph">
                  <wp:posOffset>88900</wp:posOffset>
                </wp:positionV>
                <wp:extent cx="2128520" cy="1381760"/>
                <wp:effectExtent l="6350" t="6350" r="24130" b="8890"/>
                <wp:wrapNone/>
                <wp:docPr id="3" name="Rounded Rectangle 2"/>
                <wp:cNvGraphicFramePr/>
                <a:graphic xmlns:a="http://schemas.openxmlformats.org/drawingml/2006/main">
                  <a:graphicData uri="http://schemas.microsoft.com/office/word/2010/wordprocessingShape">
                    <wps:wsp>
                      <wps:cNvSpPr/>
                      <wps:spPr>
                        <a:xfrm>
                          <a:off x="0" y="0"/>
                          <a:ext cx="2128520" cy="1381760"/>
                        </a:xfrm>
                        <a:prstGeom prst="roundRect">
                          <a:avLst/>
                        </a:prstGeom>
                        <a:solidFill>
                          <a:sysClr val="window" lastClr="FFFFFF"/>
                        </a:solidFill>
                        <a:ln w="12700" cap="flat" cmpd="sng" algn="ctr">
                          <a:solidFill>
                            <a:srgbClr val="ED7D31"/>
                          </a:solidFill>
                          <a:prstDash val="solid"/>
                          <a:miter lim="800000"/>
                        </a:ln>
                        <a:effectLst/>
                      </wps:spPr>
                      <wps:txbx>
                        <w:txbxContent>
                          <w:p w14:paraId="77BCF1D3" w14:textId="77777777" w:rsidR="004470EC" w:rsidRDefault="00000000">
                            <w:pPr>
                              <w:jc w:val="center"/>
                              <w:rPr>
                                <w:rFonts w:ascii="Times New Roman Regular" w:hAnsi="Times New Roman Regular" w:cs="Times New Roman Regular"/>
                                <w:bCs/>
                                <w:color w:val="000000"/>
                              </w:rPr>
                            </w:pPr>
                            <w:r>
                              <w:rPr>
                                <w:rFonts w:ascii="Times New Roman Regular" w:hAnsi="Times New Roman Regular" w:cs="Times New Roman Regular"/>
                                <w:bCs/>
                                <w:color w:val="000000"/>
                              </w:rPr>
                              <w:t xml:space="preserve">CLIMATE RISK </w:t>
                            </w:r>
                          </w:p>
                          <w:p w14:paraId="26962F74" w14:textId="77777777" w:rsidR="004470EC" w:rsidRDefault="00000000">
                            <w:pPr>
                              <w:pStyle w:val="ListParagraph"/>
                              <w:numPr>
                                <w:ilvl w:val="0"/>
                                <w:numId w:val="1"/>
                              </w:numPr>
                              <w:jc w:val="center"/>
                              <w:rPr>
                                <w:rFonts w:ascii="Times New Roman Regular" w:hAnsi="Times New Roman Regular" w:cs="Times New Roman Regular"/>
                                <w:iCs/>
                                <w:color w:val="000000"/>
                              </w:rPr>
                            </w:pPr>
                            <w:r>
                              <w:rPr>
                                <w:rFonts w:ascii="Times New Roman Regular" w:hAnsi="Times New Roman Regular" w:cs="Times New Roman Regular"/>
                                <w:iCs/>
                                <w:color w:val="000000"/>
                              </w:rPr>
                              <w:t>Climate Risk Index (CRI)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0D84807B" id="Rounded Rectangle 2" o:spid="_x0000_s1026" style="position:absolute;margin-left:-46.95pt;margin-top:7pt;width:167.6pt;height:108.8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" fillcolor="window" strokecolor="#ed7d31" strokeweight="1pt">
                <v:stroke joinstyle="miter"/>
                <v:textbox>
                  <w:txbxContent>
                    <w:p w14:paraId="77BCF1D3" w14:textId="77777777" w:rsidR="004470EC" w:rsidRDefault="00000000">
                      <w:pPr>
                        <w:jc w:val="center"/>
                        <w:rPr>
                          <w:rFonts w:ascii="Times New Roman Regular" w:hAnsi="Times New Roman Regular" w:cs="Times New Roman Regular"/>
                          <w:bCs/>
                          <w:color w:val="000000"/>
                        </w:rPr>
                      </w:pPr>
                      <w:r>
                        <w:rPr>
                          <w:rFonts w:ascii="Times New Roman Regular" w:hAnsi="Times New Roman Regular" w:cs="Times New Roman Regular"/>
                          <w:bCs/>
                          <w:color w:val="000000"/>
                        </w:rPr>
                        <w:t xml:space="preserve">CLIMATE RISK </w:t>
                      </w:r>
                    </w:p>
                    <w:p w14:paraId="26962F74" w14:textId="77777777" w:rsidR="004470EC" w:rsidRDefault="00000000">
                      <w:pPr>
                        <w:pStyle w:val="ListParagraph"/>
                        <w:numPr>
                          <w:ilvl w:val="0"/>
                          <w:numId w:val="1"/>
                        </w:numPr>
                        <w:jc w:val="center"/>
                        <w:rPr>
                          <w:rFonts w:ascii="Times New Roman Regular" w:hAnsi="Times New Roman Regular" w:cs="Times New Roman Regular"/>
                          <w:iCs/>
                          <w:color w:val="000000"/>
                        </w:rPr>
                      </w:pPr>
                      <w:r>
                        <w:rPr>
                          <w:rFonts w:ascii="Times New Roman Regular" w:hAnsi="Times New Roman Regular" w:cs="Times New Roman Regular"/>
                          <w:iCs/>
                          <w:color w:val="000000"/>
                        </w:rPr>
                        <w:t>Climate Risk Index (CRI)</w:t>
                      </w:r>
                    </w:p>
                  </w:txbxContent>
                </v:textbox>
              </v:roundrect>
            </w:pict>
          </mc:Fallback>
        </mc:AlternateContent>
      </w:r>
      <w:r w:rsidRPr="00F66E23">
        <w:rPr>
          <w:rFonts w:ascii="Times New Roman Regular" w:eastAsia="Calibri" w:hAnsi="Times New Roman Regular" w:cs="Times New Roman Regular"/>
          <w:b/>
          <w:noProof/>
          <w:sz w:val="24"/>
          <w:szCs w:val="24"/>
          <w:lang w:eastAsia="en-US"/>
        </w:rPr>
        <mc:AlternateContent>
          <mc:Choice Requires="wps">
            <w:drawing>
              <wp:anchor distT="0" distB="0" distL="114300" distR="114300" simplePos="0" relativeHeight="251660288" behindDoc="0" locked="0" layoutInCell="1" allowOverlap="1" wp14:anchorId="039AD4B5" wp14:editId="65DEE790">
                <wp:simplePos x="0" y="0"/>
                <wp:positionH relativeFrom="column">
                  <wp:posOffset>3263265</wp:posOffset>
                </wp:positionH>
                <wp:positionV relativeFrom="paragraph">
                  <wp:posOffset>65405</wp:posOffset>
                </wp:positionV>
                <wp:extent cx="2575560" cy="1431925"/>
                <wp:effectExtent l="6350" t="6350" r="8890" b="9525"/>
                <wp:wrapNone/>
                <wp:docPr id="5" name="Rounded Rectangle 5"/>
                <wp:cNvGraphicFramePr/>
                <a:graphic xmlns:a="http://schemas.openxmlformats.org/drawingml/2006/main">
                  <a:graphicData uri="http://schemas.microsoft.com/office/word/2010/wordprocessingShape">
                    <wps:wsp>
                      <wps:cNvSpPr/>
                      <wps:spPr>
                        <a:xfrm>
                          <a:off x="0" y="0"/>
                          <a:ext cx="2575560" cy="1431925"/>
                        </a:xfrm>
                        <a:prstGeom prst="roundRect">
                          <a:avLst/>
                        </a:prstGeom>
                        <a:solidFill>
                          <a:sysClr val="window" lastClr="FFFFFF"/>
                        </a:solidFill>
                        <a:ln w="12700" cap="flat" cmpd="sng" algn="ctr">
                          <a:solidFill>
                            <a:srgbClr val="4472C4"/>
                          </a:solidFill>
                          <a:prstDash val="solid"/>
                          <a:miter lim="800000"/>
                        </a:ln>
                        <a:effectLst/>
                      </wps:spPr>
                      <wps:txbx>
                        <w:txbxContent>
                          <w:p w14:paraId="2CB96572" w14:textId="77777777" w:rsidR="004470EC" w:rsidRDefault="00000000">
                            <w:pPr>
                              <w:ind w:left="283"/>
                              <w:jc w:val="center"/>
                              <w:rPr>
                                <w:rFonts w:ascii="Times New Roman Regular" w:hAnsi="Times New Roman Regular" w:cs="Times New Roman Regular"/>
                                <w:bCs/>
                                <w:color w:val="000000"/>
                              </w:rPr>
                            </w:pPr>
                            <w:r>
                              <w:rPr>
                                <w:rFonts w:ascii="Times New Roman Regular" w:hAnsi="Times New Roman Regular" w:cs="Times New Roman Regular"/>
                                <w:bCs/>
                                <w:color w:val="000000"/>
                              </w:rPr>
                              <w:t>BANK PERFORMANCE</w:t>
                            </w:r>
                          </w:p>
                          <w:p w14:paraId="5F75A280" w14:textId="77777777" w:rsidR="004470EC" w:rsidRDefault="00000000">
                            <w:pPr>
                              <w:pStyle w:val="ListParagraph"/>
                              <w:numPr>
                                <w:ilvl w:val="0"/>
                                <w:numId w:val="2"/>
                              </w:numPr>
                              <w:spacing w:line="256" w:lineRule="auto"/>
                              <w:jc w:val="both"/>
                              <w:rPr>
                                <w:rFonts w:ascii="Times New Roman Regular" w:hAnsi="Times New Roman Regular" w:cs="Times New Roman Regular"/>
                                <w:iCs/>
                                <w:color w:val="000000" w:themeColor="text1"/>
                              </w:rPr>
                            </w:pPr>
                            <w:r>
                              <w:rPr>
                                <w:rFonts w:ascii="Times New Roman Regular" w:hAnsi="Times New Roman Regular" w:cs="Times New Roman Regular"/>
                                <w:iCs/>
                                <w:color w:val="000000" w:themeColor="text1"/>
                              </w:rPr>
                              <w:t xml:space="preserve">Net Interest Margin </w:t>
                            </w:r>
                          </w:p>
                          <w:p w14:paraId="3EE7EB68" w14:textId="77777777" w:rsidR="004470EC" w:rsidRDefault="00000000">
                            <w:pPr>
                              <w:pStyle w:val="ListParagraph"/>
                              <w:numPr>
                                <w:ilvl w:val="0"/>
                                <w:numId w:val="2"/>
                              </w:numPr>
                              <w:spacing w:line="256" w:lineRule="auto"/>
                              <w:jc w:val="both"/>
                              <w:rPr>
                                <w:rFonts w:ascii="Times New Roman Regular" w:hAnsi="Times New Roman Regular" w:cs="Times New Roman Regular"/>
                                <w:iCs/>
                                <w:color w:val="000000" w:themeColor="text1"/>
                              </w:rPr>
                            </w:pPr>
                            <w:r>
                              <w:rPr>
                                <w:rFonts w:ascii="Times New Roman Regular" w:hAnsi="Times New Roman Regular" w:cs="Times New Roman Regular"/>
                                <w:iCs/>
                                <w:color w:val="000000" w:themeColor="text1"/>
                              </w:rPr>
                              <w:t>Liquid Funds to Total Assets</w:t>
                            </w:r>
                          </w:p>
                          <w:p w14:paraId="623EC5A1" w14:textId="77777777" w:rsidR="004470EC" w:rsidRDefault="00000000">
                            <w:pPr>
                              <w:pStyle w:val="ListParagraph"/>
                              <w:numPr>
                                <w:ilvl w:val="0"/>
                                <w:numId w:val="2"/>
                              </w:numPr>
                              <w:spacing w:line="256" w:lineRule="auto"/>
                              <w:jc w:val="both"/>
                              <w:rPr>
                                <w:rFonts w:ascii="Times New Roman Regular" w:hAnsi="Times New Roman Regular" w:cs="Times New Roman Regular"/>
                                <w:iCs/>
                                <w:color w:val="000000" w:themeColor="text1"/>
                              </w:rPr>
                            </w:pPr>
                            <w:r>
                              <w:rPr>
                                <w:rFonts w:ascii="Times New Roman Regular" w:hAnsi="Times New Roman Regular" w:cs="Times New Roman Regular"/>
                                <w:iCs/>
                                <w:color w:val="000000" w:themeColor="text1"/>
                              </w:rPr>
                              <w:t xml:space="preserve">Return on Asset </w:t>
                            </w:r>
                          </w:p>
                          <w:p w14:paraId="1D308AF5" w14:textId="77777777" w:rsidR="004470EC" w:rsidRDefault="00000000">
                            <w:pPr>
                              <w:pStyle w:val="ListParagraph"/>
                              <w:numPr>
                                <w:ilvl w:val="0"/>
                                <w:numId w:val="2"/>
                              </w:numPr>
                              <w:spacing w:line="256" w:lineRule="auto"/>
                              <w:jc w:val="both"/>
                              <w:rPr>
                                <w:rFonts w:ascii="Times New Roman Regular" w:hAnsi="Times New Roman Regular" w:cs="Times New Roman Regular"/>
                                <w:iCs/>
                                <w:color w:val="000000" w:themeColor="text1"/>
                              </w:rPr>
                            </w:pPr>
                            <w:r>
                              <w:rPr>
                                <w:rFonts w:ascii="Times New Roman Regular" w:hAnsi="Times New Roman Regular" w:cs="Times New Roman Regular"/>
                                <w:iCs/>
                                <w:color w:val="000000" w:themeColor="text1"/>
                              </w:rPr>
                              <w:t xml:space="preserve">Return on Equity </w:t>
                            </w:r>
                          </w:p>
                          <w:p w14:paraId="6A4F87D5" w14:textId="77777777" w:rsidR="004470EC" w:rsidRDefault="004470EC">
                            <w:pPr>
                              <w:pStyle w:val="ListParagraph"/>
                              <w:spacing w:line="256" w:lineRule="auto"/>
                              <w:ind w:left="643"/>
                              <w:jc w:val="both"/>
                              <w:rPr>
                                <w:i/>
                                <w:iCs/>
                                <w:color w:val="000000" w:themeColor="text1"/>
                              </w:rPr>
                            </w:pPr>
                          </w:p>
                          <w:p w14:paraId="081AE461" w14:textId="77777777" w:rsidR="004470EC" w:rsidRDefault="004470EC">
                            <w:pPr>
                              <w:pStyle w:val="ListParagraph"/>
                              <w:spacing w:line="256" w:lineRule="auto"/>
                              <w:ind w:left="643"/>
                              <w:rPr>
                                <w:i/>
                                <w:iC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039AD4B5" id="Rounded Rectangle 5" o:spid="_x0000_s1027" style="position:absolute;margin-left:256.95pt;margin-top:5.15pt;width:202.8pt;height:112.7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" fillcolor="window" strokecolor="#4472c4" strokeweight="1pt">
                <v:stroke joinstyle="miter"/>
                <v:textbox>
                  <w:txbxContent>
                    <w:p w14:paraId="2CB96572" w14:textId="77777777" w:rsidR="004470EC" w:rsidRDefault="00000000">
                      <w:pPr>
                        <w:ind w:left="283"/>
                        <w:jc w:val="center"/>
                        <w:rPr>
                          <w:rFonts w:ascii="Times New Roman Regular" w:hAnsi="Times New Roman Regular" w:cs="Times New Roman Regular"/>
                          <w:bCs/>
                          <w:color w:val="000000"/>
                        </w:rPr>
                      </w:pPr>
                      <w:r>
                        <w:rPr>
                          <w:rFonts w:ascii="Times New Roman Regular" w:hAnsi="Times New Roman Regular" w:cs="Times New Roman Regular"/>
                          <w:bCs/>
                          <w:color w:val="000000"/>
                        </w:rPr>
                        <w:t>BANK PERFORMANCE</w:t>
                      </w:r>
                    </w:p>
                    <w:p w14:paraId="5F75A280" w14:textId="77777777" w:rsidR="004470EC" w:rsidRDefault="00000000">
                      <w:pPr>
                        <w:pStyle w:val="ListParagraph"/>
                        <w:numPr>
                          <w:ilvl w:val="0"/>
                          <w:numId w:val="2"/>
                        </w:numPr>
                        <w:spacing w:line="256" w:lineRule="auto"/>
                        <w:jc w:val="both"/>
                        <w:rPr>
                          <w:rFonts w:ascii="Times New Roman Regular" w:hAnsi="Times New Roman Regular" w:cs="Times New Roman Regular"/>
                          <w:iCs/>
                          <w:color w:val="000000" w:themeColor="text1"/>
                        </w:rPr>
                      </w:pPr>
                      <w:r>
                        <w:rPr>
                          <w:rFonts w:ascii="Times New Roman Regular" w:hAnsi="Times New Roman Regular" w:cs="Times New Roman Regular"/>
                          <w:iCs/>
                          <w:color w:val="000000" w:themeColor="text1"/>
                        </w:rPr>
                        <w:t xml:space="preserve">Net Interest Margin </w:t>
                      </w:r>
                    </w:p>
                    <w:p w14:paraId="3EE7EB68" w14:textId="77777777" w:rsidR="004470EC" w:rsidRDefault="00000000">
                      <w:pPr>
                        <w:pStyle w:val="ListParagraph"/>
                        <w:numPr>
                          <w:ilvl w:val="0"/>
                          <w:numId w:val="2"/>
                        </w:numPr>
                        <w:spacing w:line="256" w:lineRule="auto"/>
                        <w:jc w:val="both"/>
                        <w:rPr>
                          <w:rFonts w:ascii="Times New Roman Regular" w:hAnsi="Times New Roman Regular" w:cs="Times New Roman Regular"/>
                          <w:iCs/>
                          <w:color w:val="000000" w:themeColor="text1"/>
                        </w:rPr>
                      </w:pPr>
                      <w:r>
                        <w:rPr>
                          <w:rFonts w:ascii="Times New Roman Regular" w:hAnsi="Times New Roman Regular" w:cs="Times New Roman Regular"/>
                          <w:iCs/>
                          <w:color w:val="000000" w:themeColor="text1"/>
                        </w:rPr>
                        <w:t>Liquid Funds to Total Assets</w:t>
                      </w:r>
                    </w:p>
                    <w:p w14:paraId="623EC5A1" w14:textId="77777777" w:rsidR="004470EC" w:rsidRDefault="00000000">
                      <w:pPr>
                        <w:pStyle w:val="ListParagraph"/>
                        <w:numPr>
                          <w:ilvl w:val="0"/>
                          <w:numId w:val="2"/>
                        </w:numPr>
                        <w:spacing w:line="256" w:lineRule="auto"/>
                        <w:jc w:val="both"/>
                        <w:rPr>
                          <w:rFonts w:ascii="Times New Roman Regular" w:hAnsi="Times New Roman Regular" w:cs="Times New Roman Regular"/>
                          <w:iCs/>
                          <w:color w:val="000000" w:themeColor="text1"/>
                        </w:rPr>
                      </w:pPr>
                      <w:r>
                        <w:rPr>
                          <w:rFonts w:ascii="Times New Roman Regular" w:hAnsi="Times New Roman Regular" w:cs="Times New Roman Regular"/>
                          <w:iCs/>
                          <w:color w:val="000000" w:themeColor="text1"/>
                        </w:rPr>
                        <w:t xml:space="preserve">Return on Asset </w:t>
                      </w:r>
                    </w:p>
                    <w:p w14:paraId="1D308AF5" w14:textId="77777777" w:rsidR="004470EC" w:rsidRDefault="00000000">
                      <w:pPr>
                        <w:pStyle w:val="ListParagraph"/>
                        <w:numPr>
                          <w:ilvl w:val="0"/>
                          <w:numId w:val="2"/>
                        </w:numPr>
                        <w:spacing w:line="256" w:lineRule="auto"/>
                        <w:jc w:val="both"/>
                        <w:rPr>
                          <w:rFonts w:ascii="Times New Roman Regular" w:hAnsi="Times New Roman Regular" w:cs="Times New Roman Regular"/>
                          <w:iCs/>
                          <w:color w:val="000000" w:themeColor="text1"/>
                        </w:rPr>
                      </w:pPr>
                      <w:r>
                        <w:rPr>
                          <w:rFonts w:ascii="Times New Roman Regular" w:hAnsi="Times New Roman Regular" w:cs="Times New Roman Regular"/>
                          <w:iCs/>
                          <w:color w:val="000000" w:themeColor="text1"/>
                        </w:rPr>
                        <w:t xml:space="preserve">Return on Equity </w:t>
                      </w:r>
                    </w:p>
                    <w:p w14:paraId="6A4F87D5" w14:textId="77777777" w:rsidR="004470EC" w:rsidRDefault="004470EC">
                      <w:pPr>
                        <w:pStyle w:val="ListParagraph"/>
                        <w:spacing w:line="256" w:lineRule="auto"/>
                        <w:ind w:left="643"/>
                        <w:jc w:val="both"/>
                        <w:rPr>
                          <w:i/>
                          <w:iCs/>
                          <w:color w:val="000000" w:themeColor="text1"/>
                        </w:rPr>
                      </w:pPr>
                    </w:p>
                    <w:p w14:paraId="081AE461" w14:textId="77777777" w:rsidR="004470EC" w:rsidRDefault="004470EC">
                      <w:pPr>
                        <w:pStyle w:val="ListParagraph"/>
                        <w:spacing w:line="256" w:lineRule="auto"/>
                        <w:ind w:left="643"/>
                        <w:rPr>
                          <w:i/>
                          <w:iCs/>
                          <w:color w:val="000000" w:themeColor="text1"/>
                        </w:rPr>
                      </w:pPr>
                    </w:p>
                  </w:txbxContent>
                </v:textbox>
              </v:roundrect>
            </w:pict>
          </mc:Fallback>
        </mc:AlternateContent>
      </w:r>
    </w:p>
    <w:p w14:paraId="29DE5B01" w14:textId="77777777" w:rsidR="004470EC" w:rsidRPr="00F66E23" w:rsidRDefault="004470EC">
      <w:pPr>
        <w:spacing w:line="360" w:lineRule="auto"/>
        <w:rPr>
          <w:rFonts w:ascii="Times New Roman Regular" w:hAnsi="Times New Roman Regular" w:cs="Times New Roman Regular"/>
          <w:sz w:val="24"/>
          <w:szCs w:val="24"/>
        </w:rPr>
      </w:pPr>
    </w:p>
    <w:p w14:paraId="5255FB1F"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eastAsia="Calibri" w:hAnsi="Times New Roman Regular" w:cs="Times New Roman Regular"/>
          <w:b/>
          <w:noProof/>
          <w:sz w:val="24"/>
          <w:szCs w:val="24"/>
          <w:lang w:eastAsia="en-US"/>
        </w:rPr>
        <mc:AlternateContent>
          <mc:Choice Requires="wps">
            <w:drawing>
              <wp:anchor distT="0" distB="0" distL="114300" distR="114300" simplePos="0" relativeHeight="251661312" behindDoc="0" locked="0" layoutInCell="1" allowOverlap="1" wp14:anchorId="336667EA" wp14:editId="7AAD455C">
                <wp:simplePos x="0" y="0"/>
                <wp:positionH relativeFrom="column">
                  <wp:posOffset>1546860</wp:posOffset>
                </wp:positionH>
                <wp:positionV relativeFrom="paragraph">
                  <wp:posOffset>227330</wp:posOffset>
                </wp:positionV>
                <wp:extent cx="1696720" cy="0"/>
                <wp:effectExtent l="0" t="38100" r="5080" b="38100"/>
                <wp:wrapNone/>
                <wp:docPr id="9" name="Straight Arrow Connector 9"/>
                <wp:cNvGraphicFramePr/>
                <a:graphic xmlns:a="http://schemas.openxmlformats.org/drawingml/2006/main">
                  <a:graphicData uri="http://schemas.microsoft.com/office/word/2010/wordprocessingShape">
                    <wps:wsp>
                      <wps:cNvCnPr/>
                      <wps:spPr>
                        <a:xfrm>
                          <a:off x="0" y="0"/>
                          <a:ext cx="16967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51B7EEA" id="_x0000_t32" coordsize="21600,21600" o:spt="32" o:oned="t" path="m,l21600,21600e" filled="f">
                <v:path arrowok="t" fillok="f" o:connecttype="none"/>
                <o:lock v:ext="edit" shapetype="t"/>
              </v:shapetype>
              <v:shape id="Straight Arrow Connector 9" o:spid="_x0000_s1026" type="#_x0000_t32" style="position:absolute;margin-left:121.8pt;margin-top:17.9pt;width:133.6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" strokecolor="#5b9bd5 [3204]" strokeweight=".5pt">
                <v:stroke endarrow="block" joinstyle="miter"/>
              </v:shape>
            </w:pict>
          </mc:Fallback>
        </mc:AlternateContent>
      </w:r>
    </w:p>
    <w:p w14:paraId="478FB239" w14:textId="77777777" w:rsidR="004470EC" w:rsidRPr="00F66E23" w:rsidRDefault="004470EC">
      <w:pPr>
        <w:spacing w:line="360" w:lineRule="auto"/>
        <w:rPr>
          <w:rFonts w:ascii="Times New Roman Regular" w:hAnsi="Times New Roman Regular" w:cs="Times New Roman Regular"/>
          <w:sz w:val="24"/>
          <w:szCs w:val="24"/>
        </w:rPr>
      </w:pPr>
    </w:p>
    <w:p w14:paraId="6EB50600" w14:textId="77777777" w:rsidR="004470EC" w:rsidRPr="00F66E23" w:rsidRDefault="004470EC">
      <w:pPr>
        <w:spacing w:line="360" w:lineRule="auto"/>
        <w:rPr>
          <w:rFonts w:ascii="Times New Roman Regular" w:hAnsi="Times New Roman Regular" w:cs="Times New Roman Regular"/>
          <w:sz w:val="24"/>
          <w:szCs w:val="24"/>
        </w:rPr>
      </w:pPr>
    </w:p>
    <w:p w14:paraId="31B43147" w14:textId="77777777" w:rsidR="004470EC" w:rsidRPr="00F66E23" w:rsidRDefault="004470EC">
      <w:pPr>
        <w:spacing w:line="360" w:lineRule="auto"/>
        <w:rPr>
          <w:rFonts w:ascii="Times New Roman Regular" w:hAnsi="Times New Roman Regular" w:cs="Times New Roman Regular"/>
          <w:sz w:val="24"/>
          <w:szCs w:val="24"/>
        </w:rPr>
      </w:pPr>
    </w:p>
    <w:p w14:paraId="68D32D42" w14:textId="77777777" w:rsidR="004470EC" w:rsidRPr="00F66E23" w:rsidRDefault="004470EC">
      <w:pPr>
        <w:spacing w:line="360" w:lineRule="auto"/>
        <w:rPr>
          <w:rFonts w:ascii="Times New Roman Regular" w:hAnsi="Times New Roman Regular" w:cs="Times New Roman Regular"/>
          <w:sz w:val="24"/>
          <w:szCs w:val="24"/>
        </w:rPr>
      </w:pPr>
    </w:p>
    <w:p w14:paraId="087C2D39" w14:textId="77777777" w:rsidR="004470EC" w:rsidRPr="00F66E23" w:rsidRDefault="004470EC">
      <w:pPr>
        <w:spacing w:line="360" w:lineRule="auto"/>
        <w:rPr>
          <w:rFonts w:ascii="Times New Roman Regular" w:hAnsi="Times New Roman Regular" w:cs="Times New Roman Regular"/>
          <w:sz w:val="24"/>
          <w:szCs w:val="24"/>
        </w:rPr>
      </w:pPr>
    </w:p>
    <w:p w14:paraId="1EDF9AEE" w14:textId="77777777" w:rsidR="004470EC" w:rsidRPr="00F66E23" w:rsidRDefault="00000000">
      <w:pPr>
        <w:spacing w:line="360" w:lineRule="auto"/>
        <w:rPr>
          <w:rFonts w:ascii="Times New Roman Regular" w:hAnsi="Times New Roman Regular" w:cs="Times New Roman Regular"/>
          <w:b/>
          <w:bCs/>
          <w:sz w:val="24"/>
          <w:szCs w:val="24"/>
        </w:rPr>
      </w:pPr>
      <w:bookmarkStart w:id="12" w:name="_Toc156569105"/>
      <w:bookmarkStart w:id="13" w:name="_Toc93980291"/>
      <w:r w:rsidRPr="00F66E23">
        <w:rPr>
          <w:rFonts w:ascii="Times New Roman Regular" w:hAnsi="Times New Roman Regular" w:cs="Times New Roman Regular"/>
          <w:b/>
          <w:bCs/>
          <w:sz w:val="24"/>
          <w:szCs w:val="24"/>
        </w:rPr>
        <w:t xml:space="preserve">3.0 </w:t>
      </w:r>
      <w:bookmarkEnd w:id="12"/>
      <w:bookmarkEnd w:id="13"/>
      <w:r w:rsidRPr="00F66E23">
        <w:rPr>
          <w:rFonts w:ascii="Times New Roman Regular" w:hAnsi="Times New Roman Regular" w:cs="Times New Roman Regular"/>
          <w:b/>
          <w:bCs/>
          <w:sz w:val="24"/>
          <w:szCs w:val="24"/>
        </w:rPr>
        <w:t>Methodology</w:t>
      </w:r>
    </w:p>
    <w:p w14:paraId="03477149" w14:textId="77777777" w:rsidR="004470EC" w:rsidRPr="00F66E23" w:rsidRDefault="00000000">
      <w:pPr>
        <w:pStyle w:val="Default"/>
        <w:spacing w:line="360" w:lineRule="auto"/>
        <w:jc w:val="both"/>
        <w:rPr>
          <w:rStyle w:val="NoSpacingChar"/>
          <w:rFonts w:ascii="Times New Roman Regular" w:hAnsi="Times New Roman Regular" w:cs="Times New Roman Regular"/>
          <w:szCs w:val="24"/>
        </w:rPr>
      </w:pPr>
      <w:bookmarkStart w:id="14" w:name="_Hlk92174832"/>
      <w:bookmarkEnd w:id="14"/>
      <w:r w:rsidRPr="00F66E23">
        <w:t>The study uses a quantitative research approach. The sample of this study was limited to ten (10) commercial banks, all licensed by the Bank of Ghana. These commercial banks include GCB Bank, Ecobank Ghana Limited (EBL), ABSA Bank Ghana Limited, CAL Bank Limited (CAL), Zenith Bank Limited (ZBL), Stanbic Bank Ghana Limited (SBG), Access Bank Ghana Limited (ABG), Republic Bank, Guaranteed Trust Bank (GTB), and Agricultural Development Bank (ADB). The universal banks were chosen based on data availability as well as their greatest market share.</w:t>
      </w:r>
    </w:p>
    <w:p w14:paraId="66D1A24F" w14:textId="77777777" w:rsidR="004470EC" w:rsidRPr="00F66E23" w:rsidRDefault="00000000">
      <w:pPr>
        <w:spacing w:line="360" w:lineRule="auto"/>
        <w:rPr>
          <w:rFonts w:ascii="Times New Roman Regular" w:hAnsi="Times New Roman Regular" w:cs="Times New Roman Regular"/>
          <w:sz w:val="24"/>
          <w:szCs w:val="24"/>
        </w:rPr>
      </w:pPr>
      <w:r w:rsidRPr="00F66E23">
        <w:t>For the purposes of this research, annual panel data spanning the period 2010-2024 were used.</w:t>
      </w:r>
    </w:p>
    <w:p w14:paraId="134C91A9" w14:textId="77777777" w:rsidR="004470EC" w:rsidRPr="00F66E23" w:rsidRDefault="00000000">
      <w:pPr>
        <w:spacing w:line="360" w:lineRule="auto"/>
        <w:rPr>
          <w:rFonts w:ascii="Times New Roman Regular" w:eastAsia="Times New Roman" w:hAnsi="Times New Roman Regular" w:cs="Times New Roman Regular"/>
          <w:bCs/>
          <w:sz w:val="24"/>
          <w:szCs w:val="24"/>
        </w:rPr>
      </w:pPr>
      <w:r w:rsidRPr="00F66E23">
        <w:t xml:space="preserve">The main explanatory variable that this study employs is climate risk, while the dependent variable is banks' financial performance. Climate risk is measured by the climate risk index compiled by the Global Climate Risk Index and published by </w:t>
      </w:r>
      <w:proofErr w:type="spellStart"/>
      <w:r w:rsidRPr="00F66E23">
        <w:t>Germanwatch</w:t>
      </w:r>
      <w:proofErr w:type="spellEnd"/>
      <w:r w:rsidRPr="00F66E23">
        <w:t>.</w:t>
      </w:r>
    </w:p>
    <w:p w14:paraId="7B7CCC85" w14:textId="77777777" w:rsidR="004470EC" w:rsidRPr="00F66E23" w:rsidRDefault="00000000">
      <w:pPr>
        <w:spacing w:line="360" w:lineRule="auto"/>
        <w:rPr>
          <w:rFonts w:ascii="Times New Roman Regular" w:eastAsia="Times New Roman" w:hAnsi="Times New Roman Regular" w:cs="Times New Roman Regular"/>
          <w:bCs/>
          <w:sz w:val="24"/>
          <w:szCs w:val="24"/>
        </w:rPr>
      </w:pPr>
      <w:r w:rsidRPr="00F66E23">
        <w:t>Banks' financial performance is proxied by net interest margin, return on assets, liquid funds to total assets, and return on equity, all derived from PwC Ghana Banking Survey Reports.</w:t>
      </w:r>
    </w:p>
    <w:p w14:paraId="7DBEF922" w14:textId="77777777" w:rsidR="004470EC" w:rsidRPr="00F66E23" w:rsidRDefault="004470EC">
      <w:pPr>
        <w:spacing w:line="360" w:lineRule="auto"/>
        <w:rPr>
          <w:rFonts w:ascii="Times New Roman Regular" w:eastAsia="Times New Roman" w:hAnsi="Times New Roman Regular" w:cs="Times New Roman Regular"/>
          <w:bCs/>
          <w:sz w:val="24"/>
          <w:szCs w:val="24"/>
        </w:rPr>
      </w:pPr>
    </w:p>
    <w:p w14:paraId="22688012" w14:textId="77777777" w:rsidR="004470EC" w:rsidRPr="00F66E23" w:rsidRDefault="00000000">
      <w:pPr>
        <w:pStyle w:val="Heading1"/>
        <w:spacing w:line="360" w:lineRule="auto"/>
        <w:rPr>
          <w:rFonts w:ascii="Times New Roman Regular" w:hAnsi="Times New Roman Regular" w:cs="Times New Roman Regular"/>
          <w:sz w:val="24"/>
          <w:szCs w:val="24"/>
        </w:rPr>
      </w:pPr>
      <w:bookmarkStart w:id="15" w:name="_Toc93980298"/>
      <w:bookmarkStart w:id="16" w:name="_Toc156569113"/>
      <w:r w:rsidRPr="00F66E23">
        <w:rPr>
          <w:rFonts w:ascii="Times New Roman Regular" w:hAnsi="Times New Roman Regular" w:cs="Times New Roman Regular"/>
          <w:sz w:val="24"/>
          <w:szCs w:val="24"/>
        </w:rPr>
        <w:t>3.1 Model Estimation and Specification</w:t>
      </w:r>
      <w:bookmarkEnd w:id="15"/>
      <w:bookmarkEnd w:id="16"/>
      <w:r w:rsidRPr="00F66E23">
        <w:rPr>
          <w:rFonts w:ascii="Times New Roman Regular" w:hAnsi="Times New Roman Regular" w:cs="Times New Roman Regular"/>
          <w:sz w:val="24"/>
          <w:szCs w:val="24"/>
        </w:rPr>
        <w:t xml:space="preserve"> </w:t>
      </w:r>
    </w:p>
    <w:p w14:paraId="1E05E99D" w14:textId="77777777" w:rsidR="004470EC" w:rsidRPr="00F66E23" w:rsidRDefault="00000000">
      <w:pPr>
        <w:pStyle w:val="Default"/>
        <w:spacing w:line="360" w:lineRule="auto"/>
        <w:jc w:val="both"/>
        <w:rPr>
          <w:rFonts w:ascii="Times New Roman Regular" w:hAnsi="Times New Roman Regular" w:cs="Times New Roman Regular"/>
          <w:color w:val="auto"/>
        </w:rPr>
      </w:pPr>
      <w:r w:rsidRPr="00F66E23">
        <w:t>This study adapted the model of Lee et al. (2022). The following basic empirical research model was developed in the form of a panel data regression equation:</w:t>
      </w:r>
    </w:p>
    <w:p w14:paraId="63DFF2EA" w14:textId="77777777" w:rsidR="004470EC" w:rsidRPr="00F66E23" w:rsidRDefault="00000000">
      <w:pPr>
        <w:pStyle w:val="Default"/>
        <w:spacing w:line="360" w:lineRule="auto"/>
        <w:rPr>
          <w:rFonts w:ascii="Times New Roman Regular" w:eastAsiaTheme="minorEastAsia" w:hAnsi="Times New Roman Regular" w:cs="Times New Roman Regular"/>
          <w:color w:val="auto"/>
        </w:rPr>
      </w:pPr>
      <m:oMath>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BFP</m:t>
            </m:r>
          </m:e>
          <m:sub>
            <m:r>
              <w:rPr>
                <w:rFonts w:ascii="DejaVu Math TeX Gyre" w:hAnsi="DejaVu Math TeX Gyre" w:cs="Times New Roman Regular"/>
                <w:color w:val="auto"/>
              </w:rPr>
              <m:t>it</m:t>
            </m:r>
          </m:sub>
        </m:sSub>
        <m:r>
          <w:rPr>
            <w:rFonts w:ascii="DejaVu Math TeX Gyre" w:hAnsi="DejaVu Math TeX Gyre" w:cs="Times New Roman Regular"/>
            <w:color w:val="auto"/>
          </w:rPr>
          <m:t>=</m:t>
        </m:r>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β</m:t>
            </m:r>
          </m:e>
          <m:sub>
            <m:r>
              <w:rPr>
                <w:rFonts w:ascii="DejaVu Math TeX Gyre" w:hAnsi="DejaVu Math TeX Gyre" w:cs="Times New Roman Regular"/>
                <w:color w:val="auto"/>
              </w:rPr>
              <m:t>0</m:t>
            </m:r>
          </m:sub>
        </m:sSub>
        <m:r>
          <w:rPr>
            <w:rFonts w:ascii="DejaVu Math TeX Gyre" w:hAnsi="DejaVu Math TeX Gyre" w:cs="Times New Roman Regular"/>
            <w:color w:val="auto"/>
          </w:rPr>
          <m:t xml:space="preserve">+ </m:t>
        </m:r>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β</m:t>
            </m:r>
          </m:e>
          <m:sub>
            <m:r>
              <w:rPr>
                <w:rFonts w:ascii="DejaVu Math TeX Gyre" w:hAnsi="DejaVu Math TeX Gyre" w:cs="Times New Roman Regular"/>
                <w:color w:val="auto"/>
              </w:rPr>
              <m:t>1</m:t>
            </m:r>
          </m:sub>
        </m:sSub>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CRI</m:t>
            </m:r>
          </m:e>
          <m:sub>
            <m:r>
              <w:rPr>
                <w:rFonts w:ascii="DejaVu Math TeX Gyre" w:hAnsi="DejaVu Math TeX Gyre" w:cs="Times New Roman Regular"/>
                <w:color w:val="auto"/>
              </w:rPr>
              <m:t>it</m:t>
            </m:r>
          </m:sub>
        </m:sSub>
        <m:r>
          <w:rPr>
            <w:rFonts w:ascii="DejaVu Math TeX Gyre" w:hAnsi="DejaVu Math TeX Gyre" w:cs="Times New Roman Regular"/>
            <w:color w:val="auto"/>
          </w:rPr>
          <m:t>+</m:t>
        </m:r>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β</m:t>
            </m:r>
          </m:e>
          <m:sub>
            <m:r>
              <w:rPr>
                <w:rFonts w:ascii="DejaVu Math TeX Gyre" w:hAnsi="DejaVu Math TeX Gyre" w:cs="Times New Roman Regular"/>
                <w:color w:val="auto"/>
              </w:rPr>
              <m:t>2</m:t>
            </m:r>
          </m:sub>
        </m:sSub>
        <m:r>
          <w:rPr>
            <w:rFonts w:ascii="DejaVu Math TeX Gyre" w:hAnsi="DejaVu Math TeX Gyre" w:cs="Times New Roman Regular"/>
            <w:color w:val="auto"/>
          </w:rPr>
          <m:t>LV+</m:t>
        </m:r>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β</m:t>
            </m:r>
          </m:e>
          <m:sub>
            <m:r>
              <w:rPr>
                <w:rFonts w:ascii="DejaVu Math TeX Gyre" w:hAnsi="DejaVu Math TeX Gyre" w:cs="Times New Roman Regular"/>
                <w:color w:val="auto"/>
              </w:rPr>
              <m:t>3</m:t>
            </m:r>
          </m:sub>
        </m:sSub>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Bs</m:t>
            </m:r>
          </m:e>
          <m:sub>
            <m:r>
              <w:rPr>
                <w:rFonts w:ascii="DejaVu Math TeX Gyre" w:hAnsi="DejaVu Math TeX Gyre" w:cs="Times New Roman Regular"/>
                <w:color w:val="auto"/>
              </w:rPr>
              <m:t>it</m:t>
            </m:r>
          </m:sub>
        </m:sSub>
        <m:r>
          <w:rPr>
            <w:rFonts w:ascii="DejaVu Math TeX Gyre" w:hAnsi="DejaVu Math TeX Gyre" w:cs="Times New Roman Regular"/>
            <w:color w:val="auto"/>
          </w:rPr>
          <m:t>+</m:t>
        </m:r>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β</m:t>
            </m:r>
          </m:e>
          <m:sub>
            <m:r>
              <w:rPr>
                <w:rFonts w:ascii="DejaVu Math TeX Gyre" w:hAnsi="DejaVu Math TeX Gyre" w:cs="Times New Roman Regular"/>
                <w:color w:val="auto"/>
              </w:rPr>
              <m:t>4</m:t>
            </m:r>
          </m:sub>
        </m:sSub>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INF</m:t>
            </m:r>
          </m:e>
          <m:sub>
            <m:r>
              <w:rPr>
                <w:rFonts w:ascii="DejaVu Math TeX Gyre" w:hAnsi="DejaVu Math TeX Gyre" w:cs="Times New Roman Regular"/>
                <w:color w:val="auto"/>
              </w:rPr>
              <m:t>it</m:t>
            </m:r>
          </m:sub>
        </m:sSub>
        <m:r>
          <w:rPr>
            <w:rFonts w:ascii="DejaVu Math TeX Gyre" w:hAnsi="DejaVu Math TeX Gyre" w:cs="Times New Roman Regular"/>
            <w:color w:val="auto"/>
          </w:rPr>
          <m:t>+</m:t>
        </m:r>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β</m:t>
            </m:r>
          </m:e>
          <m:sub>
            <m:r>
              <w:rPr>
                <w:rFonts w:ascii="DejaVu Math TeX Gyre" w:hAnsi="DejaVu Math TeX Gyre" w:cs="Times New Roman Regular"/>
                <w:color w:val="auto"/>
              </w:rPr>
              <m:t>5</m:t>
            </m:r>
          </m:sub>
        </m:sSub>
        <m:sSub>
          <m:sSubPr>
            <m:ctrlPr>
              <w:rPr>
                <w:rFonts w:ascii="DejaVu Math TeX Gyre" w:hAnsi="DejaVu Math TeX Gyre" w:cs="Times New Roman Regular"/>
                <w:i/>
                <w:color w:val="auto"/>
              </w:rPr>
            </m:ctrlPr>
          </m:sSubPr>
          <m:e>
            <m:r>
              <w:rPr>
                <w:rFonts w:ascii="DejaVu Math TeX Gyre" w:hAnsi="DejaVu Math TeX Gyre" w:cs="Times New Roman Regular"/>
                <w:color w:val="auto"/>
              </w:rPr>
              <m:t>GDPG</m:t>
            </m:r>
          </m:e>
          <m:sub>
            <m:r>
              <w:rPr>
                <w:rFonts w:ascii="DejaVu Math TeX Gyre" w:hAnsi="DejaVu Math TeX Gyre" w:cs="Times New Roman Regular"/>
                <w:color w:val="auto"/>
              </w:rPr>
              <m:t>it</m:t>
            </m:r>
          </m:sub>
        </m:sSub>
        <m:r>
          <w:rPr>
            <w:rFonts w:ascii="DejaVu Math TeX Gyre" w:hAnsi="DejaVu Math TeX Gyre" w:cs="Times New Roman Regular"/>
            <w:color w:val="auto"/>
          </w:rPr>
          <m:t>+</m:t>
        </m:r>
      </m:oMath>
      <w:r w:rsidRPr="00F66E23">
        <w:rPr>
          <w:rFonts w:ascii="Times New Roman Regular" w:hAnsi="Times New Roman Regular" w:cs="Times New Roman Regular"/>
          <w:bCs/>
          <w:i/>
          <w:color w:val="auto"/>
        </w:rPr>
        <w:t xml:space="preserve"> </w:t>
      </w:r>
      <m:oMath>
        <m:sSub>
          <m:sSubPr>
            <m:ctrlPr>
              <w:rPr>
                <w:rFonts w:ascii="DejaVu Math TeX Gyre" w:hAnsi="DejaVu Math TeX Gyre" w:cs="Times New Roman Regular"/>
                <w:bCs/>
                <w:i/>
                <w:color w:val="auto"/>
              </w:rPr>
            </m:ctrlPr>
          </m:sSubPr>
          <m:e>
            <m:r>
              <w:rPr>
                <w:rFonts w:ascii="DejaVu Math TeX Gyre" w:hAnsi="DejaVu Math TeX Gyre" w:cs="Times New Roman Regular"/>
                <w:color w:val="auto"/>
              </w:rPr>
              <m:t>µ</m:t>
            </m:r>
          </m:e>
          <m:sub>
            <m:r>
              <w:rPr>
                <w:rFonts w:ascii="DejaVu Math TeX Gyre" w:hAnsi="DejaVu Math TeX Gyre" w:cs="Times New Roman Regular"/>
                <w:color w:val="auto"/>
              </w:rPr>
              <m:t>it</m:t>
            </m:r>
          </m:sub>
        </m:sSub>
      </m:oMath>
    </w:p>
    <w:p w14:paraId="2176F4C5" w14:textId="77777777" w:rsidR="004470EC" w:rsidRPr="00F66E23" w:rsidRDefault="00000000">
      <w:pPr>
        <w:spacing w:line="360" w:lineRule="auto"/>
        <w:contextualSpacing/>
        <w:jc w:val="both"/>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Where:</w:t>
      </w:r>
    </w:p>
    <w:p w14:paraId="6B98E369" w14:textId="77777777" w:rsidR="004470EC" w:rsidRPr="00F66E23" w:rsidRDefault="00000000">
      <w:pPr>
        <w:spacing w:line="360" w:lineRule="auto"/>
        <w:contextualSpacing/>
        <w:jc w:val="both"/>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BFP = Bank Financial Performance (proxied by NIM, ROE, ROA and LTA by an index using PCA)</w:t>
      </w:r>
    </w:p>
    <w:p w14:paraId="635915AC" w14:textId="77777777" w:rsidR="004470EC" w:rsidRPr="00F66E23" w:rsidRDefault="00000000">
      <w:pPr>
        <w:spacing w:line="360" w:lineRule="auto"/>
        <w:contextualSpacing/>
        <w:jc w:val="both"/>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CRI = Climate Risk (proxied by climate risk index)</w:t>
      </w:r>
    </w:p>
    <w:p w14:paraId="6BA1624A" w14:textId="77777777" w:rsidR="004470EC" w:rsidRPr="00F66E23" w:rsidRDefault="00000000">
      <w:pPr>
        <w:spacing w:line="360" w:lineRule="auto"/>
        <w:contextualSpacing/>
        <w:jc w:val="both"/>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LV = Bank Leverage (proxied by bank’s debt to equity ratio)</w:t>
      </w:r>
    </w:p>
    <w:p w14:paraId="2944A5EC" w14:textId="77777777" w:rsidR="004470EC" w:rsidRPr="00F66E23" w:rsidRDefault="00000000">
      <w:pPr>
        <w:spacing w:line="360" w:lineRule="auto"/>
        <w:contextualSpacing/>
        <w:jc w:val="both"/>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 xml:space="preserve">Bs = Bank Size (proxied by natural logarithm of bank’s total assets) </w:t>
      </w:r>
    </w:p>
    <w:p w14:paraId="499E1E15" w14:textId="77777777" w:rsidR="004470EC" w:rsidRPr="00F66E23" w:rsidRDefault="00000000">
      <w:pPr>
        <w:spacing w:line="360" w:lineRule="auto"/>
        <w:contextualSpacing/>
        <w:jc w:val="both"/>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 xml:space="preserve">INF = Inflation (proxied by annual consumer price index) </w:t>
      </w:r>
    </w:p>
    <w:p w14:paraId="51F4F32E" w14:textId="77777777" w:rsidR="004470EC" w:rsidRPr="00F66E23" w:rsidRDefault="00000000">
      <w:pPr>
        <w:spacing w:line="360" w:lineRule="auto"/>
        <w:contextualSpacing/>
        <w:jc w:val="both"/>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 xml:space="preserve">GDPG = Economic Growth (real GDP growth) </w:t>
      </w:r>
    </w:p>
    <w:p w14:paraId="3D220699" w14:textId="77777777" w:rsidR="004470EC" w:rsidRPr="00F66E23" w:rsidRDefault="00000000">
      <w:pPr>
        <w:pStyle w:val="Default"/>
        <w:spacing w:line="360" w:lineRule="auto"/>
        <w:contextualSpacing/>
        <w:jc w:val="both"/>
        <w:rPr>
          <w:rFonts w:ascii="Times New Roman Regular" w:hAnsi="Times New Roman Regular" w:cs="Times New Roman Regular"/>
          <w:color w:val="auto"/>
        </w:rPr>
      </w:pPr>
      <w:r w:rsidRPr="00F66E23">
        <w:lastRenderedPageBreak/>
        <w:t>β</w:t>
      </w:r>
      <w:proofErr w:type="spellStart"/>
      <w:r w:rsidRPr="00F66E23">
        <w:t>i</w:t>
      </w:r>
      <w:proofErr w:type="spellEnd"/>
      <w:r w:rsidRPr="00F66E23">
        <w:t xml:space="preserve">, where </w:t>
      </w:r>
      <w:proofErr w:type="spellStart"/>
      <w:r w:rsidRPr="00F66E23">
        <w:t>i</w:t>
      </w:r>
      <w:proofErr w:type="spellEnd"/>
      <w:r w:rsidRPr="00F66E23">
        <w:t xml:space="preserve"> = 1, 2, 3, 4 and 5, represents the coefficients of the explanatory variables of the model, and</w:t>
      </w:r>
    </w:p>
    <w:p w14:paraId="5D640215" w14:textId="77777777" w:rsidR="004470EC" w:rsidRPr="00F66E23" w:rsidRDefault="00000000">
      <w:pPr>
        <w:spacing w:line="360" w:lineRule="auto"/>
        <w:contextualSpacing/>
        <w:jc w:val="both"/>
        <w:rPr>
          <w:rFonts w:ascii="Times New Roman Regular" w:hAnsi="Times New Roman Regular" w:cs="Times New Roman Regular"/>
          <w:sz w:val="24"/>
          <w:szCs w:val="24"/>
        </w:rPr>
      </w:pPr>
      <m:oMath>
        <m:sSub>
          <m:sSubPr>
            <m:ctrlPr>
              <w:rPr>
                <w:rFonts w:ascii="DejaVu Math TeX Gyre" w:hAnsi="DejaVu Math TeX Gyre" w:cs="Times New Roman Regular"/>
                <w:bCs/>
                <w:i/>
                <w:sz w:val="24"/>
                <w:szCs w:val="24"/>
              </w:rPr>
            </m:ctrlPr>
          </m:sSubPr>
          <m:e>
            <m:r>
              <w:rPr>
                <w:rFonts w:ascii="DejaVu Math TeX Gyre" w:hAnsi="DejaVu Math TeX Gyre" w:cs="Times New Roman Regular"/>
                <w:sz w:val="24"/>
                <w:szCs w:val="24"/>
              </w:rPr>
              <m:t>µ</m:t>
            </m:r>
          </m:e>
          <m:sub>
            <m:r>
              <w:rPr>
                <w:rFonts w:ascii="DejaVu Math TeX Gyre" w:hAnsi="DejaVu Math TeX Gyre" w:cs="Times New Roman Regular"/>
                <w:sz w:val="24"/>
                <w:szCs w:val="24"/>
              </w:rPr>
              <m:t>it</m:t>
            </m:r>
          </m:sub>
        </m:sSub>
      </m:oMath>
      <w:r w:rsidRPr="00F66E23">
        <w:t>= the error term.</w:t>
      </w:r>
    </w:p>
    <w:p w14:paraId="60B0CC0C" w14:textId="77777777" w:rsidR="004470EC" w:rsidRPr="00F66E23" w:rsidRDefault="004470EC">
      <w:pPr>
        <w:autoSpaceDE w:val="0"/>
        <w:autoSpaceDN w:val="0"/>
        <w:adjustRightInd w:val="0"/>
        <w:spacing w:line="360" w:lineRule="auto"/>
        <w:jc w:val="both"/>
        <w:rPr>
          <w:rFonts w:ascii="Times New Roman Regular" w:hAnsi="Times New Roman Regular" w:cs="Times New Roman Regular"/>
          <w:b/>
          <w:bCs/>
          <w:sz w:val="24"/>
          <w:szCs w:val="24"/>
        </w:rPr>
      </w:pPr>
    </w:p>
    <w:p w14:paraId="7990E231" w14:textId="77777777" w:rsidR="004470EC" w:rsidRPr="00F66E23" w:rsidRDefault="00000000">
      <w:pPr>
        <w:autoSpaceDE w:val="0"/>
        <w:autoSpaceDN w:val="0"/>
        <w:adjustRightInd w:val="0"/>
        <w:spacing w:line="360" w:lineRule="auto"/>
        <w:jc w:val="both"/>
        <w:rPr>
          <w:rFonts w:ascii="Times New Roman Regular" w:eastAsia="Times New Roman" w:hAnsi="Times New Roman Regular" w:cs="Times New Roman Regular"/>
          <w:bCs/>
          <w:sz w:val="24"/>
          <w:szCs w:val="24"/>
        </w:rPr>
      </w:pPr>
      <w:r w:rsidRPr="00F66E23">
        <w:rPr>
          <w:rFonts w:ascii="Times New Roman Regular" w:hAnsi="Times New Roman Regular" w:cs="Times New Roman Regular"/>
          <w:b/>
          <w:bCs/>
          <w:sz w:val="24"/>
          <w:szCs w:val="24"/>
        </w:rPr>
        <w:t>4.0 Discussion of Results</w:t>
      </w:r>
    </w:p>
    <w:p w14:paraId="464258FA" w14:textId="77777777" w:rsidR="004470EC" w:rsidRPr="00F66E23" w:rsidRDefault="00000000">
      <w:pPr>
        <w:pStyle w:val="Heading1"/>
        <w:spacing w:line="360" w:lineRule="auto"/>
        <w:rPr>
          <w:rFonts w:ascii="Times New Roman Regular" w:hAnsi="Times New Roman Regular" w:cs="Times New Roman Regular"/>
          <w:sz w:val="24"/>
          <w:szCs w:val="24"/>
        </w:rPr>
      </w:pPr>
      <w:bookmarkStart w:id="17" w:name="_Toc156569135"/>
      <w:r w:rsidRPr="00F66E23">
        <w:rPr>
          <w:rFonts w:ascii="Times New Roman Regular" w:hAnsi="Times New Roman Regular" w:cs="Times New Roman Regular"/>
          <w:sz w:val="24"/>
          <w:szCs w:val="24"/>
        </w:rPr>
        <w:t>4.1 Principal Component Analysis</w:t>
      </w:r>
      <w:bookmarkEnd w:id="17"/>
      <w:r w:rsidRPr="00F66E23">
        <w:rPr>
          <w:rFonts w:ascii="Times New Roman Regular" w:hAnsi="Times New Roman Regular" w:cs="Times New Roman Regular"/>
          <w:sz w:val="24"/>
          <w:szCs w:val="24"/>
        </w:rPr>
        <w:t xml:space="preserve"> </w:t>
      </w:r>
    </w:p>
    <w:p w14:paraId="7A5C4D4D" w14:textId="77777777" w:rsidR="004470EC" w:rsidRPr="00F66E23" w:rsidRDefault="00000000">
      <w:pPr>
        <w:autoSpaceDE w:val="0"/>
        <w:autoSpaceDN w:val="0"/>
        <w:adjustRightInd w:val="0"/>
        <w:spacing w:line="360" w:lineRule="auto"/>
        <w:jc w:val="both"/>
        <w:rPr>
          <w:rFonts w:ascii="Times New Roman Regular" w:hAnsi="Times New Roman Regular" w:cs="Times New Roman Regular"/>
          <w:sz w:val="24"/>
          <w:szCs w:val="24"/>
        </w:rPr>
      </w:pPr>
      <w:r w:rsidRPr="00F66E23">
        <w:t xml:space="preserve">Principal Component Analysis (PCA) is the generic term for a method that leverages advanced underlying mathematical concepts to reduce a number of potentially linked variables into a smaller number of uncorrelated variables known as principal components (Wu, Massart, &amp; de Jong, 1997; Mishra et al., 2017; Ben Salem, 2021). PCA uses a vector-space transform to reduce the dimensionality of large datasets (Cao et al., 2003). Principal component analysis was used to create a single financial performance index and institutional quality index consistent with earlier research. This is required because there was no agreement in the literature on a single most acceptable variable for measuring financial success. It is necessary because </w:t>
      </w:r>
      <w:proofErr w:type="spellStart"/>
      <w:r w:rsidRPr="00F66E23">
        <w:t>utilising</w:t>
      </w:r>
      <w:proofErr w:type="spellEnd"/>
      <w:r w:rsidRPr="00F66E23">
        <w:t xml:space="preserve"> the different variables independently may not have sufficiently captured and shown the financial performance status of the chosen listed institutions.</w:t>
      </w:r>
    </w:p>
    <w:p w14:paraId="420E850C" w14:textId="77777777" w:rsidR="004470EC" w:rsidRPr="00F66E23" w:rsidRDefault="004470EC">
      <w:pPr>
        <w:autoSpaceDE w:val="0"/>
        <w:autoSpaceDN w:val="0"/>
        <w:adjustRightInd w:val="0"/>
        <w:spacing w:line="360" w:lineRule="auto"/>
        <w:jc w:val="both"/>
        <w:rPr>
          <w:rFonts w:ascii="Times New Roman Regular" w:hAnsi="Times New Roman Regular" w:cs="Times New Roman Regular"/>
          <w:sz w:val="24"/>
          <w:szCs w:val="24"/>
        </w:rPr>
      </w:pPr>
    </w:p>
    <w:p w14:paraId="421303C9" w14:textId="77777777" w:rsidR="004470EC" w:rsidRPr="00F66E23" w:rsidRDefault="00000000">
      <w:pPr>
        <w:pStyle w:val="Heading1"/>
        <w:spacing w:line="360" w:lineRule="auto"/>
        <w:rPr>
          <w:rFonts w:ascii="Times New Roman Regular" w:hAnsi="Times New Roman Regular" w:cs="Times New Roman Regular"/>
          <w:sz w:val="24"/>
          <w:szCs w:val="24"/>
        </w:rPr>
      </w:pPr>
      <w:bookmarkStart w:id="18" w:name="_Toc156569136"/>
      <w:r w:rsidRPr="00F66E23">
        <w:rPr>
          <w:rFonts w:ascii="Times New Roman Regular" w:hAnsi="Times New Roman Regular" w:cs="Times New Roman Regular"/>
          <w:sz w:val="24"/>
          <w:szCs w:val="24"/>
        </w:rPr>
        <w:t>4.1.1 Financial Performance Index (FINP)</w:t>
      </w:r>
      <w:bookmarkEnd w:id="18"/>
    </w:p>
    <w:p w14:paraId="6E851B78" w14:textId="77777777" w:rsidR="004470EC" w:rsidRPr="00F66E23" w:rsidRDefault="00000000">
      <w:pPr>
        <w:autoSpaceDE w:val="0"/>
        <w:autoSpaceDN w:val="0"/>
        <w:adjustRightInd w:val="0"/>
        <w:spacing w:line="360" w:lineRule="auto"/>
        <w:jc w:val="both"/>
        <w:rPr>
          <w:rFonts w:ascii="Times New Roman Regular" w:hAnsi="Times New Roman Regular" w:cs="Times New Roman Regular"/>
          <w:sz w:val="24"/>
          <w:szCs w:val="24"/>
        </w:rPr>
      </w:pPr>
      <w:r w:rsidRPr="00F66E23"/>
      <w:proofErr w:type="spellStart"/>
      <w:r w:rsidRPr="00F66E23"/>
      <w:proofErr w:type="spellEnd"/>
      <w:r w:rsidRPr="00F66E23"/>
      <w:r>
        <w:rPr/>
        <w:t>The financial performance indicators used in the principal component analysis include net interest margin (NIM), return on assets (ROA), return on equity (ROE), and liquid assets to total assets ratio (LTA). The eigenvalues of the variable variance matrix are calculated in order to perform principal component analysis. According to the literature, the classical cut-off value for eigenvalues is 1 (Kaiser, 1960). An eigenvalue of less than one is less efficient in terms of information than the average single variable. Table 1 displays the eigenvalues of the correlation matrix of the four (4) different indicators that were used to generate the financial performance index (FINP). The total of the eigenvalues is equal to the number of individual indicators. The first principal component explains the highest variance of 51.69% in all the individual indicators, with an eigenvalue of 2.0678. The second principal component explains a variance of 25.84%, with an eigenvalue of 1.0338. The third and fourth principal components had eigenvalues less than 1 and, therefore, cannot be accepted. The first two principal components (PC1 and PC2) are relevant measures of financial performance, as they explain a total of 77.54% of the variance and also have eigenvalues greater than the threshold value of 1. The first two principal components were used to generate an index for financial performance in conformance with prior literature.</w:t>
      </w:r>
    </w:p>
    <w:p w14:paraId="037BC88D" w14:textId="77777777" w:rsidR="004470EC" w:rsidRPr="00F66E23" w:rsidRDefault="004470EC">
      <w:pPr>
        <w:autoSpaceDE w:val="0"/>
        <w:autoSpaceDN w:val="0"/>
        <w:adjustRightInd w:val="0"/>
        <w:spacing w:line="360" w:lineRule="auto"/>
        <w:jc w:val="both"/>
        <w:rPr>
          <w:rFonts w:ascii="Times New Roman Regular" w:hAnsi="Times New Roman Regular" w:cs="Times New Roman Regular"/>
          <w:sz w:val="24"/>
          <w:szCs w:val="24"/>
        </w:rPr>
      </w:pPr>
    </w:p>
    <w:p w14:paraId="3EC989BC" w14:textId="77777777" w:rsidR="004470EC" w:rsidRPr="00F66E23" w:rsidRDefault="00000000">
      <w:pPr>
        <w:pStyle w:val="Heading1"/>
        <w:spacing w:line="360" w:lineRule="auto"/>
        <w:rPr>
          <w:rFonts w:ascii="Times New Roman Regular" w:hAnsi="Times New Roman Regular" w:cs="Times New Roman Regular"/>
          <w:sz w:val="24"/>
          <w:szCs w:val="24"/>
          <w:lang w:val="fr-FR"/>
        </w:rPr>
      </w:pPr>
      <w:bookmarkStart w:id="19" w:name="_Toc156569137"/>
      <w:r w:rsidRPr="00F66E23">
        <w:rPr>
          <w:rFonts w:ascii="Times New Roman Regular" w:hAnsi="Times New Roman Regular" w:cs="Times New Roman Regular"/>
          <w:sz w:val="24"/>
          <w:szCs w:val="24"/>
        </w:rPr>
        <w:t xml:space="preserve">Table 1: Eigen </w:t>
      </w:r>
      <w:r w:rsidRPr="00F66E23">
        <w:rPr>
          <w:rFonts w:ascii="Times New Roman Regular" w:hAnsi="Times New Roman Regular" w:cs="Times New Roman Regular"/>
          <w:sz w:val="24"/>
          <w:szCs w:val="24"/>
          <w:lang w:val="fr-FR"/>
        </w:rPr>
        <w:t xml:space="preserve">Values: Financial Performance </w:t>
      </w:r>
      <w:proofErr w:type="spellStart"/>
      <w:r w:rsidRPr="00F66E23">
        <w:rPr>
          <w:rFonts w:ascii="Times New Roman Regular" w:hAnsi="Times New Roman Regular" w:cs="Times New Roman Regular"/>
          <w:sz w:val="24"/>
          <w:szCs w:val="24"/>
          <w:lang w:val="fr-FR"/>
        </w:rPr>
        <w:t>Indicators</w:t>
      </w:r>
      <w:bookmarkEnd w:id="19"/>
      <w:proofErr w:type="spellEnd"/>
    </w:p>
    <w:tbl>
      <w:tblPr>
        <w:tblW w:w="9360" w:type="dxa"/>
        <w:tblLook w:val="04A0" w:firstRow="1" w:lastRow="0" w:firstColumn="1" w:lastColumn="0" w:noHBand="0" w:noVBand="1"/>
      </w:tblPr>
      <w:tblGrid>
        <w:gridCol w:w="2759"/>
        <w:gridCol w:w="1494"/>
        <w:gridCol w:w="2693"/>
        <w:gridCol w:w="2414"/>
      </w:tblGrid>
      <w:tr w:rsidR="004470EC" w:rsidRPr="00F66E23" w14:paraId="5FA35470" w14:textId="77777777">
        <w:trPr>
          <w:trHeight w:val="625"/>
        </w:trPr>
        <w:tc>
          <w:tcPr>
            <w:tcW w:w="2759" w:type="dxa"/>
            <w:tcBorders>
              <w:top w:val="single" w:sz="4" w:space="0" w:color="auto"/>
              <w:left w:val="nil"/>
              <w:bottom w:val="single" w:sz="8" w:space="0" w:color="auto"/>
              <w:right w:val="nil"/>
            </w:tcBorders>
            <w:noWrap/>
            <w:vAlign w:val="bottom"/>
          </w:tcPr>
          <w:p w14:paraId="54B5DA32" w14:textId="77777777" w:rsidR="004470EC" w:rsidRPr="00F66E23" w:rsidRDefault="00000000">
            <w:pPr>
              <w:spacing w:line="360" w:lineRule="auto"/>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 xml:space="preserve">Principal Component </w:t>
            </w:r>
          </w:p>
        </w:tc>
        <w:tc>
          <w:tcPr>
            <w:tcW w:w="1494" w:type="dxa"/>
            <w:tcBorders>
              <w:top w:val="single" w:sz="4" w:space="0" w:color="auto"/>
              <w:left w:val="nil"/>
              <w:bottom w:val="single" w:sz="8" w:space="0" w:color="auto"/>
              <w:right w:val="nil"/>
            </w:tcBorders>
            <w:noWrap/>
            <w:vAlign w:val="bottom"/>
          </w:tcPr>
          <w:p w14:paraId="5F809564" w14:textId="77777777" w:rsidR="004470EC" w:rsidRPr="00F66E23" w:rsidRDefault="00000000">
            <w:pPr>
              <w:spacing w:line="360" w:lineRule="auto"/>
              <w:jc w:val="center"/>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Eigenvalue</w:t>
            </w:r>
          </w:p>
        </w:tc>
        <w:tc>
          <w:tcPr>
            <w:tcW w:w="2693" w:type="dxa"/>
            <w:tcBorders>
              <w:top w:val="single" w:sz="4" w:space="0" w:color="auto"/>
              <w:left w:val="nil"/>
              <w:bottom w:val="single" w:sz="8" w:space="0" w:color="auto"/>
              <w:right w:val="nil"/>
            </w:tcBorders>
            <w:noWrap/>
            <w:vAlign w:val="bottom"/>
          </w:tcPr>
          <w:p w14:paraId="62F00660" w14:textId="77777777" w:rsidR="004470EC" w:rsidRPr="00F66E23" w:rsidRDefault="00000000">
            <w:pPr>
              <w:spacing w:line="360" w:lineRule="auto"/>
              <w:jc w:val="center"/>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Proportion of Variance</w:t>
            </w:r>
          </w:p>
        </w:tc>
        <w:tc>
          <w:tcPr>
            <w:tcW w:w="2414" w:type="dxa"/>
            <w:tcBorders>
              <w:top w:val="single" w:sz="4" w:space="0" w:color="auto"/>
              <w:left w:val="nil"/>
              <w:bottom w:val="single" w:sz="8" w:space="0" w:color="auto"/>
              <w:right w:val="nil"/>
            </w:tcBorders>
            <w:noWrap/>
            <w:vAlign w:val="bottom"/>
          </w:tcPr>
          <w:p w14:paraId="2D31840B" w14:textId="77777777" w:rsidR="004470EC" w:rsidRPr="00F66E23" w:rsidRDefault="00000000">
            <w:pPr>
              <w:spacing w:line="360" w:lineRule="auto"/>
              <w:jc w:val="center"/>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Cumulative Proportion</w:t>
            </w:r>
          </w:p>
        </w:tc>
      </w:tr>
      <w:tr w:rsidR="004470EC" w:rsidRPr="00F66E23" w14:paraId="02D3D854" w14:textId="77777777">
        <w:trPr>
          <w:trHeight w:val="589"/>
        </w:trPr>
        <w:tc>
          <w:tcPr>
            <w:tcW w:w="2759" w:type="dxa"/>
            <w:tcBorders>
              <w:top w:val="nil"/>
              <w:left w:val="nil"/>
              <w:bottom w:val="nil"/>
              <w:right w:val="nil"/>
            </w:tcBorders>
            <w:noWrap/>
            <w:vAlign w:val="bottom"/>
          </w:tcPr>
          <w:p w14:paraId="17EB409B"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lastRenderedPageBreak/>
              <w:t>PC 1</w:t>
            </w:r>
          </w:p>
        </w:tc>
        <w:tc>
          <w:tcPr>
            <w:tcW w:w="1494" w:type="dxa"/>
            <w:tcBorders>
              <w:top w:val="nil"/>
              <w:left w:val="nil"/>
              <w:bottom w:val="nil"/>
              <w:right w:val="nil"/>
            </w:tcBorders>
            <w:noWrap/>
            <w:vAlign w:val="bottom"/>
          </w:tcPr>
          <w:p w14:paraId="371A2DB6"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2.0678</w:t>
            </w:r>
          </w:p>
        </w:tc>
        <w:tc>
          <w:tcPr>
            <w:tcW w:w="2693" w:type="dxa"/>
            <w:tcBorders>
              <w:top w:val="nil"/>
              <w:left w:val="nil"/>
              <w:bottom w:val="nil"/>
              <w:right w:val="nil"/>
            </w:tcBorders>
            <w:noWrap/>
            <w:vAlign w:val="bottom"/>
          </w:tcPr>
          <w:p w14:paraId="025869D3"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0.5169</w:t>
            </w:r>
          </w:p>
        </w:tc>
        <w:tc>
          <w:tcPr>
            <w:tcW w:w="2414" w:type="dxa"/>
            <w:tcBorders>
              <w:top w:val="nil"/>
              <w:left w:val="nil"/>
              <w:bottom w:val="nil"/>
              <w:right w:val="nil"/>
            </w:tcBorders>
            <w:noWrap/>
            <w:vAlign w:val="bottom"/>
          </w:tcPr>
          <w:p w14:paraId="14E07ACD"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0.5169</w:t>
            </w:r>
          </w:p>
        </w:tc>
      </w:tr>
      <w:tr w:rsidR="004470EC" w:rsidRPr="00F66E23" w14:paraId="0700447F" w14:textId="77777777">
        <w:trPr>
          <w:trHeight w:val="589"/>
        </w:trPr>
        <w:tc>
          <w:tcPr>
            <w:tcW w:w="2759" w:type="dxa"/>
            <w:tcBorders>
              <w:top w:val="nil"/>
              <w:left w:val="nil"/>
              <w:bottom w:val="nil"/>
              <w:right w:val="nil"/>
            </w:tcBorders>
            <w:noWrap/>
            <w:vAlign w:val="bottom"/>
          </w:tcPr>
          <w:p w14:paraId="141ECE6F"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PC 2</w:t>
            </w:r>
          </w:p>
        </w:tc>
        <w:tc>
          <w:tcPr>
            <w:tcW w:w="1494" w:type="dxa"/>
            <w:tcBorders>
              <w:top w:val="nil"/>
              <w:left w:val="nil"/>
              <w:bottom w:val="nil"/>
              <w:right w:val="nil"/>
            </w:tcBorders>
            <w:noWrap/>
            <w:vAlign w:val="bottom"/>
          </w:tcPr>
          <w:p w14:paraId="7CE2297A"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1.0338</w:t>
            </w:r>
          </w:p>
        </w:tc>
        <w:tc>
          <w:tcPr>
            <w:tcW w:w="2693" w:type="dxa"/>
            <w:tcBorders>
              <w:top w:val="nil"/>
              <w:left w:val="nil"/>
              <w:bottom w:val="nil"/>
              <w:right w:val="nil"/>
            </w:tcBorders>
            <w:noWrap/>
            <w:vAlign w:val="bottom"/>
          </w:tcPr>
          <w:p w14:paraId="0B5E2429"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0.2584</w:t>
            </w:r>
          </w:p>
        </w:tc>
        <w:tc>
          <w:tcPr>
            <w:tcW w:w="2414" w:type="dxa"/>
            <w:tcBorders>
              <w:top w:val="nil"/>
              <w:left w:val="nil"/>
              <w:bottom w:val="nil"/>
              <w:right w:val="nil"/>
            </w:tcBorders>
            <w:noWrap/>
            <w:vAlign w:val="bottom"/>
          </w:tcPr>
          <w:p w14:paraId="359DEFAB"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0.7754</w:t>
            </w:r>
          </w:p>
        </w:tc>
      </w:tr>
      <w:tr w:rsidR="004470EC" w:rsidRPr="00F66E23" w14:paraId="61385451" w14:textId="77777777">
        <w:trPr>
          <w:trHeight w:val="589"/>
        </w:trPr>
        <w:tc>
          <w:tcPr>
            <w:tcW w:w="2759" w:type="dxa"/>
            <w:tcBorders>
              <w:top w:val="nil"/>
              <w:left w:val="nil"/>
              <w:bottom w:val="nil"/>
              <w:right w:val="nil"/>
            </w:tcBorders>
            <w:noWrap/>
            <w:vAlign w:val="bottom"/>
          </w:tcPr>
          <w:p w14:paraId="305079A7"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PC 3</w:t>
            </w:r>
          </w:p>
        </w:tc>
        <w:tc>
          <w:tcPr>
            <w:tcW w:w="1494" w:type="dxa"/>
            <w:tcBorders>
              <w:top w:val="nil"/>
              <w:left w:val="nil"/>
              <w:bottom w:val="nil"/>
              <w:right w:val="nil"/>
            </w:tcBorders>
            <w:noWrap/>
            <w:vAlign w:val="bottom"/>
          </w:tcPr>
          <w:p w14:paraId="1A57DA61"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0.6313</w:t>
            </w:r>
          </w:p>
        </w:tc>
        <w:tc>
          <w:tcPr>
            <w:tcW w:w="2693" w:type="dxa"/>
            <w:tcBorders>
              <w:top w:val="nil"/>
              <w:left w:val="nil"/>
              <w:bottom w:val="nil"/>
              <w:right w:val="nil"/>
            </w:tcBorders>
            <w:noWrap/>
            <w:vAlign w:val="bottom"/>
          </w:tcPr>
          <w:p w14:paraId="3761857E"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0.1578</w:t>
            </w:r>
          </w:p>
        </w:tc>
        <w:tc>
          <w:tcPr>
            <w:tcW w:w="2414" w:type="dxa"/>
            <w:tcBorders>
              <w:top w:val="nil"/>
              <w:left w:val="nil"/>
              <w:bottom w:val="nil"/>
              <w:right w:val="nil"/>
            </w:tcBorders>
            <w:noWrap/>
            <w:vAlign w:val="bottom"/>
          </w:tcPr>
          <w:p w14:paraId="334B0CD7"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0.9332</w:t>
            </w:r>
          </w:p>
        </w:tc>
      </w:tr>
      <w:tr w:rsidR="004470EC" w:rsidRPr="00F66E23" w14:paraId="4336140B" w14:textId="77777777">
        <w:trPr>
          <w:trHeight w:val="625"/>
        </w:trPr>
        <w:tc>
          <w:tcPr>
            <w:tcW w:w="2759" w:type="dxa"/>
            <w:tcBorders>
              <w:top w:val="nil"/>
              <w:left w:val="nil"/>
              <w:bottom w:val="single" w:sz="8" w:space="0" w:color="auto"/>
              <w:right w:val="nil"/>
            </w:tcBorders>
            <w:noWrap/>
            <w:vAlign w:val="bottom"/>
          </w:tcPr>
          <w:p w14:paraId="49079AD1"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PC 4</w:t>
            </w:r>
          </w:p>
        </w:tc>
        <w:tc>
          <w:tcPr>
            <w:tcW w:w="1494" w:type="dxa"/>
            <w:tcBorders>
              <w:top w:val="nil"/>
              <w:left w:val="nil"/>
              <w:bottom w:val="single" w:sz="8" w:space="0" w:color="auto"/>
              <w:right w:val="nil"/>
            </w:tcBorders>
            <w:noWrap/>
            <w:vAlign w:val="bottom"/>
          </w:tcPr>
          <w:p w14:paraId="43CB1346"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0.2671</w:t>
            </w:r>
          </w:p>
        </w:tc>
        <w:tc>
          <w:tcPr>
            <w:tcW w:w="2693" w:type="dxa"/>
            <w:tcBorders>
              <w:top w:val="nil"/>
              <w:left w:val="nil"/>
              <w:bottom w:val="single" w:sz="8" w:space="0" w:color="auto"/>
              <w:right w:val="nil"/>
            </w:tcBorders>
            <w:noWrap/>
            <w:vAlign w:val="bottom"/>
          </w:tcPr>
          <w:p w14:paraId="60AF4BFB"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0.0668</w:t>
            </w:r>
          </w:p>
        </w:tc>
        <w:tc>
          <w:tcPr>
            <w:tcW w:w="2414" w:type="dxa"/>
            <w:tcBorders>
              <w:top w:val="nil"/>
              <w:left w:val="nil"/>
              <w:bottom w:val="single" w:sz="8" w:space="0" w:color="auto"/>
              <w:right w:val="nil"/>
            </w:tcBorders>
            <w:noWrap/>
            <w:vAlign w:val="bottom"/>
          </w:tcPr>
          <w:p w14:paraId="4002B712"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1.0000</w:t>
            </w:r>
          </w:p>
        </w:tc>
      </w:tr>
    </w:tbl>
    <w:p w14:paraId="0CABB00F" w14:textId="77777777" w:rsidR="004470EC" w:rsidRPr="00F66E23" w:rsidRDefault="00000000">
      <w:pPr>
        <w:autoSpaceDE w:val="0"/>
        <w:autoSpaceDN w:val="0"/>
        <w:adjustRightInd w:val="0"/>
        <w:spacing w:line="360" w:lineRule="auto"/>
        <w:jc w:val="both"/>
        <w:rPr>
          <w:rFonts w:ascii="Times New Roman Regular" w:hAnsi="Times New Roman Regular" w:cs="Times New Roman Regular"/>
          <w:b/>
          <w:bCs/>
          <w:sz w:val="24"/>
          <w:szCs w:val="24"/>
        </w:rPr>
      </w:pPr>
      <w:r w:rsidRPr="00F66E23">
        <w:t>Source: Researcher's Own Construction (2026).</w:t>
      </w:r>
    </w:p>
    <w:p w14:paraId="318DDC8F" w14:textId="77777777" w:rsidR="004470EC" w:rsidRPr="00F66E23" w:rsidRDefault="004470EC">
      <w:pPr>
        <w:spacing w:line="360" w:lineRule="auto"/>
        <w:rPr>
          <w:rFonts w:ascii="Times New Roman Regular" w:eastAsia="Times New Roman" w:hAnsi="Times New Roman Regular" w:cs="Times New Roman Regular"/>
          <w:bCs/>
          <w:sz w:val="24"/>
          <w:szCs w:val="24"/>
        </w:rPr>
      </w:pPr>
    </w:p>
    <w:p w14:paraId="2A531AC4" w14:textId="77777777" w:rsidR="004470EC" w:rsidRPr="00F66E23" w:rsidRDefault="00000000">
      <w:pPr>
        <w:pStyle w:val="Heading1"/>
        <w:spacing w:line="360" w:lineRule="auto"/>
        <w:rPr>
          <w:rFonts w:ascii="Times New Roman Regular" w:hAnsi="Times New Roman Regular" w:cs="Times New Roman Regular"/>
          <w:sz w:val="24"/>
          <w:szCs w:val="24"/>
        </w:rPr>
      </w:pPr>
      <w:bookmarkStart w:id="20" w:name="_Toc156569140"/>
      <w:bookmarkEnd w:id="20"/>
      <w:r w:rsidRPr="00F66E23">
        <w:t>This section reports the descriptive statistics of the variables under consideration. The descriptive statistics presented in this section include the total number of observations, maximum value, minimum value, mean, and standard deviation of all the variables employed in this study. Table 2 displays the descriptive statistics for each variable. The total number of observations for the study, as indicated in the table, is 150. As shown in Table 2, the maximum and minimum values of the financial performance index (FINP) were 2.67 and -4.48, respectively, with a mean value of 0.92. The mean value of 0.92 represents the average financial performance index for the selected licensed commercial banks for the study. The standard deviation indicated in Table 2 for the financial performance index is 0.73. This implies that the values of the financial performance index are minimally dispersed from their mean. From Table 2, the maximum and minimum values for the climate risk index (CRI) are 126.17 and 23.30, respectively, while the mean value of the climate risk index (CRI) is 66.64. The standard deviation of the climate risk index (CRI) is 26.84. As shown in Table 1, the institutional quality index (IQ) has maximum and minimum indices of 1.51 and -1.85. The mean value of the institutional quality index is 0.0020, indicating that the values of the institutional quality index are not distant from the mean. As indicated in Table 1, the control variables, namely bank size (BZ), leverage (LEV), economic growth (GDPG), and inflation (INFR), have averages of 8.70%, 7.36%, 6.13%, and 12.40%, respectively. The standard deviations of the control variables shown in Table 1 indicate that the values of bank size (BZ), leverage (LEV), economic growth (GDPG), and inflation (INFR) are close to their means.</w:t>
      </w:r>
    </w:p>
    <w:p w14:paraId="51368940" w14:textId="77777777" w:rsidR="004470EC" w:rsidRPr="00F66E23" w:rsidRDefault="00000000">
      <w:pPr>
        <w:autoSpaceDE w:val="0"/>
        <w:autoSpaceDN w:val="0"/>
        <w:adjustRightInd w:val="0"/>
        <w:spacing w:line="360" w:lineRule="auto"/>
        <w:jc w:val="both"/>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 xml:space="preserve">This section reports on the descriptive statistics of the variables under consideration. The descriptive statistics presented in this section include total number of observations, maximum value, minimum value, mean, and standard deviation of all the variables employed in this study. Table 2 displays the descriptive statistics for each variable. The total number of observations for the study as indicated on the table is 150.  As shown in Table2, the maximum and minimum values of the financial performance index (FINP) were 2.67 and -4.48 respectively, with the mean value of 0.92. The mean value of 0.92 represents the average financial performance index for the selected licensed commercial banks for the study. The standard deviations as </w:t>
      </w:r>
      <w:r w:rsidRPr="00F66E23">
        <w:rPr>
          <w:rFonts w:ascii="Times New Roman Regular" w:hAnsi="Times New Roman Regular" w:cs="Times New Roman Regular"/>
          <w:sz w:val="24"/>
          <w:szCs w:val="24"/>
        </w:rPr>
        <w:lastRenderedPageBreak/>
        <w:t xml:space="preserve">indicated in Table 2 for financial performance index is 0.73. This implies that the values of financial performance index are minimally dispersed from its mean. </w:t>
      </w:r>
    </w:p>
    <w:p w14:paraId="343C30FF" w14:textId="77777777" w:rsidR="004470EC" w:rsidRPr="00F66E23" w:rsidRDefault="004470EC">
      <w:pPr>
        <w:autoSpaceDE w:val="0"/>
        <w:autoSpaceDN w:val="0"/>
        <w:adjustRightInd w:val="0"/>
        <w:spacing w:line="360" w:lineRule="auto"/>
        <w:jc w:val="both"/>
        <w:rPr>
          <w:rFonts w:ascii="Times New Roman Regular" w:hAnsi="Times New Roman Regular" w:cs="Times New Roman Regular"/>
          <w:sz w:val="24"/>
          <w:szCs w:val="24"/>
        </w:rPr>
      </w:pPr>
    </w:p>
    <w:p w14:paraId="04306AD3" w14:textId="77777777" w:rsidR="004470EC" w:rsidRPr="00F66E23" w:rsidRDefault="00000000">
      <w:pPr>
        <w:autoSpaceDE w:val="0"/>
        <w:autoSpaceDN w:val="0"/>
        <w:adjustRightInd w:val="0"/>
        <w:spacing w:line="360" w:lineRule="auto"/>
        <w:jc w:val="both"/>
        <w:rPr>
          <w:rFonts w:ascii="Times New Roman Regular" w:hAnsi="Times New Roman Regular" w:cs="Times New Roman Regular"/>
          <w:sz w:val="24"/>
          <w:szCs w:val="24"/>
        </w:rPr>
      </w:pPr>
      <w:r w:rsidRPr="00F66E23">
        <w:t>Note: These are the definitions of the variables: FINP = Financial Performance Index; CRI = Climate Risk Index; Bs = Bank Size; LEV = Leverage; GDPG = Real GDP Growth; and INFR = Inflation.</w:t>
      </w:r>
    </w:p>
    <w:p w14:paraId="507EDF5E" w14:textId="77777777" w:rsidR="004470EC" w:rsidRPr="00F66E23" w:rsidRDefault="00000000">
      <w:pPr>
        <w:pStyle w:val="Heading1"/>
        <w:spacing w:line="360" w:lineRule="auto"/>
        <w:rPr>
          <w:rFonts w:ascii="Times New Roman Regular" w:hAnsi="Times New Roman Regular" w:cs="Times New Roman Regular"/>
          <w:sz w:val="24"/>
          <w:szCs w:val="24"/>
        </w:rPr>
      </w:pPr>
      <w:bookmarkStart w:id="21" w:name="_Toc156569141"/>
      <w:r w:rsidRPr="00F66E23">
        <w:rPr>
          <w:rFonts w:ascii="Times New Roman Regular" w:hAnsi="Times New Roman Regular" w:cs="Times New Roman Regular"/>
          <w:sz w:val="24"/>
          <w:szCs w:val="24"/>
        </w:rPr>
        <w:t>Table 2: Descriptive Statistics of the Variables</w:t>
      </w:r>
      <w:bookmarkEnd w:id="21"/>
      <w:r w:rsidRPr="00F66E23">
        <w:rPr>
          <w:rFonts w:ascii="Times New Roman Regular" w:hAnsi="Times New Roman Regular" w:cs="Times New Roman Regular"/>
          <w:sz w:val="24"/>
          <w:szCs w:val="24"/>
        </w:rPr>
        <w:t xml:space="preserve"> </w:t>
      </w:r>
    </w:p>
    <w:tbl>
      <w:tblPr>
        <w:tblW w:w="7727" w:type="dxa"/>
        <w:tblLook w:val="04A0" w:firstRow="1" w:lastRow="0" w:firstColumn="1" w:lastColumn="0" w:noHBand="0" w:noVBand="1"/>
      </w:tblPr>
      <w:tblGrid>
        <w:gridCol w:w="1491"/>
        <w:gridCol w:w="1024"/>
        <w:gridCol w:w="1116"/>
        <w:gridCol w:w="1024"/>
        <w:gridCol w:w="1024"/>
        <w:gridCol w:w="1024"/>
        <w:gridCol w:w="1024"/>
      </w:tblGrid>
      <w:tr w:rsidR="004470EC" w:rsidRPr="00F66E23" w14:paraId="15B1C1DC" w14:textId="77777777">
        <w:trPr>
          <w:trHeight w:val="525"/>
        </w:trPr>
        <w:tc>
          <w:tcPr>
            <w:tcW w:w="1491" w:type="dxa"/>
            <w:tcBorders>
              <w:top w:val="single" w:sz="4" w:space="0" w:color="auto"/>
              <w:left w:val="nil"/>
              <w:bottom w:val="single" w:sz="8" w:space="0" w:color="auto"/>
              <w:right w:val="nil"/>
            </w:tcBorders>
            <w:noWrap/>
            <w:vAlign w:val="bottom"/>
          </w:tcPr>
          <w:p w14:paraId="2E4BF443" w14:textId="77777777" w:rsidR="004470EC" w:rsidRPr="00F66E23" w:rsidRDefault="00000000">
            <w:pPr>
              <w:spacing w:line="360" w:lineRule="auto"/>
              <w:rPr>
                <w:rFonts w:ascii="Times New Roman Regular" w:hAnsi="Times New Roman Regular" w:cs="Times New Roman Regular"/>
                <w:b/>
                <w:bCs/>
                <w:sz w:val="22"/>
                <w:szCs w:val="22"/>
              </w:rPr>
            </w:pPr>
            <w:r w:rsidRPr="00F66E23">
              <w:rPr>
                <w:rFonts w:ascii="Times New Roman Regular" w:hAnsi="Times New Roman Regular" w:cs="Times New Roman Regular"/>
                <w:b/>
                <w:bCs/>
                <w:sz w:val="22"/>
                <w:szCs w:val="22"/>
              </w:rPr>
              <w:t>Variables</w:t>
            </w:r>
          </w:p>
        </w:tc>
        <w:tc>
          <w:tcPr>
            <w:tcW w:w="1024" w:type="dxa"/>
            <w:tcBorders>
              <w:top w:val="single" w:sz="4" w:space="0" w:color="auto"/>
              <w:left w:val="nil"/>
              <w:bottom w:val="single" w:sz="8" w:space="0" w:color="auto"/>
              <w:right w:val="nil"/>
            </w:tcBorders>
            <w:noWrap/>
            <w:vAlign w:val="bottom"/>
          </w:tcPr>
          <w:p w14:paraId="32E68362" w14:textId="77777777" w:rsidR="004470EC" w:rsidRPr="00F66E23" w:rsidRDefault="00000000">
            <w:pPr>
              <w:spacing w:line="360" w:lineRule="auto"/>
              <w:jc w:val="center"/>
              <w:rPr>
                <w:rFonts w:ascii="Times New Roman Regular" w:hAnsi="Times New Roman Regular" w:cs="Times New Roman Regular"/>
                <w:b/>
                <w:bCs/>
                <w:sz w:val="22"/>
                <w:szCs w:val="22"/>
              </w:rPr>
            </w:pPr>
            <w:r w:rsidRPr="00F66E23">
              <w:rPr>
                <w:rFonts w:ascii="Times New Roman Regular" w:hAnsi="Times New Roman Regular" w:cs="Times New Roman Regular"/>
                <w:b/>
                <w:bCs/>
                <w:sz w:val="22"/>
                <w:szCs w:val="22"/>
              </w:rPr>
              <w:t>FINP</w:t>
            </w:r>
          </w:p>
        </w:tc>
        <w:tc>
          <w:tcPr>
            <w:tcW w:w="1116" w:type="dxa"/>
            <w:tcBorders>
              <w:top w:val="single" w:sz="4" w:space="0" w:color="auto"/>
              <w:left w:val="nil"/>
              <w:bottom w:val="single" w:sz="8" w:space="0" w:color="auto"/>
              <w:right w:val="nil"/>
            </w:tcBorders>
            <w:noWrap/>
            <w:vAlign w:val="bottom"/>
          </w:tcPr>
          <w:p w14:paraId="504B26A9" w14:textId="77777777" w:rsidR="004470EC" w:rsidRPr="00F66E23" w:rsidRDefault="00000000">
            <w:pPr>
              <w:spacing w:line="360" w:lineRule="auto"/>
              <w:jc w:val="center"/>
              <w:rPr>
                <w:rFonts w:ascii="Times New Roman Regular" w:hAnsi="Times New Roman Regular" w:cs="Times New Roman Regular"/>
                <w:b/>
                <w:bCs/>
                <w:sz w:val="22"/>
                <w:szCs w:val="22"/>
              </w:rPr>
            </w:pPr>
            <w:r w:rsidRPr="00F66E23">
              <w:rPr>
                <w:rFonts w:ascii="Times New Roman Regular" w:hAnsi="Times New Roman Regular" w:cs="Times New Roman Regular"/>
                <w:b/>
                <w:bCs/>
                <w:sz w:val="22"/>
                <w:szCs w:val="22"/>
              </w:rPr>
              <w:t>CRI</w:t>
            </w:r>
          </w:p>
        </w:tc>
        <w:tc>
          <w:tcPr>
            <w:tcW w:w="1024" w:type="dxa"/>
            <w:tcBorders>
              <w:top w:val="single" w:sz="4" w:space="0" w:color="auto"/>
              <w:left w:val="nil"/>
              <w:bottom w:val="single" w:sz="8" w:space="0" w:color="auto"/>
              <w:right w:val="nil"/>
            </w:tcBorders>
            <w:noWrap/>
            <w:vAlign w:val="bottom"/>
          </w:tcPr>
          <w:p w14:paraId="6E16F5FC" w14:textId="77777777" w:rsidR="004470EC" w:rsidRPr="00F66E23" w:rsidRDefault="00000000">
            <w:pPr>
              <w:spacing w:line="360" w:lineRule="auto"/>
              <w:jc w:val="center"/>
              <w:rPr>
                <w:rFonts w:ascii="Times New Roman Regular" w:hAnsi="Times New Roman Regular" w:cs="Times New Roman Regular"/>
                <w:b/>
                <w:bCs/>
                <w:sz w:val="22"/>
                <w:szCs w:val="22"/>
              </w:rPr>
            </w:pPr>
            <w:r w:rsidRPr="00F66E23">
              <w:rPr>
                <w:rFonts w:ascii="Times New Roman Regular" w:hAnsi="Times New Roman Regular" w:cs="Times New Roman Regular"/>
                <w:b/>
                <w:bCs/>
                <w:sz w:val="22"/>
                <w:szCs w:val="22"/>
              </w:rPr>
              <w:t>Bs</w:t>
            </w:r>
          </w:p>
        </w:tc>
        <w:tc>
          <w:tcPr>
            <w:tcW w:w="1024" w:type="dxa"/>
            <w:tcBorders>
              <w:top w:val="single" w:sz="4" w:space="0" w:color="auto"/>
              <w:left w:val="nil"/>
              <w:bottom w:val="single" w:sz="8" w:space="0" w:color="auto"/>
              <w:right w:val="nil"/>
            </w:tcBorders>
            <w:noWrap/>
            <w:vAlign w:val="bottom"/>
          </w:tcPr>
          <w:p w14:paraId="01E7C787" w14:textId="77777777" w:rsidR="004470EC" w:rsidRPr="00F66E23" w:rsidRDefault="00000000">
            <w:pPr>
              <w:spacing w:line="360" w:lineRule="auto"/>
              <w:jc w:val="center"/>
              <w:rPr>
                <w:rFonts w:ascii="Times New Roman Regular" w:hAnsi="Times New Roman Regular" w:cs="Times New Roman Regular"/>
                <w:b/>
                <w:bCs/>
                <w:sz w:val="22"/>
                <w:szCs w:val="22"/>
              </w:rPr>
            </w:pPr>
            <w:r w:rsidRPr="00F66E23">
              <w:rPr>
                <w:rFonts w:ascii="Times New Roman Regular" w:hAnsi="Times New Roman Regular" w:cs="Times New Roman Regular"/>
                <w:b/>
                <w:bCs/>
                <w:sz w:val="22"/>
                <w:szCs w:val="22"/>
              </w:rPr>
              <w:t>LEV</w:t>
            </w:r>
          </w:p>
        </w:tc>
        <w:tc>
          <w:tcPr>
            <w:tcW w:w="1024" w:type="dxa"/>
            <w:tcBorders>
              <w:top w:val="single" w:sz="4" w:space="0" w:color="auto"/>
              <w:left w:val="nil"/>
              <w:bottom w:val="single" w:sz="8" w:space="0" w:color="auto"/>
              <w:right w:val="nil"/>
            </w:tcBorders>
            <w:noWrap/>
            <w:vAlign w:val="bottom"/>
          </w:tcPr>
          <w:p w14:paraId="33DE26A3" w14:textId="77777777" w:rsidR="004470EC" w:rsidRPr="00F66E23" w:rsidRDefault="00000000">
            <w:pPr>
              <w:spacing w:line="360" w:lineRule="auto"/>
              <w:jc w:val="center"/>
              <w:rPr>
                <w:rFonts w:ascii="Times New Roman Regular" w:hAnsi="Times New Roman Regular" w:cs="Times New Roman Regular"/>
                <w:b/>
                <w:bCs/>
                <w:sz w:val="22"/>
                <w:szCs w:val="22"/>
              </w:rPr>
            </w:pPr>
            <w:r w:rsidRPr="00F66E23">
              <w:rPr>
                <w:rFonts w:ascii="Times New Roman Regular" w:hAnsi="Times New Roman Regular" w:cs="Times New Roman Regular"/>
                <w:b/>
                <w:bCs/>
                <w:sz w:val="22"/>
                <w:szCs w:val="22"/>
              </w:rPr>
              <w:t>GDPG</w:t>
            </w:r>
          </w:p>
        </w:tc>
        <w:tc>
          <w:tcPr>
            <w:tcW w:w="1024" w:type="dxa"/>
            <w:tcBorders>
              <w:top w:val="single" w:sz="4" w:space="0" w:color="auto"/>
              <w:left w:val="nil"/>
              <w:bottom w:val="single" w:sz="8" w:space="0" w:color="auto"/>
              <w:right w:val="nil"/>
            </w:tcBorders>
            <w:noWrap/>
            <w:vAlign w:val="bottom"/>
          </w:tcPr>
          <w:p w14:paraId="6C7D1594" w14:textId="77777777" w:rsidR="004470EC" w:rsidRPr="00F66E23" w:rsidRDefault="00000000">
            <w:pPr>
              <w:spacing w:line="360" w:lineRule="auto"/>
              <w:jc w:val="center"/>
              <w:rPr>
                <w:rFonts w:ascii="Times New Roman Regular" w:hAnsi="Times New Roman Regular" w:cs="Times New Roman Regular"/>
                <w:b/>
                <w:bCs/>
                <w:sz w:val="22"/>
                <w:szCs w:val="22"/>
              </w:rPr>
            </w:pPr>
            <w:r w:rsidRPr="00F66E23">
              <w:rPr>
                <w:rFonts w:ascii="Times New Roman Regular" w:hAnsi="Times New Roman Regular" w:cs="Times New Roman Regular"/>
                <w:b/>
                <w:bCs/>
                <w:sz w:val="22"/>
                <w:szCs w:val="22"/>
              </w:rPr>
              <w:t>INFR</w:t>
            </w:r>
          </w:p>
        </w:tc>
      </w:tr>
      <w:tr w:rsidR="004470EC" w:rsidRPr="00F66E23" w14:paraId="5C7C81AA" w14:textId="77777777">
        <w:trPr>
          <w:trHeight w:val="755"/>
        </w:trPr>
        <w:tc>
          <w:tcPr>
            <w:tcW w:w="1491" w:type="dxa"/>
            <w:tcBorders>
              <w:top w:val="nil"/>
              <w:left w:val="nil"/>
              <w:bottom w:val="nil"/>
              <w:right w:val="nil"/>
            </w:tcBorders>
            <w:noWrap/>
            <w:vAlign w:val="bottom"/>
          </w:tcPr>
          <w:p w14:paraId="5F66C865" w14:textId="77777777" w:rsidR="004470EC" w:rsidRPr="00F66E23" w:rsidRDefault="00000000">
            <w:pPr>
              <w:spacing w:line="360" w:lineRule="auto"/>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 xml:space="preserve"> Mean</w:t>
            </w:r>
          </w:p>
        </w:tc>
        <w:tc>
          <w:tcPr>
            <w:tcW w:w="1024" w:type="dxa"/>
            <w:tcBorders>
              <w:top w:val="nil"/>
              <w:left w:val="nil"/>
              <w:bottom w:val="nil"/>
              <w:right w:val="nil"/>
            </w:tcBorders>
            <w:noWrap/>
            <w:vAlign w:val="bottom"/>
          </w:tcPr>
          <w:p w14:paraId="0522C2BB"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0.9168</w:t>
            </w:r>
          </w:p>
        </w:tc>
        <w:tc>
          <w:tcPr>
            <w:tcW w:w="1116" w:type="dxa"/>
            <w:tcBorders>
              <w:top w:val="nil"/>
              <w:left w:val="nil"/>
              <w:bottom w:val="nil"/>
              <w:right w:val="nil"/>
            </w:tcBorders>
            <w:noWrap/>
            <w:vAlign w:val="bottom"/>
          </w:tcPr>
          <w:p w14:paraId="219532F6"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66.6493</w:t>
            </w:r>
          </w:p>
        </w:tc>
        <w:tc>
          <w:tcPr>
            <w:tcW w:w="1024" w:type="dxa"/>
            <w:tcBorders>
              <w:top w:val="nil"/>
              <w:left w:val="nil"/>
              <w:bottom w:val="nil"/>
              <w:right w:val="nil"/>
            </w:tcBorders>
            <w:noWrap/>
            <w:vAlign w:val="bottom"/>
          </w:tcPr>
          <w:p w14:paraId="73D0D597"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8.7029</w:t>
            </w:r>
          </w:p>
        </w:tc>
        <w:tc>
          <w:tcPr>
            <w:tcW w:w="1024" w:type="dxa"/>
            <w:tcBorders>
              <w:top w:val="nil"/>
              <w:left w:val="nil"/>
              <w:bottom w:val="nil"/>
              <w:right w:val="nil"/>
            </w:tcBorders>
            <w:noWrap/>
            <w:vAlign w:val="bottom"/>
          </w:tcPr>
          <w:p w14:paraId="2D9EF3F9"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7.3623</w:t>
            </w:r>
          </w:p>
        </w:tc>
        <w:tc>
          <w:tcPr>
            <w:tcW w:w="1024" w:type="dxa"/>
            <w:tcBorders>
              <w:top w:val="nil"/>
              <w:left w:val="nil"/>
              <w:bottom w:val="nil"/>
              <w:right w:val="nil"/>
            </w:tcBorders>
            <w:noWrap/>
            <w:vAlign w:val="bottom"/>
          </w:tcPr>
          <w:p w14:paraId="46026382"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6.1301</w:t>
            </w:r>
          </w:p>
        </w:tc>
        <w:tc>
          <w:tcPr>
            <w:tcW w:w="1024" w:type="dxa"/>
            <w:tcBorders>
              <w:top w:val="nil"/>
              <w:left w:val="nil"/>
              <w:bottom w:val="nil"/>
              <w:right w:val="nil"/>
            </w:tcBorders>
            <w:noWrap/>
            <w:vAlign w:val="bottom"/>
          </w:tcPr>
          <w:p w14:paraId="64B05A13"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12.4045</w:t>
            </w:r>
          </w:p>
        </w:tc>
      </w:tr>
      <w:tr w:rsidR="004470EC" w:rsidRPr="00F66E23" w14:paraId="3B35708C" w14:textId="77777777">
        <w:trPr>
          <w:trHeight w:val="755"/>
        </w:trPr>
        <w:tc>
          <w:tcPr>
            <w:tcW w:w="1491" w:type="dxa"/>
            <w:tcBorders>
              <w:top w:val="nil"/>
              <w:left w:val="nil"/>
              <w:bottom w:val="nil"/>
              <w:right w:val="nil"/>
            </w:tcBorders>
            <w:noWrap/>
            <w:vAlign w:val="bottom"/>
          </w:tcPr>
          <w:p w14:paraId="2F872CC7" w14:textId="77777777" w:rsidR="004470EC" w:rsidRPr="00F66E23" w:rsidRDefault="00000000">
            <w:pPr>
              <w:spacing w:line="360" w:lineRule="auto"/>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 xml:space="preserve"> Median</w:t>
            </w:r>
          </w:p>
        </w:tc>
        <w:tc>
          <w:tcPr>
            <w:tcW w:w="1024" w:type="dxa"/>
            <w:tcBorders>
              <w:top w:val="nil"/>
              <w:left w:val="nil"/>
              <w:bottom w:val="nil"/>
              <w:right w:val="nil"/>
            </w:tcBorders>
            <w:noWrap/>
            <w:vAlign w:val="bottom"/>
          </w:tcPr>
          <w:p w14:paraId="6FCD95D9"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0.0768</w:t>
            </w:r>
          </w:p>
        </w:tc>
        <w:tc>
          <w:tcPr>
            <w:tcW w:w="1116" w:type="dxa"/>
            <w:tcBorders>
              <w:top w:val="nil"/>
              <w:left w:val="nil"/>
              <w:bottom w:val="nil"/>
              <w:right w:val="nil"/>
            </w:tcBorders>
            <w:noWrap/>
            <w:vAlign w:val="bottom"/>
          </w:tcPr>
          <w:p w14:paraId="3CFA9194"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60.7800</w:t>
            </w:r>
          </w:p>
        </w:tc>
        <w:tc>
          <w:tcPr>
            <w:tcW w:w="1024" w:type="dxa"/>
            <w:tcBorders>
              <w:top w:val="nil"/>
              <w:left w:val="nil"/>
              <w:bottom w:val="nil"/>
              <w:right w:val="nil"/>
            </w:tcBorders>
            <w:noWrap/>
            <w:vAlign w:val="bottom"/>
          </w:tcPr>
          <w:p w14:paraId="73AFBC65"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9.1841</w:t>
            </w:r>
          </w:p>
        </w:tc>
        <w:tc>
          <w:tcPr>
            <w:tcW w:w="1024" w:type="dxa"/>
            <w:tcBorders>
              <w:top w:val="nil"/>
              <w:left w:val="nil"/>
              <w:bottom w:val="nil"/>
              <w:right w:val="nil"/>
            </w:tcBorders>
            <w:noWrap/>
            <w:vAlign w:val="bottom"/>
          </w:tcPr>
          <w:p w14:paraId="37DB6288"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5.5422</w:t>
            </w:r>
          </w:p>
        </w:tc>
        <w:tc>
          <w:tcPr>
            <w:tcW w:w="1024" w:type="dxa"/>
            <w:tcBorders>
              <w:top w:val="nil"/>
              <w:left w:val="nil"/>
              <w:bottom w:val="nil"/>
              <w:right w:val="nil"/>
            </w:tcBorders>
            <w:noWrap/>
            <w:vAlign w:val="bottom"/>
          </w:tcPr>
          <w:p w14:paraId="765FCE59"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6.2001</w:t>
            </w:r>
          </w:p>
        </w:tc>
        <w:tc>
          <w:tcPr>
            <w:tcW w:w="1024" w:type="dxa"/>
            <w:tcBorders>
              <w:top w:val="nil"/>
              <w:left w:val="nil"/>
              <w:bottom w:val="nil"/>
              <w:right w:val="nil"/>
            </w:tcBorders>
            <w:noWrap/>
            <w:vAlign w:val="bottom"/>
          </w:tcPr>
          <w:p w14:paraId="547C2F75"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11.1863</w:t>
            </w:r>
          </w:p>
        </w:tc>
      </w:tr>
      <w:tr w:rsidR="004470EC" w:rsidRPr="00F66E23" w14:paraId="220D3D94" w14:textId="77777777">
        <w:trPr>
          <w:trHeight w:val="755"/>
        </w:trPr>
        <w:tc>
          <w:tcPr>
            <w:tcW w:w="1491" w:type="dxa"/>
            <w:tcBorders>
              <w:top w:val="nil"/>
              <w:left w:val="nil"/>
              <w:bottom w:val="nil"/>
              <w:right w:val="nil"/>
            </w:tcBorders>
            <w:noWrap/>
            <w:vAlign w:val="bottom"/>
          </w:tcPr>
          <w:p w14:paraId="0C2B8AEC" w14:textId="77777777" w:rsidR="004470EC" w:rsidRPr="00F66E23" w:rsidRDefault="00000000">
            <w:pPr>
              <w:spacing w:line="360" w:lineRule="auto"/>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 xml:space="preserve"> Maximum</w:t>
            </w:r>
          </w:p>
        </w:tc>
        <w:tc>
          <w:tcPr>
            <w:tcW w:w="1024" w:type="dxa"/>
            <w:tcBorders>
              <w:top w:val="nil"/>
              <w:left w:val="nil"/>
              <w:bottom w:val="nil"/>
              <w:right w:val="nil"/>
            </w:tcBorders>
            <w:noWrap/>
            <w:vAlign w:val="bottom"/>
          </w:tcPr>
          <w:p w14:paraId="7D7D2DF6"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2.2672</w:t>
            </w:r>
          </w:p>
        </w:tc>
        <w:tc>
          <w:tcPr>
            <w:tcW w:w="1116" w:type="dxa"/>
            <w:tcBorders>
              <w:top w:val="nil"/>
              <w:left w:val="nil"/>
              <w:bottom w:val="nil"/>
              <w:right w:val="nil"/>
            </w:tcBorders>
            <w:noWrap/>
            <w:vAlign w:val="bottom"/>
          </w:tcPr>
          <w:p w14:paraId="46593957"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126.1700</w:t>
            </w:r>
          </w:p>
        </w:tc>
        <w:tc>
          <w:tcPr>
            <w:tcW w:w="1024" w:type="dxa"/>
            <w:tcBorders>
              <w:top w:val="nil"/>
              <w:left w:val="nil"/>
              <w:bottom w:val="nil"/>
              <w:right w:val="nil"/>
            </w:tcBorders>
            <w:noWrap/>
            <w:vAlign w:val="bottom"/>
          </w:tcPr>
          <w:p w14:paraId="67F9ABEC"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10.2051</w:t>
            </w:r>
          </w:p>
        </w:tc>
        <w:tc>
          <w:tcPr>
            <w:tcW w:w="1024" w:type="dxa"/>
            <w:tcBorders>
              <w:top w:val="nil"/>
              <w:left w:val="nil"/>
              <w:bottom w:val="nil"/>
              <w:right w:val="nil"/>
            </w:tcBorders>
            <w:noWrap/>
            <w:vAlign w:val="bottom"/>
          </w:tcPr>
          <w:p w14:paraId="70457D75"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87.0934</w:t>
            </w:r>
          </w:p>
        </w:tc>
        <w:tc>
          <w:tcPr>
            <w:tcW w:w="1024" w:type="dxa"/>
            <w:tcBorders>
              <w:top w:val="nil"/>
              <w:left w:val="nil"/>
              <w:bottom w:val="nil"/>
              <w:right w:val="nil"/>
            </w:tcBorders>
            <w:noWrap/>
            <w:vAlign w:val="bottom"/>
          </w:tcPr>
          <w:p w14:paraId="34EAF3F4"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14.0471</w:t>
            </w:r>
          </w:p>
        </w:tc>
        <w:tc>
          <w:tcPr>
            <w:tcW w:w="1024" w:type="dxa"/>
            <w:tcBorders>
              <w:top w:val="nil"/>
              <w:left w:val="nil"/>
              <w:bottom w:val="nil"/>
              <w:right w:val="nil"/>
            </w:tcBorders>
            <w:noWrap/>
            <w:vAlign w:val="bottom"/>
          </w:tcPr>
          <w:p w14:paraId="349DBA9F"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19.247</w:t>
            </w:r>
          </w:p>
        </w:tc>
      </w:tr>
      <w:tr w:rsidR="004470EC" w:rsidRPr="00F66E23" w14:paraId="4793FD8C" w14:textId="77777777">
        <w:trPr>
          <w:trHeight w:val="555"/>
        </w:trPr>
        <w:tc>
          <w:tcPr>
            <w:tcW w:w="1491" w:type="dxa"/>
            <w:tcBorders>
              <w:top w:val="nil"/>
              <w:left w:val="nil"/>
              <w:bottom w:val="nil"/>
              <w:right w:val="nil"/>
            </w:tcBorders>
            <w:noWrap/>
            <w:vAlign w:val="bottom"/>
          </w:tcPr>
          <w:p w14:paraId="71002C1B" w14:textId="77777777" w:rsidR="004470EC" w:rsidRPr="00F66E23" w:rsidRDefault="00000000">
            <w:pPr>
              <w:spacing w:line="360" w:lineRule="auto"/>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 xml:space="preserve"> Minimum</w:t>
            </w:r>
          </w:p>
        </w:tc>
        <w:tc>
          <w:tcPr>
            <w:tcW w:w="1024" w:type="dxa"/>
            <w:tcBorders>
              <w:top w:val="nil"/>
              <w:left w:val="nil"/>
              <w:bottom w:val="nil"/>
              <w:right w:val="nil"/>
            </w:tcBorders>
            <w:noWrap/>
            <w:vAlign w:val="bottom"/>
          </w:tcPr>
          <w:p w14:paraId="2EA903BE"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-4.4885</w:t>
            </w:r>
          </w:p>
        </w:tc>
        <w:tc>
          <w:tcPr>
            <w:tcW w:w="1116" w:type="dxa"/>
            <w:tcBorders>
              <w:top w:val="nil"/>
              <w:left w:val="nil"/>
              <w:bottom w:val="nil"/>
              <w:right w:val="nil"/>
            </w:tcBorders>
            <w:noWrap/>
            <w:vAlign w:val="bottom"/>
          </w:tcPr>
          <w:p w14:paraId="25015449"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23.3000</w:t>
            </w:r>
          </w:p>
        </w:tc>
        <w:tc>
          <w:tcPr>
            <w:tcW w:w="1024" w:type="dxa"/>
            <w:tcBorders>
              <w:top w:val="nil"/>
              <w:left w:val="nil"/>
              <w:bottom w:val="nil"/>
              <w:right w:val="nil"/>
            </w:tcBorders>
            <w:noWrap/>
            <w:vAlign w:val="bottom"/>
          </w:tcPr>
          <w:p w14:paraId="3F0B3A34"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5.1276</w:t>
            </w:r>
          </w:p>
        </w:tc>
        <w:tc>
          <w:tcPr>
            <w:tcW w:w="1024" w:type="dxa"/>
            <w:tcBorders>
              <w:top w:val="nil"/>
              <w:left w:val="nil"/>
              <w:bottom w:val="nil"/>
              <w:right w:val="nil"/>
            </w:tcBorders>
            <w:noWrap/>
            <w:vAlign w:val="bottom"/>
          </w:tcPr>
          <w:p w14:paraId="2CC4B3E2"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0.0057</w:t>
            </w:r>
          </w:p>
        </w:tc>
        <w:tc>
          <w:tcPr>
            <w:tcW w:w="1024" w:type="dxa"/>
            <w:tcBorders>
              <w:top w:val="nil"/>
              <w:left w:val="nil"/>
              <w:bottom w:val="nil"/>
              <w:right w:val="nil"/>
            </w:tcBorders>
            <w:noWrap/>
            <w:vAlign w:val="bottom"/>
          </w:tcPr>
          <w:p w14:paraId="1135BA86"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0.5139</w:t>
            </w:r>
          </w:p>
        </w:tc>
        <w:tc>
          <w:tcPr>
            <w:tcW w:w="1024" w:type="dxa"/>
            <w:tcBorders>
              <w:top w:val="nil"/>
              <w:left w:val="nil"/>
              <w:bottom w:val="nil"/>
              <w:right w:val="nil"/>
            </w:tcBorders>
            <w:noWrap/>
            <w:vAlign w:val="bottom"/>
          </w:tcPr>
          <w:p w14:paraId="55415CDA"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7.1436</w:t>
            </w:r>
          </w:p>
        </w:tc>
      </w:tr>
      <w:tr w:rsidR="004470EC" w:rsidRPr="00F66E23" w14:paraId="0D2FDB53" w14:textId="77777777">
        <w:trPr>
          <w:trHeight w:val="678"/>
        </w:trPr>
        <w:tc>
          <w:tcPr>
            <w:tcW w:w="1491" w:type="dxa"/>
            <w:tcBorders>
              <w:top w:val="nil"/>
              <w:left w:val="nil"/>
              <w:bottom w:val="nil"/>
              <w:right w:val="nil"/>
            </w:tcBorders>
            <w:noWrap/>
            <w:vAlign w:val="bottom"/>
          </w:tcPr>
          <w:p w14:paraId="1372C259" w14:textId="77777777" w:rsidR="004470EC" w:rsidRPr="00F66E23" w:rsidRDefault="00000000">
            <w:pPr>
              <w:spacing w:line="360" w:lineRule="auto"/>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 xml:space="preserve"> Std. Dev.</w:t>
            </w:r>
          </w:p>
        </w:tc>
        <w:tc>
          <w:tcPr>
            <w:tcW w:w="1024" w:type="dxa"/>
            <w:tcBorders>
              <w:top w:val="nil"/>
              <w:left w:val="nil"/>
              <w:bottom w:val="nil"/>
              <w:right w:val="nil"/>
            </w:tcBorders>
            <w:noWrap/>
            <w:vAlign w:val="bottom"/>
          </w:tcPr>
          <w:p w14:paraId="349685AF"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0.7323</w:t>
            </w:r>
          </w:p>
        </w:tc>
        <w:tc>
          <w:tcPr>
            <w:tcW w:w="1116" w:type="dxa"/>
            <w:tcBorders>
              <w:top w:val="nil"/>
              <w:left w:val="nil"/>
              <w:bottom w:val="nil"/>
              <w:right w:val="nil"/>
            </w:tcBorders>
            <w:noWrap/>
            <w:vAlign w:val="bottom"/>
          </w:tcPr>
          <w:p w14:paraId="0D934AA4"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26.8423</w:t>
            </w:r>
          </w:p>
        </w:tc>
        <w:tc>
          <w:tcPr>
            <w:tcW w:w="1024" w:type="dxa"/>
            <w:tcBorders>
              <w:top w:val="nil"/>
              <w:left w:val="nil"/>
              <w:bottom w:val="nil"/>
              <w:right w:val="nil"/>
            </w:tcBorders>
            <w:noWrap/>
            <w:vAlign w:val="bottom"/>
          </w:tcPr>
          <w:p w14:paraId="66A334AA"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1.2368</w:t>
            </w:r>
          </w:p>
        </w:tc>
        <w:tc>
          <w:tcPr>
            <w:tcW w:w="1024" w:type="dxa"/>
            <w:tcBorders>
              <w:top w:val="nil"/>
              <w:left w:val="nil"/>
              <w:bottom w:val="nil"/>
              <w:right w:val="nil"/>
            </w:tcBorders>
            <w:noWrap/>
            <w:vAlign w:val="bottom"/>
          </w:tcPr>
          <w:p w14:paraId="1E285BB7"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2.3792</w:t>
            </w:r>
          </w:p>
        </w:tc>
        <w:tc>
          <w:tcPr>
            <w:tcW w:w="1024" w:type="dxa"/>
            <w:tcBorders>
              <w:top w:val="nil"/>
              <w:left w:val="nil"/>
              <w:bottom w:val="nil"/>
              <w:right w:val="nil"/>
            </w:tcBorders>
            <w:noWrap/>
            <w:vAlign w:val="bottom"/>
          </w:tcPr>
          <w:p w14:paraId="0D533BEC"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3.2957</w:t>
            </w:r>
          </w:p>
        </w:tc>
        <w:tc>
          <w:tcPr>
            <w:tcW w:w="1024" w:type="dxa"/>
            <w:tcBorders>
              <w:top w:val="nil"/>
              <w:left w:val="nil"/>
              <w:bottom w:val="nil"/>
              <w:right w:val="nil"/>
            </w:tcBorders>
            <w:noWrap/>
            <w:vAlign w:val="bottom"/>
          </w:tcPr>
          <w:p w14:paraId="4D2E884D"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3.6936</w:t>
            </w:r>
          </w:p>
        </w:tc>
      </w:tr>
      <w:tr w:rsidR="004470EC" w:rsidRPr="00F66E23" w14:paraId="4B7F4276" w14:textId="77777777">
        <w:trPr>
          <w:trHeight w:val="755"/>
        </w:trPr>
        <w:tc>
          <w:tcPr>
            <w:tcW w:w="1491" w:type="dxa"/>
            <w:tcBorders>
              <w:top w:val="nil"/>
              <w:left w:val="nil"/>
              <w:bottom w:val="nil"/>
              <w:right w:val="nil"/>
            </w:tcBorders>
            <w:noWrap/>
            <w:vAlign w:val="bottom"/>
          </w:tcPr>
          <w:p w14:paraId="7FFDC176" w14:textId="77777777" w:rsidR="004470EC" w:rsidRPr="00F66E23" w:rsidRDefault="00000000">
            <w:pPr>
              <w:spacing w:line="360" w:lineRule="auto"/>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 xml:space="preserve"> Skewness</w:t>
            </w:r>
          </w:p>
        </w:tc>
        <w:tc>
          <w:tcPr>
            <w:tcW w:w="1024" w:type="dxa"/>
            <w:tcBorders>
              <w:top w:val="nil"/>
              <w:left w:val="nil"/>
              <w:bottom w:val="nil"/>
              <w:right w:val="nil"/>
            </w:tcBorders>
            <w:noWrap/>
            <w:vAlign w:val="bottom"/>
          </w:tcPr>
          <w:p w14:paraId="44F3C28E"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-0.6673</w:t>
            </w:r>
          </w:p>
        </w:tc>
        <w:tc>
          <w:tcPr>
            <w:tcW w:w="1116" w:type="dxa"/>
            <w:tcBorders>
              <w:top w:val="nil"/>
              <w:left w:val="nil"/>
              <w:bottom w:val="nil"/>
              <w:right w:val="nil"/>
            </w:tcBorders>
            <w:noWrap/>
            <w:vAlign w:val="bottom"/>
          </w:tcPr>
          <w:p w14:paraId="567B90A2"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0.4804</w:t>
            </w:r>
          </w:p>
        </w:tc>
        <w:tc>
          <w:tcPr>
            <w:tcW w:w="1024" w:type="dxa"/>
            <w:tcBorders>
              <w:top w:val="nil"/>
              <w:left w:val="nil"/>
              <w:bottom w:val="nil"/>
              <w:right w:val="nil"/>
            </w:tcBorders>
            <w:noWrap/>
            <w:vAlign w:val="bottom"/>
          </w:tcPr>
          <w:p w14:paraId="5D6888E4"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-1.1389</w:t>
            </w:r>
          </w:p>
        </w:tc>
        <w:tc>
          <w:tcPr>
            <w:tcW w:w="1024" w:type="dxa"/>
            <w:tcBorders>
              <w:top w:val="nil"/>
              <w:left w:val="nil"/>
              <w:bottom w:val="nil"/>
              <w:right w:val="nil"/>
            </w:tcBorders>
            <w:noWrap/>
            <w:vAlign w:val="bottom"/>
          </w:tcPr>
          <w:p w14:paraId="0E587E34"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4.9545</w:t>
            </w:r>
          </w:p>
        </w:tc>
        <w:tc>
          <w:tcPr>
            <w:tcW w:w="1024" w:type="dxa"/>
            <w:tcBorders>
              <w:top w:val="nil"/>
              <w:left w:val="nil"/>
              <w:bottom w:val="nil"/>
              <w:right w:val="nil"/>
            </w:tcBorders>
            <w:noWrap/>
            <w:vAlign w:val="bottom"/>
          </w:tcPr>
          <w:p w14:paraId="73EE4F87"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0.4981</w:t>
            </w:r>
          </w:p>
        </w:tc>
        <w:tc>
          <w:tcPr>
            <w:tcW w:w="1024" w:type="dxa"/>
            <w:tcBorders>
              <w:top w:val="nil"/>
              <w:left w:val="nil"/>
              <w:bottom w:val="nil"/>
              <w:right w:val="nil"/>
            </w:tcBorders>
            <w:noWrap/>
            <w:vAlign w:val="bottom"/>
          </w:tcPr>
          <w:p w14:paraId="186DE88E"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0.4271</w:t>
            </w:r>
          </w:p>
        </w:tc>
      </w:tr>
      <w:tr w:rsidR="004470EC" w:rsidRPr="00F66E23" w14:paraId="16595D62" w14:textId="77777777">
        <w:trPr>
          <w:trHeight w:val="755"/>
        </w:trPr>
        <w:tc>
          <w:tcPr>
            <w:tcW w:w="1491" w:type="dxa"/>
            <w:tcBorders>
              <w:top w:val="nil"/>
              <w:left w:val="nil"/>
              <w:bottom w:val="nil"/>
              <w:right w:val="nil"/>
            </w:tcBorders>
            <w:noWrap/>
            <w:vAlign w:val="bottom"/>
          </w:tcPr>
          <w:p w14:paraId="6C258F84" w14:textId="77777777" w:rsidR="004470EC" w:rsidRPr="00F66E23" w:rsidRDefault="00000000">
            <w:pPr>
              <w:spacing w:line="360" w:lineRule="auto"/>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 xml:space="preserve"> Kurtosis</w:t>
            </w:r>
          </w:p>
        </w:tc>
        <w:tc>
          <w:tcPr>
            <w:tcW w:w="1024" w:type="dxa"/>
            <w:tcBorders>
              <w:top w:val="nil"/>
              <w:left w:val="nil"/>
              <w:bottom w:val="nil"/>
              <w:right w:val="nil"/>
            </w:tcBorders>
            <w:noWrap/>
            <w:vAlign w:val="bottom"/>
          </w:tcPr>
          <w:p w14:paraId="77FFB54F"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6.3869</w:t>
            </w:r>
          </w:p>
        </w:tc>
        <w:tc>
          <w:tcPr>
            <w:tcW w:w="1116" w:type="dxa"/>
            <w:tcBorders>
              <w:top w:val="nil"/>
              <w:left w:val="nil"/>
              <w:bottom w:val="nil"/>
              <w:right w:val="nil"/>
            </w:tcBorders>
            <w:noWrap/>
            <w:vAlign w:val="bottom"/>
          </w:tcPr>
          <w:p w14:paraId="27DB895E"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2.5881</w:t>
            </w:r>
          </w:p>
        </w:tc>
        <w:tc>
          <w:tcPr>
            <w:tcW w:w="1024" w:type="dxa"/>
            <w:tcBorders>
              <w:top w:val="nil"/>
              <w:left w:val="nil"/>
              <w:bottom w:val="nil"/>
              <w:right w:val="nil"/>
            </w:tcBorders>
            <w:noWrap/>
            <w:vAlign w:val="bottom"/>
          </w:tcPr>
          <w:p w14:paraId="2C31A3C1"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3.1495</w:t>
            </w:r>
          </w:p>
        </w:tc>
        <w:tc>
          <w:tcPr>
            <w:tcW w:w="1024" w:type="dxa"/>
            <w:tcBorders>
              <w:top w:val="nil"/>
              <w:left w:val="nil"/>
              <w:bottom w:val="nil"/>
              <w:right w:val="nil"/>
            </w:tcBorders>
            <w:noWrap/>
            <w:vAlign w:val="bottom"/>
          </w:tcPr>
          <w:p w14:paraId="0763FD55"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31.4197</w:t>
            </w:r>
          </w:p>
        </w:tc>
        <w:tc>
          <w:tcPr>
            <w:tcW w:w="1024" w:type="dxa"/>
            <w:tcBorders>
              <w:top w:val="nil"/>
              <w:left w:val="nil"/>
              <w:bottom w:val="nil"/>
              <w:right w:val="nil"/>
            </w:tcBorders>
            <w:noWrap/>
            <w:vAlign w:val="bottom"/>
          </w:tcPr>
          <w:p w14:paraId="21FA4DAB"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3.1950</w:t>
            </w:r>
          </w:p>
        </w:tc>
        <w:tc>
          <w:tcPr>
            <w:tcW w:w="1024" w:type="dxa"/>
            <w:tcBorders>
              <w:top w:val="nil"/>
              <w:left w:val="nil"/>
              <w:bottom w:val="nil"/>
              <w:right w:val="nil"/>
            </w:tcBorders>
            <w:noWrap/>
            <w:vAlign w:val="bottom"/>
          </w:tcPr>
          <w:p w14:paraId="1A825DE8"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1.8907</w:t>
            </w:r>
          </w:p>
        </w:tc>
      </w:tr>
      <w:tr w:rsidR="004470EC" w:rsidRPr="00F66E23" w14:paraId="75E82F7A" w14:textId="77777777">
        <w:trPr>
          <w:trHeight w:val="801"/>
        </w:trPr>
        <w:tc>
          <w:tcPr>
            <w:tcW w:w="1491" w:type="dxa"/>
            <w:tcBorders>
              <w:top w:val="nil"/>
              <w:left w:val="nil"/>
              <w:bottom w:val="single" w:sz="4" w:space="0" w:color="auto"/>
              <w:right w:val="nil"/>
            </w:tcBorders>
            <w:noWrap/>
            <w:vAlign w:val="bottom"/>
          </w:tcPr>
          <w:p w14:paraId="7D6032BE" w14:textId="77777777" w:rsidR="004470EC" w:rsidRPr="00F66E23" w:rsidRDefault="00000000">
            <w:pPr>
              <w:spacing w:line="360" w:lineRule="auto"/>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Observations</w:t>
            </w:r>
          </w:p>
        </w:tc>
        <w:tc>
          <w:tcPr>
            <w:tcW w:w="1024" w:type="dxa"/>
            <w:tcBorders>
              <w:top w:val="nil"/>
              <w:left w:val="nil"/>
              <w:bottom w:val="single" w:sz="4" w:space="0" w:color="auto"/>
              <w:right w:val="nil"/>
            </w:tcBorders>
            <w:noWrap/>
            <w:vAlign w:val="bottom"/>
          </w:tcPr>
          <w:p w14:paraId="6E87A16D"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150</w:t>
            </w:r>
          </w:p>
        </w:tc>
        <w:tc>
          <w:tcPr>
            <w:tcW w:w="1116" w:type="dxa"/>
            <w:tcBorders>
              <w:top w:val="nil"/>
              <w:left w:val="nil"/>
              <w:bottom w:val="single" w:sz="4" w:space="0" w:color="auto"/>
              <w:right w:val="nil"/>
            </w:tcBorders>
            <w:noWrap/>
            <w:vAlign w:val="bottom"/>
          </w:tcPr>
          <w:p w14:paraId="6448BCEB"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150</w:t>
            </w:r>
          </w:p>
        </w:tc>
        <w:tc>
          <w:tcPr>
            <w:tcW w:w="1024" w:type="dxa"/>
            <w:tcBorders>
              <w:top w:val="nil"/>
              <w:left w:val="nil"/>
              <w:bottom w:val="single" w:sz="4" w:space="0" w:color="auto"/>
              <w:right w:val="nil"/>
            </w:tcBorders>
            <w:noWrap/>
            <w:vAlign w:val="bottom"/>
          </w:tcPr>
          <w:p w14:paraId="558479FB"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150</w:t>
            </w:r>
          </w:p>
        </w:tc>
        <w:tc>
          <w:tcPr>
            <w:tcW w:w="1024" w:type="dxa"/>
            <w:tcBorders>
              <w:top w:val="nil"/>
              <w:left w:val="nil"/>
              <w:bottom w:val="single" w:sz="4" w:space="0" w:color="auto"/>
              <w:right w:val="nil"/>
            </w:tcBorders>
            <w:noWrap/>
            <w:vAlign w:val="bottom"/>
          </w:tcPr>
          <w:p w14:paraId="564880A0"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150</w:t>
            </w:r>
          </w:p>
        </w:tc>
        <w:tc>
          <w:tcPr>
            <w:tcW w:w="1024" w:type="dxa"/>
            <w:tcBorders>
              <w:top w:val="nil"/>
              <w:left w:val="nil"/>
              <w:bottom w:val="single" w:sz="4" w:space="0" w:color="auto"/>
              <w:right w:val="nil"/>
            </w:tcBorders>
            <w:noWrap/>
            <w:vAlign w:val="bottom"/>
          </w:tcPr>
          <w:p w14:paraId="367B704A"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150</w:t>
            </w:r>
          </w:p>
        </w:tc>
        <w:tc>
          <w:tcPr>
            <w:tcW w:w="1024" w:type="dxa"/>
            <w:tcBorders>
              <w:top w:val="nil"/>
              <w:left w:val="nil"/>
              <w:bottom w:val="single" w:sz="4" w:space="0" w:color="auto"/>
              <w:right w:val="nil"/>
            </w:tcBorders>
            <w:noWrap/>
            <w:vAlign w:val="bottom"/>
          </w:tcPr>
          <w:p w14:paraId="388F8B85" w14:textId="77777777" w:rsidR="004470EC" w:rsidRPr="00F66E23" w:rsidRDefault="00000000">
            <w:pPr>
              <w:spacing w:line="360" w:lineRule="auto"/>
              <w:jc w:val="center"/>
              <w:rPr>
                <w:rFonts w:ascii="Times New Roman Regular" w:hAnsi="Times New Roman Regular" w:cs="Times New Roman Regular"/>
                <w:sz w:val="22"/>
                <w:szCs w:val="22"/>
              </w:rPr>
            </w:pPr>
            <w:r w:rsidRPr="00F66E23">
              <w:rPr>
                <w:rFonts w:ascii="Times New Roman Regular" w:hAnsi="Times New Roman Regular" w:cs="Times New Roman Regular"/>
                <w:sz w:val="22"/>
                <w:szCs w:val="22"/>
              </w:rPr>
              <w:t>150</w:t>
            </w:r>
          </w:p>
        </w:tc>
      </w:tr>
    </w:tbl>
    <w:p w14:paraId="67724411" w14:textId="77777777" w:rsidR="004470EC" w:rsidRPr="00F66E23" w:rsidRDefault="00000000">
      <w:pPr>
        <w:autoSpaceDE w:val="0"/>
        <w:autoSpaceDN w:val="0"/>
        <w:adjustRightInd w:val="0"/>
        <w:spacing w:line="360" w:lineRule="auto"/>
        <w:jc w:val="both"/>
        <w:rPr>
          <w:rFonts w:ascii="Times New Roman Regular" w:hAnsi="Times New Roman Regular" w:cs="Times New Roman Regular"/>
          <w:sz w:val="24"/>
          <w:szCs w:val="24"/>
        </w:rPr>
      </w:pPr>
      <w:r w:rsidRPr="00F66E23">
        <w:rPr>
          <w:rFonts w:ascii="Times New Roman Regular" w:hAnsi="Times New Roman Regular" w:cs="Times New Roman Regular"/>
          <w:b/>
          <w:bCs/>
          <w:sz w:val="24"/>
          <w:szCs w:val="24"/>
        </w:rPr>
        <w:t xml:space="preserve">Note: </w:t>
      </w:r>
      <w:r w:rsidRPr="00F66E23">
        <w:rPr>
          <w:rFonts w:ascii="Times New Roman Regular" w:hAnsi="Times New Roman Regular" w:cs="Times New Roman Regular"/>
          <w:sz w:val="24"/>
          <w:szCs w:val="24"/>
        </w:rPr>
        <w:t>These are the definitions of the variables: FINP = Financial Performance Index; CRI = Climate Risk Index; Bs = Bank Size; LEV = Leverage; GDPG = Real GDP Growth; and INFR = Inflation.</w:t>
      </w:r>
    </w:p>
    <w:p w14:paraId="25AA3DFB" w14:textId="77777777" w:rsidR="004470EC" w:rsidRPr="00F66E23" w:rsidRDefault="00000000">
      <w:pPr>
        <w:autoSpaceDE w:val="0"/>
        <w:autoSpaceDN w:val="0"/>
        <w:adjustRightInd w:val="0"/>
        <w:spacing w:line="360" w:lineRule="auto"/>
        <w:jc w:val="both"/>
        <w:rPr>
          <w:rFonts w:ascii="Times New Roman Regular" w:hAnsi="Times New Roman Regular" w:cs="Times New Roman Regular"/>
          <w:b/>
          <w:bCs/>
          <w:sz w:val="24"/>
          <w:szCs w:val="24"/>
        </w:rPr>
      </w:pPr>
      <w:r w:rsidRPr="00F66E23">
        <w:t>Correlation measures the strength of the linear association between two variables (</w:t>
      </w:r>
      <w:proofErr w:type="spellStart"/>
      <w:r w:rsidRPr="00F66E23">
        <w:t>Gogtay</w:t>
      </w:r>
      <w:proofErr w:type="spellEnd"/>
      <w:r w:rsidRPr="00F66E23">
        <w:t xml:space="preserve"> &amp; Thatte, 2017). A positive correlation indicates that both measures are increasing in relation to one another, whereas a negative correlation indicates that as one measure rises, the other falls. Table 3 presents a correlation matrix of the variables under study. As displayed in Table 3, there is a negative correlation between climate risk (CRI) and financial performance (FINP). The correlation between climate risk and financial performance is significant at 1%. Institutional quality (IQ) is positively correlated with financial performance (FINP) at the 10% significance level. Also, there is a positive correlation between the interaction variable (CR_IQ) and financial performance (FINP) at the 5% significance level.</w:t>
      </w:r>
    </w:p>
    <w:p w14:paraId="0F189F0D" w14:textId="77777777" w:rsidR="004470EC" w:rsidRPr="00F66E23" w:rsidRDefault="004470EC">
      <w:pPr>
        <w:autoSpaceDE w:val="0"/>
        <w:autoSpaceDN w:val="0"/>
        <w:adjustRightInd w:val="0"/>
        <w:spacing w:line="360" w:lineRule="auto"/>
        <w:jc w:val="both"/>
        <w:rPr>
          <w:rFonts w:ascii="Times New Roman Regular" w:hAnsi="Times New Roman Regular" w:cs="Times New Roman Regular"/>
          <w:b/>
          <w:bCs/>
          <w:sz w:val="24"/>
          <w:szCs w:val="24"/>
        </w:rPr>
      </w:pPr>
      <w:r w:rsidRPr="00F66E23">
        <w:t xml:space="preserve">Furthermore, bank size (BZ), economic growth (GDPG), and inflation (INFR) are positively correlated with financial performance (FINP) at the 10% significance level. On the other hand, leverage (LEV) is negatively and significantly correlated with financial performance. The correlation coefficients </w:t>
      </w:r>
      <w:r w:rsidRPr="00F66E23">
        <w:lastRenderedPageBreak/>
        <w:t xml:space="preserve">between the key explanatory variables are all below 70%. It can be concluded that there is no significant degree of multicollinearity among the variables under consideration. Overall, the correlation matrix presented in Table 4 indicates that there are correlations between climate risk, institutional quality, and the financial performance of the selected licensed commercial banks. Nevertheless, it should be noted that a correlation between variables does not inherently imply that changes in one variable cause corresponding changes in the other (Stigler, 2005; Altman &amp; </w:t>
      </w:r>
      <w:proofErr w:type="spellStart"/>
      <w:r w:rsidRPr="00F66E23">
        <w:t>Krzywinski</w:t>
      </w:r>
      <w:proofErr w:type="spellEnd"/>
      <w:r w:rsidRPr="00F66E23">
        <w:t>, 2015). Hence, the researcher employed Generalized Least Square regression to establish the causal relationship between the variables.</w:t>
      </w:r>
    </w:p>
    <w:p w14:paraId="3E9A7988" w14:textId="77777777" w:rsidR="004470EC" w:rsidRPr="00F66E23" w:rsidRDefault="004470EC">
      <w:pPr>
        <w:autoSpaceDE w:val="0"/>
        <w:autoSpaceDN w:val="0"/>
        <w:adjustRightInd w:val="0"/>
        <w:spacing w:line="360" w:lineRule="auto"/>
        <w:jc w:val="both"/>
        <w:rPr>
          <w:rFonts w:ascii="Times New Roman Regular" w:hAnsi="Times New Roman Regular" w:cs="Times New Roman Regular"/>
          <w:b/>
          <w:bCs/>
          <w:sz w:val="24"/>
          <w:szCs w:val="24"/>
        </w:rPr>
      </w:pPr>
    </w:p>
    <w:p w14:paraId="47353F02" w14:textId="77777777" w:rsidR="004470EC" w:rsidRPr="00F66E23" w:rsidRDefault="00000000">
      <w:pPr>
        <w:pStyle w:val="Heading1"/>
        <w:spacing w:line="360" w:lineRule="auto"/>
        <w:rPr>
          <w:rFonts w:ascii="Times New Roman Regular" w:hAnsi="Times New Roman Regular" w:cs="Times New Roman Regular"/>
          <w:sz w:val="24"/>
          <w:szCs w:val="24"/>
        </w:rPr>
      </w:pPr>
      <w:bookmarkStart w:id="22" w:name="_Toc156569142"/>
      <w:r w:rsidRPr="00F66E23">
        <w:rPr>
          <w:rFonts w:ascii="Times New Roman Regular" w:hAnsi="Times New Roman Regular" w:cs="Times New Roman Regular"/>
          <w:sz w:val="24"/>
          <w:szCs w:val="24"/>
        </w:rPr>
        <w:t>4.3 Correlation Analysis</w:t>
      </w:r>
      <w:bookmarkEnd w:id="22"/>
      <w:r w:rsidRPr="00F66E23">
        <w:rPr>
          <w:rFonts w:ascii="Times New Roman Regular" w:hAnsi="Times New Roman Regular" w:cs="Times New Roman Regular"/>
          <w:sz w:val="24"/>
          <w:szCs w:val="24"/>
        </w:rPr>
        <w:t xml:space="preserve"> </w:t>
      </w:r>
    </w:p>
    <w:p w14:paraId="60BEF914" w14:textId="77777777" w:rsidR="004470EC" w:rsidRPr="00F66E23" w:rsidRDefault="00000000">
      <w:pPr>
        <w:autoSpaceDE w:val="0"/>
        <w:autoSpaceDN w:val="0"/>
        <w:adjustRightInd w:val="0"/>
        <w:spacing w:line="360" w:lineRule="auto"/>
        <w:jc w:val="both"/>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Correlation measures the strength of the linear association between two variables (</w:t>
      </w:r>
      <w:proofErr w:type="spellStart"/>
      <w:r w:rsidRPr="00F66E23">
        <w:rPr>
          <w:rFonts w:ascii="Times New Roman Regular" w:hAnsi="Times New Roman Regular" w:cs="Times New Roman Regular"/>
          <w:sz w:val="24"/>
          <w:szCs w:val="24"/>
        </w:rPr>
        <w:t>Gogtay</w:t>
      </w:r>
      <w:proofErr w:type="spellEnd"/>
      <w:r w:rsidRPr="00F66E23">
        <w:rPr>
          <w:rFonts w:ascii="Times New Roman Regular" w:hAnsi="Times New Roman Regular" w:cs="Times New Roman Regular"/>
          <w:sz w:val="24"/>
          <w:szCs w:val="24"/>
        </w:rPr>
        <w:t xml:space="preserve"> &amp; Thatte, 2017). A positive correlation indicates that both measures are increasing in relation to one another, whereas a negative correlation indicates that as one measure rises, the other falls. Table 3 presents a correlation matrix of the variables under study. As displayed in Table 3, there is negative correlation between climate risk (CRI) and financial performance (FINP). The correlation between climate risk and financial performance is significant at 1%. Institutional quality (IQ) is positively correlated with financial performance (FINP) at 10% significance level. Also, there is positive correlation between the interaction variable (CR_IQ) and financial performance (FINP) at 5% significance level.</w:t>
      </w:r>
    </w:p>
    <w:p w14:paraId="19666DCD" w14:textId="77777777" w:rsidR="004470EC" w:rsidRPr="00F66E23" w:rsidRDefault="00000000">
      <w:pPr>
        <w:autoSpaceDE w:val="0"/>
        <w:autoSpaceDN w:val="0"/>
        <w:adjustRightInd w:val="0"/>
        <w:spacing w:line="360" w:lineRule="auto"/>
        <w:jc w:val="both"/>
        <w:rPr>
          <w:rFonts w:ascii="Times New Roman Regular" w:hAnsi="Times New Roman Regular" w:cs="Times New Roman Regular"/>
          <w:sz w:val="24"/>
          <w:szCs w:val="24"/>
        </w:rPr>
      </w:pPr>
      <w:r w:rsidRPr="00F66E23">
        <w:t>Note: (*), (**) and (***) show 10.00%, 5.00%, and 1.00% levels of significance, respectively. These are the definitions of the variables: FINP = Financial Performance Index; CRI = Climate Risk Index; Bs = Bank Size; LEV = Leverage; GDPG = Real GDP Growth; and INFR = Inflation.</w:t>
      </w:r>
    </w:p>
    <w:p w14:paraId="098F1CC7" w14:textId="77777777" w:rsidR="004470EC" w:rsidRPr="00F66E23" w:rsidRDefault="004470EC">
      <w:pPr>
        <w:tabs>
          <w:tab w:val="left" w:pos="3661"/>
        </w:tabs>
        <w:spacing w:line="360" w:lineRule="auto"/>
        <w:rPr>
          <w:rFonts w:ascii="Times New Roman Regular" w:hAnsi="Times New Roman Regular" w:cs="Times New Roman Regular"/>
          <w:sz w:val="24"/>
          <w:szCs w:val="24"/>
        </w:rPr>
      </w:pPr>
    </w:p>
    <w:p w14:paraId="524FC6D3" w14:textId="77777777" w:rsidR="004470EC" w:rsidRPr="00F66E23" w:rsidRDefault="004470EC">
      <w:pPr>
        <w:tabs>
          <w:tab w:val="left" w:pos="3661"/>
        </w:tabs>
        <w:spacing w:line="360" w:lineRule="auto"/>
        <w:rPr>
          <w:rFonts w:ascii="Times New Roman Regular" w:hAnsi="Times New Roman Regular" w:cs="Times New Roman Regular"/>
          <w:sz w:val="24"/>
          <w:szCs w:val="24"/>
        </w:rPr>
      </w:pPr>
      <w:r w:rsidRPr="00F66E23">
        <w:t xml:space="preserve">Table 5 shows the panel unit root test for the variables </w:t>
      </w:r>
      <w:proofErr w:type="spellStart"/>
      <w:r w:rsidRPr="00F66E23">
        <w:t>utilised</w:t>
      </w:r>
      <w:proofErr w:type="spellEnd"/>
      <w:r w:rsidRPr="00F66E23">
        <w:t xml:space="preserve"> in this study. Specifically, the study employed the Levin, Lin, and Chu (2002) panel unit root test. For the Levin, Lin, and Chu unit root test, if the probability value is greater than 0.05 (5%), the null hypothesis is accepted, indicating the existence of a unit root (non-stationarity). Also, if the probability value is less than 0.05 (5%), the null hypothesis is rejected, implying the non-existence of a unit root (stationarity). From Table 4, all the variables were constant at levels, with the exception of bank size (BZ) and inflation (INFR). After first differencing, bank size (BZ) and inflation (INFR) became stationary at the 5% significance level.</w:t>
      </w:r>
    </w:p>
    <w:p w14:paraId="598B5FE5" w14:textId="77777777" w:rsidR="004470EC" w:rsidRPr="00F66E23" w:rsidRDefault="00000000">
      <w:pPr>
        <w:pStyle w:val="Heading1"/>
        <w:spacing w:line="360" w:lineRule="auto"/>
        <w:rPr>
          <w:rFonts w:ascii="Times New Roman Regular" w:hAnsi="Times New Roman Regular" w:cs="Times New Roman Regular"/>
          <w:sz w:val="24"/>
          <w:szCs w:val="24"/>
        </w:rPr>
      </w:pPr>
      <w:bookmarkStart w:id="23" w:name="_Toc156569143"/>
      <w:r w:rsidRPr="00F66E23">
        <w:rPr>
          <w:rFonts w:ascii="Times New Roman Regular" w:hAnsi="Times New Roman Regular" w:cs="Times New Roman Regular"/>
          <w:sz w:val="24"/>
          <w:szCs w:val="24"/>
        </w:rPr>
        <w:t>Table 3: Correlation Matrix</w:t>
      </w:r>
      <w:bookmarkEnd w:id="23"/>
      <w:r w:rsidRPr="00F66E23">
        <w:rPr>
          <w:rFonts w:ascii="Times New Roman Regular" w:hAnsi="Times New Roman Regular" w:cs="Times New Roman Regular"/>
          <w:sz w:val="24"/>
          <w:szCs w:val="24"/>
        </w:rPr>
        <w:t xml:space="preserve"> </w:t>
      </w:r>
    </w:p>
    <w:tbl>
      <w:tblPr>
        <w:tblW w:w="7887" w:type="dxa"/>
        <w:tblLook w:val="04A0" w:firstRow="1" w:lastRow="0" w:firstColumn="1" w:lastColumn="0" w:noHBand="0" w:noVBand="1"/>
      </w:tblPr>
      <w:tblGrid>
        <w:gridCol w:w="1355"/>
        <w:gridCol w:w="1116"/>
        <w:gridCol w:w="1109"/>
        <w:gridCol w:w="1073"/>
        <w:gridCol w:w="1223"/>
        <w:gridCol w:w="945"/>
        <w:gridCol w:w="1073"/>
      </w:tblGrid>
      <w:tr w:rsidR="004470EC" w:rsidRPr="00F66E23" w14:paraId="610F8B75" w14:textId="77777777">
        <w:trPr>
          <w:trHeight w:val="277"/>
        </w:trPr>
        <w:tc>
          <w:tcPr>
            <w:tcW w:w="1355" w:type="dxa"/>
            <w:tcBorders>
              <w:top w:val="single" w:sz="4" w:space="0" w:color="auto"/>
              <w:left w:val="nil"/>
              <w:bottom w:val="single" w:sz="8" w:space="0" w:color="auto"/>
              <w:right w:val="nil"/>
            </w:tcBorders>
            <w:noWrap/>
            <w:vAlign w:val="bottom"/>
          </w:tcPr>
          <w:p w14:paraId="52EACCD3" w14:textId="77777777" w:rsidR="004470EC" w:rsidRPr="00F66E23" w:rsidRDefault="00000000">
            <w:pPr>
              <w:spacing w:line="360" w:lineRule="auto"/>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Variables</w:t>
            </w:r>
          </w:p>
        </w:tc>
        <w:tc>
          <w:tcPr>
            <w:tcW w:w="1109" w:type="dxa"/>
            <w:tcBorders>
              <w:top w:val="single" w:sz="4" w:space="0" w:color="auto"/>
              <w:left w:val="nil"/>
              <w:bottom w:val="single" w:sz="8" w:space="0" w:color="auto"/>
              <w:right w:val="nil"/>
            </w:tcBorders>
            <w:noWrap/>
            <w:vAlign w:val="bottom"/>
          </w:tcPr>
          <w:p w14:paraId="14C0A56E" w14:textId="77777777" w:rsidR="004470EC" w:rsidRPr="00F66E23" w:rsidRDefault="00000000">
            <w:pPr>
              <w:spacing w:line="360" w:lineRule="auto"/>
              <w:jc w:val="center"/>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FINP</w:t>
            </w:r>
          </w:p>
        </w:tc>
        <w:tc>
          <w:tcPr>
            <w:tcW w:w="1109" w:type="dxa"/>
            <w:tcBorders>
              <w:top w:val="single" w:sz="4" w:space="0" w:color="auto"/>
              <w:left w:val="nil"/>
              <w:bottom w:val="single" w:sz="8" w:space="0" w:color="auto"/>
              <w:right w:val="nil"/>
            </w:tcBorders>
            <w:noWrap/>
            <w:vAlign w:val="bottom"/>
          </w:tcPr>
          <w:p w14:paraId="3D971A38" w14:textId="77777777" w:rsidR="004470EC" w:rsidRPr="00F66E23" w:rsidRDefault="00000000">
            <w:pPr>
              <w:spacing w:line="360" w:lineRule="auto"/>
              <w:jc w:val="center"/>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CRI</w:t>
            </w:r>
          </w:p>
        </w:tc>
        <w:tc>
          <w:tcPr>
            <w:tcW w:w="1073" w:type="dxa"/>
            <w:tcBorders>
              <w:top w:val="single" w:sz="4" w:space="0" w:color="auto"/>
              <w:left w:val="nil"/>
              <w:bottom w:val="single" w:sz="8" w:space="0" w:color="auto"/>
              <w:right w:val="nil"/>
            </w:tcBorders>
            <w:noWrap/>
            <w:vAlign w:val="bottom"/>
          </w:tcPr>
          <w:p w14:paraId="68D5A517" w14:textId="77777777" w:rsidR="004470EC" w:rsidRPr="00F66E23" w:rsidRDefault="00000000">
            <w:pPr>
              <w:spacing w:line="360" w:lineRule="auto"/>
              <w:jc w:val="center"/>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Bs</w:t>
            </w:r>
          </w:p>
        </w:tc>
        <w:tc>
          <w:tcPr>
            <w:tcW w:w="1223" w:type="dxa"/>
            <w:tcBorders>
              <w:top w:val="single" w:sz="4" w:space="0" w:color="auto"/>
              <w:left w:val="nil"/>
              <w:bottom w:val="single" w:sz="8" w:space="0" w:color="auto"/>
              <w:right w:val="nil"/>
            </w:tcBorders>
            <w:noWrap/>
            <w:vAlign w:val="bottom"/>
          </w:tcPr>
          <w:p w14:paraId="672B5FE2" w14:textId="77777777" w:rsidR="004470EC" w:rsidRPr="00F66E23" w:rsidRDefault="00000000">
            <w:pPr>
              <w:spacing w:line="360" w:lineRule="auto"/>
              <w:jc w:val="center"/>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LEV</w:t>
            </w:r>
          </w:p>
        </w:tc>
        <w:tc>
          <w:tcPr>
            <w:tcW w:w="945" w:type="dxa"/>
            <w:tcBorders>
              <w:top w:val="single" w:sz="4" w:space="0" w:color="auto"/>
              <w:left w:val="nil"/>
              <w:bottom w:val="single" w:sz="8" w:space="0" w:color="auto"/>
              <w:right w:val="nil"/>
            </w:tcBorders>
            <w:noWrap/>
            <w:vAlign w:val="bottom"/>
          </w:tcPr>
          <w:p w14:paraId="060A5CF6" w14:textId="77777777" w:rsidR="004470EC" w:rsidRPr="00F66E23" w:rsidRDefault="00000000">
            <w:pPr>
              <w:spacing w:line="360" w:lineRule="auto"/>
              <w:jc w:val="center"/>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GDPG</w:t>
            </w:r>
          </w:p>
        </w:tc>
        <w:tc>
          <w:tcPr>
            <w:tcW w:w="1073" w:type="dxa"/>
            <w:tcBorders>
              <w:top w:val="single" w:sz="4" w:space="0" w:color="auto"/>
              <w:left w:val="nil"/>
              <w:bottom w:val="single" w:sz="8" w:space="0" w:color="auto"/>
              <w:right w:val="nil"/>
            </w:tcBorders>
            <w:noWrap/>
            <w:vAlign w:val="bottom"/>
          </w:tcPr>
          <w:p w14:paraId="569D0682" w14:textId="77777777" w:rsidR="004470EC" w:rsidRPr="00F66E23" w:rsidRDefault="00000000">
            <w:pPr>
              <w:spacing w:line="360" w:lineRule="auto"/>
              <w:jc w:val="center"/>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INFR</w:t>
            </w:r>
          </w:p>
        </w:tc>
      </w:tr>
      <w:tr w:rsidR="004470EC" w:rsidRPr="00F66E23" w14:paraId="57F01379" w14:textId="77777777">
        <w:trPr>
          <w:trHeight w:val="613"/>
        </w:trPr>
        <w:tc>
          <w:tcPr>
            <w:tcW w:w="1355" w:type="dxa"/>
            <w:tcBorders>
              <w:top w:val="nil"/>
              <w:left w:val="nil"/>
              <w:bottom w:val="nil"/>
              <w:right w:val="nil"/>
            </w:tcBorders>
            <w:noWrap/>
            <w:vAlign w:val="bottom"/>
          </w:tcPr>
          <w:p w14:paraId="2C65E65D"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FINP</w:t>
            </w:r>
          </w:p>
        </w:tc>
        <w:tc>
          <w:tcPr>
            <w:tcW w:w="1109" w:type="dxa"/>
            <w:tcBorders>
              <w:top w:val="nil"/>
              <w:left w:val="nil"/>
              <w:bottom w:val="nil"/>
              <w:right w:val="nil"/>
            </w:tcBorders>
            <w:noWrap/>
            <w:vAlign w:val="bottom"/>
          </w:tcPr>
          <w:p w14:paraId="5C4355F9"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1</w:t>
            </w:r>
          </w:p>
        </w:tc>
        <w:tc>
          <w:tcPr>
            <w:tcW w:w="1109" w:type="dxa"/>
            <w:tcBorders>
              <w:top w:val="nil"/>
              <w:left w:val="nil"/>
              <w:bottom w:val="nil"/>
              <w:right w:val="nil"/>
            </w:tcBorders>
            <w:noWrap/>
            <w:vAlign w:val="bottom"/>
          </w:tcPr>
          <w:p w14:paraId="1E4629A5" w14:textId="77777777" w:rsidR="004470EC" w:rsidRPr="00F66E23" w:rsidRDefault="004470EC">
            <w:pPr>
              <w:spacing w:line="360" w:lineRule="auto"/>
              <w:jc w:val="center"/>
              <w:rPr>
                <w:rFonts w:ascii="Times New Roman Regular" w:hAnsi="Times New Roman Regular" w:cs="Times New Roman Regular"/>
                <w:sz w:val="24"/>
                <w:szCs w:val="24"/>
              </w:rPr>
            </w:pPr>
          </w:p>
        </w:tc>
        <w:tc>
          <w:tcPr>
            <w:tcW w:w="1073" w:type="dxa"/>
            <w:tcBorders>
              <w:top w:val="nil"/>
              <w:left w:val="nil"/>
              <w:bottom w:val="nil"/>
              <w:right w:val="nil"/>
            </w:tcBorders>
            <w:noWrap/>
            <w:vAlign w:val="bottom"/>
          </w:tcPr>
          <w:p w14:paraId="04B85FE8" w14:textId="77777777" w:rsidR="004470EC" w:rsidRPr="00F66E23" w:rsidRDefault="004470EC">
            <w:pPr>
              <w:spacing w:line="360" w:lineRule="auto"/>
              <w:jc w:val="center"/>
              <w:rPr>
                <w:rFonts w:ascii="Times New Roman Regular" w:hAnsi="Times New Roman Regular" w:cs="Times New Roman Regular"/>
                <w:sz w:val="24"/>
                <w:szCs w:val="24"/>
              </w:rPr>
            </w:pPr>
          </w:p>
        </w:tc>
        <w:tc>
          <w:tcPr>
            <w:tcW w:w="1223" w:type="dxa"/>
            <w:tcBorders>
              <w:top w:val="nil"/>
              <w:left w:val="nil"/>
              <w:bottom w:val="nil"/>
              <w:right w:val="nil"/>
            </w:tcBorders>
            <w:noWrap/>
            <w:vAlign w:val="bottom"/>
          </w:tcPr>
          <w:p w14:paraId="30440D44" w14:textId="77777777" w:rsidR="004470EC" w:rsidRPr="00F66E23" w:rsidRDefault="004470EC">
            <w:pPr>
              <w:spacing w:line="360" w:lineRule="auto"/>
              <w:jc w:val="center"/>
              <w:rPr>
                <w:rFonts w:ascii="Times New Roman Regular" w:hAnsi="Times New Roman Regular" w:cs="Times New Roman Regular"/>
                <w:sz w:val="24"/>
                <w:szCs w:val="24"/>
              </w:rPr>
            </w:pPr>
          </w:p>
        </w:tc>
        <w:tc>
          <w:tcPr>
            <w:tcW w:w="945" w:type="dxa"/>
            <w:tcBorders>
              <w:top w:val="nil"/>
              <w:left w:val="nil"/>
              <w:bottom w:val="nil"/>
              <w:right w:val="nil"/>
            </w:tcBorders>
            <w:noWrap/>
            <w:vAlign w:val="bottom"/>
          </w:tcPr>
          <w:p w14:paraId="3DBDB635" w14:textId="77777777" w:rsidR="004470EC" w:rsidRPr="00F66E23" w:rsidRDefault="004470EC">
            <w:pPr>
              <w:spacing w:line="360" w:lineRule="auto"/>
              <w:jc w:val="center"/>
              <w:rPr>
                <w:rFonts w:ascii="Times New Roman Regular" w:hAnsi="Times New Roman Regular" w:cs="Times New Roman Regular"/>
                <w:sz w:val="24"/>
                <w:szCs w:val="24"/>
              </w:rPr>
            </w:pPr>
          </w:p>
        </w:tc>
        <w:tc>
          <w:tcPr>
            <w:tcW w:w="1073" w:type="dxa"/>
            <w:tcBorders>
              <w:top w:val="nil"/>
              <w:left w:val="nil"/>
              <w:bottom w:val="nil"/>
              <w:right w:val="nil"/>
            </w:tcBorders>
            <w:noWrap/>
            <w:vAlign w:val="bottom"/>
          </w:tcPr>
          <w:p w14:paraId="3203D430" w14:textId="77777777" w:rsidR="004470EC" w:rsidRPr="00F66E23" w:rsidRDefault="004470EC">
            <w:pPr>
              <w:spacing w:line="360" w:lineRule="auto"/>
              <w:jc w:val="center"/>
              <w:rPr>
                <w:rFonts w:ascii="Times New Roman Regular" w:hAnsi="Times New Roman Regular" w:cs="Times New Roman Regular"/>
                <w:sz w:val="24"/>
                <w:szCs w:val="24"/>
              </w:rPr>
            </w:pPr>
          </w:p>
        </w:tc>
      </w:tr>
      <w:tr w:rsidR="004470EC" w:rsidRPr="00F66E23" w14:paraId="05E98CC2" w14:textId="77777777">
        <w:trPr>
          <w:trHeight w:val="613"/>
        </w:trPr>
        <w:tc>
          <w:tcPr>
            <w:tcW w:w="1355" w:type="dxa"/>
            <w:tcBorders>
              <w:top w:val="nil"/>
              <w:left w:val="nil"/>
              <w:bottom w:val="nil"/>
              <w:right w:val="nil"/>
            </w:tcBorders>
            <w:noWrap/>
            <w:vAlign w:val="bottom"/>
          </w:tcPr>
          <w:p w14:paraId="3027E139"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lastRenderedPageBreak/>
              <w:t xml:space="preserve">CRI </w:t>
            </w:r>
          </w:p>
        </w:tc>
        <w:tc>
          <w:tcPr>
            <w:tcW w:w="1109" w:type="dxa"/>
            <w:tcBorders>
              <w:top w:val="nil"/>
              <w:left w:val="nil"/>
              <w:bottom w:val="nil"/>
              <w:right w:val="nil"/>
            </w:tcBorders>
            <w:noWrap/>
            <w:vAlign w:val="bottom"/>
          </w:tcPr>
          <w:p w14:paraId="04F82080" w14:textId="77777777" w:rsidR="004470EC" w:rsidRPr="00F66E23" w:rsidRDefault="00000000">
            <w:pPr>
              <w:spacing w:line="360" w:lineRule="auto"/>
              <w:jc w:val="center"/>
              <w:rPr>
                <w:rFonts w:ascii="Times New Roman Regular" w:hAnsi="Times New Roman Regular" w:cs="Times New Roman Regular"/>
                <w:sz w:val="24"/>
                <w:szCs w:val="24"/>
                <w:vertAlign w:val="superscript"/>
                <w:lang w:val="fr-CH"/>
              </w:rPr>
            </w:pPr>
            <w:r w:rsidRPr="00F66E23">
              <w:rPr>
                <w:rFonts w:ascii="Times New Roman Regular" w:hAnsi="Times New Roman Regular" w:cs="Times New Roman Regular"/>
                <w:sz w:val="24"/>
                <w:szCs w:val="24"/>
              </w:rPr>
              <w:t>-0.2772</w:t>
            </w:r>
            <w:r w:rsidRPr="00F66E23">
              <w:rPr>
                <w:rFonts w:ascii="Times New Roman Regular" w:hAnsi="Times New Roman Regular" w:cs="Times New Roman Regular"/>
                <w:sz w:val="24"/>
                <w:szCs w:val="24"/>
                <w:vertAlign w:val="superscript"/>
              </w:rPr>
              <w:t>***</w:t>
            </w:r>
          </w:p>
        </w:tc>
        <w:tc>
          <w:tcPr>
            <w:tcW w:w="1109" w:type="dxa"/>
            <w:tcBorders>
              <w:top w:val="nil"/>
              <w:left w:val="nil"/>
              <w:bottom w:val="nil"/>
              <w:right w:val="nil"/>
            </w:tcBorders>
            <w:noWrap/>
            <w:vAlign w:val="bottom"/>
          </w:tcPr>
          <w:p w14:paraId="3E038B58"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1</w:t>
            </w:r>
          </w:p>
        </w:tc>
        <w:tc>
          <w:tcPr>
            <w:tcW w:w="1073" w:type="dxa"/>
            <w:tcBorders>
              <w:top w:val="nil"/>
              <w:left w:val="nil"/>
              <w:bottom w:val="nil"/>
              <w:right w:val="nil"/>
            </w:tcBorders>
            <w:noWrap/>
            <w:vAlign w:val="bottom"/>
          </w:tcPr>
          <w:p w14:paraId="29057554" w14:textId="77777777" w:rsidR="004470EC" w:rsidRPr="00F66E23" w:rsidRDefault="004470EC">
            <w:pPr>
              <w:spacing w:line="360" w:lineRule="auto"/>
              <w:jc w:val="center"/>
              <w:rPr>
                <w:rFonts w:ascii="Times New Roman Regular" w:hAnsi="Times New Roman Regular" w:cs="Times New Roman Regular"/>
                <w:sz w:val="24"/>
                <w:szCs w:val="24"/>
              </w:rPr>
            </w:pPr>
          </w:p>
        </w:tc>
        <w:tc>
          <w:tcPr>
            <w:tcW w:w="1223" w:type="dxa"/>
            <w:tcBorders>
              <w:top w:val="nil"/>
              <w:left w:val="nil"/>
              <w:bottom w:val="nil"/>
              <w:right w:val="nil"/>
            </w:tcBorders>
            <w:noWrap/>
            <w:vAlign w:val="bottom"/>
          </w:tcPr>
          <w:p w14:paraId="5172E07F" w14:textId="77777777" w:rsidR="004470EC" w:rsidRPr="00F66E23" w:rsidRDefault="004470EC">
            <w:pPr>
              <w:spacing w:line="360" w:lineRule="auto"/>
              <w:jc w:val="center"/>
              <w:rPr>
                <w:rFonts w:ascii="Times New Roman Regular" w:hAnsi="Times New Roman Regular" w:cs="Times New Roman Regular"/>
                <w:sz w:val="24"/>
                <w:szCs w:val="24"/>
              </w:rPr>
            </w:pPr>
          </w:p>
        </w:tc>
        <w:tc>
          <w:tcPr>
            <w:tcW w:w="945" w:type="dxa"/>
            <w:tcBorders>
              <w:top w:val="nil"/>
              <w:left w:val="nil"/>
              <w:bottom w:val="nil"/>
              <w:right w:val="nil"/>
            </w:tcBorders>
            <w:noWrap/>
            <w:vAlign w:val="bottom"/>
          </w:tcPr>
          <w:p w14:paraId="3F1B3ED4" w14:textId="77777777" w:rsidR="004470EC" w:rsidRPr="00F66E23" w:rsidRDefault="004470EC">
            <w:pPr>
              <w:spacing w:line="360" w:lineRule="auto"/>
              <w:jc w:val="center"/>
              <w:rPr>
                <w:rFonts w:ascii="Times New Roman Regular" w:hAnsi="Times New Roman Regular" w:cs="Times New Roman Regular"/>
                <w:sz w:val="24"/>
                <w:szCs w:val="24"/>
              </w:rPr>
            </w:pPr>
          </w:p>
        </w:tc>
        <w:tc>
          <w:tcPr>
            <w:tcW w:w="1073" w:type="dxa"/>
            <w:tcBorders>
              <w:top w:val="nil"/>
              <w:left w:val="nil"/>
              <w:bottom w:val="nil"/>
              <w:right w:val="nil"/>
            </w:tcBorders>
            <w:noWrap/>
            <w:vAlign w:val="bottom"/>
          </w:tcPr>
          <w:p w14:paraId="13462AED" w14:textId="77777777" w:rsidR="004470EC" w:rsidRPr="00F66E23" w:rsidRDefault="004470EC">
            <w:pPr>
              <w:spacing w:line="360" w:lineRule="auto"/>
              <w:jc w:val="center"/>
              <w:rPr>
                <w:rFonts w:ascii="Times New Roman Regular" w:hAnsi="Times New Roman Regular" w:cs="Times New Roman Regular"/>
                <w:sz w:val="24"/>
                <w:szCs w:val="24"/>
              </w:rPr>
            </w:pPr>
          </w:p>
        </w:tc>
      </w:tr>
      <w:tr w:rsidR="004470EC" w:rsidRPr="00F66E23" w14:paraId="5ADB5106" w14:textId="77777777">
        <w:trPr>
          <w:trHeight w:val="613"/>
        </w:trPr>
        <w:tc>
          <w:tcPr>
            <w:tcW w:w="1355" w:type="dxa"/>
            <w:tcBorders>
              <w:top w:val="nil"/>
              <w:left w:val="nil"/>
              <w:bottom w:val="nil"/>
              <w:right w:val="nil"/>
            </w:tcBorders>
            <w:noWrap/>
            <w:vAlign w:val="bottom"/>
          </w:tcPr>
          <w:p w14:paraId="6BC9ACF7"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 xml:space="preserve">Bs </w:t>
            </w:r>
          </w:p>
        </w:tc>
        <w:tc>
          <w:tcPr>
            <w:tcW w:w="1109" w:type="dxa"/>
            <w:tcBorders>
              <w:top w:val="nil"/>
              <w:left w:val="nil"/>
              <w:bottom w:val="nil"/>
              <w:right w:val="nil"/>
            </w:tcBorders>
            <w:noWrap/>
            <w:vAlign w:val="bottom"/>
          </w:tcPr>
          <w:p w14:paraId="32FD6C4D" w14:textId="77777777" w:rsidR="004470EC" w:rsidRPr="00F66E23" w:rsidRDefault="00000000">
            <w:pPr>
              <w:spacing w:line="360" w:lineRule="auto"/>
              <w:jc w:val="center"/>
              <w:rPr>
                <w:rFonts w:ascii="Times New Roman Regular" w:hAnsi="Times New Roman Regular" w:cs="Times New Roman Regular"/>
                <w:sz w:val="24"/>
                <w:szCs w:val="24"/>
                <w:vertAlign w:val="superscript"/>
                <w:lang w:val="fr-CH"/>
              </w:rPr>
            </w:pPr>
            <w:r w:rsidRPr="00F66E23">
              <w:rPr>
                <w:rFonts w:ascii="Times New Roman Regular" w:hAnsi="Times New Roman Regular" w:cs="Times New Roman Regular"/>
                <w:sz w:val="24"/>
                <w:szCs w:val="24"/>
              </w:rPr>
              <w:t>0.0655</w:t>
            </w:r>
            <w:r w:rsidRPr="00F66E23">
              <w:rPr>
                <w:rFonts w:ascii="Times New Roman Regular" w:hAnsi="Times New Roman Regular" w:cs="Times New Roman Regular"/>
                <w:sz w:val="24"/>
                <w:szCs w:val="24"/>
                <w:vertAlign w:val="superscript"/>
              </w:rPr>
              <w:t>*</w:t>
            </w:r>
          </w:p>
        </w:tc>
        <w:tc>
          <w:tcPr>
            <w:tcW w:w="1109" w:type="dxa"/>
            <w:tcBorders>
              <w:top w:val="nil"/>
              <w:left w:val="nil"/>
              <w:bottom w:val="nil"/>
              <w:right w:val="nil"/>
            </w:tcBorders>
            <w:noWrap/>
            <w:vAlign w:val="bottom"/>
          </w:tcPr>
          <w:p w14:paraId="3F30A774" w14:textId="77777777" w:rsidR="004470EC" w:rsidRPr="00F66E23" w:rsidRDefault="00000000">
            <w:pPr>
              <w:spacing w:line="360" w:lineRule="auto"/>
              <w:jc w:val="center"/>
              <w:rPr>
                <w:rFonts w:ascii="Times New Roman Regular" w:hAnsi="Times New Roman Regular" w:cs="Times New Roman Regular"/>
                <w:sz w:val="24"/>
                <w:szCs w:val="24"/>
                <w:lang w:val="fr-CH"/>
              </w:rPr>
            </w:pPr>
            <w:r w:rsidRPr="00F66E23">
              <w:rPr>
                <w:rFonts w:ascii="Times New Roman Regular" w:hAnsi="Times New Roman Regular" w:cs="Times New Roman Regular"/>
                <w:sz w:val="24"/>
                <w:szCs w:val="24"/>
              </w:rPr>
              <w:t>0.015</w:t>
            </w:r>
            <w:r w:rsidRPr="00F66E23">
              <w:rPr>
                <w:rFonts w:ascii="Times New Roman Regular" w:hAnsi="Times New Roman Regular" w:cs="Times New Roman Regular"/>
                <w:sz w:val="24"/>
                <w:szCs w:val="24"/>
                <w:lang w:val="fr-CH"/>
              </w:rPr>
              <w:t>9</w:t>
            </w:r>
          </w:p>
        </w:tc>
        <w:tc>
          <w:tcPr>
            <w:tcW w:w="1073" w:type="dxa"/>
            <w:tcBorders>
              <w:top w:val="nil"/>
              <w:left w:val="nil"/>
              <w:bottom w:val="nil"/>
              <w:right w:val="nil"/>
            </w:tcBorders>
            <w:noWrap/>
            <w:vAlign w:val="bottom"/>
          </w:tcPr>
          <w:p w14:paraId="4894F30B"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1</w:t>
            </w:r>
          </w:p>
        </w:tc>
        <w:tc>
          <w:tcPr>
            <w:tcW w:w="1223" w:type="dxa"/>
            <w:tcBorders>
              <w:top w:val="nil"/>
              <w:left w:val="nil"/>
              <w:bottom w:val="nil"/>
              <w:right w:val="nil"/>
            </w:tcBorders>
            <w:noWrap/>
            <w:vAlign w:val="bottom"/>
          </w:tcPr>
          <w:p w14:paraId="153CC809" w14:textId="77777777" w:rsidR="004470EC" w:rsidRPr="00F66E23" w:rsidRDefault="004470EC">
            <w:pPr>
              <w:spacing w:line="360" w:lineRule="auto"/>
              <w:jc w:val="center"/>
              <w:rPr>
                <w:rFonts w:ascii="Times New Roman Regular" w:hAnsi="Times New Roman Regular" w:cs="Times New Roman Regular"/>
                <w:sz w:val="24"/>
                <w:szCs w:val="24"/>
              </w:rPr>
            </w:pPr>
          </w:p>
        </w:tc>
        <w:tc>
          <w:tcPr>
            <w:tcW w:w="945" w:type="dxa"/>
            <w:tcBorders>
              <w:top w:val="nil"/>
              <w:left w:val="nil"/>
              <w:bottom w:val="nil"/>
              <w:right w:val="nil"/>
            </w:tcBorders>
            <w:noWrap/>
            <w:vAlign w:val="bottom"/>
          </w:tcPr>
          <w:p w14:paraId="57D2CF58" w14:textId="77777777" w:rsidR="004470EC" w:rsidRPr="00F66E23" w:rsidRDefault="004470EC">
            <w:pPr>
              <w:spacing w:line="360" w:lineRule="auto"/>
              <w:jc w:val="center"/>
              <w:rPr>
                <w:rFonts w:ascii="Times New Roman Regular" w:hAnsi="Times New Roman Regular" w:cs="Times New Roman Regular"/>
                <w:sz w:val="24"/>
                <w:szCs w:val="24"/>
              </w:rPr>
            </w:pPr>
          </w:p>
        </w:tc>
        <w:tc>
          <w:tcPr>
            <w:tcW w:w="1073" w:type="dxa"/>
            <w:tcBorders>
              <w:top w:val="nil"/>
              <w:left w:val="nil"/>
              <w:bottom w:val="nil"/>
              <w:right w:val="nil"/>
            </w:tcBorders>
            <w:noWrap/>
            <w:vAlign w:val="bottom"/>
          </w:tcPr>
          <w:p w14:paraId="4D694726" w14:textId="77777777" w:rsidR="004470EC" w:rsidRPr="00F66E23" w:rsidRDefault="004470EC">
            <w:pPr>
              <w:spacing w:line="360" w:lineRule="auto"/>
              <w:jc w:val="center"/>
              <w:rPr>
                <w:rFonts w:ascii="Times New Roman Regular" w:hAnsi="Times New Roman Regular" w:cs="Times New Roman Regular"/>
                <w:sz w:val="24"/>
                <w:szCs w:val="24"/>
              </w:rPr>
            </w:pPr>
          </w:p>
        </w:tc>
      </w:tr>
      <w:tr w:rsidR="004470EC" w:rsidRPr="00F66E23" w14:paraId="1A3D275C" w14:textId="77777777">
        <w:trPr>
          <w:trHeight w:val="613"/>
        </w:trPr>
        <w:tc>
          <w:tcPr>
            <w:tcW w:w="1355" w:type="dxa"/>
            <w:tcBorders>
              <w:top w:val="nil"/>
              <w:left w:val="nil"/>
              <w:bottom w:val="nil"/>
              <w:right w:val="nil"/>
            </w:tcBorders>
            <w:noWrap/>
            <w:vAlign w:val="bottom"/>
          </w:tcPr>
          <w:p w14:paraId="2AC03350"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 xml:space="preserve">LEV </w:t>
            </w:r>
          </w:p>
        </w:tc>
        <w:tc>
          <w:tcPr>
            <w:tcW w:w="1109" w:type="dxa"/>
            <w:tcBorders>
              <w:top w:val="nil"/>
              <w:left w:val="nil"/>
              <w:bottom w:val="nil"/>
              <w:right w:val="nil"/>
            </w:tcBorders>
            <w:noWrap/>
            <w:vAlign w:val="bottom"/>
          </w:tcPr>
          <w:p w14:paraId="2A7D5FA0"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-0.0228</w:t>
            </w:r>
          </w:p>
        </w:tc>
        <w:tc>
          <w:tcPr>
            <w:tcW w:w="1109" w:type="dxa"/>
            <w:tcBorders>
              <w:top w:val="nil"/>
              <w:left w:val="nil"/>
              <w:bottom w:val="nil"/>
              <w:right w:val="nil"/>
            </w:tcBorders>
            <w:noWrap/>
            <w:vAlign w:val="bottom"/>
          </w:tcPr>
          <w:p w14:paraId="26CA559E"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-0.0921</w:t>
            </w:r>
          </w:p>
        </w:tc>
        <w:tc>
          <w:tcPr>
            <w:tcW w:w="1073" w:type="dxa"/>
            <w:tcBorders>
              <w:top w:val="nil"/>
              <w:left w:val="nil"/>
              <w:bottom w:val="nil"/>
              <w:right w:val="nil"/>
            </w:tcBorders>
            <w:noWrap/>
            <w:vAlign w:val="bottom"/>
          </w:tcPr>
          <w:p w14:paraId="3B4355BB"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-0.0357</w:t>
            </w:r>
          </w:p>
        </w:tc>
        <w:tc>
          <w:tcPr>
            <w:tcW w:w="1223" w:type="dxa"/>
            <w:tcBorders>
              <w:top w:val="nil"/>
              <w:left w:val="nil"/>
              <w:bottom w:val="nil"/>
              <w:right w:val="nil"/>
            </w:tcBorders>
            <w:noWrap/>
            <w:vAlign w:val="bottom"/>
          </w:tcPr>
          <w:p w14:paraId="213CBDC7"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1</w:t>
            </w:r>
          </w:p>
        </w:tc>
        <w:tc>
          <w:tcPr>
            <w:tcW w:w="945" w:type="dxa"/>
            <w:tcBorders>
              <w:top w:val="nil"/>
              <w:left w:val="nil"/>
              <w:bottom w:val="nil"/>
              <w:right w:val="nil"/>
            </w:tcBorders>
            <w:noWrap/>
            <w:vAlign w:val="bottom"/>
          </w:tcPr>
          <w:p w14:paraId="324942C7" w14:textId="77777777" w:rsidR="004470EC" w:rsidRPr="00F66E23" w:rsidRDefault="004470EC">
            <w:pPr>
              <w:spacing w:line="360" w:lineRule="auto"/>
              <w:jc w:val="center"/>
              <w:rPr>
                <w:rFonts w:ascii="Times New Roman Regular" w:hAnsi="Times New Roman Regular" w:cs="Times New Roman Regular"/>
                <w:sz w:val="24"/>
                <w:szCs w:val="24"/>
              </w:rPr>
            </w:pPr>
          </w:p>
        </w:tc>
        <w:tc>
          <w:tcPr>
            <w:tcW w:w="1073" w:type="dxa"/>
            <w:tcBorders>
              <w:top w:val="nil"/>
              <w:left w:val="nil"/>
              <w:bottom w:val="nil"/>
              <w:right w:val="nil"/>
            </w:tcBorders>
            <w:noWrap/>
            <w:vAlign w:val="bottom"/>
          </w:tcPr>
          <w:p w14:paraId="3F938AB5" w14:textId="77777777" w:rsidR="004470EC" w:rsidRPr="00F66E23" w:rsidRDefault="004470EC">
            <w:pPr>
              <w:spacing w:line="360" w:lineRule="auto"/>
              <w:jc w:val="center"/>
              <w:rPr>
                <w:rFonts w:ascii="Times New Roman Regular" w:hAnsi="Times New Roman Regular" w:cs="Times New Roman Regular"/>
                <w:sz w:val="24"/>
                <w:szCs w:val="24"/>
              </w:rPr>
            </w:pPr>
          </w:p>
        </w:tc>
      </w:tr>
      <w:tr w:rsidR="004470EC" w:rsidRPr="00F66E23" w14:paraId="6E924D46" w14:textId="77777777">
        <w:trPr>
          <w:trHeight w:val="613"/>
        </w:trPr>
        <w:tc>
          <w:tcPr>
            <w:tcW w:w="1355" w:type="dxa"/>
            <w:tcBorders>
              <w:top w:val="nil"/>
              <w:left w:val="nil"/>
              <w:bottom w:val="nil"/>
              <w:right w:val="nil"/>
            </w:tcBorders>
            <w:noWrap/>
            <w:vAlign w:val="bottom"/>
          </w:tcPr>
          <w:p w14:paraId="371BB396"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 xml:space="preserve">GDPG </w:t>
            </w:r>
          </w:p>
        </w:tc>
        <w:tc>
          <w:tcPr>
            <w:tcW w:w="1109" w:type="dxa"/>
            <w:tcBorders>
              <w:top w:val="nil"/>
              <w:left w:val="nil"/>
              <w:bottom w:val="nil"/>
              <w:right w:val="nil"/>
            </w:tcBorders>
            <w:noWrap/>
            <w:vAlign w:val="bottom"/>
          </w:tcPr>
          <w:p w14:paraId="3CC5600D" w14:textId="77777777" w:rsidR="004470EC" w:rsidRPr="00F66E23" w:rsidRDefault="00000000">
            <w:pPr>
              <w:spacing w:line="360" w:lineRule="auto"/>
              <w:jc w:val="center"/>
              <w:rPr>
                <w:rFonts w:ascii="Times New Roman Regular" w:hAnsi="Times New Roman Regular" w:cs="Times New Roman Regular"/>
                <w:sz w:val="24"/>
                <w:szCs w:val="24"/>
                <w:vertAlign w:val="superscript"/>
              </w:rPr>
            </w:pPr>
            <w:r w:rsidRPr="00F66E23">
              <w:rPr>
                <w:rFonts w:ascii="Times New Roman Regular" w:hAnsi="Times New Roman Regular" w:cs="Times New Roman Regular"/>
                <w:sz w:val="24"/>
                <w:szCs w:val="24"/>
              </w:rPr>
              <w:t>0.0704</w:t>
            </w:r>
            <w:r w:rsidRPr="00F66E23">
              <w:rPr>
                <w:rFonts w:ascii="Times New Roman Regular" w:hAnsi="Times New Roman Regular" w:cs="Times New Roman Regular"/>
                <w:sz w:val="24"/>
                <w:szCs w:val="24"/>
                <w:vertAlign w:val="superscript"/>
              </w:rPr>
              <w:t>*</w:t>
            </w:r>
          </w:p>
        </w:tc>
        <w:tc>
          <w:tcPr>
            <w:tcW w:w="1109" w:type="dxa"/>
            <w:tcBorders>
              <w:top w:val="nil"/>
              <w:left w:val="nil"/>
              <w:bottom w:val="nil"/>
              <w:right w:val="nil"/>
            </w:tcBorders>
            <w:noWrap/>
            <w:vAlign w:val="bottom"/>
          </w:tcPr>
          <w:p w14:paraId="7B02B566" w14:textId="77777777" w:rsidR="004470EC" w:rsidRPr="00F66E23" w:rsidRDefault="00000000">
            <w:pPr>
              <w:spacing w:line="360" w:lineRule="auto"/>
              <w:jc w:val="center"/>
              <w:rPr>
                <w:rFonts w:ascii="Times New Roman Regular" w:hAnsi="Times New Roman Regular" w:cs="Times New Roman Regular"/>
                <w:sz w:val="24"/>
                <w:szCs w:val="24"/>
                <w:vertAlign w:val="superscript"/>
                <w:lang w:val="fr-CH"/>
              </w:rPr>
            </w:pPr>
            <w:r w:rsidRPr="00F66E23">
              <w:rPr>
                <w:rFonts w:ascii="Times New Roman Regular" w:hAnsi="Times New Roman Regular" w:cs="Times New Roman Regular"/>
                <w:sz w:val="24"/>
                <w:szCs w:val="24"/>
              </w:rPr>
              <w:t>0.0294</w:t>
            </w:r>
            <w:r w:rsidRPr="00F66E23">
              <w:rPr>
                <w:rFonts w:ascii="Times New Roman Regular" w:hAnsi="Times New Roman Regular" w:cs="Times New Roman Regular"/>
                <w:sz w:val="24"/>
                <w:szCs w:val="24"/>
                <w:vertAlign w:val="superscript"/>
                <w:lang w:val="fr-CH"/>
              </w:rPr>
              <w:t>*</w:t>
            </w:r>
          </w:p>
        </w:tc>
        <w:tc>
          <w:tcPr>
            <w:tcW w:w="1073" w:type="dxa"/>
            <w:tcBorders>
              <w:top w:val="nil"/>
              <w:left w:val="nil"/>
              <w:bottom w:val="nil"/>
              <w:right w:val="nil"/>
            </w:tcBorders>
            <w:noWrap/>
            <w:vAlign w:val="bottom"/>
          </w:tcPr>
          <w:p w14:paraId="31F612BA"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-0.06019</w:t>
            </w:r>
          </w:p>
        </w:tc>
        <w:tc>
          <w:tcPr>
            <w:tcW w:w="1223" w:type="dxa"/>
            <w:tcBorders>
              <w:top w:val="nil"/>
              <w:left w:val="nil"/>
              <w:bottom w:val="nil"/>
              <w:right w:val="nil"/>
            </w:tcBorders>
            <w:noWrap/>
            <w:vAlign w:val="bottom"/>
          </w:tcPr>
          <w:p w14:paraId="48392909"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-0.0837</w:t>
            </w:r>
          </w:p>
        </w:tc>
        <w:tc>
          <w:tcPr>
            <w:tcW w:w="945" w:type="dxa"/>
            <w:tcBorders>
              <w:top w:val="nil"/>
              <w:left w:val="nil"/>
              <w:bottom w:val="nil"/>
              <w:right w:val="nil"/>
            </w:tcBorders>
            <w:noWrap/>
            <w:vAlign w:val="bottom"/>
          </w:tcPr>
          <w:p w14:paraId="53E81257"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1</w:t>
            </w:r>
          </w:p>
        </w:tc>
        <w:tc>
          <w:tcPr>
            <w:tcW w:w="1073" w:type="dxa"/>
            <w:tcBorders>
              <w:top w:val="nil"/>
              <w:left w:val="nil"/>
              <w:bottom w:val="nil"/>
              <w:right w:val="nil"/>
            </w:tcBorders>
            <w:noWrap/>
            <w:vAlign w:val="bottom"/>
          </w:tcPr>
          <w:p w14:paraId="091465CE" w14:textId="77777777" w:rsidR="004470EC" w:rsidRPr="00F66E23" w:rsidRDefault="004470EC">
            <w:pPr>
              <w:spacing w:line="360" w:lineRule="auto"/>
              <w:jc w:val="center"/>
              <w:rPr>
                <w:rFonts w:ascii="Times New Roman Regular" w:hAnsi="Times New Roman Regular" w:cs="Times New Roman Regular"/>
                <w:sz w:val="24"/>
                <w:szCs w:val="24"/>
              </w:rPr>
            </w:pPr>
          </w:p>
        </w:tc>
      </w:tr>
      <w:tr w:rsidR="004470EC" w:rsidRPr="00F66E23" w14:paraId="6360FFE9" w14:textId="77777777">
        <w:trPr>
          <w:trHeight w:val="650"/>
        </w:trPr>
        <w:tc>
          <w:tcPr>
            <w:tcW w:w="1355" w:type="dxa"/>
            <w:tcBorders>
              <w:top w:val="nil"/>
              <w:left w:val="nil"/>
              <w:bottom w:val="single" w:sz="8" w:space="0" w:color="auto"/>
              <w:right w:val="nil"/>
            </w:tcBorders>
            <w:noWrap/>
            <w:vAlign w:val="bottom"/>
          </w:tcPr>
          <w:p w14:paraId="7DAB7488"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 xml:space="preserve">INFR </w:t>
            </w:r>
          </w:p>
        </w:tc>
        <w:tc>
          <w:tcPr>
            <w:tcW w:w="1109" w:type="dxa"/>
            <w:tcBorders>
              <w:top w:val="nil"/>
              <w:left w:val="nil"/>
              <w:bottom w:val="single" w:sz="8" w:space="0" w:color="auto"/>
              <w:right w:val="nil"/>
            </w:tcBorders>
            <w:noWrap/>
            <w:vAlign w:val="bottom"/>
          </w:tcPr>
          <w:p w14:paraId="35A27A38" w14:textId="77777777" w:rsidR="004470EC" w:rsidRPr="00F66E23" w:rsidRDefault="00000000">
            <w:pPr>
              <w:spacing w:line="360" w:lineRule="auto"/>
              <w:jc w:val="center"/>
              <w:rPr>
                <w:rFonts w:ascii="Times New Roman Regular" w:hAnsi="Times New Roman Regular" w:cs="Times New Roman Regular"/>
                <w:sz w:val="24"/>
                <w:szCs w:val="24"/>
                <w:vertAlign w:val="superscript"/>
              </w:rPr>
            </w:pPr>
            <w:r w:rsidRPr="00F66E23">
              <w:rPr>
                <w:rFonts w:ascii="Times New Roman Regular" w:hAnsi="Times New Roman Regular" w:cs="Times New Roman Regular"/>
                <w:sz w:val="24"/>
                <w:szCs w:val="24"/>
              </w:rPr>
              <w:t>0.0009</w:t>
            </w:r>
            <w:r w:rsidRPr="00F66E23">
              <w:rPr>
                <w:rFonts w:ascii="Times New Roman Regular" w:hAnsi="Times New Roman Regular" w:cs="Times New Roman Regular"/>
                <w:sz w:val="24"/>
                <w:szCs w:val="24"/>
                <w:vertAlign w:val="superscript"/>
              </w:rPr>
              <w:t>*</w:t>
            </w:r>
          </w:p>
        </w:tc>
        <w:tc>
          <w:tcPr>
            <w:tcW w:w="1109" w:type="dxa"/>
            <w:tcBorders>
              <w:top w:val="nil"/>
              <w:left w:val="nil"/>
              <w:bottom w:val="single" w:sz="8" w:space="0" w:color="auto"/>
              <w:right w:val="nil"/>
            </w:tcBorders>
            <w:noWrap/>
            <w:vAlign w:val="bottom"/>
          </w:tcPr>
          <w:p w14:paraId="35379714" w14:textId="77777777" w:rsidR="004470EC" w:rsidRPr="00F66E23" w:rsidRDefault="00000000">
            <w:pPr>
              <w:spacing w:line="360" w:lineRule="auto"/>
              <w:jc w:val="center"/>
              <w:rPr>
                <w:rFonts w:ascii="Times New Roman Regular" w:hAnsi="Times New Roman Regular" w:cs="Times New Roman Regular"/>
                <w:sz w:val="24"/>
                <w:szCs w:val="24"/>
                <w:vertAlign w:val="superscript"/>
                <w:lang w:val="fr-CH"/>
              </w:rPr>
            </w:pPr>
            <w:r w:rsidRPr="00F66E23">
              <w:rPr>
                <w:rFonts w:ascii="Times New Roman Regular" w:hAnsi="Times New Roman Regular" w:cs="Times New Roman Regular"/>
                <w:sz w:val="24"/>
                <w:szCs w:val="24"/>
              </w:rPr>
              <w:t>0.1144</w:t>
            </w:r>
            <w:r w:rsidRPr="00F66E23">
              <w:rPr>
                <w:rFonts w:ascii="Times New Roman Regular" w:hAnsi="Times New Roman Regular" w:cs="Times New Roman Regular"/>
                <w:sz w:val="24"/>
                <w:szCs w:val="24"/>
                <w:vertAlign w:val="superscript"/>
                <w:lang w:val="fr-CH"/>
              </w:rPr>
              <w:t>*</w:t>
            </w:r>
          </w:p>
        </w:tc>
        <w:tc>
          <w:tcPr>
            <w:tcW w:w="1073" w:type="dxa"/>
            <w:tcBorders>
              <w:top w:val="nil"/>
              <w:left w:val="nil"/>
              <w:bottom w:val="single" w:sz="8" w:space="0" w:color="auto"/>
              <w:right w:val="nil"/>
            </w:tcBorders>
            <w:noWrap/>
            <w:vAlign w:val="bottom"/>
          </w:tcPr>
          <w:p w14:paraId="30ABA0D9"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-0.0047</w:t>
            </w:r>
          </w:p>
        </w:tc>
        <w:tc>
          <w:tcPr>
            <w:tcW w:w="1223" w:type="dxa"/>
            <w:tcBorders>
              <w:top w:val="nil"/>
              <w:left w:val="nil"/>
              <w:bottom w:val="single" w:sz="8" w:space="0" w:color="auto"/>
              <w:right w:val="nil"/>
            </w:tcBorders>
            <w:noWrap/>
            <w:vAlign w:val="bottom"/>
          </w:tcPr>
          <w:p w14:paraId="434682B8" w14:textId="77777777" w:rsidR="004470EC" w:rsidRPr="00F66E23" w:rsidRDefault="00000000">
            <w:pPr>
              <w:spacing w:line="360" w:lineRule="auto"/>
              <w:jc w:val="center"/>
              <w:rPr>
                <w:rFonts w:ascii="Times New Roman Regular" w:hAnsi="Times New Roman Regular" w:cs="Times New Roman Regular"/>
                <w:sz w:val="24"/>
                <w:szCs w:val="24"/>
                <w:vertAlign w:val="superscript"/>
                <w:lang w:val="fr-CH"/>
              </w:rPr>
            </w:pPr>
            <w:r w:rsidRPr="00F66E23">
              <w:rPr>
                <w:rFonts w:ascii="Times New Roman Regular" w:hAnsi="Times New Roman Regular" w:cs="Times New Roman Regular"/>
                <w:sz w:val="24"/>
                <w:szCs w:val="24"/>
              </w:rPr>
              <w:t>-4.62E-05</w:t>
            </w:r>
            <w:r w:rsidRPr="00F66E23">
              <w:rPr>
                <w:rFonts w:ascii="Times New Roman Regular" w:hAnsi="Times New Roman Regular" w:cs="Times New Roman Regular"/>
                <w:sz w:val="24"/>
                <w:szCs w:val="24"/>
                <w:vertAlign w:val="superscript"/>
                <w:lang w:val="fr-CH"/>
              </w:rPr>
              <w:t>***</w:t>
            </w:r>
          </w:p>
        </w:tc>
        <w:tc>
          <w:tcPr>
            <w:tcW w:w="945" w:type="dxa"/>
            <w:tcBorders>
              <w:top w:val="nil"/>
              <w:left w:val="nil"/>
              <w:bottom w:val="single" w:sz="8" w:space="0" w:color="auto"/>
              <w:right w:val="nil"/>
            </w:tcBorders>
            <w:noWrap/>
            <w:vAlign w:val="bottom"/>
          </w:tcPr>
          <w:p w14:paraId="0311972D"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-0.3289</w:t>
            </w:r>
          </w:p>
        </w:tc>
        <w:tc>
          <w:tcPr>
            <w:tcW w:w="1073" w:type="dxa"/>
            <w:tcBorders>
              <w:top w:val="nil"/>
              <w:left w:val="nil"/>
              <w:bottom w:val="single" w:sz="8" w:space="0" w:color="auto"/>
              <w:right w:val="nil"/>
            </w:tcBorders>
            <w:noWrap/>
            <w:vAlign w:val="bottom"/>
          </w:tcPr>
          <w:p w14:paraId="54E15404"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1</w:t>
            </w:r>
          </w:p>
        </w:tc>
      </w:tr>
    </w:tbl>
    <w:p w14:paraId="1B46720D" w14:textId="77777777" w:rsidR="004470EC" w:rsidRPr="00F66E23" w:rsidRDefault="00000000">
      <w:pPr>
        <w:autoSpaceDE w:val="0"/>
        <w:autoSpaceDN w:val="0"/>
        <w:adjustRightInd w:val="0"/>
        <w:spacing w:line="360" w:lineRule="auto"/>
        <w:jc w:val="both"/>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Note:</w:t>
      </w:r>
      <w:r w:rsidRPr="00F66E23">
        <w:rPr>
          <w:rFonts w:ascii="Times New Roman Regular" w:hAnsi="Times New Roman Regular" w:cs="Times New Roman Regular"/>
          <w:sz w:val="24"/>
          <w:szCs w:val="24"/>
        </w:rPr>
        <w:t xml:space="preserve"> (*), (**) and (***) shows 10.00%, 5.00% and 1.00% level of significance respectively. These are the definitions of the variables: FINP = Financial Performance Index; CRI = Climate Risk Index; Bs = Bank Size; LEV = Leverage; GDPG = Real GDP Growth; and INFR = Inflation.</w:t>
      </w:r>
    </w:p>
    <w:p w14:paraId="78921F7B" w14:textId="77777777" w:rsidR="004470EC" w:rsidRPr="00F66E23" w:rsidRDefault="00000000">
      <w:pPr>
        <w:pStyle w:val="Heading1"/>
        <w:spacing w:line="360" w:lineRule="auto"/>
        <w:rPr>
          <w:rFonts w:ascii="Times New Roman Regular" w:hAnsi="Times New Roman Regular" w:cs="Times New Roman Regular"/>
          <w:sz w:val="24"/>
          <w:szCs w:val="24"/>
        </w:rPr>
      </w:pPr>
      <w:bookmarkStart w:id="24" w:name="_Toc156569147"/>
      <w:r w:rsidRPr="00F66E23">
        <w:rPr>
          <w:rFonts w:ascii="Times New Roman Regular" w:hAnsi="Times New Roman Regular" w:cs="Times New Roman Regular"/>
          <w:sz w:val="24"/>
          <w:szCs w:val="24"/>
        </w:rPr>
        <w:t>4.5.1 Panel Unit Root Tests</w:t>
      </w:r>
      <w:bookmarkEnd w:id="24"/>
      <w:r w:rsidRPr="00F66E23">
        <w:rPr>
          <w:rFonts w:ascii="Times New Roman Regular" w:hAnsi="Times New Roman Regular" w:cs="Times New Roman Regular"/>
          <w:sz w:val="24"/>
          <w:szCs w:val="24"/>
        </w:rPr>
        <w:t xml:space="preserve"> </w:t>
      </w:r>
    </w:p>
    <w:p w14:paraId="18CEABD2" w14:textId="77777777" w:rsidR="004470EC" w:rsidRPr="00F66E23" w:rsidRDefault="00000000">
      <w:pPr>
        <w:autoSpaceDE w:val="0"/>
        <w:autoSpaceDN w:val="0"/>
        <w:adjustRightInd w:val="0"/>
        <w:spacing w:line="360" w:lineRule="auto"/>
        <w:jc w:val="both"/>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 xml:space="preserve">Table.5 shows the Panel Unit Root Test for the variables utilized in this study. Specifically, the study employed Levin, Lin, and Chu (2002) Panel Unit Root test. For Levin, Lin, and Chu unit root test, if prob. value is greater than 0.05 (5%), accept the null hypothesis, indicating existence of unit root (non-stationary). Also, if prob. value is less than 0.05 (5%), reject the null hypothesis, implying that non-existence of unit root (stationary). From Table 4, all the variables were constant at levels with the exception of bank size (BZ) and inflation (INFR). After first differencing, bank size (BZ) and inflation (INFR) became stationary at 5% significance level. </w:t>
      </w:r>
    </w:p>
    <w:p w14:paraId="4BA24DC3" w14:textId="77777777" w:rsidR="004470EC" w:rsidRPr="00F66E23" w:rsidRDefault="004470EC">
      <w:pPr>
        <w:autoSpaceDE w:val="0"/>
        <w:autoSpaceDN w:val="0"/>
        <w:adjustRightInd w:val="0"/>
        <w:spacing w:line="360" w:lineRule="auto"/>
        <w:jc w:val="both"/>
        <w:rPr>
          <w:rFonts w:ascii="Times New Roman Regular" w:hAnsi="Times New Roman Regular" w:cs="Times New Roman Regular"/>
          <w:sz w:val="24"/>
          <w:szCs w:val="24"/>
        </w:rPr>
      </w:pPr>
      <w:r w:rsidRPr="00F66E23">
        <w:t xml:space="preserve">The study </w:t>
      </w:r>
      <w:proofErr w:type="spellStart"/>
      <w:r w:rsidRPr="00F66E23">
        <w:t>utilised</w:t>
      </w:r>
      <w:proofErr w:type="spellEnd"/>
      <w:r w:rsidRPr="00F66E23">
        <w:t xml:space="preserve"> Feasible Generalized Least Square (FGLS) regression to control the effects of autocorrelation and heteroskedasticity present in the panel fixed effects. Table 5 presents the regression results on the relationship between climate risk, institutional quality, and bank financial performance. The Wald chi-square statistic was 18.79, with a p-value of less than 5%. This confirms that the independent variables are collectively significant for the model. It also confirms that each independent variable present in the model is significant.</w:t>
      </w:r>
    </w:p>
    <w:p w14:paraId="2C8E0DB4" w14:textId="77777777" w:rsidR="004470EC" w:rsidRPr="00F66E23" w:rsidRDefault="004470EC">
      <w:pPr>
        <w:autoSpaceDE w:val="0"/>
        <w:autoSpaceDN w:val="0"/>
        <w:adjustRightInd w:val="0"/>
        <w:spacing w:line="360" w:lineRule="auto"/>
        <w:jc w:val="both"/>
        <w:rPr>
          <w:rFonts w:ascii="Times New Roman Regular" w:hAnsi="Times New Roman Regular" w:cs="Times New Roman Regular"/>
          <w:sz w:val="24"/>
          <w:szCs w:val="24"/>
        </w:rPr>
      </w:pPr>
      <w:r w:rsidRPr="00F66E23">
        <w:t xml:space="preserve">The first hypothesis tested the negative relationship between climate risk and bank financial performance. Based on the results in Table 5, the coefficient of climate risk (CRI) is negative and statistically significant at 5%. The result supports the first hypothesis of the study. This implies that climate risk significantly reduces the bank financial performance of the selected commercial banks. Climate risk could have an effect on the bank's buildings and activities, as well as on its users and the business as a whole. Extreme weather events and long-term changes in the climate can cause retail stores and facilities to close, which can affect customers' reputation and reduce banks' profits and </w:t>
      </w:r>
      <w:r w:rsidRPr="00F66E23">
        <w:t>cash flow. The results in this study resonate with the findings of Huang, Kerstein, and Wang (2018). Huang, Kerstein, and Wang (2018) examined the impacts of climate change on bank performance and investigated the mediating role of natural disasters. By using an unbalanced panel of 127 countries between the period 2005 and 2018, the researchers found a negative association between climate change variables and bank performance variables. The study also found a significant mediating effect of climate change on bank performance through natural disasters in high-income countries, but not in low-income countries. The results of this study also confirm the views of Giang et al. (2021), who investigated the impact of climate change risk on the financial performance of listed manufacturing firms in Vietnam. Their results found a negative correlation between climate change risk and financial performance. Specifically, humidity risk adversely affects the financial performance of listed manufacturing firms.</w:t>
      </w:r>
    </w:p>
    <w:p w14:paraId="2E807B70" w14:textId="4C6C71EE" w:rsidR="004470EC" w:rsidRPr="00F66E23" w:rsidRDefault="008F3D03" w:rsidP="006930AC">
      <w:pPr>
        <w:pStyle w:val="Heading1"/>
        <w:spacing w:line="360" w:lineRule="auto"/>
        <w:rPr>
          <w:rFonts w:ascii="Times New Roman Regular" w:hAnsi="Times New Roman Regular" w:cs="Times New Roman Regular"/>
          <w:sz w:val="24"/>
          <w:szCs w:val="24"/>
        </w:rPr>
      </w:pPr>
      <w:r w:rsidRPr="00D962DD">
        <w:rPr>
          <w:rFonts w:ascii="Times New Roman Regular" w:hAnsi="Times New Roman Regular" w:cs="Times New Roman Regular"/>
          <w:sz w:val="24"/>
          <w:szCs w:val="24"/>
        </w:rPr>
        <w:t>Table 4: Panel Unit Root Test – Levin, Lin, and Chu Test (2002)</w:t>
      </w:r>
    </w:p>
    <w:p w14:paraId="120C3A74" w14:textId="2A1255D9" w:rsidR="004470EC" w:rsidRPr="00F66E23" w:rsidRDefault="004470EC">
      <w:pPr>
        <w:pStyle w:val="Heading1"/>
        <w:spacing w:line="360" w:lineRule="auto"/>
        <w:rPr>
          <w:rFonts w:ascii="Times New Roman Regular" w:hAnsi="Times New Roman Regular" w:cs="Times New Roman Regular"/>
          <w:sz w:val="24"/>
          <w:szCs w:val="24"/>
        </w:rPr>
      </w:pPr>
      <w:bookmarkStart w:id="25" w:name="_Toc156569148"/>
      <w:bookmarkEnd w:id="25"/>
    </w:p>
    <w:tbl>
      <w:tblPr>
        <w:tblpPr w:leftFromText="180" w:rightFromText="180" w:vertAnchor="text" w:tblpY="1"/>
        <w:tblOverlap w:val="never"/>
        <w:tblW w:w="8555" w:type="dxa"/>
        <w:tblLook w:val="04A0" w:firstRow="1" w:lastRow="0" w:firstColumn="1" w:lastColumn="0" w:noHBand="0" w:noVBand="1"/>
      </w:tblPr>
      <w:tblGrid>
        <w:gridCol w:w="1573"/>
        <w:gridCol w:w="1846"/>
        <w:gridCol w:w="1645"/>
        <w:gridCol w:w="1794"/>
        <w:gridCol w:w="1697"/>
      </w:tblGrid>
      <w:tr w:rsidR="004470EC" w:rsidRPr="00F66E23" w14:paraId="740FF121" w14:textId="77777777">
        <w:trPr>
          <w:trHeight w:val="702"/>
        </w:trPr>
        <w:tc>
          <w:tcPr>
            <w:tcW w:w="1573" w:type="dxa"/>
            <w:tcBorders>
              <w:top w:val="single" w:sz="4" w:space="0" w:color="auto"/>
              <w:left w:val="nil"/>
              <w:bottom w:val="single" w:sz="4" w:space="0" w:color="auto"/>
              <w:right w:val="nil"/>
            </w:tcBorders>
            <w:noWrap/>
            <w:vAlign w:val="bottom"/>
          </w:tcPr>
          <w:p w14:paraId="7A2B218B" w14:textId="77777777" w:rsidR="004470EC" w:rsidRPr="00F66E23" w:rsidRDefault="00000000">
            <w:pPr>
              <w:spacing w:line="360" w:lineRule="auto"/>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 xml:space="preserve">Variables </w:t>
            </w:r>
          </w:p>
        </w:tc>
        <w:tc>
          <w:tcPr>
            <w:tcW w:w="3491" w:type="dxa"/>
            <w:gridSpan w:val="2"/>
            <w:tcBorders>
              <w:top w:val="single" w:sz="4" w:space="0" w:color="auto"/>
              <w:left w:val="nil"/>
              <w:bottom w:val="single" w:sz="4" w:space="0" w:color="auto"/>
              <w:right w:val="nil"/>
            </w:tcBorders>
            <w:noWrap/>
            <w:vAlign w:val="bottom"/>
          </w:tcPr>
          <w:p w14:paraId="63B2D48B" w14:textId="77777777" w:rsidR="004470EC" w:rsidRPr="00F66E23" w:rsidRDefault="00000000">
            <w:pPr>
              <w:spacing w:line="360" w:lineRule="auto"/>
              <w:jc w:val="center"/>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At Levels</w:t>
            </w:r>
          </w:p>
        </w:tc>
        <w:tc>
          <w:tcPr>
            <w:tcW w:w="3491" w:type="dxa"/>
            <w:gridSpan w:val="2"/>
            <w:tcBorders>
              <w:top w:val="single" w:sz="4" w:space="0" w:color="auto"/>
              <w:left w:val="nil"/>
              <w:bottom w:val="single" w:sz="4" w:space="0" w:color="auto"/>
              <w:right w:val="nil"/>
            </w:tcBorders>
            <w:noWrap/>
            <w:vAlign w:val="bottom"/>
          </w:tcPr>
          <w:p w14:paraId="5E90CCDC" w14:textId="77777777" w:rsidR="004470EC" w:rsidRPr="00F66E23" w:rsidRDefault="00000000">
            <w:pPr>
              <w:spacing w:line="360" w:lineRule="auto"/>
              <w:jc w:val="center"/>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First Difference</w:t>
            </w:r>
          </w:p>
        </w:tc>
      </w:tr>
      <w:tr w:rsidR="004470EC" w:rsidRPr="00F66E23" w14:paraId="446B2564" w14:textId="77777777">
        <w:trPr>
          <w:trHeight w:val="702"/>
        </w:trPr>
        <w:tc>
          <w:tcPr>
            <w:tcW w:w="1573" w:type="dxa"/>
            <w:tcBorders>
              <w:top w:val="single" w:sz="4" w:space="0" w:color="auto"/>
              <w:left w:val="nil"/>
              <w:right w:val="nil"/>
            </w:tcBorders>
            <w:noWrap/>
            <w:vAlign w:val="bottom"/>
          </w:tcPr>
          <w:p w14:paraId="22A27DB2" w14:textId="77777777" w:rsidR="004470EC" w:rsidRPr="00F66E23" w:rsidRDefault="004470EC">
            <w:pPr>
              <w:spacing w:line="360" w:lineRule="auto"/>
              <w:rPr>
                <w:rFonts w:ascii="Times New Roman Regular" w:hAnsi="Times New Roman Regular" w:cs="Times New Roman Regular"/>
                <w:b/>
                <w:bCs/>
                <w:sz w:val="24"/>
                <w:szCs w:val="24"/>
              </w:rPr>
            </w:pPr>
          </w:p>
        </w:tc>
        <w:tc>
          <w:tcPr>
            <w:tcW w:w="3491" w:type="dxa"/>
            <w:gridSpan w:val="2"/>
            <w:tcBorders>
              <w:top w:val="single" w:sz="4" w:space="0" w:color="auto"/>
              <w:left w:val="nil"/>
              <w:right w:val="nil"/>
            </w:tcBorders>
            <w:noWrap/>
            <w:vAlign w:val="bottom"/>
          </w:tcPr>
          <w:p w14:paraId="4EBCCF22" w14:textId="77777777" w:rsidR="004470EC" w:rsidRPr="00F66E23" w:rsidRDefault="00000000">
            <w:pPr>
              <w:spacing w:line="360" w:lineRule="auto"/>
              <w:jc w:val="center"/>
              <w:rPr>
                <w:rFonts w:ascii="Times New Roman Regular" w:hAnsi="Times New Roman Regular" w:cs="Times New Roman Regular"/>
                <w:b/>
                <w:bCs/>
                <w:sz w:val="24"/>
                <w:szCs w:val="24"/>
                <w:u w:val="single"/>
              </w:rPr>
            </w:pPr>
            <w:r w:rsidRPr="00F66E23">
              <w:rPr>
                <w:rFonts w:ascii="Times New Roman Regular" w:hAnsi="Times New Roman Regular" w:cs="Times New Roman Regular"/>
                <w:b/>
                <w:bCs/>
                <w:sz w:val="24"/>
                <w:szCs w:val="24"/>
                <w:u w:val="single"/>
              </w:rPr>
              <w:t>With Constant and Trend</w:t>
            </w:r>
          </w:p>
        </w:tc>
        <w:tc>
          <w:tcPr>
            <w:tcW w:w="3491" w:type="dxa"/>
            <w:gridSpan w:val="2"/>
            <w:tcBorders>
              <w:top w:val="single" w:sz="4" w:space="0" w:color="auto"/>
              <w:left w:val="nil"/>
              <w:right w:val="nil"/>
            </w:tcBorders>
            <w:noWrap/>
            <w:vAlign w:val="bottom"/>
          </w:tcPr>
          <w:p w14:paraId="3C633168" w14:textId="77777777" w:rsidR="004470EC" w:rsidRPr="00F66E23" w:rsidRDefault="00000000">
            <w:pPr>
              <w:spacing w:line="360" w:lineRule="auto"/>
              <w:jc w:val="center"/>
              <w:rPr>
                <w:rFonts w:ascii="Times New Roman Regular" w:hAnsi="Times New Roman Regular" w:cs="Times New Roman Regular"/>
                <w:b/>
                <w:bCs/>
                <w:sz w:val="24"/>
                <w:szCs w:val="24"/>
                <w:u w:val="single"/>
              </w:rPr>
            </w:pPr>
            <w:r w:rsidRPr="00F66E23">
              <w:rPr>
                <w:rFonts w:ascii="Times New Roman Regular" w:hAnsi="Times New Roman Regular" w:cs="Times New Roman Regular"/>
                <w:b/>
                <w:bCs/>
                <w:sz w:val="24"/>
                <w:szCs w:val="24"/>
                <w:u w:val="single"/>
              </w:rPr>
              <w:t>With Constant and Trend</w:t>
            </w:r>
          </w:p>
        </w:tc>
      </w:tr>
      <w:tr w:rsidR="004470EC" w:rsidRPr="00F66E23" w14:paraId="230773E5" w14:textId="77777777">
        <w:trPr>
          <w:trHeight w:val="676"/>
        </w:trPr>
        <w:tc>
          <w:tcPr>
            <w:tcW w:w="1573" w:type="dxa"/>
            <w:tcBorders>
              <w:left w:val="nil"/>
              <w:bottom w:val="nil"/>
              <w:right w:val="nil"/>
            </w:tcBorders>
            <w:noWrap/>
            <w:vAlign w:val="bottom"/>
          </w:tcPr>
          <w:p w14:paraId="5D865986" w14:textId="77777777" w:rsidR="004470EC" w:rsidRPr="00F66E23" w:rsidRDefault="004470EC">
            <w:pPr>
              <w:spacing w:line="360" w:lineRule="auto"/>
              <w:jc w:val="center"/>
              <w:rPr>
                <w:rFonts w:ascii="Times New Roman Regular" w:hAnsi="Times New Roman Regular" w:cs="Times New Roman Regular"/>
                <w:sz w:val="24"/>
                <w:szCs w:val="24"/>
              </w:rPr>
            </w:pPr>
          </w:p>
        </w:tc>
        <w:tc>
          <w:tcPr>
            <w:tcW w:w="1846" w:type="dxa"/>
            <w:tcBorders>
              <w:left w:val="nil"/>
              <w:bottom w:val="nil"/>
              <w:right w:val="nil"/>
            </w:tcBorders>
            <w:noWrap/>
            <w:vAlign w:val="bottom"/>
          </w:tcPr>
          <w:p w14:paraId="06254E9D" w14:textId="77777777" w:rsidR="004470EC" w:rsidRPr="00F66E23" w:rsidRDefault="00000000">
            <w:pPr>
              <w:spacing w:line="360" w:lineRule="auto"/>
              <w:jc w:val="center"/>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t. statistics</w:t>
            </w:r>
          </w:p>
        </w:tc>
        <w:tc>
          <w:tcPr>
            <w:tcW w:w="1645" w:type="dxa"/>
            <w:tcBorders>
              <w:left w:val="nil"/>
              <w:bottom w:val="nil"/>
              <w:right w:val="nil"/>
            </w:tcBorders>
            <w:noWrap/>
            <w:vAlign w:val="bottom"/>
          </w:tcPr>
          <w:p w14:paraId="604583D9" w14:textId="77777777" w:rsidR="004470EC" w:rsidRPr="00F66E23" w:rsidRDefault="00000000">
            <w:pPr>
              <w:spacing w:line="360" w:lineRule="auto"/>
              <w:jc w:val="center"/>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 xml:space="preserve">Prob </w:t>
            </w:r>
          </w:p>
        </w:tc>
        <w:tc>
          <w:tcPr>
            <w:tcW w:w="1794" w:type="dxa"/>
            <w:tcBorders>
              <w:left w:val="nil"/>
              <w:bottom w:val="nil"/>
              <w:right w:val="nil"/>
            </w:tcBorders>
            <w:noWrap/>
            <w:vAlign w:val="bottom"/>
          </w:tcPr>
          <w:p w14:paraId="65DFF91E" w14:textId="77777777" w:rsidR="004470EC" w:rsidRPr="00F66E23" w:rsidRDefault="00000000">
            <w:pPr>
              <w:spacing w:line="360" w:lineRule="auto"/>
              <w:jc w:val="center"/>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t. statistics</w:t>
            </w:r>
          </w:p>
        </w:tc>
        <w:tc>
          <w:tcPr>
            <w:tcW w:w="1697" w:type="dxa"/>
            <w:tcBorders>
              <w:left w:val="nil"/>
              <w:bottom w:val="nil"/>
              <w:right w:val="nil"/>
            </w:tcBorders>
            <w:noWrap/>
            <w:vAlign w:val="bottom"/>
          </w:tcPr>
          <w:p w14:paraId="5C64D335" w14:textId="77777777" w:rsidR="004470EC" w:rsidRPr="00F66E23" w:rsidRDefault="00000000">
            <w:pPr>
              <w:spacing w:line="360" w:lineRule="auto"/>
              <w:jc w:val="center"/>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 xml:space="preserve">Prob </w:t>
            </w:r>
          </w:p>
        </w:tc>
      </w:tr>
      <w:tr w:rsidR="004470EC" w:rsidRPr="00F66E23" w14:paraId="17F70080" w14:textId="77777777">
        <w:trPr>
          <w:trHeight w:val="676"/>
        </w:trPr>
        <w:tc>
          <w:tcPr>
            <w:tcW w:w="1573" w:type="dxa"/>
            <w:tcBorders>
              <w:top w:val="nil"/>
              <w:left w:val="nil"/>
              <w:bottom w:val="nil"/>
              <w:right w:val="nil"/>
            </w:tcBorders>
            <w:noWrap/>
            <w:vAlign w:val="bottom"/>
          </w:tcPr>
          <w:p w14:paraId="6FF5D149"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FINP</w:t>
            </w:r>
          </w:p>
        </w:tc>
        <w:tc>
          <w:tcPr>
            <w:tcW w:w="1846" w:type="dxa"/>
            <w:tcBorders>
              <w:top w:val="nil"/>
              <w:left w:val="nil"/>
              <w:bottom w:val="nil"/>
              <w:right w:val="nil"/>
            </w:tcBorders>
            <w:noWrap/>
            <w:vAlign w:val="bottom"/>
          </w:tcPr>
          <w:p w14:paraId="446AC718"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-6.892</w:t>
            </w:r>
          </w:p>
        </w:tc>
        <w:tc>
          <w:tcPr>
            <w:tcW w:w="1645" w:type="dxa"/>
            <w:tcBorders>
              <w:top w:val="nil"/>
              <w:left w:val="nil"/>
              <w:bottom w:val="nil"/>
              <w:right w:val="nil"/>
            </w:tcBorders>
            <w:noWrap/>
            <w:vAlign w:val="bottom"/>
          </w:tcPr>
          <w:p w14:paraId="4F64BB02"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0.0000**</w:t>
            </w:r>
          </w:p>
        </w:tc>
        <w:tc>
          <w:tcPr>
            <w:tcW w:w="1794" w:type="dxa"/>
            <w:tcBorders>
              <w:top w:val="nil"/>
              <w:left w:val="nil"/>
              <w:bottom w:val="nil"/>
              <w:right w:val="nil"/>
            </w:tcBorders>
            <w:noWrap/>
            <w:vAlign w:val="bottom"/>
          </w:tcPr>
          <w:p w14:paraId="66672D04" w14:textId="77777777" w:rsidR="004470EC" w:rsidRPr="00F66E23" w:rsidRDefault="004470EC">
            <w:pPr>
              <w:spacing w:line="360" w:lineRule="auto"/>
              <w:jc w:val="center"/>
              <w:rPr>
                <w:rFonts w:ascii="Times New Roman Regular" w:hAnsi="Times New Roman Regular" w:cs="Times New Roman Regular"/>
                <w:sz w:val="24"/>
                <w:szCs w:val="24"/>
              </w:rPr>
            </w:pPr>
          </w:p>
        </w:tc>
        <w:tc>
          <w:tcPr>
            <w:tcW w:w="1697" w:type="dxa"/>
            <w:tcBorders>
              <w:top w:val="nil"/>
              <w:left w:val="nil"/>
              <w:bottom w:val="nil"/>
              <w:right w:val="nil"/>
            </w:tcBorders>
            <w:noWrap/>
            <w:vAlign w:val="bottom"/>
          </w:tcPr>
          <w:p w14:paraId="1F36E4DF" w14:textId="77777777" w:rsidR="004470EC" w:rsidRPr="00F66E23" w:rsidRDefault="004470EC">
            <w:pPr>
              <w:spacing w:line="360" w:lineRule="auto"/>
              <w:jc w:val="center"/>
              <w:rPr>
                <w:rFonts w:ascii="Times New Roman Regular" w:hAnsi="Times New Roman Regular" w:cs="Times New Roman Regular"/>
                <w:sz w:val="24"/>
                <w:szCs w:val="24"/>
              </w:rPr>
            </w:pPr>
          </w:p>
        </w:tc>
      </w:tr>
      <w:tr w:rsidR="004470EC" w:rsidRPr="00F66E23" w14:paraId="270FA357" w14:textId="77777777">
        <w:trPr>
          <w:trHeight w:val="676"/>
        </w:trPr>
        <w:tc>
          <w:tcPr>
            <w:tcW w:w="1573" w:type="dxa"/>
            <w:tcBorders>
              <w:top w:val="nil"/>
              <w:left w:val="nil"/>
              <w:bottom w:val="nil"/>
              <w:right w:val="nil"/>
            </w:tcBorders>
            <w:noWrap/>
            <w:vAlign w:val="bottom"/>
          </w:tcPr>
          <w:p w14:paraId="79DAFEE5"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 xml:space="preserve">CRI </w:t>
            </w:r>
          </w:p>
        </w:tc>
        <w:tc>
          <w:tcPr>
            <w:tcW w:w="1846" w:type="dxa"/>
            <w:tcBorders>
              <w:top w:val="nil"/>
              <w:left w:val="nil"/>
              <w:bottom w:val="nil"/>
              <w:right w:val="nil"/>
            </w:tcBorders>
            <w:noWrap/>
            <w:vAlign w:val="bottom"/>
          </w:tcPr>
          <w:p w14:paraId="61719392"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-11.933</w:t>
            </w:r>
          </w:p>
        </w:tc>
        <w:tc>
          <w:tcPr>
            <w:tcW w:w="1645" w:type="dxa"/>
            <w:tcBorders>
              <w:top w:val="nil"/>
              <w:left w:val="nil"/>
              <w:bottom w:val="nil"/>
              <w:right w:val="nil"/>
            </w:tcBorders>
            <w:noWrap/>
            <w:vAlign w:val="bottom"/>
          </w:tcPr>
          <w:p w14:paraId="5D3735F5"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 .0000**</w:t>
            </w:r>
          </w:p>
        </w:tc>
        <w:tc>
          <w:tcPr>
            <w:tcW w:w="1794" w:type="dxa"/>
            <w:tcBorders>
              <w:top w:val="nil"/>
              <w:left w:val="nil"/>
              <w:bottom w:val="nil"/>
              <w:right w:val="nil"/>
            </w:tcBorders>
            <w:noWrap/>
            <w:vAlign w:val="bottom"/>
          </w:tcPr>
          <w:p w14:paraId="2A1DE3C1" w14:textId="77777777" w:rsidR="004470EC" w:rsidRPr="00F66E23" w:rsidRDefault="004470EC">
            <w:pPr>
              <w:spacing w:line="360" w:lineRule="auto"/>
              <w:jc w:val="center"/>
              <w:rPr>
                <w:rFonts w:ascii="Times New Roman Regular" w:hAnsi="Times New Roman Regular" w:cs="Times New Roman Regular"/>
                <w:sz w:val="24"/>
                <w:szCs w:val="24"/>
              </w:rPr>
            </w:pPr>
          </w:p>
        </w:tc>
        <w:tc>
          <w:tcPr>
            <w:tcW w:w="1697" w:type="dxa"/>
            <w:tcBorders>
              <w:top w:val="nil"/>
              <w:left w:val="nil"/>
              <w:bottom w:val="nil"/>
              <w:right w:val="nil"/>
            </w:tcBorders>
            <w:noWrap/>
            <w:vAlign w:val="bottom"/>
          </w:tcPr>
          <w:p w14:paraId="57B71E3B" w14:textId="77777777" w:rsidR="004470EC" w:rsidRPr="00F66E23" w:rsidRDefault="004470EC">
            <w:pPr>
              <w:spacing w:line="360" w:lineRule="auto"/>
              <w:jc w:val="center"/>
              <w:rPr>
                <w:rFonts w:ascii="Times New Roman Regular" w:hAnsi="Times New Roman Regular" w:cs="Times New Roman Regular"/>
                <w:sz w:val="24"/>
                <w:szCs w:val="24"/>
              </w:rPr>
            </w:pPr>
          </w:p>
        </w:tc>
      </w:tr>
      <w:tr w:rsidR="004470EC" w:rsidRPr="00F66E23" w14:paraId="6EAC86F2" w14:textId="77777777">
        <w:trPr>
          <w:trHeight w:val="676"/>
        </w:trPr>
        <w:tc>
          <w:tcPr>
            <w:tcW w:w="1573" w:type="dxa"/>
            <w:tcBorders>
              <w:top w:val="nil"/>
              <w:left w:val="nil"/>
              <w:bottom w:val="nil"/>
              <w:right w:val="nil"/>
            </w:tcBorders>
            <w:noWrap/>
            <w:vAlign w:val="bottom"/>
          </w:tcPr>
          <w:p w14:paraId="1DF9F548"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Bs</w:t>
            </w:r>
          </w:p>
        </w:tc>
        <w:tc>
          <w:tcPr>
            <w:tcW w:w="1846" w:type="dxa"/>
            <w:tcBorders>
              <w:top w:val="nil"/>
              <w:left w:val="nil"/>
              <w:bottom w:val="nil"/>
              <w:right w:val="nil"/>
            </w:tcBorders>
            <w:noWrap/>
            <w:vAlign w:val="bottom"/>
          </w:tcPr>
          <w:p w14:paraId="1943993C"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2.791</w:t>
            </w:r>
          </w:p>
        </w:tc>
        <w:tc>
          <w:tcPr>
            <w:tcW w:w="1645" w:type="dxa"/>
            <w:tcBorders>
              <w:top w:val="nil"/>
              <w:left w:val="nil"/>
              <w:bottom w:val="nil"/>
              <w:right w:val="nil"/>
            </w:tcBorders>
            <w:noWrap/>
            <w:vAlign w:val="bottom"/>
          </w:tcPr>
          <w:p w14:paraId="515A509D" w14:textId="77777777" w:rsidR="004470EC" w:rsidRPr="00F66E23" w:rsidRDefault="00000000">
            <w:pPr>
              <w:spacing w:line="360" w:lineRule="auto"/>
              <w:jc w:val="both"/>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 xml:space="preserve">     0.9979</w:t>
            </w:r>
          </w:p>
        </w:tc>
        <w:tc>
          <w:tcPr>
            <w:tcW w:w="1794" w:type="dxa"/>
            <w:tcBorders>
              <w:top w:val="nil"/>
              <w:left w:val="nil"/>
              <w:bottom w:val="nil"/>
              <w:right w:val="nil"/>
            </w:tcBorders>
            <w:noWrap/>
            <w:vAlign w:val="bottom"/>
          </w:tcPr>
          <w:p w14:paraId="10D36B42"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-7.188</w:t>
            </w:r>
          </w:p>
        </w:tc>
        <w:tc>
          <w:tcPr>
            <w:tcW w:w="1697" w:type="dxa"/>
            <w:tcBorders>
              <w:top w:val="nil"/>
              <w:left w:val="nil"/>
              <w:bottom w:val="nil"/>
              <w:right w:val="nil"/>
            </w:tcBorders>
            <w:noWrap/>
            <w:vAlign w:val="bottom"/>
          </w:tcPr>
          <w:p w14:paraId="19C67CC0"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0.0000**</w:t>
            </w:r>
          </w:p>
        </w:tc>
      </w:tr>
      <w:tr w:rsidR="004470EC" w:rsidRPr="00F66E23" w14:paraId="2ED79609" w14:textId="77777777">
        <w:trPr>
          <w:trHeight w:val="676"/>
        </w:trPr>
        <w:tc>
          <w:tcPr>
            <w:tcW w:w="1573" w:type="dxa"/>
            <w:tcBorders>
              <w:top w:val="nil"/>
              <w:left w:val="nil"/>
              <w:bottom w:val="nil"/>
              <w:right w:val="nil"/>
            </w:tcBorders>
            <w:noWrap/>
            <w:vAlign w:val="bottom"/>
          </w:tcPr>
          <w:p w14:paraId="6BC1F0C4"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LEV</w:t>
            </w:r>
          </w:p>
        </w:tc>
        <w:tc>
          <w:tcPr>
            <w:tcW w:w="1846" w:type="dxa"/>
            <w:tcBorders>
              <w:top w:val="nil"/>
              <w:left w:val="nil"/>
              <w:bottom w:val="nil"/>
              <w:right w:val="nil"/>
            </w:tcBorders>
            <w:noWrap/>
            <w:vAlign w:val="bottom"/>
          </w:tcPr>
          <w:p w14:paraId="0A3E7CFA"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-2.367</w:t>
            </w:r>
          </w:p>
        </w:tc>
        <w:tc>
          <w:tcPr>
            <w:tcW w:w="1645" w:type="dxa"/>
            <w:tcBorders>
              <w:top w:val="nil"/>
              <w:left w:val="nil"/>
              <w:bottom w:val="nil"/>
              <w:right w:val="nil"/>
            </w:tcBorders>
            <w:noWrap/>
            <w:vAlign w:val="bottom"/>
          </w:tcPr>
          <w:p w14:paraId="1A4D3A58"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 xml:space="preserve"> 0.0090**</w:t>
            </w:r>
          </w:p>
        </w:tc>
        <w:tc>
          <w:tcPr>
            <w:tcW w:w="1794" w:type="dxa"/>
            <w:tcBorders>
              <w:top w:val="nil"/>
              <w:left w:val="nil"/>
              <w:bottom w:val="nil"/>
              <w:right w:val="nil"/>
            </w:tcBorders>
            <w:noWrap/>
            <w:vAlign w:val="bottom"/>
          </w:tcPr>
          <w:p w14:paraId="1FC40C4D" w14:textId="77777777" w:rsidR="004470EC" w:rsidRPr="00F66E23" w:rsidRDefault="004470EC">
            <w:pPr>
              <w:spacing w:line="360" w:lineRule="auto"/>
              <w:jc w:val="center"/>
              <w:rPr>
                <w:rFonts w:ascii="Times New Roman Regular" w:hAnsi="Times New Roman Regular" w:cs="Times New Roman Regular"/>
                <w:sz w:val="24"/>
                <w:szCs w:val="24"/>
              </w:rPr>
            </w:pPr>
          </w:p>
        </w:tc>
        <w:tc>
          <w:tcPr>
            <w:tcW w:w="1697" w:type="dxa"/>
            <w:tcBorders>
              <w:top w:val="nil"/>
              <w:left w:val="nil"/>
              <w:bottom w:val="nil"/>
              <w:right w:val="nil"/>
            </w:tcBorders>
            <w:noWrap/>
            <w:vAlign w:val="bottom"/>
          </w:tcPr>
          <w:p w14:paraId="3F18A0A4" w14:textId="77777777" w:rsidR="004470EC" w:rsidRPr="00F66E23" w:rsidRDefault="004470EC">
            <w:pPr>
              <w:spacing w:line="360" w:lineRule="auto"/>
              <w:jc w:val="center"/>
              <w:rPr>
                <w:rFonts w:ascii="Times New Roman Regular" w:hAnsi="Times New Roman Regular" w:cs="Times New Roman Regular"/>
                <w:sz w:val="24"/>
                <w:szCs w:val="24"/>
              </w:rPr>
            </w:pPr>
          </w:p>
        </w:tc>
      </w:tr>
      <w:tr w:rsidR="004470EC" w:rsidRPr="00F66E23" w14:paraId="68B01988" w14:textId="77777777">
        <w:trPr>
          <w:trHeight w:val="676"/>
        </w:trPr>
        <w:tc>
          <w:tcPr>
            <w:tcW w:w="1573" w:type="dxa"/>
            <w:tcBorders>
              <w:top w:val="nil"/>
              <w:left w:val="nil"/>
              <w:bottom w:val="nil"/>
              <w:right w:val="nil"/>
            </w:tcBorders>
            <w:noWrap/>
            <w:vAlign w:val="bottom"/>
          </w:tcPr>
          <w:p w14:paraId="1FA3A4AC"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GDPG</w:t>
            </w:r>
          </w:p>
        </w:tc>
        <w:tc>
          <w:tcPr>
            <w:tcW w:w="1846" w:type="dxa"/>
            <w:tcBorders>
              <w:top w:val="nil"/>
              <w:left w:val="nil"/>
              <w:bottom w:val="nil"/>
              <w:right w:val="nil"/>
            </w:tcBorders>
            <w:noWrap/>
            <w:vAlign w:val="bottom"/>
          </w:tcPr>
          <w:p w14:paraId="63F1264F"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-7.542</w:t>
            </w:r>
          </w:p>
        </w:tc>
        <w:tc>
          <w:tcPr>
            <w:tcW w:w="1645" w:type="dxa"/>
            <w:tcBorders>
              <w:top w:val="nil"/>
              <w:left w:val="nil"/>
              <w:bottom w:val="nil"/>
              <w:right w:val="nil"/>
            </w:tcBorders>
            <w:noWrap/>
            <w:vAlign w:val="bottom"/>
          </w:tcPr>
          <w:p w14:paraId="35579E02"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 xml:space="preserve"> 0.0000**</w:t>
            </w:r>
          </w:p>
        </w:tc>
        <w:tc>
          <w:tcPr>
            <w:tcW w:w="1794" w:type="dxa"/>
            <w:tcBorders>
              <w:top w:val="nil"/>
              <w:left w:val="nil"/>
              <w:bottom w:val="nil"/>
              <w:right w:val="nil"/>
            </w:tcBorders>
            <w:noWrap/>
            <w:vAlign w:val="bottom"/>
          </w:tcPr>
          <w:p w14:paraId="7D558F7C" w14:textId="77777777" w:rsidR="004470EC" w:rsidRPr="00F66E23" w:rsidRDefault="004470EC">
            <w:pPr>
              <w:spacing w:line="360" w:lineRule="auto"/>
              <w:jc w:val="center"/>
              <w:rPr>
                <w:rFonts w:ascii="Times New Roman Regular" w:hAnsi="Times New Roman Regular" w:cs="Times New Roman Regular"/>
                <w:sz w:val="24"/>
                <w:szCs w:val="24"/>
              </w:rPr>
            </w:pPr>
          </w:p>
        </w:tc>
        <w:tc>
          <w:tcPr>
            <w:tcW w:w="1697" w:type="dxa"/>
            <w:tcBorders>
              <w:top w:val="nil"/>
              <w:left w:val="nil"/>
              <w:bottom w:val="nil"/>
              <w:right w:val="nil"/>
            </w:tcBorders>
            <w:noWrap/>
            <w:vAlign w:val="bottom"/>
          </w:tcPr>
          <w:p w14:paraId="566E834E" w14:textId="77777777" w:rsidR="004470EC" w:rsidRPr="00F66E23" w:rsidRDefault="004470EC">
            <w:pPr>
              <w:spacing w:line="360" w:lineRule="auto"/>
              <w:jc w:val="center"/>
              <w:rPr>
                <w:rFonts w:ascii="Times New Roman Regular" w:hAnsi="Times New Roman Regular" w:cs="Times New Roman Regular"/>
                <w:sz w:val="24"/>
                <w:szCs w:val="24"/>
              </w:rPr>
            </w:pPr>
          </w:p>
        </w:tc>
      </w:tr>
      <w:tr w:rsidR="004470EC" w:rsidRPr="00F66E23" w14:paraId="0E1745E4" w14:textId="77777777">
        <w:trPr>
          <w:trHeight w:val="676"/>
        </w:trPr>
        <w:tc>
          <w:tcPr>
            <w:tcW w:w="1573" w:type="dxa"/>
            <w:tcBorders>
              <w:top w:val="nil"/>
              <w:left w:val="nil"/>
              <w:bottom w:val="single" w:sz="4" w:space="0" w:color="auto"/>
              <w:right w:val="nil"/>
            </w:tcBorders>
            <w:noWrap/>
            <w:vAlign w:val="bottom"/>
          </w:tcPr>
          <w:p w14:paraId="46D05A36"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INFR</w:t>
            </w:r>
          </w:p>
        </w:tc>
        <w:tc>
          <w:tcPr>
            <w:tcW w:w="1846" w:type="dxa"/>
            <w:tcBorders>
              <w:top w:val="nil"/>
              <w:left w:val="nil"/>
              <w:bottom w:val="single" w:sz="4" w:space="0" w:color="auto"/>
              <w:right w:val="nil"/>
            </w:tcBorders>
            <w:noWrap/>
            <w:vAlign w:val="bottom"/>
          </w:tcPr>
          <w:p w14:paraId="4221A15C"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0.053</w:t>
            </w:r>
          </w:p>
        </w:tc>
        <w:tc>
          <w:tcPr>
            <w:tcW w:w="1645" w:type="dxa"/>
            <w:tcBorders>
              <w:top w:val="nil"/>
              <w:left w:val="nil"/>
              <w:bottom w:val="single" w:sz="4" w:space="0" w:color="auto"/>
              <w:right w:val="nil"/>
            </w:tcBorders>
            <w:noWrap/>
            <w:vAlign w:val="bottom"/>
          </w:tcPr>
          <w:p w14:paraId="1F3814CD"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 xml:space="preserve"> 0.5212</w:t>
            </w:r>
          </w:p>
        </w:tc>
        <w:tc>
          <w:tcPr>
            <w:tcW w:w="1794" w:type="dxa"/>
            <w:tcBorders>
              <w:top w:val="nil"/>
              <w:left w:val="nil"/>
              <w:bottom w:val="single" w:sz="4" w:space="0" w:color="auto"/>
              <w:right w:val="nil"/>
            </w:tcBorders>
            <w:noWrap/>
            <w:vAlign w:val="bottom"/>
          </w:tcPr>
          <w:p w14:paraId="4582AFCC"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-3.335 </w:t>
            </w:r>
          </w:p>
        </w:tc>
        <w:tc>
          <w:tcPr>
            <w:tcW w:w="1697" w:type="dxa"/>
            <w:tcBorders>
              <w:top w:val="nil"/>
              <w:left w:val="nil"/>
              <w:bottom w:val="single" w:sz="4" w:space="0" w:color="auto"/>
              <w:right w:val="nil"/>
            </w:tcBorders>
            <w:noWrap/>
            <w:vAlign w:val="bottom"/>
          </w:tcPr>
          <w:p w14:paraId="419F0F35"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0.0000** </w:t>
            </w:r>
          </w:p>
        </w:tc>
      </w:tr>
    </w:tbl>
    <w:p w14:paraId="2DE0E2F1" w14:textId="77777777" w:rsidR="004470EC" w:rsidRPr="00F66E23" w:rsidRDefault="004470EC">
      <w:pPr>
        <w:autoSpaceDE w:val="0"/>
        <w:autoSpaceDN w:val="0"/>
        <w:adjustRightInd w:val="0"/>
        <w:spacing w:line="360" w:lineRule="auto"/>
        <w:jc w:val="both"/>
        <w:rPr>
          <w:rFonts w:ascii="Times New Roman Regular" w:hAnsi="Times New Roman Regular" w:cs="Times New Roman Regular"/>
          <w:b/>
          <w:bCs/>
          <w:sz w:val="24"/>
          <w:szCs w:val="24"/>
        </w:rPr>
      </w:pPr>
    </w:p>
    <w:p w14:paraId="69ECC728" w14:textId="1C743BC7" w:rsidR="004470EC" w:rsidRPr="00F66E23" w:rsidRDefault="00EE1DF4">
      <w:pPr>
        <w:autoSpaceDE w:val="0"/>
        <w:autoSpaceDN w:val="0"/>
        <w:adjustRightInd w:val="0"/>
        <w:spacing w:line="360" w:lineRule="auto"/>
        <w:jc w:val="both"/>
        <w:rPr>
          <w:rFonts w:ascii="Times New Roman Regular" w:hAnsi="Times New Roman Regular" w:cs="Times New Roman Regular"/>
          <w:sz w:val="24"/>
          <w:szCs w:val="24"/>
        </w:rPr>
      </w:pPr>
      <w:r w:rsidRPr="00F66E23">
        <w:t>Note: Standard errors in parentheses. (*), (**), and (***) indicate that the coefficients are significant at p-values of 10%, 5%, and 1%, respectively.</w:t>
      </w:r>
    </w:p>
    <w:p w14:paraId="3BA126AB" w14:textId="77777777" w:rsidR="004470EC" w:rsidRPr="00F66E23" w:rsidRDefault="00000000">
      <w:pPr>
        <w:pStyle w:val="Heading1"/>
        <w:spacing w:line="360" w:lineRule="auto"/>
        <w:rPr>
          <w:rFonts w:ascii="Times New Roman Regular" w:hAnsi="Times New Roman Regular" w:cs="Times New Roman Regular"/>
          <w:b w:val="0"/>
          <w:bCs/>
          <w:sz w:val="24"/>
          <w:szCs w:val="24"/>
        </w:rPr>
      </w:pPr>
      <w:bookmarkStart w:id="26" w:name="_Toc156569153"/>
      <w:bookmarkEnd w:id="26"/>
      <w:r w:rsidRPr="00F66E23">
        <w:rPr>
          <w:b w:val="0"/>
          <w:bCs/>
        </w:rPr>
        <w:lastRenderedPageBreak/>
        <w:t>Panel regression models were specified to test the link between climate risk and bank financial performance. Specifically, the model was tested using Feasible Generalized Least Square Regression (FGLS). Overall, the empirical results documented that climate risk is negatively related to bank financial performance for the period under study.</w:t>
      </w:r>
    </w:p>
    <w:p w14:paraId="30553F7F" w14:textId="77777777" w:rsidR="004470EC" w:rsidRPr="00F66E23" w:rsidRDefault="00000000">
      <w:pPr>
        <w:autoSpaceDE w:val="0"/>
        <w:autoSpaceDN w:val="0"/>
        <w:adjustRightInd w:val="0"/>
        <w:spacing w:line="360" w:lineRule="auto"/>
        <w:jc w:val="both"/>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 xml:space="preserve">The study utilized Feasible Generalized Least Square (FGLS) regression to control the effects of autocorrelation and heteroskedasticity present in panel fixed effects. Table 5 presents the regression results on the relationship between climate risk, institutional quality, and bank financial performance. The Wald Chi Square Statistic was 18.79 with a p. value less than 5%. This confirms that the independent variables are collectively 'significant' for model. It also confirms that each independent variable present in a model is significant. </w:t>
      </w:r>
    </w:p>
    <w:p w14:paraId="5171A8A7" w14:textId="77777777" w:rsidR="004470EC" w:rsidRPr="00F66E23" w:rsidRDefault="00000000">
      <w:pPr>
        <w:autoSpaceDE w:val="0"/>
        <w:autoSpaceDN w:val="0"/>
        <w:adjustRightInd w:val="0"/>
        <w:spacing w:line="360" w:lineRule="auto"/>
        <w:jc w:val="both"/>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The first hypothesis tested on the negative relationship between climate risk and bank financial performance. Based on the results in Table 5, the coefficient of climate risk (CRI) is negative and statistically significant at 5%. The result support the first hypothesis of the study. This implies that climate risk significantly reduces the bank financial performance of the selected commercial banks. Climate risk could have an effect on the bank's buildings and activities, as well as on its users and the business as a whole. Extreme weather events and long-term changes in the climate can cause retail stores and facilities to close, which can hurt customers' reputation and hurt banks' profits and cash flow.</w:t>
      </w:r>
      <w:bookmarkStart w:id="27" w:name="_Hlk91265582"/>
      <w:r w:rsidRPr="00F66E23">
        <w:rPr>
          <w:rFonts w:ascii="Times New Roman Regular" w:hAnsi="Times New Roman Regular" w:cs="Times New Roman Regular"/>
          <w:sz w:val="24"/>
          <w:szCs w:val="24"/>
        </w:rPr>
        <w:t xml:space="preserve"> The results in this study resonate with the findings of Huang, Kerstein, and Wang (2018). Huang, Kerstein, and Wang (2018) examined the impacts of climate change on bank performance, and also investigated the mediating role of natural disasters.  By using an unbalanced panel of 127 countries between the period 2005-2018, the researchers found a negative association climate change variables to bank performance variables. The study also found a significant mediating effect of climate change on bank performance via natural disasters in high-income countries, but not in low-income countries. The results of this study also confirm the views of Giang et al. (2021) who investigated </w:t>
      </w:r>
      <w:bookmarkEnd w:id="27"/>
      <w:r w:rsidRPr="00F66E23">
        <w:rPr>
          <w:rFonts w:ascii="Times New Roman Regular" w:hAnsi="Times New Roman Regular" w:cs="Times New Roman Regular"/>
          <w:sz w:val="24"/>
          <w:szCs w:val="24"/>
        </w:rPr>
        <w:t xml:space="preserve">the impact of climate change risk on financial performance of listed manufacturing firms in Vietnam. Their results found a negative correlation between climate change risk and financial performance. Specifically, humidity risk adversely affects the financial performance of the listed manufacturing. </w:t>
      </w:r>
      <w:r w:rsidRPr="00F66E23">
        <w:rPr>
          <w:rFonts w:ascii="Times New Roman Regular" w:hAnsi="Times New Roman Regular" w:cs="Times New Roman Regular"/>
          <w:sz w:val="24"/>
          <w:szCs w:val="24"/>
        </w:rPr>
        <w:tab/>
      </w:r>
      <w:r w:rsidRPr="00F66E23">
        <w:rPr>
          <w:rFonts w:ascii="Times New Roman Regular" w:hAnsi="Times New Roman Regular" w:cs="Times New Roman Regular"/>
          <w:sz w:val="24"/>
          <w:szCs w:val="24"/>
        </w:rPr>
        <w:tab/>
      </w:r>
    </w:p>
    <w:p w14:paraId="105FED61" w14:textId="77777777" w:rsidR="004470EC" w:rsidRDefault="00000000">
      <w:pPr>
        <w:pStyle w:val="Heading1"/>
        <w:spacing w:line="360" w:lineRule="auto"/>
        <w:rPr>
          <w:b w:val="0"/>
          <w:bCs/>
        </w:rPr>
      </w:pPr>
      <w:bookmarkStart w:id="28" w:name="_Toc156569155"/>
      <w:bookmarkEnd w:id="28"/>
      <w:r w:rsidRPr="00F66E23">
        <w:rPr>
          <w:b w:val="0"/>
          <w:bCs/>
        </w:rPr>
        <w:t>Based on the empirical findings in the preceding chapter, climate risk has a significant negative impact on the financial performance of the selected licensed commercial banks in Ghana. This implies that climate risk significantly reduces the bank financial performance of the selected commercial banks. Climate risk may have an influence on the bank's premises and operations, as well as its clients and the overall economy. Extreme weather events and long-term changes in the climate may lead to the closure of retail branches or facilities, substantially damaging customers' creditworthiness and adversely affecting the profitability and liquidity of banks. The results in this study resonate with the findings of Huang, Kerstein, and Wang (2018).</w:t>
      </w:r>
    </w:p>
    <w:p w14:paraId="0DF65341" w14:textId="77777777" w:rsidR="006930AC" w:rsidRDefault="006930AC" w:rsidP="006930AC"/>
    <w:p w14:paraId="2F3E8714" w14:textId="77777777" w:rsidR="006930AC" w:rsidRPr="006930AC" w:rsidRDefault="006930AC" w:rsidP="006930AC">
      <w:pPr>
        <w:keepNext/>
        <w:keepLines/>
        <w:spacing w:line="360" w:lineRule="auto"/>
        <w:jc w:val="both"/>
        <w:outlineLvl w:val="0"/>
        <w:rPr>
          <w:rFonts w:ascii="Times New Roman Regular" w:eastAsiaTheme="majorEastAsia" w:hAnsi="Times New Roman Regular" w:cs="Times New Roman Regular"/>
          <w:b/>
          <w:color w:val="000000" w:themeColor="text1"/>
          <w:sz w:val="24"/>
          <w:szCs w:val="24"/>
        </w:rPr>
      </w:pPr>
      <w:r w:rsidRPr="006930AC">
        <w:rPr>
          <w:rFonts w:ascii="Times New Roman Regular" w:eastAsiaTheme="majorEastAsia" w:hAnsi="Times New Roman Regular" w:cs="Times New Roman Regular"/>
          <w:b/>
          <w:color w:val="000000" w:themeColor="text1"/>
          <w:sz w:val="24"/>
          <w:szCs w:val="24"/>
        </w:rPr>
        <w:t>Table 5: GLS Estimation Results:</w:t>
      </w:r>
    </w:p>
    <w:p w14:paraId="0480897B" w14:textId="77777777" w:rsidR="006930AC" w:rsidRPr="006930AC" w:rsidRDefault="006930AC" w:rsidP="006930AC"/>
    <w:tbl>
      <w:tblPr>
        <w:tblW w:w="8312" w:type="dxa"/>
        <w:tblLook w:val="04A0" w:firstRow="1" w:lastRow="0" w:firstColumn="1" w:lastColumn="0" w:noHBand="0" w:noVBand="1"/>
      </w:tblPr>
      <w:tblGrid>
        <w:gridCol w:w="2817"/>
        <w:gridCol w:w="5495"/>
      </w:tblGrid>
      <w:tr w:rsidR="004470EC" w:rsidRPr="00F66E23" w14:paraId="2738B352" w14:textId="77777777">
        <w:trPr>
          <w:trHeight w:val="331"/>
        </w:trPr>
        <w:tc>
          <w:tcPr>
            <w:tcW w:w="2817" w:type="dxa"/>
            <w:tcBorders>
              <w:top w:val="single" w:sz="4" w:space="0" w:color="auto"/>
              <w:left w:val="nil"/>
              <w:bottom w:val="single" w:sz="8" w:space="0" w:color="auto"/>
              <w:right w:val="nil"/>
            </w:tcBorders>
            <w:noWrap/>
            <w:vAlign w:val="bottom"/>
          </w:tcPr>
          <w:p w14:paraId="4B226C7E" w14:textId="77777777" w:rsidR="004470EC" w:rsidRPr="00F66E23" w:rsidRDefault="00000000">
            <w:pPr>
              <w:spacing w:line="360" w:lineRule="auto"/>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Variables</w:t>
            </w:r>
          </w:p>
        </w:tc>
        <w:tc>
          <w:tcPr>
            <w:tcW w:w="5495" w:type="dxa"/>
            <w:tcBorders>
              <w:top w:val="single" w:sz="4" w:space="0" w:color="auto"/>
              <w:left w:val="nil"/>
              <w:bottom w:val="single" w:sz="8" w:space="0" w:color="auto"/>
              <w:right w:val="nil"/>
            </w:tcBorders>
            <w:noWrap/>
            <w:vAlign w:val="bottom"/>
          </w:tcPr>
          <w:p w14:paraId="02A8F7D7" w14:textId="77777777" w:rsidR="004470EC" w:rsidRPr="00F66E23" w:rsidRDefault="00000000">
            <w:pPr>
              <w:spacing w:line="360" w:lineRule="auto"/>
              <w:jc w:val="center"/>
              <w:rPr>
                <w:rFonts w:ascii="Times New Roman Regular" w:hAnsi="Times New Roman Regular" w:cs="Times New Roman Regular"/>
                <w:b/>
                <w:bCs/>
                <w:sz w:val="24"/>
                <w:szCs w:val="24"/>
              </w:rPr>
            </w:pPr>
            <w:r w:rsidRPr="00F66E23">
              <w:rPr>
                <w:rFonts w:ascii="Times New Roman Regular" w:hAnsi="Times New Roman Regular" w:cs="Times New Roman Regular"/>
                <w:b/>
                <w:bCs/>
                <w:sz w:val="24"/>
                <w:szCs w:val="24"/>
              </w:rPr>
              <w:t>GLS Estimates</w:t>
            </w:r>
          </w:p>
        </w:tc>
      </w:tr>
      <w:tr w:rsidR="004470EC" w:rsidRPr="00F66E23" w14:paraId="595B9F47" w14:textId="77777777">
        <w:trPr>
          <w:trHeight w:val="432"/>
        </w:trPr>
        <w:tc>
          <w:tcPr>
            <w:tcW w:w="2817" w:type="dxa"/>
            <w:tcBorders>
              <w:top w:val="nil"/>
              <w:left w:val="nil"/>
              <w:bottom w:val="nil"/>
              <w:right w:val="nil"/>
            </w:tcBorders>
            <w:noWrap/>
            <w:vAlign w:val="bottom"/>
          </w:tcPr>
          <w:p w14:paraId="45441DD1" w14:textId="77777777" w:rsidR="004470EC" w:rsidRPr="00F66E23" w:rsidRDefault="004470EC">
            <w:pPr>
              <w:spacing w:line="360" w:lineRule="auto"/>
              <w:rPr>
                <w:rFonts w:ascii="Times New Roman Regular" w:hAnsi="Times New Roman Regular" w:cs="Times New Roman Regular"/>
                <w:sz w:val="24"/>
                <w:szCs w:val="24"/>
              </w:rPr>
            </w:pPr>
          </w:p>
        </w:tc>
        <w:tc>
          <w:tcPr>
            <w:tcW w:w="5495" w:type="dxa"/>
            <w:tcBorders>
              <w:top w:val="nil"/>
              <w:left w:val="nil"/>
              <w:bottom w:val="nil"/>
              <w:right w:val="nil"/>
            </w:tcBorders>
            <w:noWrap/>
            <w:vAlign w:val="bottom"/>
          </w:tcPr>
          <w:p w14:paraId="6138C147"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b/>
                <w:bCs/>
                <w:sz w:val="24"/>
                <w:szCs w:val="24"/>
              </w:rPr>
              <w:t>Coefficients</w:t>
            </w:r>
          </w:p>
        </w:tc>
      </w:tr>
      <w:tr w:rsidR="004470EC" w:rsidRPr="00F66E23" w14:paraId="7DC73D55" w14:textId="77777777">
        <w:trPr>
          <w:trHeight w:val="319"/>
        </w:trPr>
        <w:tc>
          <w:tcPr>
            <w:tcW w:w="2817" w:type="dxa"/>
            <w:tcBorders>
              <w:top w:val="nil"/>
              <w:left w:val="nil"/>
              <w:bottom w:val="nil"/>
              <w:right w:val="nil"/>
            </w:tcBorders>
            <w:noWrap/>
            <w:vAlign w:val="bottom"/>
          </w:tcPr>
          <w:p w14:paraId="2AFA4282"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CRI</w:t>
            </w:r>
          </w:p>
        </w:tc>
        <w:tc>
          <w:tcPr>
            <w:tcW w:w="5495" w:type="dxa"/>
            <w:tcBorders>
              <w:top w:val="nil"/>
              <w:left w:val="nil"/>
              <w:bottom w:val="nil"/>
              <w:right w:val="nil"/>
            </w:tcBorders>
            <w:noWrap/>
            <w:vAlign w:val="bottom"/>
          </w:tcPr>
          <w:p w14:paraId="5DD6354A" w14:textId="77777777" w:rsidR="004470EC" w:rsidRPr="00F66E23" w:rsidRDefault="00000000">
            <w:pPr>
              <w:spacing w:line="360" w:lineRule="auto"/>
              <w:jc w:val="center"/>
              <w:rPr>
                <w:rFonts w:ascii="Times New Roman Regular" w:hAnsi="Times New Roman Regular" w:cs="Times New Roman Regular"/>
                <w:sz w:val="24"/>
                <w:szCs w:val="24"/>
                <w:vertAlign w:val="superscript"/>
                <w:lang w:val="fr-CH"/>
              </w:rPr>
            </w:pPr>
            <w:r w:rsidRPr="00F66E23">
              <w:rPr>
                <w:rFonts w:ascii="Times New Roman Regular" w:hAnsi="Times New Roman Regular" w:cs="Times New Roman Regular"/>
                <w:sz w:val="24"/>
                <w:szCs w:val="24"/>
              </w:rPr>
              <w:t>-0.099066</w:t>
            </w:r>
            <w:r w:rsidRPr="00F66E23">
              <w:rPr>
                <w:rFonts w:ascii="Times New Roman Regular" w:hAnsi="Times New Roman Regular" w:cs="Times New Roman Regular"/>
                <w:sz w:val="24"/>
                <w:szCs w:val="24"/>
                <w:vertAlign w:val="superscript"/>
              </w:rPr>
              <w:t>**</w:t>
            </w:r>
          </w:p>
        </w:tc>
      </w:tr>
      <w:tr w:rsidR="004470EC" w:rsidRPr="00F66E23" w14:paraId="109C2B84" w14:textId="77777777">
        <w:trPr>
          <w:trHeight w:val="319"/>
        </w:trPr>
        <w:tc>
          <w:tcPr>
            <w:tcW w:w="2817" w:type="dxa"/>
            <w:tcBorders>
              <w:top w:val="nil"/>
              <w:left w:val="nil"/>
              <w:bottom w:val="nil"/>
              <w:right w:val="nil"/>
            </w:tcBorders>
            <w:noWrap/>
            <w:vAlign w:val="bottom"/>
          </w:tcPr>
          <w:p w14:paraId="5F88E3D5"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 xml:space="preserve"> </w:t>
            </w:r>
          </w:p>
        </w:tc>
        <w:tc>
          <w:tcPr>
            <w:tcW w:w="5495" w:type="dxa"/>
            <w:tcBorders>
              <w:top w:val="nil"/>
              <w:left w:val="nil"/>
              <w:bottom w:val="nil"/>
              <w:right w:val="nil"/>
            </w:tcBorders>
            <w:noWrap/>
            <w:vAlign w:val="bottom"/>
          </w:tcPr>
          <w:p w14:paraId="21994942"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(0.002944)</w:t>
            </w:r>
          </w:p>
        </w:tc>
      </w:tr>
      <w:tr w:rsidR="004470EC" w:rsidRPr="00F66E23" w14:paraId="19FB62A0" w14:textId="77777777">
        <w:trPr>
          <w:trHeight w:val="319"/>
        </w:trPr>
        <w:tc>
          <w:tcPr>
            <w:tcW w:w="2817" w:type="dxa"/>
            <w:tcBorders>
              <w:top w:val="nil"/>
              <w:left w:val="nil"/>
              <w:bottom w:val="nil"/>
              <w:right w:val="nil"/>
            </w:tcBorders>
            <w:noWrap/>
            <w:vAlign w:val="bottom"/>
          </w:tcPr>
          <w:p w14:paraId="523E25D1"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BZ</w:t>
            </w:r>
          </w:p>
        </w:tc>
        <w:tc>
          <w:tcPr>
            <w:tcW w:w="5495" w:type="dxa"/>
            <w:tcBorders>
              <w:top w:val="nil"/>
              <w:left w:val="nil"/>
              <w:bottom w:val="nil"/>
              <w:right w:val="nil"/>
            </w:tcBorders>
            <w:noWrap/>
            <w:vAlign w:val="bottom"/>
          </w:tcPr>
          <w:p w14:paraId="353DABFA" w14:textId="77777777" w:rsidR="004470EC" w:rsidRPr="00F66E23" w:rsidRDefault="00000000">
            <w:pPr>
              <w:spacing w:line="360" w:lineRule="auto"/>
              <w:jc w:val="center"/>
              <w:rPr>
                <w:rFonts w:ascii="Times New Roman Regular" w:hAnsi="Times New Roman Regular" w:cs="Times New Roman Regular"/>
                <w:sz w:val="24"/>
                <w:szCs w:val="24"/>
                <w:vertAlign w:val="superscript"/>
                <w:lang w:val="fr-CH"/>
              </w:rPr>
            </w:pPr>
            <w:r w:rsidRPr="00F66E23">
              <w:rPr>
                <w:rFonts w:ascii="Times New Roman Regular" w:hAnsi="Times New Roman Regular" w:cs="Times New Roman Regular"/>
                <w:sz w:val="24"/>
                <w:szCs w:val="24"/>
                <w:lang w:val="fr-CH"/>
              </w:rPr>
              <w:t>-0.053438</w:t>
            </w:r>
            <w:r w:rsidRPr="00F66E23">
              <w:rPr>
                <w:rFonts w:ascii="Times New Roman Regular" w:hAnsi="Times New Roman Regular" w:cs="Times New Roman Regular"/>
                <w:sz w:val="24"/>
                <w:szCs w:val="24"/>
                <w:vertAlign w:val="superscript"/>
                <w:lang w:val="fr-CH"/>
              </w:rPr>
              <w:t>*</w:t>
            </w:r>
          </w:p>
        </w:tc>
      </w:tr>
      <w:tr w:rsidR="004470EC" w:rsidRPr="00F66E23" w14:paraId="7DBEEE9E" w14:textId="77777777">
        <w:trPr>
          <w:trHeight w:val="319"/>
        </w:trPr>
        <w:tc>
          <w:tcPr>
            <w:tcW w:w="2817" w:type="dxa"/>
            <w:tcBorders>
              <w:top w:val="nil"/>
              <w:left w:val="nil"/>
              <w:bottom w:val="nil"/>
              <w:right w:val="nil"/>
            </w:tcBorders>
            <w:noWrap/>
            <w:vAlign w:val="bottom"/>
          </w:tcPr>
          <w:p w14:paraId="5C034E91"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 xml:space="preserve"> </w:t>
            </w:r>
          </w:p>
        </w:tc>
        <w:tc>
          <w:tcPr>
            <w:tcW w:w="5495" w:type="dxa"/>
            <w:tcBorders>
              <w:top w:val="nil"/>
              <w:left w:val="nil"/>
              <w:bottom w:val="nil"/>
              <w:right w:val="nil"/>
            </w:tcBorders>
            <w:noWrap/>
            <w:vAlign w:val="bottom"/>
          </w:tcPr>
          <w:p w14:paraId="05EA0498"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(0.062632)</w:t>
            </w:r>
          </w:p>
        </w:tc>
      </w:tr>
      <w:tr w:rsidR="004470EC" w:rsidRPr="00F66E23" w14:paraId="06CF84C0" w14:textId="77777777">
        <w:trPr>
          <w:trHeight w:val="319"/>
        </w:trPr>
        <w:tc>
          <w:tcPr>
            <w:tcW w:w="2817" w:type="dxa"/>
            <w:tcBorders>
              <w:top w:val="nil"/>
              <w:left w:val="nil"/>
              <w:bottom w:val="nil"/>
              <w:right w:val="nil"/>
            </w:tcBorders>
            <w:noWrap/>
            <w:vAlign w:val="bottom"/>
          </w:tcPr>
          <w:p w14:paraId="20D51478"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LEV</w:t>
            </w:r>
          </w:p>
        </w:tc>
        <w:tc>
          <w:tcPr>
            <w:tcW w:w="5495" w:type="dxa"/>
            <w:tcBorders>
              <w:top w:val="nil"/>
              <w:left w:val="nil"/>
              <w:bottom w:val="nil"/>
              <w:right w:val="nil"/>
            </w:tcBorders>
            <w:noWrap/>
            <w:vAlign w:val="bottom"/>
          </w:tcPr>
          <w:p w14:paraId="297EF6D1" w14:textId="77777777" w:rsidR="004470EC" w:rsidRPr="00F66E23" w:rsidRDefault="00000000">
            <w:pPr>
              <w:spacing w:line="360" w:lineRule="auto"/>
              <w:jc w:val="center"/>
              <w:rPr>
                <w:rFonts w:ascii="Times New Roman Regular" w:hAnsi="Times New Roman Regular" w:cs="Times New Roman Regular"/>
                <w:sz w:val="24"/>
                <w:szCs w:val="24"/>
                <w:vertAlign w:val="superscript"/>
                <w:lang w:val="fr-CH"/>
              </w:rPr>
            </w:pPr>
            <w:r w:rsidRPr="00F66E23">
              <w:rPr>
                <w:rFonts w:ascii="Times New Roman Regular" w:hAnsi="Times New Roman Regular" w:cs="Times New Roman Regular"/>
                <w:sz w:val="24"/>
                <w:szCs w:val="24"/>
              </w:rPr>
              <w:t>0.000108</w:t>
            </w:r>
            <w:r w:rsidRPr="00F66E23">
              <w:rPr>
                <w:rFonts w:ascii="Times New Roman Regular" w:hAnsi="Times New Roman Regular" w:cs="Times New Roman Regular"/>
                <w:sz w:val="24"/>
                <w:szCs w:val="24"/>
                <w:vertAlign w:val="superscript"/>
              </w:rPr>
              <w:t>**</w:t>
            </w:r>
          </w:p>
        </w:tc>
      </w:tr>
      <w:tr w:rsidR="004470EC" w:rsidRPr="00F66E23" w14:paraId="7B6F0ED7" w14:textId="77777777">
        <w:trPr>
          <w:trHeight w:val="319"/>
        </w:trPr>
        <w:tc>
          <w:tcPr>
            <w:tcW w:w="2817" w:type="dxa"/>
            <w:tcBorders>
              <w:top w:val="nil"/>
              <w:left w:val="nil"/>
              <w:bottom w:val="nil"/>
              <w:right w:val="nil"/>
            </w:tcBorders>
            <w:noWrap/>
            <w:vAlign w:val="bottom"/>
          </w:tcPr>
          <w:p w14:paraId="62245E8A"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 xml:space="preserve"> </w:t>
            </w:r>
          </w:p>
        </w:tc>
        <w:tc>
          <w:tcPr>
            <w:tcW w:w="5495" w:type="dxa"/>
            <w:tcBorders>
              <w:top w:val="nil"/>
              <w:left w:val="nil"/>
              <w:bottom w:val="nil"/>
              <w:right w:val="nil"/>
            </w:tcBorders>
            <w:noWrap/>
            <w:vAlign w:val="bottom"/>
          </w:tcPr>
          <w:p w14:paraId="284BB517"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(3.47E-06)</w:t>
            </w:r>
          </w:p>
        </w:tc>
      </w:tr>
      <w:tr w:rsidR="004470EC" w:rsidRPr="00F66E23" w14:paraId="026C721E" w14:textId="77777777">
        <w:trPr>
          <w:trHeight w:val="319"/>
        </w:trPr>
        <w:tc>
          <w:tcPr>
            <w:tcW w:w="2817" w:type="dxa"/>
            <w:tcBorders>
              <w:top w:val="nil"/>
              <w:left w:val="nil"/>
              <w:bottom w:val="nil"/>
              <w:right w:val="nil"/>
            </w:tcBorders>
            <w:noWrap/>
            <w:vAlign w:val="bottom"/>
          </w:tcPr>
          <w:p w14:paraId="6E9945FD"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GDPG</w:t>
            </w:r>
          </w:p>
        </w:tc>
        <w:tc>
          <w:tcPr>
            <w:tcW w:w="5495" w:type="dxa"/>
            <w:tcBorders>
              <w:top w:val="nil"/>
              <w:left w:val="nil"/>
              <w:bottom w:val="nil"/>
              <w:right w:val="nil"/>
            </w:tcBorders>
            <w:noWrap/>
            <w:vAlign w:val="bottom"/>
          </w:tcPr>
          <w:p w14:paraId="091EECBB" w14:textId="77777777" w:rsidR="004470EC" w:rsidRPr="00F66E23" w:rsidRDefault="00000000">
            <w:pPr>
              <w:spacing w:line="360" w:lineRule="auto"/>
              <w:jc w:val="center"/>
              <w:rPr>
                <w:rFonts w:ascii="Times New Roman Regular" w:hAnsi="Times New Roman Regular" w:cs="Times New Roman Regular"/>
                <w:sz w:val="24"/>
                <w:szCs w:val="24"/>
                <w:vertAlign w:val="superscript"/>
              </w:rPr>
            </w:pPr>
            <w:r w:rsidRPr="00F66E23">
              <w:rPr>
                <w:rFonts w:ascii="Times New Roman Regular" w:hAnsi="Times New Roman Regular" w:cs="Times New Roman Regular"/>
                <w:sz w:val="24"/>
                <w:szCs w:val="24"/>
              </w:rPr>
              <w:t>-0.056919</w:t>
            </w:r>
            <w:r w:rsidRPr="00F66E23">
              <w:rPr>
                <w:rFonts w:ascii="Times New Roman Regular" w:hAnsi="Times New Roman Regular" w:cs="Times New Roman Regular"/>
                <w:sz w:val="24"/>
                <w:szCs w:val="24"/>
                <w:vertAlign w:val="superscript"/>
              </w:rPr>
              <w:t>***</w:t>
            </w:r>
          </w:p>
        </w:tc>
      </w:tr>
      <w:tr w:rsidR="004470EC" w:rsidRPr="00F66E23" w14:paraId="3E72DCBC" w14:textId="77777777">
        <w:trPr>
          <w:trHeight w:val="319"/>
        </w:trPr>
        <w:tc>
          <w:tcPr>
            <w:tcW w:w="2817" w:type="dxa"/>
            <w:tcBorders>
              <w:top w:val="nil"/>
              <w:left w:val="nil"/>
              <w:bottom w:val="nil"/>
              <w:right w:val="nil"/>
            </w:tcBorders>
            <w:noWrap/>
            <w:vAlign w:val="bottom"/>
          </w:tcPr>
          <w:p w14:paraId="15629482"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 xml:space="preserve"> </w:t>
            </w:r>
          </w:p>
        </w:tc>
        <w:tc>
          <w:tcPr>
            <w:tcW w:w="5495" w:type="dxa"/>
            <w:tcBorders>
              <w:top w:val="nil"/>
              <w:left w:val="nil"/>
              <w:bottom w:val="nil"/>
              <w:right w:val="nil"/>
            </w:tcBorders>
            <w:noWrap/>
            <w:vAlign w:val="bottom"/>
          </w:tcPr>
          <w:p w14:paraId="01E80E22"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(4.90E-11)</w:t>
            </w:r>
          </w:p>
        </w:tc>
      </w:tr>
      <w:tr w:rsidR="004470EC" w:rsidRPr="00F66E23" w14:paraId="03C26F41" w14:textId="77777777">
        <w:trPr>
          <w:trHeight w:val="319"/>
        </w:trPr>
        <w:tc>
          <w:tcPr>
            <w:tcW w:w="2817" w:type="dxa"/>
            <w:tcBorders>
              <w:top w:val="nil"/>
              <w:left w:val="nil"/>
              <w:bottom w:val="nil"/>
              <w:right w:val="nil"/>
            </w:tcBorders>
            <w:noWrap/>
            <w:vAlign w:val="bottom"/>
          </w:tcPr>
          <w:p w14:paraId="578ADC7C"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INFR</w:t>
            </w:r>
          </w:p>
        </w:tc>
        <w:tc>
          <w:tcPr>
            <w:tcW w:w="5495" w:type="dxa"/>
            <w:tcBorders>
              <w:top w:val="nil"/>
              <w:left w:val="nil"/>
              <w:bottom w:val="nil"/>
              <w:right w:val="nil"/>
            </w:tcBorders>
            <w:noWrap/>
            <w:vAlign w:val="bottom"/>
          </w:tcPr>
          <w:p w14:paraId="053956C5" w14:textId="77777777" w:rsidR="004470EC" w:rsidRPr="00F66E23" w:rsidRDefault="00000000">
            <w:pPr>
              <w:spacing w:line="360" w:lineRule="auto"/>
              <w:jc w:val="center"/>
              <w:rPr>
                <w:rFonts w:ascii="Times New Roman Regular" w:hAnsi="Times New Roman Regular" w:cs="Times New Roman Regular"/>
                <w:sz w:val="24"/>
                <w:szCs w:val="24"/>
                <w:vertAlign w:val="superscript"/>
              </w:rPr>
            </w:pPr>
            <w:r w:rsidRPr="00F66E23">
              <w:rPr>
                <w:rFonts w:ascii="Times New Roman Regular" w:hAnsi="Times New Roman Regular" w:cs="Times New Roman Regular"/>
                <w:sz w:val="24"/>
                <w:szCs w:val="24"/>
              </w:rPr>
              <w:t>-0.023085</w:t>
            </w:r>
            <w:r w:rsidRPr="00F66E23">
              <w:rPr>
                <w:rFonts w:ascii="Times New Roman Regular" w:hAnsi="Times New Roman Regular" w:cs="Times New Roman Regular"/>
                <w:sz w:val="24"/>
                <w:szCs w:val="24"/>
                <w:vertAlign w:val="superscript"/>
              </w:rPr>
              <w:t>**</w:t>
            </w:r>
          </w:p>
        </w:tc>
      </w:tr>
      <w:tr w:rsidR="004470EC" w:rsidRPr="00F66E23" w14:paraId="210A91BB" w14:textId="77777777">
        <w:trPr>
          <w:trHeight w:val="319"/>
        </w:trPr>
        <w:tc>
          <w:tcPr>
            <w:tcW w:w="2817" w:type="dxa"/>
            <w:tcBorders>
              <w:top w:val="nil"/>
              <w:left w:val="nil"/>
              <w:bottom w:val="nil"/>
              <w:right w:val="nil"/>
            </w:tcBorders>
            <w:noWrap/>
            <w:vAlign w:val="bottom"/>
          </w:tcPr>
          <w:p w14:paraId="5532C01E"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 xml:space="preserve"> </w:t>
            </w:r>
          </w:p>
        </w:tc>
        <w:tc>
          <w:tcPr>
            <w:tcW w:w="5495" w:type="dxa"/>
            <w:tcBorders>
              <w:top w:val="nil"/>
              <w:left w:val="nil"/>
              <w:bottom w:val="nil"/>
              <w:right w:val="nil"/>
            </w:tcBorders>
            <w:noWrap/>
            <w:vAlign w:val="bottom"/>
          </w:tcPr>
          <w:p w14:paraId="17011EE2"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(0.022437)</w:t>
            </w:r>
          </w:p>
        </w:tc>
      </w:tr>
      <w:tr w:rsidR="004470EC" w:rsidRPr="00F66E23" w14:paraId="26D28842" w14:textId="77777777">
        <w:trPr>
          <w:trHeight w:val="319"/>
        </w:trPr>
        <w:tc>
          <w:tcPr>
            <w:tcW w:w="2817" w:type="dxa"/>
            <w:tcBorders>
              <w:top w:val="nil"/>
              <w:left w:val="nil"/>
              <w:bottom w:val="nil"/>
              <w:right w:val="nil"/>
            </w:tcBorders>
            <w:noWrap/>
            <w:vAlign w:val="bottom"/>
          </w:tcPr>
          <w:p w14:paraId="2D856D4E"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_CONS</w:t>
            </w:r>
          </w:p>
        </w:tc>
        <w:tc>
          <w:tcPr>
            <w:tcW w:w="5495" w:type="dxa"/>
            <w:tcBorders>
              <w:top w:val="nil"/>
              <w:left w:val="nil"/>
              <w:bottom w:val="nil"/>
              <w:right w:val="nil"/>
            </w:tcBorders>
            <w:noWrap/>
            <w:vAlign w:val="bottom"/>
          </w:tcPr>
          <w:p w14:paraId="72BF0FEA" w14:textId="77777777" w:rsidR="004470EC" w:rsidRPr="00F66E23" w:rsidRDefault="00000000">
            <w:pPr>
              <w:spacing w:line="360" w:lineRule="auto"/>
              <w:jc w:val="center"/>
              <w:rPr>
                <w:rFonts w:ascii="Times New Roman Regular" w:hAnsi="Times New Roman Regular" w:cs="Times New Roman Regular"/>
                <w:sz w:val="24"/>
                <w:szCs w:val="24"/>
                <w:vertAlign w:val="superscript"/>
                <w:lang w:val="fr-CH"/>
              </w:rPr>
            </w:pPr>
            <w:r w:rsidRPr="00F66E23">
              <w:rPr>
                <w:rFonts w:ascii="Times New Roman Regular" w:hAnsi="Times New Roman Regular" w:cs="Times New Roman Regular"/>
                <w:sz w:val="24"/>
                <w:szCs w:val="24"/>
              </w:rPr>
              <w:t>130.083</w:t>
            </w:r>
            <w:r w:rsidRPr="00F66E23">
              <w:rPr>
                <w:rFonts w:ascii="Times New Roman Regular" w:hAnsi="Times New Roman Regular" w:cs="Times New Roman Regular"/>
                <w:sz w:val="24"/>
                <w:szCs w:val="24"/>
                <w:vertAlign w:val="superscript"/>
                <w:lang w:val="fr-CH"/>
              </w:rPr>
              <w:t>***</w:t>
            </w:r>
          </w:p>
        </w:tc>
      </w:tr>
      <w:tr w:rsidR="004470EC" w:rsidRPr="00F66E23" w14:paraId="3075557F" w14:textId="77777777">
        <w:trPr>
          <w:trHeight w:val="319"/>
        </w:trPr>
        <w:tc>
          <w:tcPr>
            <w:tcW w:w="2817" w:type="dxa"/>
            <w:tcBorders>
              <w:top w:val="nil"/>
              <w:left w:val="nil"/>
              <w:bottom w:val="single" w:sz="4" w:space="0" w:color="auto"/>
              <w:right w:val="nil"/>
            </w:tcBorders>
            <w:noWrap/>
            <w:vAlign w:val="bottom"/>
          </w:tcPr>
          <w:p w14:paraId="75C21661" w14:textId="77777777" w:rsidR="004470EC" w:rsidRPr="00F66E23" w:rsidRDefault="00000000">
            <w:pPr>
              <w:spacing w:line="360" w:lineRule="auto"/>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 xml:space="preserve"> </w:t>
            </w:r>
          </w:p>
        </w:tc>
        <w:tc>
          <w:tcPr>
            <w:tcW w:w="5495" w:type="dxa"/>
            <w:tcBorders>
              <w:top w:val="nil"/>
              <w:left w:val="nil"/>
              <w:bottom w:val="single" w:sz="4" w:space="0" w:color="auto"/>
              <w:right w:val="nil"/>
            </w:tcBorders>
            <w:noWrap/>
            <w:vAlign w:val="bottom"/>
          </w:tcPr>
          <w:p w14:paraId="31E16F3D" w14:textId="77777777" w:rsidR="004470EC" w:rsidRPr="00F66E23" w:rsidRDefault="00000000">
            <w:pPr>
              <w:spacing w:line="360" w:lineRule="auto"/>
              <w:jc w:val="center"/>
              <w:rPr>
                <w:rFonts w:ascii="Times New Roman Regular" w:hAnsi="Times New Roman Regular" w:cs="Times New Roman Regular"/>
                <w:sz w:val="24"/>
                <w:szCs w:val="24"/>
              </w:rPr>
            </w:pPr>
            <w:r w:rsidRPr="00F66E23">
              <w:rPr>
                <w:rFonts w:ascii="Times New Roman Regular" w:hAnsi="Times New Roman Regular" w:cs="Times New Roman Regular"/>
                <w:sz w:val="24"/>
                <w:szCs w:val="24"/>
              </w:rPr>
              <w:t>(33.45665)</w:t>
            </w:r>
          </w:p>
        </w:tc>
      </w:tr>
      <w:tr w:rsidR="004470EC" w:rsidRPr="00F66E23" w14:paraId="78A29CC3" w14:textId="77777777">
        <w:trPr>
          <w:trHeight w:val="319"/>
        </w:trPr>
        <w:tc>
          <w:tcPr>
            <w:tcW w:w="2817" w:type="dxa"/>
            <w:tcBorders>
              <w:top w:val="single" w:sz="4" w:space="0" w:color="auto"/>
              <w:left w:val="nil"/>
              <w:bottom w:val="nil"/>
              <w:right w:val="nil"/>
            </w:tcBorders>
            <w:noWrap/>
            <w:vAlign w:val="bottom"/>
          </w:tcPr>
          <w:p w14:paraId="205DB6EA" w14:textId="77777777" w:rsidR="004470EC" w:rsidRPr="00F66E23" w:rsidRDefault="00000000">
            <w:pPr>
              <w:spacing w:line="360" w:lineRule="auto"/>
              <w:rPr>
                <w:rFonts w:ascii="Times New Roman Regular" w:hAnsi="Times New Roman Regular" w:cs="Times New Roman Regular"/>
                <w:i/>
                <w:iCs/>
                <w:sz w:val="24"/>
                <w:szCs w:val="24"/>
              </w:rPr>
            </w:pPr>
            <w:r w:rsidRPr="00F66E23">
              <w:rPr>
                <w:rFonts w:ascii="Times New Roman Regular" w:hAnsi="Times New Roman Regular" w:cs="Times New Roman Regular"/>
                <w:i/>
                <w:iCs/>
                <w:sz w:val="24"/>
                <w:szCs w:val="24"/>
              </w:rPr>
              <w:t>N</w:t>
            </w:r>
          </w:p>
        </w:tc>
        <w:tc>
          <w:tcPr>
            <w:tcW w:w="5495" w:type="dxa"/>
            <w:tcBorders>
              <w:top w:val="single" w:sz="4" w:space="0" w:color="auto"/>
              <w:left w:val="nil"/>
              <w:bottom w:val="nil"/>
              <w:right w:val="nil"/>
            </w:tcBorders>
            <w:noWrap/>
            <w:vAlign w:val="bottom"/>
          </w:tcPr>
          <w:p w14:paraId="463EF750" w14:textId="77777777" w:rsidR="004470EC" w:rsidRPr="00F66E23" w:rsidRDefault="00000000">
            <w:pPr>
              <w:spacing w:line="360" w:lineRule="auto"/>
              <w:jc w:val="center"/>
              <w:rPr>
                <w:rFonts w:ascii="Times New Roman Regular" w:hAnsi="Times New Roman Regular" w:cs="Times New Roman Regular"/>
                <w:i/>
                <w:iCs/>
                <w:sz w:val="24"/>
                <w:szCs w:val="24"/>
              </w:rPr>
            </w:pPr>
            <w:r w:rsidRPr="00F66E23">
              <w:rPr>
                <w:rFonts w:ascii="Times New Roman Regular" w:hAnsi="Times New Roman Regular" w:cs="Times New Roman Regular"/>
                <w:i/>
                <w:iCs/>
                <w:sz w:val="24"/>
                <w:szCs w:val="24"/>
              </w:rPr>
              <w:t>150</w:t>
            </w:r>
          </w:p>
        </w:tc>
      </w:tr>
      <w:tr w:rsidR="004470EC" w:rsidRPr="00F66E23" w14:paraId="26F7DA63" w14:textId="77777777">
        <w:trPr>
          <w:trHeight w:val="331"/>
        </w:trPr>
        <w:tc>
          <w:tcPr>
            <w:tcW w:w="2817" w:type="dxa"/>
            <w:tcBorders>
              <w:top w:val="nil"/>
              <w:left w:val="nil"/>
              <w:bottom w:val="nil"/>
              <w:right w:val="nil"/>
            </w:tcBorders>
            <w:noWrap/>
            <w:vAlign w:val="bottom"/>
          </w:tcPr>
          <w:p w14:paraId="1164E9D7" w14:textId="77777777" w:rsidR="004470EC" w:rsidRPr="00F66E23" w:rsidRDefault="00000000">
            <w:pPr>
              <w:spacing w:line="360" w:lineRule="auto"/>
              <w:rPr>
                <w:rFonts w:ascii="Times New Roman Regular" w:hAnsi="Times New Roman Regular" w:cs="Times New Roman Regular"/>
                <w:i/>
                <w:iCs/>
                <w:sz w:val="24"/>
                <w:szCs w:val="24"/>
                <w:vertAlign w:val="superscript"/>
              </w:rPr>
            </w:pPr>
            <w:r w:rsidRPr="00F66E23">
              <w:rPr>
                <w:rFonts w:ascii="Times New Roman Regular" w:hAnsi="Times New Roman Regular" w:cs="Times New Roman Regular"/>
                <w:i/>
                <w:iCs/>
                <w:sz w:val="24"/>
                <w:szCs w:val="24"/>
              </w:rPr>
              <w:t>Wald chi</w:t>
            </w:r>
            <w:r w:rsidRPr="00F66E23">
              <w:rPr>
                <w:rFonts w:ascii="Times New Roman Regular" w:hAnsi="Times New Roman Regular" w:cs="Times New Roman Regular"/>
                <w:i/>
                <w:iCs/>
                <w:sz w:val="24"/>
                <w:szCs w:val="24"/>
                <w:vertAlign w:val="superscript"/>
              </w:rPr>
              <w:t>2</w:t>
            </w:r>
          </w:p>
        </w:tc>
        <w:tc>
          <w:tcPr>
            <w:tcW w:w="5495" w:type="dxa"/>
            <w:tcBorders>
              <w:top w:val="nil"/>
              <w:left w:val="nil"/>
              <w:bottom w:val="nil"/>
              <w:right w:val="nil"/>
            </w:tcBorders>
            <w:noWrap/>
            <w:vAlign w:val="bottom"/>
          </w:tcPr>
          <w:p w14:paraId="676BA077" w14:textId="77777777" w:rsidR="004470EC" w:rsidRPr="00F66E23" w:rsidRDefault="00000000">
            <w:pPr>
              <w:spacing w:line="360" w:lineRule="auto"/>
              <w:jc w:val="center"/>
              <w:rPr>
                <w:rFonts w:ascii="Times New Roman Regular" w:hAnsi="Times New Roman Regular" w:cs="Times New Roman Regular"/>
                <w:i/>
                <w:iCs/>
                <w:sz w:val="24"/>
                <w:szCs w:val="24"/>
              </w:rPr>
            </w:pPr>
            <w:r w:rsidRPr="00F66E23">
              <w:rPr>
                <w:rFonts w:ascii="Times New Roman Regular" w:hAnsi="Times New Roman Regular" w:cs="Times New Roman Regular"/>
                <w:i/>
                <w:iCs/>
                <w:sz w:val="24"/>
                <w:szCs w:val="24"/>
              </w:rPr>
              <w:t>18.79</w:t>
            </w:r>
          </w:p>
        </w:tc>
      </w:tr>
      <w:tr w:rsidR="004470EC" w:rsidRPr="00F66E23" w14:paraId="28A3A592" w14:textId="77777777">
        <w:trPr>
          <w:trHeight w:val="319"/>
        </w:trPr>
        <w:tc>
          <w:tcPr>
            <w:tcW w:w="2817" w:type="dxa"/>
            <w:tcBorders>
              <w:top w:val="nil"/>
              <w:left w:val="nil"/>
              <w:bottom w:val="single" w:sz="8" w:space="0" w:color="auto"/>
              <w:right w:val="nil"/>
            </w:tcBorders>
            <w:noWrap/>
            <w:vAlign w:val="bottom"/>
          </w:tcPr>
          <w:p w14:paraId="0D81C3B0" w14:textId="77777777" w:rsidR="004470EC" w:rsidRPr="00F66E23" w:rsidRDefault="00000000">
            <w:pPr>
              <w:spacing w:line="360" w:lineRule="auto"/>
              <w:rPr>
                <w:rFonts w:ascii="Times New Roman Regular" w:hAnsi="Times New Roman Regular" w:cs="Times New Roman Regular"/>
                <w:i/>
                <w:iCs/>
                <w:sz w:val="24"/>
                <w:szCs w:val="24"/>
                <w:vertAlign w:val="superscript"/>
              </w:rPr>
            </w:pPr>
            <w:r w:rsidRPr="00F66E23">
              <w:rPr>
                <w:rFonts w:ascii="Times New Roman Regular" w:hAnsi="Times New Roman Regular" w:cs="Times New Roman Regular"/>
                <w:i/>
                <w:iCs/>
                <w:sz w:val="24"/>
                <w:szCs w:val="24"/>
              </w:rPr>
              <w:t xml:space="preserve">Prob </w:t>
            </w:r>
            <w:r w:rsidRPr="00F66E23">
              <w:rPr>
                <w:rFonts w:ascii="Times New Roman Regular" w:hAnsi="Times New Roman Regular" w:cs="Times New Roman Regular"/>
                <w:i/>
                <w:iCs/>
                <w:sz w:val="24"/>
                <w:szCs w:val="24"/>
                <w:lang w:val="fr-CH"/>
              </w:rPr>
              <w:t>&gt; chi</w:t>
            </w:r>
            <w:r w:rsidRPr="00F66E23">
              <w:rPr>
                <w:rFonts w:ascii="Times New Roman Regular" w:hAnsi="Times New Roman Regular" w:cs="Times New Roman Regular"/>
                <w:i/>
                <w:iCs/>
                <w:sz w:val="24"/>
                <w:szCs w:val="24"/>
                <w:vertAlign w:val="superscript"/>
              </w:rPr>
              <w:t>2</w:t>
            </w:r>
          </w:p>
        </w:tc>
        <w:tc>
          <w:tcPr>
            <w:tcW w:w="5495" w:type="dxa"/>
            <w:tcBorders>
              <w:top w:val="nil"/>
              <w:left w:val="nil"/>
              <w:bottom w:val="single" w:sz="8" w:space="0" w:color="auto"/>
              <w:right w:val="nil"/>
            </w:tcBorders>
            <w:noWrap/>
            <w:vAlign w:val="bottom"/>
          </w:tcPr>
          <w:p w14:paraId="463CE17F" w14:textId="77777777" w:rsidR="004470EC" w:rsidRPr="00F66E23" w:rsidRDefault="00000000">
            <w:pPr>
              <w:spacing w:line="360" w:lineRule="auto"/>
              <w:jc w:val="center"/>
              <w:rPr>
                <w:rFonts w:ascii="Times New Roman Regular" w:hAnsi="Times New Roman Regular" w:cs="Times New Roman Regular"/>
                <w:i/>
                <w:iCs/>
                <w:sz w:val="24"/>
                <w:szCs w:val="24"/>
                <w:lang w:val="fr-CH"/>
              </w:rPr>
            </w:pPr>
            <w:r w:rsidRPr="00F66E23">
              <w:rPr>
                <w:rFonts w:ascii="Times New Roman Regular" w:hAnsi="Times New Roman Regular" w:cs="Times New Roman Regular"/>
                <w:i/>
                <w:iCs/>
                <w:sz w:val="24"/>
                <w:szCs w:val="24"/>
              </w:rPr>
              <w:t>0.</w:t>
            </w:r>
            <w:r w:rsidRPr="00F66E23">
              <w:rPr>
                <w:rFonts w:ascii="Times New Roman Regular" w:hAnsi="Times New Roman Regular" w:cs="Times New Roman Regular"/>
                <w:i/>
                <w:iCs/>
                <w:sz w:val="24"/>
                <w:szCs w:val="24"/>
                <w:lang w:val="fr-CH"/>
              </w:rPr>
              <w:t>0045</w:t>
            </w:r>
          </w:p>
        </w:tc>
      </w:tr>
    </w:tbl>
    <w:p w14:paraId="2913A31D" w14:textId="77777777" w:rsidR="004470EC" w:rsidRPr="00F66E23" w:rsidRDefault="00000000">
      <w:pPr>
        <w:autoSpaceDE w:val="0"/>
        <w:autoSpaceDN w:val="0"/>
        <w:adjustRightInd w:val="0"/>
        <w:spacing w:line="360" w:lineRule="auto"/>
        <w:jc w:val="both"/>
        <w:rPr>
          <w:rFonts w:ascii="Times New Roman Regular" w:hAnsi="Times New Roman Regular" w:cs="Times New Roman Regular"/>
          <w:sz w:val="24"/>
          <w:szCs w:val="24"/>
        </w:rPr>
      </w:pPr>
      <w:r w:rsidRPr="00F66E23">
        <w:rPr>
          <w:rFonts w:ascii="Times New Roman Regular" w:hAnsi="Times New Roman Regular" w:cs="Times New Roman Regular"/>
          <w:b/>
          <w:bCs/>
          <w:sz w:val="24"/>
          <w:szCs w:val="24"/>
        </w:rPr>
        <w:t>Note</w:t>
      </w:r>
      <w:r w:rsidRPr="00F66E23">
        <w:rPr>
          <w:rFonts w:ascii="Times New Roman Regular" w:hAnsi="Times New Roman Regular" w:cs="Times New Roman Regular"/>
          <w:sz w:val="24"/>
          <w:szCs w:val="24"/>
        </w:rPr>
        <w:t>: Standard errors in parentheses. (</w:t>
      </w:r>
      <w:r w:rsidRPr="00F66E23">
        <w:rPr>
          <w:rFonts w:ascii="Times New Roman Regular" w:hAnsi="Times New Roman Regular" w:cs="Times New Roman Regular"/>
          <w:sz w:val="24"/>
          <w:szCs w:val="24"/>
          <w:vertAlign w:val="superscript"/>
        </w:rPr>
        <w:t>*</w:t>
      </w:r>
      <w:r w:rsidRPr="00F66E23">
        <w:rPr>
          <w:rFonts w:ascii="Times New Roman Regular" w:hAnsi="Times New Roman Regular" w:cs="Times New Roman Regular"/>
          <w:sz w:val="24"/>
          <w:szCs w:val="24"/>
        </w:rPr>
        <w:t>), (</w:t>
      </w:r>
      <w:r w:rsidRPr="00F66E23">
        <w:rPr>
          <w:rFonts w:ascii="Times New Roman Regular" w:hAnsi="Times New Roman Regular" w:cs="Times New Roman Regular"/>
          <w:sz w:val="24"/>
          <w:szCs w:val="24"/>
          <w:vertAlign w:val="superscript"/>
        </w:rPr>
        <w:t>**</w:t>
      </w:r>
      <w:r w:rsidRPr="00F66E23">
        <w:rPr>
          <w:rFonts w:ascii="Times New Roman Regular" w:hAnsi="Times New Roman Regular" w:cs="Times New Roman Regular"/>
          <w:sz w:val="24"/>
          <w:szCs w:val="24"/>
        </w:rPr>
        <w:t>), and (</w:t>
      </w:r>
      <w:r w:rsidRPr="00F66E23">
        <w:rPr>
          <w:rFonts w:ascii="Times New Roman Regular" w:hAnsi="Times New Roman Regular" w:cs="Times New Roman Regular"/>
          <w:sz w:val="24"/>
          <w:szCs w:val="24"/>
          <w:vertAlign w:val="superscript"/>
        </w:rPr>
        <w:t>***</w:t>
      </w:r>
      <w:r w:rsidRPr="00F66E23">
        <w:rPr>
          <w:rFonts w:ascii="Times New Roman Regular" w:hAnsi="Times New Roman Regular" w:cs="Times New Roman Regular"/>
          <w:sz w:val="24"/>
          <w:szCs w:val="24"/>
        </w:rPr>
        <w:t>)</w:t>
      </w:r>
      <w:r w:rsidRPr="00F66E23">
        <w:rPr>
          <w:rFonts w:ascii="Times New Roman Regular" w:hAnsi="Times New Roman Regular" w:cs="Times New Roman Regular"/>
          <w:sz w:val="24"/>
          <w:szCs w:val="24"/>
          <w:vertAlign w:val="superscript"/>
        </w:rPr>
        <w:t xml:space="preserve"> </w:t>
      </w:r>
      <w:r w:rsidRPr="00F66E23">
        <w:rPr>
          <w:rFonts w:ascii="Times New Roman Regular" w:hAnsi="Times New Roman Regular" w:cs="Times New Roman Regular"/>
          <w:sz w:val="24"/>
          <w:szCs w:val="24"/>
        </w:rPr>
        <w:t xml:space="preserve">indicates that the coefficients are significant at p. values of 10%, 5%, and 1% respectively </w:t>
      </w:r>
    </w:p>
    <w:p w14:paraId="7165578A" w14:textId="77777777" w:rsidR="004470EC" w:rsidRPr="00F66E23" w:rsidRDefault="004470EC">
      <w:pPr>
        <w:autoSpaceDE w:val="0"/>
        <w:autoSpaceDN w:val="0"/>
        <w:adjustRightInd w:val="0"/>
        <w:spacing w:line="360" w:lineRule="auto"/>
        <w:jc w:val="both"/>
        <w:rPr>
          <w:rFonts w:ascii="Times New Roman Regular" w:hAnsi="Times New Roman Regular" w:cs="Times New Roman Regular"/>
          <w:sz w:val="24"/>
          <w:szCs w:val="24"/>
        </w:rPr>
      </w:pPr>
    </w:p>
    <w:p w14:paraId="57DC3853" w14:textId="77777777" w:rsidR="004470EC" w:rsidRPr="00F66E23" w:rsidRDefault="00000000">
      <w:pPr>
        <w:pStyle w:val="Heading1"/>
        <w:spacing w:line="360" w:lineRule="auto"/>
        <w:rPr>
          <w:rFonts w:ascii="Times New Roman Regular" w:hAnsi="Times New Roman Regular" w:cs="Times New Roman Regular"/>
          <w:b w:val="0"/>
          <w:bCs/>
          <w:sz w:val="24"/>
          <w:szCs w:val="24"/>
        </w:rPr>
      </w:pPr>
      <w:bookmarkStart w:id="29" w:name="_Toc156569161"/>
      <w:bookmarkEnd w:id="29"/>
      <w:r w:rsidRPr="00F66E23">
        <w:rPr>
          <w:b w:val="0"/>
          <w:bCs/>
        </w:rPr>
        <w:lastRenderedPageBreak/>
        <w:t>Studies on the relationship between climate risks and bank financial performance have been under-researched. This study sought to examine the nexus between climate risks and the financial performance of selected licensed commercial banks in Ghana.</w:t>
      </w:r>
    </w:p>
    <w:p w14:paraId="3669B746" w14:textId="77777777" w:rsidR="004470EC" w:rsidRPr="00F66E23" w:rsidRDefault="00000000">
      <w:pPr>
        <w:pStyle w:val="Default"/>
        <w:spacing w:line="360" w:lineRule="auto"/>
        <w:jc w:val="both"/>
        <w:rPr>
          <w:rFonts w:ascii="Times New Roman Regular" w:hAnsi="Times New Roman Regular" w:cs="Times New Roman Regular"/>
          <w:color w:val="auto"/>
        </w:rPr>
      </w:pPr>
      <w:r w:rsidRPr="00F66E23">
        <w:t>The study specifically used the Generalized Least Square Regression method to control the effects of autocorrelation and heteroskedasticity present in panel data. The results showed that climate risk has a significant negative impact on the financial performance of selected licensed commercial banks in Ghana.</w:t>
      </w:r>
    </w:p>
    <w:p w14:paraId="10A8BA38" w14:textId="77777777" w:rsidR="004470EC" w:rsidRPr="00F66E23" w:rsidRDefault="004470EC">
      <w:pPr>
        <w:autoSpaceDE w:val="0"/>
        <w:autoSpaceDN w:val="0"/>
        <w:adjustRightInd w:val="0"/>
        <w:spacing w:line="360" w:lineRule="auto"/>
        <w:jc w:val="both"/>
        <w:rPr>
          <w:rFonts w:ascii="Times New Roman Regular" w:hAnsi="Times New Roman Regular" w:cs="Times New Roman Regular"/>
          <w:sz w:val="24"/>
          <w:szCs w:val="24"/>
        </w:rPr>
      </w:pPr>
    </w:p>
    <w:p w14:paraId="33FCBC41" w14:textId="77777777" w:rsidR="004470EC" w:rsidRPr="00F66E23" w:rsidRDefault="00000000">
      <w:pPr>
        <w:pStyle w:val="Heading1"/>
        <w:spacing w:line="360" w:lineRule="auto"/>
        <w:rPr>
          <w:rFonts w:ascii="Times New Roman Regular" w:hAnsi="Times New Roman Regular" w:cs="Times New Roman Regular"/>
          <w:sz w:val="24"/>
          <w:szCs w:val="24"/>
        </w:rPr>
      </w:pPr>
      <w:bookmarkStart w:id="30" w:name="_Toc156569162"/>
      <w:r w:rsidRPr="00F66E23">
        <w:rPr>
          <w:rFonts w:ascii="Times New Roman Regular" w:hAnsi="Times New Roman Regular" w:cs="Times New Roman Regular"/>
          <w:sz w:val="24"/>
          <w:szCs w:val="24"/>
        </w:rPr>
        <w:t>5.1.1 Climate Risk and Bank Financial Performance</w:t>
      </w:r>
      <w:bookmarkEnd w:id="30"/>
    </w:p>
    <w:p w14:paraId="01CECF27" w14:textId="77777777" w:rsidR="004470EC" w:rsidRPr="00F66E23" w:rsidRDefault="00000000">
      <w:pPr>
        <w:pStyle w:val="Default"/>
        <w:spacing w:line="360" w:lineRule="auto"/>
        <w:jc w:val="both"/>
        <w:rPr>
          <w:rFonts w:ascii="Times New Roman Regular" w:hAnsi="Times New Roman Regular" w:cs="Times New Roman Regular"/>
          <w:color w:val="auto"/>
        </w:rPr>
      </w:pPr>
      <w:r w:rsidRPr="00F66E23">
        <w:rPr>
          <w:rFonts w:ascii="Times New Roman Regular" w:hAnsi="Times New Roman Regular" w:cs="Times New Roman Regular"/>
          <w:color w:val="auto"/>
        </w:rPr>
        <w:t>Based on the empirical findings in the preceding chapter, climate risk has a significant negative impact on financial performance of the selected licensed commercial banks in Ghana. This implies that climate risk significantly reduces the bank financial performance of the selected commercial banks. Climate risk may have an influence on the bank's premises and operations, as well as its clients and the overall economy. Extreme weather events and long-term changes in the climate may lead to the closure of retail branches or facilities, substantially damaging customers' creditworthiness and badly affecting the profitability and liquidity of banks. The results in this study resonate with the findings of Huang, Kerstein, and Wang (2018).</w:t>
      </w:r>
    </w:p>
    <w:p w14:paraId="75EDADDB" w14:textId="77777777" w:rsidR="004470EC" w:rsidRPr="00F66E23" w:rsidRDefault="004470EC">
      <w:pPr>
        <w:pStyle w:val="Default"/>
        <w:spacing w:line="360" w:lineRule="auto"/>
        <w:jc w:val="both"/>
        <w:rPr>
          <w:rFonts w:ascii="Times New Roman Regular" w:hAnsi="Times New Roman Regular" w:cs="Times New Roman Regular"/>
          <w:color w:val="auto"/>
        </w:rPr>
      </w:pPr>
    </w:p>
    <w:p w14:paraId="3A33AE96" w14:textId="77777777" w:rsidR="004470EC" w:rsidRPr="00F66E23" w:rsidRDefault="00000000">
      <w:pPr>
        <w:pStyle w:val="Heading1"/>
        <w:spacing w:line="360" w:lineRule="auto"/>
        <w:rPr>
          <w:rFonts w:ascii="Times New Roman Regular" w:hAnsi="Times New Roman Regular" w:cs="Times New Roman Regular"/>
          <w:sz w:val="24"/>
          <w:szCs w:val="24"/>
        </w:rPr>
      </w:pPr>
      <w:bookmarkStart w:id="31" w:name="_Toc156569165"/>
      <w:r w:rsidRPr="00F66E23">
        <w:rPr>
          <w:rFonts w:ascii="Times New Roman Regular" w:hAnsi="Times New Roman Regular" w:cs="Times New Roman Regular"/>
          <w:sz w:val="24"/>
          <w:szCs w:val="24"/>
        </w:rPr>
        <w:t>5.2 Conclusion</w:t>
      </w:r>
      <w:bookmarkEnd w:id="31"/>
      <w:r w:rsidRPr="00F66E23">
        <w:rPr>
          <w:rFonts w:ascii="Times New Roman Regular" w:hAnsi="Times New Roman Regular" w:cs="Times New Roman Regular"/>
          <w:sz w:val="24"/>
          <w:szCs w:val="24"/>
        </w:rPr>
        <w:t xml:space="preserve"> </w:t>
      </w:r>
    </w:p>
    <w:p w14:paraId="0E3C4A14" w14:textId="495A6883" w:rsidR="004470EC" w:rsidRPr="00F66E23" w:rsidRDefault="00EE1DF4">
      <w:pPr>
        <w:spacing w:line="360" w:lineRule="auto"/>
      </w:pPr>
      <w:r w:rsidRPr="00F66E23">
        <w:t>This study examined the nexus between climate risk and the financial performance of selected licensed universal banks in Ghana over the period 2010–2024. Using a panel data approach and the Generalized Least Square Regression method, the study found that climate risk has a significant negative impact on bank financial performance. The findings indicate that climate-related risks may affect banks through their premises, operations, clients, and broader economic conditions. Extreme weather events and long-term climate changes may disrupt economic activity, reduce borrowers’ repayment capacity, weaken asset quality, and affect banks’ profitability and liquidity. The study therefore highlights the need for financial institutions and policymakers to consider climate risk as a relevant factor in banking-sector performance and financial stability. Strengthened climate prediction, improved adaptation planning, energy conservation, and emissions-reduction policies may help reduce the adverse implications of climate-related risks for universal banks in Ghana.</w:t>
      </w:r>
    </w:p>
    <w:p w14:paraId="3B12382E" w14:textId="77777777" w:rsidR="00EE1DF4" w:rsidRPr="00F66E23" w:rsidRDefault="00EE1DF4">
      <w:pPr>
        <w:spacing w:line="360" w:lineRule="auto"/>
        <w:rPr>
          <w:rFonts w:ascii="Times New Roman Regular" w:hAnsi="Times New Roman Regular" w:cs="Times New Roman Regular"/>
          <w:sz w:val="24"/>
          <w:szCs w:val="24"/>
        </w:rPr>
      </w:pPr>
    </w:p>
    <w:p w14:paraId="351ADB64" w14:textId="77777777" w:rsidR="00EE1DF4" w:rsidRPr="00F66E23" w:rsidRDefault="00EE1DF4" w:rsidP="00EE1DF4">
      <w:pPr>
        <w:pStyle w:val="Heading3"/>
        <w:rPr>
          <w:b/>
          <w:bCs/>
          <w:color w:val="auto"/>
          <w:lang w:eastAsia="en-US"/>
        </w:rPr>
      </w:pPr>
      <w:r w:rsidRPr="00F66E23">
        <w:rPr>
          <w:b/>
          <w:bCs/>
          <w:color w:val="auto"/>
        </w:rPr>
        <w:t>Limitation</w:t>
      </w:r>
    </w:p>
    <w:p w14:paraId="625F5BCD" w14:textId="77777777" w:rsidR="00EE1DF4" w:rsidRDefault="00EE1DF4" w:rsidP="00EE1DF4">
      <w:pPr>
        <w:pStyle w:val="NormalWeb"/>
        <w:jc w:val="both"/>
      </w:pPr>
      <w:r w:rsidRPr="00F66E23">
        <w:t xml:space="preserve">This study was limited to ten licensed universal banks in Ghana due to data availability and convenience. The analysis covered the period 2010–2024 and relied </w:t>
      </w:r>
      <w:r w:rsidRPr="00F66E23">
        <w:lastRenderedPageBreak/>
        <w:t>on secondary data, including the Climate Risk Index and financial indicators obtained from published sources. Therefore, the findings should be interpreted within the scope of the selected banks, variables, and period examined.</w:t>
      </w:r>
    </w:p>
    <w:p w14:paraId="74E3CF19" w14:textId="77777777" w:rsidR="008F3D03" w:rsidRDefault="008F3D03" w:rsidP="00EE1DF4">
      <w:pPr>
        <w:pStyle w:val="NormalWeb"/>
        <w:jc w:val="both"/>
      </w:pPr>
    </w:p>
    <w:p w14:paraId="536B955F" w14:textId="77777777" w:rsidR="008F3D03" w:rsidRDefault="008F3D03" w:rsidP="00EE1DF4">
      <w:pPr>
        <w:pStyle w:val="NormalWeb"/>
        <w:jc w:val="both"/>
      </w:pPr>
    </w:p>
    <w:p w14:paraId="1437C0A2" w14:textId="77777777" w:rsidR="008F3D03" w:rsidRDefault="008F3D03" w:rsidP="00EE1DF4">
      <w:pPr>
        <w:pStyle w:val="NormalWeb"/>
        <w:jc w:val="both"/>
      </w:pPr>
    </w:p>
    <w:p w14:paraId="170AA143" w14:textId="77777777" w:rsidR="008F3D03" w:rsidRDefault="008F3D03" w:rsidP="008F3D03">
      <w:pPr>
        <w:pStyle w:val="NormalWeb"/>
        <w:jc w:val="both"/>
      </w:pPr>
      <w:r>
        <w:t>Declaration of AI Use</w:t>
      </w:r>
    </w:p>
    <w:p w14:paraId="3E07503B" w14:textId="0DD94A67" w:rsidR="008F3D03" w:rsidRPr="00F66E23" w:rsidRDefault="008F3D03" w:rsidP="008F3D03">
      <w:pPr>
        <w:pStyle w:val="NormalWeb"/>
        <w:jc w:val="both"/>
      </w:pPr>
      <w: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A1FBF4D" w14:textId="77777777" w:rsidR="00EE1DF4" w:rsidRPr="00F66E23" w:rsidRDefault="00EE1DF4">
      <w:pPr>
        <w:spacing w:line="360" w:lineRule="auto"/>
        <w:rPr>
          <w:rFonts w:ascii="Times New Roman Regular" w:hAnsi="Times New Roman Regular" w:cs="Times New Roman Regular"/>
          <w:sz w:val="24"/>
          <w:szCs w:val="24"/>
        </w:rPr>
      </w:pPr>
    </w:p>
    <w:p w14:paraId="39F2932B" w14:textId="0FD23036" w:rsidR="004470EC" w:rsidRPr="00F66E23" w:rsidRDefault="00000000">
      <w:pPr>
        <w:jc w:val="both"/>
        <w:outlineLvl w:val="0"/>
        <w:rPr>
          <w:rFonts w:ascii="Arial" w:hAnsi="Arial" w:cs="Arial"/>
        </w:rPr>
      </w:pPr>
      <w:r w:rsidRPr="00F66E23">
        <w:rPr>
          <w:rFonts w:ascii="Arial" w:hAnsi="Arial" w:cs="Arial"/>
          <w:b/>
          <w:bCs/>
        </w:rPr>
        <w:t>COMPETING INTERESTS:</w:t>
      </w:r>
    </w:p>
    <w:p w14:paraId="2A04B16A" w14:textId="77777777" w:rsidR="004470EC" w:rsidRPr="00F66E23" w:rsidRDefault="00000000">
      <w:r w:rsidRPr="00F66E23">
        <w:t>Authors have declared that they have no known competing financial interests OR non-financial interests OR personal relationships that could have appeared to influence the work reported in this paper.</w:t>
      </w:r>
    </w:p>
    <w:p w14:paraId="1116EC5A" w14:textId="77777777" w:rsidR="004470EC" w:rsidRPr="00F66E23" w:rsidRDefault="004470EC"/>
    <w:p w14:paraId="3775FF0E" w14:textId="77777777" w:rsidR="004470EC" w:rsidRPr="00F66E23" w:rsidRDefault="004470EC"/>
    <w:p w14:paraId="4589C629" w14:textId="77777777" w:rsidR="004470EC" w:rsidRPr="00F66E23" w:rsidRDefault="004470EC">
      <w:pPr>
        <w:spacing w:line="360" w:lineRule="auto"/>
        <w:rPr>
          <w:rFonts w:ascii="Times New Roman Regular" w:hAnsi="Times New Roman Regular" w:cs="Times New Roman Regular"/>
          <w:sz w:val="24"/>
          <w:szCs w:val="24"/>
        </w:rPr>
      </w:pPr>
    </w:p>
    <w:p w14:paraId="5183FF77" w14:textId="77777777" w:rsidR="004470EC" w:rsidRPr="00F66E23" w:rsidRDefault="004470EC">
      <w:pPr>
        <w:spacing w:line="360" w:lineRule="auto"/>
        <w:rPr>
          <w:rFonts w:ascii="Times New Roman Regular" w:hAnsi="Times New Roman Regular" w:cs="Times New Roman Regular"/>
          <w:sz w:val="24"/>
          <w:szCs w:val="24"/>
        </w:rPr>
      </w:pPr>
    </w:p>
    <w:p w14:paraId="4FEC59A3" w14:textId="77777777" w:rsidR="004470EC" w:rsidRDefault="00000000">
      <w:pPr>
        <w:pStyle w:val="Heading1"/>
        <w:spacing w:line="360" w:lineRule="auto"/>
        <w:rPr>
          <w:rFonts w:ascii="Times New Roman Regular" w:hAnsi="Times New Roman Regular" w:cs="Times New Roman Regular"/>
          <w:sz w:val="24"/>
          <w:szCs w:val="24"/>
        </w:rPr>
      </w:pPr>
      <w:bookmarkStart w:id="32" w:name="_Toc156569168"/>
      <w:bookmarkStart w:id="33" w:name="_Toc156224795"/>
      <w:r w:rsidRPr="00F66E23">
        <w:rPr>
          <w:rFonts w:ascii="Times New Roman Regular" w:hAnsi="Times New Roman Regular" w:cs="Times New Roman Regular"/>
          <w:sz w:val="24"/>
          <w:szCs w:val="24"/>
        </w:rPr>
        <w:t>References</w:t>
      </w:r>
      <w:bookmarkEnd w:id="32"/>
      <w:bookmarkEnd w:id="33"/>
      <w:r w:rsidRPr="00F66E23">
        <w:rPr>
          <w:rFonts w:ascii="Times New Roman Regular" w:hAnsi="Times New Roman Regular" w:cs="Times New Roman Regular"/>
          <w:sz w:val="24"/>
          <w:szCs w:val="24"/>
        </w:rPr>
        <w:t xml:space="preserve"> </w:t>
      </w:r>
    </w:p>
    <w:p>
      <w:pPr>
        <w:spacing w:after="0" w:line="240" w:lineRule="auto"/>
        <w:ind w:left="720" w:hanging="720"/>
      </w:pPr>
      <w:r>
        <w:t xml:space="preserve">Adu, D. A., Abedin, M. Z., Saa, V. Y., &amp; Boateng, F. (2024). Bank sustainability, climate change initiatives and financial performance: The role of corporate governance. </w:t>
      </w:r>
      <w:r>
        <w:rPr>
          <w:i/>
        </w:rPr>
        <w:t>International Review of Financial Analysis, 95</w:t>
      </w:r>
      <w:r>
        <w:t xml:space="preserve">, Article 103438. </w:t>
      </w:r>
      <w:hyperlink r:id="rId44">
        <w:r>
          <w:rPr>
            <w:u w:val="single"/>
            <w:color w:val="0563C1"/>
          </w:rPr>
          <w:t>https://doi.org/10.1016/j.irfa.2024.103438</w:t>
        </w:r>
      </w:hyperlink>
    </w:p>
    <w:p>
      <w:pPr>
        <w:spacing w:after="0" w:line="240" w:lineRule="auto"/>
        <w:ind w:left="720" w:hanging="720"/>
      </w:pPr>
      <w:r>
        <w:t xml:space="preserve">Aduwa, S. I., Mensah, E. K., Aderibigbe, A. A., Lateef, J., Eromosele, I. E., Adebayo, A., &amp; Nii-Okai, E. (2025). Integrating climate resilience into construction project management: A global narrative review of frameworks, policies and implementation challenges. </w:t>
      </w:r>
      <w:r>
        <w:rPr>
          <w:i/>
        </w:rPr>
        <w:t>Journal of Global Ecology and Environment, 21</w:t>
      </w:r>
      <w:r>
        <w:t xml:space="preserve">(4), 92-107. </w:t>
      </w:r>
      <w:hyperlink r:id="rId45">
        <w:r>
          <w:rPr>
            <w:u w:val="single"/>
            <w:color w:val="0563C1"/>
          </w:rPr>
          <w:t>https://doi.org/10.56557/jogee/2025/v21i49902</w:t>
        </w:r>
      </w:hyperlink>
    </w:p>
    <w:p>
      <w:pPr>
        <w:spacing w:after="0" w:line="240" w:lineRule="auto"/>
        <w:ind w:left="720" w:hanging="720"/>
      </w:pPr>
      <w:r>
        <w:t xml:space="preserve">Alshatti, A. S. (2015). The effect of credit risk management on financial performance of the Jordanian commercial banks. </w:t>
      </w:r>
      <w:r>
        <w:rPr>
          <w:i/>
        </w:rPr>
        <w:t>Investment Management and Financial Innovations, 12</w:t>
      </w:r>
      <w:r>
        <w:t xml:space="preserve">(1), 338-345. </w:t>
      </w:r>
      <w:hyperlink r:id="rId59">
        <w:r>
          <w:rPr>
            <w:u w:val="single"/>
            <w:color w:val="0563C1"/>
          </w:rPr>
          <w:t>https://www.businessperspectives.org/index.php/journals?controller=pdfview&amp;item_id=6515&amp;task=download</w:t>
        </w:r>
      </w:hyperlink>
    </w:p>
    <w:p>
      <w:pPr>
        <w:spacing w:after="0" w:line="240" w:lineRule="auto"/>
        <w:ind w:left="720" w:hanging="720"/>
      </w:pPr>
      <w:r>
        <w:t xml:space="preserve">Altman, N., &amp; Krzywinski, M. (2015). Association, correlation and causation. </w:t>
      </w:r>
      <w:r>
        <w:rPr>
          <w:i/>
        </w:rPr>
        <w:t>Nature Methods, 12</w:t>
      </w:r>
      <w:r>
        <w:t xml:space="preserve">(10), 899-900. </w:t>
      </w:r>
      <w:hyperlink r:id="rId9">
        <w:r>
          <w:rPr>
            <w:u w:val="single"/>
            <w:color w:val="0563C1"/>
          </w:rPr>
          <w:t>https://doi.org/10.1038/nmeth.3587</w:t>
        </w:r>
      </w:hyperlink>
    </w:p>
    <w:p>
      <w:pPr>
        <w:spacing w:after="0" w:line="240" w:lineRule="auto"/>
        <w:ind w:left="720" w:hanging="720"/>
      </w:pPr>
      <w:r>
        <w:t xml:space="preserve">Asante, F. A., Bawakyillenuo, S., Bird, N., Canales Trujillo, N., Tagoe, C. A., &amp; Ashiabi, N. (2015). </w:t>
      </w:r>
      <w:r>
        <w:rPr>
          <w:i/>
        </w:rPr>
        <w:t>Climate change finance in Ghana</w:t>
      </w:r>
      <w:r>
        <w:t xml:space="preserve">. Overseas Development Institute. </w:t>
      </w:r>
      <w:hyperlink r:id="rId60">
        <w:r>
          <w:rPr>
            <w:u w:val="single"/>
            <w:color w:val="0563C1"/>
          </w:rPr>
          <w:t>https://odi.org/en/publications/climate-change-finance-in-ghana/</w:t>
        </w:r>
      </w:hyperlink>
    </w:p>
    <w:p>
      <w:pPr>
        <w:spacing w:after="0" w:line="240" w:lineRule="auto"/>
        <w:ind w:left="720" w:hanging="720"/>
      </w:pPr>
      <w:r>
        <w:t xml:space="preserve">Basel Committee on Banking Supervision. (2021). </w:t>
      </w:r>
      <w:r>
        <w:rPr>
          <w:i/>
        </w:rPr>
        <w:t>Climate-related risk drivers and their transmission channels</w:t>
      </w:r>
      <w:r>
        <w:t xml:space="preserve">. Bank for International Settlements. </w:t>
      </w:r>
      <w:hyperlink r:id="rId61">
        <w:r>
          <w:rPr>
            <w:u w:val="single"/>
            <w:color w:val="0563C1"/>
          </w:rPr>
          <w:t>https://www.bis.org/bcbs/publ/d517.htm</w:t>
        </w:r>
      </w:hyperlink>
    </w:p>
    <w:p>
      <w:pPr>
        <w:spacing w:after="0" w:line="240" w:lineRule="auto"/>
        <w:ind w:left="720" w:hanging="720"/>
      </w:pPr>
      <w:r>
        <w:t xml:space="preserve">Ben Salem, K. (2021). Principal component analysis (PCA). </w:t>
      </w:r>
      <w:r>
        <w:rPr>
          <w:i/>
        </w:rPr>
        <w:t>La Tunisie Médicale, 99</w:t>
      </w:r>
      <w:r>
        <w:t xml:space="preserve">(4), 383-389. </w:t>
      </w:r>
      <w:hyperlink r:id="rId62">
        <w:r>
          <w:rPr>
            <w:u w:val="single"/>
            <w:color w:val="0563C1"/>
          </w:rPr>
          <w:t>https://europepmc.org/article/MED/35244921</w:t>
        </w:r>
      </w:hyperlink>
    </w:p>
    <w:p>
      <w:pPr>
        <w:spacing w:after="0" w:line="240" w:lineRule="auto"/>
        <w:ind w:left="720" w:hanging="720"/>
      </w:pPr>
      <w:r>
        <w:t xml:space="preserve">Berger, A. N., &amp; Bouwman, C. H. S. (2009). Bank liquidity creation. </w:t>
      </w:r>
      <w:r>
        <w:rPr>
          <w:i/>
        </w:rPr>
        <w:t>The Review of Financial Studies, 22</w:t>
      </w:r>
      <w:r>
        <w:t xml:space="preserve">(9), 3779-3837. </w:t>
      </w:r>
      <w:hyperlink r:id="rId63">
        <w:r>
          <w:rPr>
            <w:u w:val="single"/>
            <w:color w:val="0563C1"/>
          </w:rPr>
          <w:t>https://doi.org/10.1093/rfs/hhn104</w:t>
        </w:r>
      </w:hyperlink>
    </w:p>
    <w:p>
      <w:pPr>
        <w:spacing w:after="0" w:line="240" w:lineRule="auto"/>
        <w:ind w:left="720" w:hanging="720"/>
      </w:pPr>
      <w:r>
        <w:t xml:space="preserve">Bressan, G. M., &amp; Romagnoli, S. (2021). Climate risks and weather derivatives: A copula-based pricing model. </w:t>
      </w:r>
      <w:r>
        <w:rPr>
          <w:i/>
        </w:rPr>
        <w:t>Journal of Financial Stability, 54</w:t>
      </w:r>
      <w:r>
        <w:t xml:space="preserve">, Article 100877. </w:t>
      </w:r>
      <w:hyperlink r:id="rId64">
        <w:r>
          <w:rPr>
            <w:u w:val="single"/>
            <w:color w:val="0563C1"/>
          </w:rPr>
          <w:t>https://doi.org/10.1016/j.jfs.2021.100877</w:t>
        </w:r>
      </w:hyperlink>
    </w:p>
    <w:p>
      <w:pPr>
        <w:spacing w:after="0" w:line="240" w:lineRule="auto"/>
        <w:ind w:left="720" w:hanging="720"/>
      </w:pPr>
      <w:r>
        <w:t xml:space="preserve">Buhr, B., Volz, U., Donovan, C., Kling, G., Lo, Y. C., Murinde, V., &amp; Pullin, N. (2018). </w:t>
      </w:r>
      <w:r>
        <w:rPr>
          <w:i/>
        </w:rPr>
        <w:t>Climate change and the cost of capital in developing countries: Assessing the impact of climate risks on sovereign borrowing costs</w:t>
      </w:r>
      <w:r>
        <w:t xml:space="preserve">. Imperial College London; SOAS University of London; UN Environment. </w:t>
      </w:r>
      <w:hyperlink r:id="rId65">
        <w:r>
          <w:rPr>
            <w:u w:val="single"/>
            <w:color w:val="0563C1"/>
          </w:rPr>
          <w:t>https://www.soas.ac.uk/research/climate-change-and-cost-capital-developing-countries</w:t>
        </w:r>
      </w:hyperlink>
    </w:p>
    <w:p>
      <w:pPr>
        <w:spacing w:after="0" w:line="240" w:lineRule="auto"/>
        <w:ind w:left="720" w:hanging="720"/>
      </w:pPr>
      <w:r>
        <w:t xml:space="preserve">Burke, M., Hsiang, S. M., &amp; Miguel, E. (2015). Global non-linear effect of temperature on economic production. </w:t>
      </w:r>
      <w:r>
        <w:rPr>
          <w:i/>
        </w:rPr>
        <w:t>Nature, 527</w:t>
      </w:r>
      <w:r>
        <w:t xml:space="preserve">(7577), 235-239. </w:t>
      </w:r>
      <w:hyperlink r:id="rId66">
        <w:r>
          <w:rPr>
            <w:u w:val="single"/>
            <w:color w:val="0563C1"/>
          </w:rPr>
          <w:t>https://doi.org/10.1038/nature15725</w:t>
        </w:r>
      </w:hyperlink>
    </w:p>
    <w:p>
      <w:pPr>
        <w:spacing w:after="0" w:line="240" w:lineRule="auto"/>
        <w:ind w:left="720" w:hanging="720"/>
      </w:pPr>
      <w:r>
        <w:t xml:space="preserve">Cao, L. J., Chua, K. S., Chong, W. K., Lee, H. P., &amp; Gu, Q. M. (2003). A comparison of PCA, KPCA and ICA for dimensionality reduction in support vector machine. </w:t>
      </w:r>
      <w:r>
        <w:rPr>
          <w:i/>
        </w:rPr>
        <w:t>Neurocomputing, 55</w:t>
      </w:r>
      <w:r>
        <w:t xml:space="preserve">(1-2), 321-336. </w:t>
      </w:r>
      <w:hyperlink r:id="rId67">
        <w:r>
          <w:rPr>
            <w:u w:val="single"/>
            <w:color w:val="0563C1"/>
          </w:rPr>
          <w:t>https://doi.org/10.1016/S0925-2312(03)00433-8</w:t>
        </w:r>
      </w:hyperlink>
    </w:p>
    <w:p>
      <w:pPr>
        <w:spacing w:after="0" w:line="240" w:lineRule="auto"/>
        <w:ind w:left="720" w:hanging="720"/>
      </w:pPr>
      <w:r>
        <w:t xml:space="preserve">Cevik, S., &amp; Miryugin, F. (2023). Rogue waves: Climate change and firm performance. </w:t>
      </w:r>
      <w:r>
        <w:rPr>
          <w:i/>
        </w:rPr>
        <w:t>Comparative Economic Studies, 65</w:t>
      </w:r>
      <w:r>
        <w:t xml:space="preserve">(1), 29-59. </w:t>
      </w:r>
      <w:hyperlink r:id="rId68">
        <w:r>
          <w:rPr>
            <w:u w:val="single"/>
            <w:color w:val="0563C1"/>
          </w:rPr>
          <w:t>https://doi.org/10.1057/s41294-022-00189-0</w:t>
        </w:r>
      </w:hyperlink>
    </w:p>
    <w:p>
      <w:pPr>
        <w:spacing w:after="0" w:line="240" w:lineRule="auto"/>
        <w:ind w:left="720" w:hanging="720"/>
      </w:pPr>
      <w:r>
        <w:t xml:space="preserve">Chalabi-Jabado, F., &amp; Ziane, Y. (2024). Climate risks, financial performance and lending growth: Evidence from the banking industry. </w:t>
      </w:r>
      <w:r>
        <w:rPr>
          <w:i/>
        </w:rPr>
        <w:t>Technological Forecasting and Social Change, 209</w:t>
      </w:r>
      <w:r>
        <w:t xml:space="preserve">, Article 123757. </w:t>
      </w:r>
      <w:hyperlink r:id="rId46">
        <w:r>
          <w:rPr>
            <w:u w:val="single"/>
            <w:color w:val="0563C1"/>
          </w:rPr>
          <w:t>https://doi.org/10.1016/j.techfore.2024.123757</w:t>
        </w:r>
      </w:hyperlink>
    </w:p>
    <w:p>
      <w:pPr>
        <w:spacing w:after="0" w:line="240" w:lineRule="auto"/>
        <w:ind w:left="720" w:hanging="720"/>
      </w:pPr>
      <w:r>
        <w:t xml:space="preserve">Chenini, H., &amp; Jarboui, A. (2018). Analysis of the impact of governance on bank performance: Case of commercial Tunisian banks. </w:t>
      </w:r>
      <w:r>
        <w:rPr>
          <w:i/>
        </w:rPr>
        <w:t>Journal of the Knowledge Economy, 9</w:t>
      </w:r>
      <w:r>
        <w:t xml:space="preserve">, 871-895. </w:t>
      </w:r>
      <w:hyperlink r:id="rId69">
        <w:r>
          <w:rPr>
            <w:u w:val="single"/>
            <w:color w:val="0563C1"/>
          </w:rPr>
          <w:t>https://doi.org/10.1007/s13132-016-0376-6</w:t>
        </w:r>
      </w:hyperlink>
    </w:p>
    <w:p>
      <w:pPr>
        <w:spacing w:after="0" w:line="240" w:lineRule="auto"/>
        <w:ind w:left="720" w:hanging="720"/>
      </w:pPr>
      <w:r>
        <w:t xml:space="preserve">Curcio, D., Gianfrancesco, I., &amp; Vioto, D. (2023). Climate change and financial systemic risk: Evidence from US banks and insurers. </w:t>
      </w:r>
      <w:r>
        <w:rPr>
          <w:i/>
        </w:rPr>
        <w:t>Journal of Financial Stability, 66</w:t>
      </w:r>
      <w:r>
        <w:t xml:space="preserve">, Article 101132. </w:t>
      </w:r>
      <w:hyperlink r:id="rId70">
        <w:r>
          <w:rPr>
            <w:u w:val="single"/>
            <w:color w:val="0563C1"/>
          </w:rPr>
          <w:t>https://doi.org/10.1016/j.jfs.2023.101132</w:t>
        </w:r>
      </w:hyperlink>
    </w:p>
    <w:p>
      <w:pPr>
        <w:spacing w:after="0" w:line="240" w:lineRule="auto"/>
        <w:ind w:left="720" w:hanging="720"/>
      </w:pPr>
      <w:r>
        <w:t xml:space="preserve">Dafermos, Y., Nikolaidi, M., &amp; Galanis, G. (2018). Climate change, financial stability and monetary policy. </w:t>
      </w:r>
      <w:r>
        <w:rPr>
          <w:i/>
        </w:rPr>
        <w:t>Ecological Economics, 152</w:t>
      </w:r>
      <w:r>
        <w:t xml:space="preserve">, 219-234. </w:t>
      </w:r>
      <w:hyperlink r:id="rId18">
        <w:r>
          <w:rPr>
            <w:u w:val="single"/>
            <w:color w:val="0563C1"/>
          </w:rPr>
          <w:t>https://doi.org/10.1016/j.ecolecon.2018.05.011</w:t>
        </w:r>
      </w:hyperlink>
    </w:p>
    <w:p>
      <w:pPr>
        <w:spacing w:after="0" w:line="240" w:lineRule="auto"/>
        <w:ind w:left="720" w:hanging="720"/>
      </w:pPr>
      <w:r>
        <w:t xml:space="preserve">Dell, M., Jones, B. F., &amp; Olken, B. A. (2014). What do we learn from the weather? The new climate-economy literature. </w:t>
      </w:r>
      <w:r>
        <w:rPr>
          <w:i/>
        </w:rPr>
        <w:t>Journal of Economic Literature, 52</w:t>
      </w:r>
      <w:r>
        <w:t xml:space="preserve">(3), 740-798. </w:t>
      </w:r>
      <w:hyperlink r:id="rId71">
        <w:r>
          <w:rPr>
            <w:u w:val="single"/>
            <w:color w:val="0563C1"/>
          </w:rPr>
          <w:t>https://doi.org/10.1257/jel.52.3.740</w:t>
        </w:r>
      </w:hyperlink>
    </w:p>
    <w:p>
      <w:pPr>
        <w:spacing w:after="0" w:line="240" w:lineRule="auto"/>
        <w:ind w:left="720" w:hanging="720"/>
      </w:pPr>
      <w:r>
        <w:t xml:space="preserve">Dietz, S., Bowen, A., Dixon, C., &amp; Gradwell, P. (2016). “Climate value at risk” of global financial assets. </w:t>
      </w:r>
      <w:r>
        <w:rPr>
          <w:i/>
        </w:rPr>
        <w:t>Nature Climate Change, 6</w:t>
      </w:r>
      <w:r>
        <w:t xml:space="preserve">(7), 676-679. </w:t>
      </w:r>
      <w:hyperlink r:id="rId72">
        <w:r>
          <w:rPr>
            <w:u w:val="single"/>
            <w:color w:val="0563C1"/>
          </w:rPr>
          <w:t>https://doi.org/10.1038/nclimate2972</w:t>
        </w:r>
      </w:hyperlink>
    </w:p>
    <w:p>
      <w:pPr>
        <w:spacing w:after="0" w:line="240" w:lineRule="auto"/>
        <w:ind w:left="720" w:hanging="720"/>
      </w:pPr>
      <w:r>
        <w:t xml:space="preserve">Dossi, A., &amp; Patelli, L. (2010). You learn from what you measure: Financial and non-financial performance measures in multinational companies. </w:t>
      </w:r>
      <w:r>
        <w:rPr>
          <w:i/>
        </w:rPr>
        <w:t>Long Range Planning, 43</w:t>
      </w:r>
      <w:r>
        <w:t xml:space="preserve">(4), 498-526. </w:t>
      </w:r>
      <w:hyperlink r:id="rId73">
        <w:r>
          <w:rPr>
            <w:u w:val="single"/>
            <w:color w:val="0563C1"/>
          </w:rPr>
          <w:t>https://doi.org/10.1016/j.lrp.2010.01.002</w:t>
        </w:r>
      </w:hyperlink>
    </w:p>
    <w:p>
      <w:pPr>
        <w:spacing w:after="0" w:line="240" w:lineRule="auto"/>
        <w:ind w:left="720" w:hanging="720"/>
      </w:pPr>
      <w:r>
        <w:t xml:space="preserve">Dowla, A. (2018). Climate change and microfinance. </w:t>
      </w:r>
      <w:r>
        <w:rPr>
          <w:i/>
        </w:rPr>
        <w:t>Business Strategy &amp; Development, 1</w:t>
      </w:r>
      <w:r>
        <w:t xml:space="preserve">(2), 78-87. </w:t>
      </w:r>
      <w:hyperlink r:id="rId74">
        <w:r>
          <w:rPr>
            <w:u w:val="single"/>
            <w:color w:val="0563C1"/>
          </w:rPr>
          <w:t>https://doi.org/10.1002/bsd2.13</w:t>
        </w:r>
      </w:hyperlink>
    </w:p>
    <w:p>
      <w:pPr>
        <w:spacing w:after="0" w:line="240" w:lineRule="auto"/>
        <w:ind w:left="720" w:hanging="720"/>
      </w:pPr>
      <w:r>
        <w:t xml:space="preserve">Eckstein, D., Künzel, V., &amp; Schäfer, L. (2021). </w:t>
      </w:r>
      <w:r>
        <w:rPr>
          <w:i/>
        </w:rPr>
        <w:t>Global Climate Risk Index 2021: Who suffers most from extreme weather events? Weather-related loss events in 2019 and 2000 to 2019</w:t>
      </w:r>
      <w:r>
        <w:t xml:space="preserve">. Germanwatch. </w:t>
      </w:r>
      <w:hyperlink r:id="rId75">
        <w:r>
          <w:rPr>
            <w:u w:val="single"/>
            <w:color w:val="0563C1"/>
          </w:rPr>
          <w:t>https://www.germanwatch.org/en/19777</w:t>
        </w:r>
      </w:hyperlink>
    </w:p>
    <w:p>
      <w:pPr>
        <w:spacing w:after="0" w:line="240" w:lineRule="auto"/>
        <w:ind w:left="720" w:hanging="720"/>
      </w:pPr>
      <w:r>
        <w:t xml:space="preserve">Giang, N. T. H., Hanh, T. M., Hien, P. T., Trinh, N. T., Huyen, N. T. K., &amp; Trang, V. H. (2021). The impacts of climate change risks on financial performance: Evidence from listed manufacturing firms in Vietnam. In </w:t>
      </w:r>
      <w:r>
        <w:rPr>
          <w:i/>
        </w:rPr>
        <w:t>Proceedings of the International Conference on Emerging Challenges: Business Transformation and Circular Economy (ICECH 2021)</w:t>
      </w:r>
      <w:r>
        <w:t xml:space="preserve"> (pp. 581-595). Atlantis Press. </w:t>
      </w:r>
      <w:hyperlink r:id="rId76">
        <w:r>
          <w:rPr>
            <w:u w:val="single"/>
            <w:color w:val="0563C1"/>
          </w:rPr>
          <w:t>https://doi.org/10.2991/aebmr.k.211119.052</w:t>
        </w:r>
      </w:hyperlink>
    </w:p>
    <w:p>
      <w:pPr>
        <w:spacing w:after="0" w:line="240" w:lineRule="auto"/>
        <w:ind w:left="720" w:hanging="720"/>
      </w:pPr>
      <w:r>
        <w:t xml:space="preserve">Gogtay, N. J., &amp; Thatte, U. M. (2017). Principles of correlation analysis. </w:t>
      </w:r>
      <w:r>
        <w:rPr>
          <w:i/>
        </w:rPr>
        <w:t>Journal of the Association of Physicians of India, 65</w:t>
      </w:r>
      <w:r>
        <w:t xml:space="preserve">(3), 78-81. </w:t>
      </w:r>
      <w:hyperlink r:id="rId77">
        <w:r>
          <w:rPr>
            <w:u w:val="single"/>
            <w:color w:val="0563C1"/>
          </w:rPr>
          <w:t>https://europepmc.org/article/MED/28462548</w:t>
        </w:r>
      </w:hyperlink>
    </w:p>
    <w:p>
      <w:pPr>
        <w:spacing w:after="0" w:line="240" w:lineRule="auto"/>
        <w:ind w:left="720" w:hanging="720"/>
      </w:pPr>
      <w:r>
        <w:t xml:space="preserve">Herlina, Leon, F. M., &amp; Lestari, H. S. (2025). The impact of green credit, green CSR, and digital financial inclusion on profitability in ASEAN banks. </w:t>
      </w:r>
      <w:r>
        <w:rPr>
          <w:i/>
        </w:rPr>
        <w:t>Journal of Economics, Management and Trade, 31</w:t>
      </w:r>
      <w:r>
        <w:t xml:space="preserve">(8), 159-171. </w:t>
      </w:r>
      <w:hyperlink r:id="rId47">
        <w:r>
          <w:rPr>
            <w:u w:val="single"/>
            <w:color w:val="0563C1"/>
          </w:rPr>
          <w:t>https://doi.org/10.9734/jemt/2025/v31i81340</w:t>
        </w:r>
      </w:hyperlink>
    </w:p>
    <w:p>
      <w:pPr>
        <w:spacing w:after="0" w:line="240" w:lineRule="auto"/>
        <w:ind w:left="720" w:hanging="720"/>
      </w:pPr>
      <w:r>
        <w:t xml:space="preserve">High-Level Commission on Carbon Prices. (2017). </w:t>
      </w:r>
      <w:r>
        <w:rPr>
          <w:i/>
        </w:rPr>
        <w:t>Report of the High-Level Commission on Carbon Prices</w:t>
      </w:r>
      <w:r>
        <w:t xml:space="preserve">. World Bank. </w:t>
      </w:r>
      <w:hyperlink r:id="rId78">
        <w:r>
          <w:rPr>
            <w:u w:val="single"/>
            <w:color w:val="0563C1"/>
          </w:rPr>
          <w:t>https://doi.org/10.7916/d8-w2nc-4103</w:t>
        </w:r>
      </w:hyperlink>
    </w:p>
    <w:p>
      <w:pPr>
        <w:spacing w:after="0" w:line="240" w:lineRule="auto"/>
        <w:ind w:left="720" w:hanging="720"/>
      </w:pPr>
      <w:r>
        <w:t xml:space="preserve">Huang, H. H., Kerstein, J., &amp; Wang, C. (2018). The impact of climate risk on firm performance and financing choices: An international comparison. </w:t>
      </w:r>
      <w:r>
        <w:rPr>
          <w:i/>
        </w:rPr>
        <w:t>Journal of International Business Studies, 49</w:t>
      </w:r>
      <w:r>
        <w:t xml:space="preserve">, 633-656. </w:t>
      </w:r>
      <w:hyperlink r:id="rId79">
        <w:r>
          <w:rPr>
            <w:u w:val="single"/>
            <w:color w:val="0563C1"/>
          </w:rPr>
          <w:t>https://doi.org/10.1057/s41267-017-0125-5</w:t>
        </w:r>
      </w:hyperlink>
    </w:p>
    <w:p>
      <w:pPr>
        <w:spacing w:after="0" w:line="240" w:lineRule="auto"/>
        <w:ind w:left="720" w:hanging="720"/>
      </w:pPr>
      <w:r>
        <w:t xml:space="preserve">IPCC. (2014). </w:t>
      </w:r>
      <w:r>
        <w:rPr>
          <w:i/>
        </w:rPr>
        <w:t>Climate change 2014: Synthesis report. Contribution of Working Groups I, II and III to the Fifth Assessment Report of the Intergovernmental Panel on Climate Change</w:t>
      </w:r>
      <w:r>
        <w:t xml:space="preserve"> (R. K. Pachauri &amp; L. A. Meyer, Eds.). IPCC. </w:t>
      </w:r>
      <w:hyperlink r:id="rId80">
        <w:r>
          <w:rPr>
            <w:u w:val="single"/>
            <w:color w:val="0563C1"/>
          </w:rPr>
          <w:t>https://www.ipcc.ch/report/ar5/syr/</w:t>
        </w:r>
      </w:hyperlink>
    </w:p>
    <w:p>
      <w:pPr>
        <w:spacing w:after="0" w:line="240" w:lineRule="auto"/>
        <w:ind w:left="720" w:hanging="720"/>
      </w:pPr>
      <w:r>
        <w:t xml:space="preserve">Jack, C. D., Marsham, J., Rowell, D. P., &amp; Jones, R. G. (2021). Climate information: Towards transparent distillation. In D. Conway &amp; K. Vincent (Eds.), </w:t>
      </w:r>
      <w:r>
        <w:rPr>
          <w:i/>
        </w:rPr>
        <w:t>Climate risk in Africa: Adaptation and resilience</w:t>
      </w:r>
      <w:r>
        <w:t xml:space="preserve"> (pp. 17-35). Springer. </w:t>
      </w:r>
      <w:hyperlink r:id="rId81">
        <w:r>
          <w:rPr>
            <w:u w:val="single"/>
            <w:color w:val="0563C1"/>
          </w:rPr>
          <w:t>https://doi.org/10.1007/978-3-030-61160-6_2</w:t>
        </w:r>
      </w:hyperlink>
    </w:p>
    <w:p>
      <w:pPr>
        <w:spacing w:after="0" w:line="240" w:lineRule="auto"/>
        <w:ind w:left="720" w:hanging="720"/>
      </w:pPr>
      <w:r>
        <w:t xml:space="preserve">Javadi, S., &amp; Masum, A.-A. (2021). The impact of climate change on the cost of bank loans. </w:t>
      </w:r>
      <w:r>
        <w:rPr>
          <w:i/>
        </w:rPr>
        <w:t>Journal of Corporate Finance, 69</w:t>
      </w:r>
      <w:r>
        <w:t xml:space="preserve">, Article 102019. </w:t>
      </w:r>
      <w:hyperlink r:id="rId82">
        <w:r>
          <w:rPr>
            <w:u w:val="single"/>
            <w:color w:val="0563C1"/>
          </w:rPr>
          <w:t>https://doi.org/10.1016/j.jcorpfin.2021.102019</w:t>
        </w:r>
      </w:hyperlink>
    </w:p>
    <w:p>
      <w:pPr>
        <w:spacing w:after="0" w:line="240" w:lineRule="auto"/>
        <w:ind w:left="720" w:hanging="720"/>
      </w:pPr>
      <w:r>
        <w:t xml:space="preserve">Kahn, M. E., Mohaddes, K., Ng, R. N. C., Pesaran, M. H., Raissi, M., &amp; Yang, J.-C. (2021). Long-term macroeconomic effects of climate change: A cross-country analysis. </w:t>
      </w:r>
      <w:r>
        <w:rPr>
          <w:i/>
        </w:rPr>
        <w:t>Energy Economics, 104</w:t>
      </w:r>
      <w:r>
        <w:t xml:space="preserve">, Article 105624. </w:t>
      </w:r>
      <w:hyperlink r:id="rId83">
        <w:r>
          <w:rPr>
            <w:u w:val="single"/>
            <w:color w:val="0563C1"/>
          </w:rPr>
          <w:t>https://doi.org/10.1016/j.eneco.2021.105624</w:t>
        </w:r>
      </w:hyperlink>
    </w:p>
    <w:p>
      <w:pPr>
        <w:spacing w:after="0" w:line="240" w:lineRule="auto"/>
        <w:ind w:left="720" w:hanging="720"/>
      </w:pPr>
      <w:r>
        <w:t xml:space="preserve">Kaiser, H. F. (1960). The application of electronic computers to factor analysis. </w:t>
      </w:r>
      <w:r>
        <w:rPr>
          <w:i/>
        </w:rPr>
        <w:t>Educational and Psychological Measurement, 20</w:t>
      </w:r>
      <w:r>
        <w:t xml:space="preserve">(1), 141-151. </w:t>
      </w:r>
      <w:hyperlink r:id="rId84">
        <w:r>
          <w:rPr>
            <w:u w:val="single"/>
            <w:color w:val="0563C1"/>
          </w:rPr>
          <w:t>https://doi.org/10.1177/001316446002000116</w:t>
        </w:r>
      </w:hyperlink>
    </w:p>
    <w:p>
      <w:pPr>
        <w:spacing w:after="0" w:line="240" w:lineRule="auto"/>
        <w:ind w:left="720" w:hanging="720"/>
      </w:pPr>
      <w:r>
        <w:t xml:space="preserve">Kori, B. W., Muathe, S. M. A., &amp; Maina, S. M. (2020). Financial and non-financial measures in evaluating performance: The role of strategic intelligence in the context of commercial banks in Kenya. </w:t>
      </w:r>
      <w:r>
        <w:rPr>
          <w:i/>
        </w:rPr>
        <w:t>International Business Research, 13</w:t>
      </w:r>
      <w:r>
        <w:t xml:space="preserve">(10), 130-142. </w:t>
      </w:r>
      <w:hyperlink r:id="rId85">
        <w:r>
          <w:rPr>
            <w:u w:val="single"/>
            <w:color w:val="0563C1"/>
          </w:rPr>
          <w:t>https://doi.org/10.5539/ibr.v13n10p130</w:t>
        </w:r>
      </w:hyperlink>
    </w:p>
    <w:p>
      <w:pPr>
        <w:spacing w:after="0" w:line="240" w:lineRule="auto"/>
        <w:ind w:left="720" w:hanging="720"/>
      </w:pPr>
      <w:r>
        <w:t xml:space="preserve">Lavell, A., Oppenheimer, M., Diop, C., Hess, J., Lempert, R., Li, J., Muir-Wood, R., &amp; Myeong, S. (2012). Climate change: New dimensions in disaster risk, exposure, vulnerability, and resilience. In C. B. Field, V. Barros, T. F. Stocker, D. Qin, D. J. Dokken, K. L. Ebi, M. D. Mastrandrea, K. J. Mach, G. K. Plattner, S. K. Allen, M. Tignor, &amp; P. M. Midgley (Eds.), </w:t>
      </w:r>
      <w:r>
        <w:rPr>
          <w:i/>
        </w:rPr>
        <w:t>Managing the risks of extreme events and disasters to advance climate change adaptation: Special report of the Intergovernmental Panel on Climate Change</w:t>
      </w:r>
      <w:r>
        <w:t xml:space="preserve"> (pp. 25-64). Cambridge University Press. </w:t>
      </w:r>
      <w:hyperlink r:id="rId86">
        <w:r>
          <w:rPr>
            <w:u w:val="single"/>
            <w:color w:val="0563C1"/>
          </w:rPr>
          <w:t>https://doi.org/10.1017/CBO9781139177245.004</w:t>
        </w:r>
      </w:hyperlink>
    </w:p>
    <w:p>
      <w:pPr>
        <w:spacing w:after="0" w:line="240" w:lineRule="auto"/>
        <w:ind w:left="720" w:hanging="720"/>
      </w:pPr>
      <w:r>
        <w:t xml:space="preserve">Le, A.-T., Tran, T. P., &amp; Mishra, A. V. (2023). Climate risk and bank stability: International evidence. </w:t>
      </w:r>
      <w:r>
        <w:rPr>
          <w:i/>
        </w:rPr>
        <w:t>Journal of Multinational Financial Management, 70-71</w:t>
      </w:r>
      <w:r>
        <w:t xml:space="preserve">, Article 100824. </w:t>
      </w:r>
      <w:hyperlink r:id="rId48">
        <w:r>
          <w:rPr>
            <w:u w:val="single"/>
            <w:color w:val="0563C1"/>
          </w:rPr>
          <w:t>https://doi.org/10.1016/j.mulfin.2023.100824</w:t>
        </w:r>
      </w:hyperlink>
    </w:p>
    <w:p>
      <w:pPr>
        <w:spacing w:after="0" w:line="240" w:lineRule="auto"/>
        <w:ind w:left="720" w:hanging="720"/>
      </w:pPr>
      <w:r>
        <w:t xml:space="preserve">Lee, C. C., Wang, C. W., Thinh, B. T., &amp; Xu, Z. T. (2022). Climate risk and bank liquidity creation: International evidence. </w:t>
      </w:r>
      <w:r>
        <w:rPr>
          <w:i/>
        </w:rPr>
        <w:t>International Review of Financial Analysis, 82</w:t>
      </w:r>
      <w:r>
        <w:t xml:space="preserve">, Article 102198. </w:t>
      </w:r>
      <w:hyperlink r:id="rId87">
        <w:r>
          <w:rPr>
            <w:u w:val="single"/>
            <w:color w:val="0563C1"/>
          </w:rPr>
          <w:t>https://doi.org/10.1016/j.irfa.2022.102198</w:t>
        </w:r>
      </w:hyperlink>
    </w:p>
    <w:p>
      <w:pPr>
        <w:spacing w:after="0" w:line="240" w:lineRule="auto"/>
        <w:ind w:left="720" w:hanging="720"/>
      </w:pPr>
      <w:r>
        <w:t xml:space="preserve">Lee, S., &amp; Alam, M. Z. (2024). The impact of climate risk on bank profitability through liquidity creation channel: Empirical evidence from G7 countries. </w:t>
      </w:r>
      <w:r>
        <w:rPr>
          <w:i/>
        </w:rPr>
        <w:t>Journal of Asset Management, 25</w:t>
      </w:r>
      <w:r>
        <w:t xml:space="preserve">, 726-739. </w:t>
      </w:r>
      <w:hyperlink r:id="rId49">
        <w:r>
          <w:rPr>
            <w:u w:val="single"/>
            <w:color w:val="0563C1"/>
          </w:rPr>
          <w:t>https://doi.org/10.1057/s41260-024-00384-x</w:t>
        </w:r>
      </w:hyperlink>
    </w:p>
    <w:p>
      <w:pPr>
        <w:spacing w:after="0" w:line="240" w:lineRule="auto"/>
        <w:ind w:left="720" w:hanging="720"/>
      </w:pPr>
      <w:r>
        <w:t xml:space="preserve">Levin, A., Lin, C.-F., &amp; Chu, C.-S. J. (2002). Unit root tests in panel data: Asymptotic and finite-sample properties. </w:t>
      </w:r>
      <w:r>
        <w:rPr>
          <w:i/>
        </w:rPr>
        <w:t>Journal of Econometrics, 108</w:t>
      </w:r>
      <w:r>
        <w:t xml:space="preserve">(1), 1-24. </w:t>
      </w:r>
      <w:hyperlink r:id="rId88">
        <w:r>
          <w:rPr>
            <w:u w:val="single"/>
            <w:color w:val="0563C1"/>
          </w:rPr>
          <w:t>https://doi.org/10.1016/S0304-4076(01)00098-7</w:t>
        </w:r>
      </w:hyperlink>
    </w:p>
    <w:p>
      <w:pPr>
        <w:spacing w:after="0" w:line="240" w:lineRule="auto"/>
        <w:ind w:left="720" w:hanging="720"/>
      </w:pPr>
      <w:r>
        <w:t xml:space="preserve">Liu, Z., He, S., Men, W., &amp; Sun, H. (2024). Impact of climate risk on financial stability: Cross-country evidence. </w:t>
      </w:r>
      <w:r>
        <w:rPr>
          <w:i/>
        </w:rPr>
        <w:t>International Review of Financial Analysis, 92</w:t>
      </w:r>
      <w:r>
        <w:t xml:space="preserve">, Article 103096. </w:t>
      </w:r>
      <w:hyperlink r:id="rId89">
        <w:r>
          <w:rPr>
            <w:u w:val="single"/>
            <w:color w:val="0563C1"/>
          </w:rPr>
          <w:t>https://doi.org/10.1016/j.irfa.2024.103096</w:t>
        </w:r>
      </w:hyperlink>
    </w:p>
    <w:p>
      <w:pPr>
        <w:spacing w:after="0" w:line="240" w:lineRule="auto"/>
        <w:ind w:left="720" w:hanging="720"/>
      </w:pPr>
      <w:r>
        <w:t xml:space="preserve">Luan, L., Wang, J., Guo, K., &amp; Ji, Q. (2022). Climate risk and enterprise performance: Micro-evidence from Chinese A-share listed companies. </w:t>
      </w:r>
      <w:r>
        <w:rPr>
          <w:i/>
        </w:rPr>
        <w:t>Procedia Computer Science, 214</w:t>
      </w:r>
      <w:r>
        <w:t xml:space="preserve">, 983-990. </w:t>
      </w:r>
      <w:hyperlink r:id="rId90">
        <w:r>
          <w:rPr>
            <w:u w:val="single"/>
            <w:color w:val="0563C1"/>
          </w:rPr>
          <w:t>https://doi.org/10.1016/j.procs.2022.11.268</w:t>
        </w:r>
      </w:hyperlink>
    </w:p>
    <w:p>
      <w:pPr>
        <w:spacing w:after="0" w:line="240" w:lineRule="auto"/>
        <w:ind w:left="720" w:hanging="720"/>
      </w:pPr>
      <w:r>
        <w:t xml:space="preserve">Marie, A. A., Ibrahim, M. E., &amp; Al Nasser, A. D. (2014). Effects of financial and non-financial performance measures on customers' perceptions of service quality at Islamic banks in UAE. </w:t>
      </w:r>
      <w:r>
        <w:rPr>
          <w:i/>
        </w:rPr>
        <w:t>International Journal of Economics and Finance, 6</w:t>
      </w:r>
      <w:r>
        <w:t xml:space="preserve">(10), 201-213. </w:t>
      </w:r>
      <w:hyperlink r:id="rId91">
        <w:r>
          <w:rPr>
            <w:u w:val="single"/>
            <w:color w:val="0563C1"/>
          </w:rPr>
          <w:t>https://doi.org/10.5539/ijef.v6n10p201</w:t>
        </w:r>
      </w:hyperlink>
    </w:p>
    <w:p>
      <w:pPr>
        <w:spacing w:after="0" w:line="240" w:lineRule="auto"/>
        <w:ind w:left="720" w:hanging="720"/>
      </w:pPr>
      <w:r>
        <w:t xml:space="preserve">Mazmanian, D. A., Jurewitz, J. L., &amp; Nelson, H. T. (2020). State leadership in U.S. climate change and energy policy: The California experience. </w:t>
      </w:r>
      <w:r>
        <w:rPr>
          <w:i/>
        </w:rPr>
        <w:t>The Journal of Environment &amp; Development, 29</w:t>
      </w:r>
      <w:r>
        <w:t xml:space="preserve">(1), 51-74. </w:t>
      </w:r>
      <w:hyperlink r:id="rId92">
        <w:r>
          <w:rPr>
            <w:u w:val="single"/>
            <w:color w:val="0563C1"/>
          </w:rPr>
          <w:t>https://doi.org/10.1177/1070496519887484</w:t>
        </w:r>
      </w:hyperlink>
    </w:p>
    <w:p>
      <w:pPr>
        <w:spacing w:after="0" w:line="240" w:lineRule="auto"/>
        <w:ind w:left="720" w:hanging="720"/>
      </w:pPr>
      <w:r>
        <w:t xml:space="preserve">Michalisin, M. D., &amp; Stinchfield, B. T. (2010). Climate change strategies and firm performance: An empirical investigation of the natural resource-based view of the firm. </w:t>
      </w:r>
      <w:r>
        <w:rPr>
          <w:i/>
        </w:rPr>
        <w:t>Journal of Business Strategies, 27</w:t>
      </w:r>
      <w:r>
        <w:t xml:space="preserve">(2), 123-149. </w:t>
      </w:r>
      <w:hyperlink r:id="rId93">
        <w:r>
          <w:rPr>
            <w:u w:val="single"/>
            <w:color w:val="0563C1"/>
          </w:rPr>
          <w:t>https://www.econbiz.de/Record/climate-change-strategies-and-firm-performance-an-emirical-investigation-of-the-natural-resource-based-view-of-the-firm-michalisin-michael/10008857703</w:t>
        </w:r>
      </w:hyperlink>
    </w:p>
    <w:p>
      <w:pPr>
        <w:spacing w:after="0" w:line="240" w:lineRule="auto"/>
        <w:ind w:left="720" w:hanging="720"/>
      </w:pPr>
      <w:r>
        <w:t xml:space="preserve">Mishra, S. P., Sarkar, U., Taraphder, S., Datta, S., Swain, D. P., Saikhom, R., Panda, S., &amp; Laishram, M. (2017). Multivariate statistical data analysis: Principal component analysis (PCA). </w:t>
      </w:r>
      <w:r>
        <w:rPr>
          <w:i/>
        </w:rPr>
        <w:t>International Journal of Livestock Research, 7</w:t>
      </w:r>
      <w:r>
        <w:t xml:space="preserve">(5), 60-78. </w:t>
      </w:r>
      <w:hyperlink r:id="rId94">
        <w:r>
          <w:rPr>
            <w:u w:val="single"/>
            <w:color w:val="0563C1"/>
          </w:rPr>
          <w:t>https://doi.org/10.5455/ijlr.20170415115235</w:t>
        </w:r>
      </w:hyperlink>
    </w:p>
    <w:p>
      <w:pPr>
        <w:spacing w:after="0" w:line="240" w:lineRule="auto"/>
        <w:ind w:left="720" w:hanging="720"/>
      </w:pPr>
      <w:r>
        <w:t xml:space="preserve">Moyo, M., &amp; Wingard, H. C. (2015). An assessment of the impact of climate change on the financial performance of South African companies. </w:t>
      </w:r>
      <w:r>
        <w:rPr>
          <w:i/>
        </w:rPr>
        <w:t>Journal of Governance and Regulation, 4</w:t>
      </w:r>
      <w:r>
        <w:t xml:space="preserve">(2), 49-62. </w:t>
      </w:r>
      <w:hyperlink r:id="rId95">
        <w:r>
          <w:rPr>
            <w:u w:val="single"/>
            <w:color w:val="0563C1"/>
          </w:rPr>
          <w:t>https://doi.org/10.22495/jgr_v4_i2_p5</w:t>
        </w:r>
      </w:hyperlink>
    </w:p>
    <w:p>
      <w:pPr>
        <w:spacing w:after="0" w:line="240" w:lineRule="auto"/>
        <w:ind w:left="720" w:hanging="720"/>
      </w:pPr>
      <w:r>
        <w:t xml:space="preserve">NASA. (n.d.). </w:t>
      </w:r>
      <w:r>
        <w:rPr>
          <w:i/>
        </w:rPr>
        <w:t>Climate change</w:t>
      </w:r>
      <w:r>
        <w:t xml:space="preserve">. NASA Science. </w:t>
      </w:r>
      <w:hyperlink r:id="rId96">
        <w:r>
          <w:rPr>
            <w:u w:val="single"/>
            <w:color w:val="0563C1"/>
          </w:rPr>
          <w:t>https://science.nasa.gov/climate-change/</w:t>
        </w:r>
      </w:hyperlink>
    </w:p>
    <w:p>
      <w:pPr>
        <w:spacing w:after="0" w:line="240" w:lineRule="auto"/>
        <w:ind w:left="720" w:hanging="720"/>
      </w:pPr>
      <w:r>
        <w:t xml:space="preserve">Nuhiu, A., Hoti, A., &amp; Bektashi, M. (2017). Determinants of commercial banks profitability through analysis of financial performance indicators: Evidence from Kosovo. </w:t>
      </w:r>
      <w:r>
        <w:rPr>
          <w:i/>
        </w:rPr>
        <w:t>Business: Theory and Practice, 18</w:t>
      </w:r>
      <w:r>
        <w:t xml:space="preserve">, 160-170. </w:t>
      </w:r>
      <w:hyperlink r:id="rId97">
        <w:r>
          <w:rPr>
            <w:u w:val="single"/>
            <w:color w:val="0563C1"/>
          </w:rPr>
          <w:t>https://doi.org/10.3846/BTP.2017.017</w:t>
        </w:r>
      </w:hyperlink>
    </w:p>
    <w:p>
      <w:pPr>
        <w:spacing w:after="0" w:line="240" w:lineRule="auto"/>
        <w:ind w:left="720" w:hanging="720"/>
      </w:pPr>
      <w:r>
        <w:t xml:space="preserve">Ozkan, A., Temiz, H., &amp; Yildiz, Y. (2023). Climate risk, corporate social responsibility, and firm performance. </w:t>
      </w:r>
      <w:r>
        <w:rPr>
          <w:i/>
        </w:rPr>
        <w:t>British Journal of Management, 34</w:t>
      </w:r>
      <w:r>
        <w:t xml:space="preserve">(4), 1791-1810. </w:t>
      </w:r>
      <w:hyperlink r:id="rId37">
        <w:r>
          <w:rPr>
            <w:u w:val="single"/>
            <w:color w:val="0563C1"/>
          </w:rPr>
          <w:t>https://doi.org/10.1111/1467-8551.12665</w:t>
        </w:r>
      </w:hyperlink>
    </w:p>
    <w:p>
      <w:pPr>
        <w:spacing w:after="0" w:line="240" w:lineRule="auto"/>
        <w:ind w:left="720" w:hanging="720"/>
      </w:pPr>
      <w:r>
        <w:t xml:space="preserve">Pan, X., &amp; Qiu, B. (2022). The impact of flooding on firm performance and economic growth. </w:t>
      </w:r>
      <w:r>
        <w:rPr>
          <w:i/>
        </w:rPr>
        <w:t>PLOS ONE, 17</w:t>
      </w:r>
      <w:r>
        <w:t xml:space="preserve">(7), Article e0271309. </w:t>
      </w:r>
      <w:hyperlink r:id="rId38">
        <w:r>
          <w:rPr>
            <w:u w:val="single"/>
            <w:color w:val="0563C1"/>
          </w:rPr>
          <w:t>https://doi.org/10.1371/journal.pone.0271309</w:t>
        </w:r>
      </w:hyperlink>
    </w:p>
    <w:p>
      <w:pPr>
        <w:spacing w:after="0" w:line="240" w:lineRule="auto"/>
        <w:ind w:left="720" w:hanging="720"/>
      </w:pPr>
      <w:r>
        <w:t xml:space="preserve">Pinchot, A., Zhou, L., Christianson, G., McClamrock, J., &amp; Sato, I. (2021). </w:t>
      </w:r>
      <w:r>
        <w:rPr>
          <w:i/>
        </w:rPr>
        <w:t>Assessing physical risks from climate change: Do companies and financial organizations have sufficient guidance?</w:t>
      </w:r>
      <w:r>
        <w:t xml:space="preserve"> World Resources Institute. </w:t>
      </w:r>
      <w:hyperlink r:id="rId98">
        <w:r>
          <w:rPr>
            <w:u w:val="single"/>
            <w:color w:val="0563C1"/>
          </w:rPr>
          <w:t>https://doi.org/10.46830/wriwp.19.00125</w:t>
        </w:r>
      </w:hyperlink>
    </w:p>
    <w:p>
      <w:pPr>
        <w:spacing w:after="0" w:line="240" w:lineRule="auto"/>
        <w:ind w:left="720" w:hanging="720"/>
      </w:pPr>
      <w:r>
        <w:t xml:space="preserve">Puspitasari, E., Sudiyatno, B., Hartoto, W. E., &amp; Widati, L. W. (2021). Net interest margin and return on assets: A case study in Indonesia. </w:t>
      </w:r>
      <w:r>
        <w:rPr>
          <w:i/>
        </w:rPr>
        <w:t>The Journal of Asian Finance, Economics and Business, 8</w:t>
      </w:r>
      <w:r>
        <w:t xml:space="preserve">(4), 727-734. </w:t>
      </w:r>
      <w:hyperlink r:id="rId99">
        <w:r>
          <w:rPr>
            <w:u w:val="single"/>
            <w:color w:val="0563C1"/>
          </w:rPr>
          <w:t>https://doi.org/10.13106/jafeb.2021.vol8.no4.0727</w:t>
        </w:r>
      </w:hyperlink>
    </w:p>
    <w:p>
      <w:pPr>
        <w:spacing w:after="0" w:line="240" w:lineRule="auto"/>
        <w:ind w:left="720" w:hanging="720"/>
      </w:pPr>
      <w:r>
        <w:t xml:space="preserve">Ren, X., Li, Y., Shahbaz, M., Dong, K., &amp; Lu, Z. (2022). Climate risk and corporate environmental performance: Empirical evidence from China. </w:t>
      </w:r>
      <w:r>
        <w:rPr>
          <w:i/>
        </w:rPr>
        <w:t>Sustainable Production and Consumption, 30</w:t>
      </w:r>
      <w:r>
        <w:t xml:space="preserve">, 467-477. </w:t>
      </w:r>
      <w:hyperlink r:id="rId100">
        <w:r>
          <w:rPr>
            <w:u w:val="single"/>
            <w:color w:val="0563C1"/>
          </w:rPr>
          <w:t>https://doi.org/10.1016/j.spc.2021.12.023</w:t>
        </w:r>
      </w:hyperlink>
    </w:p>
    <w:p>
      <w:pPr>
        <w:spacing w:after="0" w:line="240" w:lineRule="auto"/>
        <w:ind w:left="720" w:hanging="720"/>
      </w:pPr>
      <w:r>
        <w:t xml:space="preserve">Roncoroni, A., Battiston, S., Escobar-Farfán, L. O. L., &amp; Martínez-Jaramillo, S. (2021). Climate risk and financial stability in the network of banks and investment funds. </w:t>
      </w:r>
      <w:r>
        <w:rPr>
          <w:i/>
        </w:rPr>
        <w:t>Journal of Financial Stability, 54</w:t>
      </w:r>
      <w:r>
        <w:t xml:space="preserve">, Article 100870. </w:t>
      </w:r>
      <w:hyperlink r:id="rId101">
        <w:r>
          <w:rPr>
            <w:u w:val="single"/>
            <w:color w:val="0563C1"/>
          </w:rPr>
          <w:t>https://doi.org/10.1016/j.jfs.2021.100870</w:t>
        </w:r>
      </w:hyperlink>
    </w:p>
    <w:p>
      <w:pPr>
        <w:spacing w:after="0" w:line="240" w:lineRule="auto"/>
        <w:ind w:left="720" w:hanging="720"/>
      </w:pPr>
      <w:r>
        <w:t xml:space="preserve">Salisu, A. A., &amp; Oloko, T. F. (2023). Climate risk measures: A review. </w:t>
      </w:r>
      <w:r>
        <w:rPr>
          <w:i/>
        </w:rPr>
        <w:t>Asian Economics Letters, 4</w:t>
      </w:r>
      <w:r>
        <w:t xml:space="preserve">(1), 1-4. </w:t>
      </w:r>
      <w:hyperlink r:id="rId102">
        <w:r>
          <w:rPr>
            <w:u w:val="single"/>
            <w:color w:val="0563C1"/>
          </w:rPr>
          <w:t>https://doi.org/10.46557/001c.39728</w:t>
        </w:r>
      </w:hyperlink>
    </w:p>
    <w:p>
      <w:pPr>
        <w:spacing w:after="0" w:line="240" w:lineRule="auto"/>
        <w:ind w:left="720" w:hanging="720"/>
      </w:pPr>
      <w:r>
        <w:t xml:space="preserve">Scott, M., van Huizen, J., &amp; Jung, C. (2017). The Bank's response to climate change. </w:t>
      </w:r>
      <w:r>
        <w:rPr>
          <w:i/>
        </w:rPr>
        <w:t>Bank of England Quarterly Bulletin, 57</w:t>
      </w:r>
      <w:r>
        <w:t xml:space="preserve">(2), 98-109. </w:t>
      </w:r>
      <w:hyperlink r:id="rId103">
        <w:r>
          <w:rPr>
            <w:u w:val="single"/>
            <w:color w:val="0563C1"/>
          </w:rPr>
          <w:t>https://www.bankofengland.co.uk/quarterly-bulletin/2017/q2/the-banks-response-to-climate-change</w:t>
        </w:r>
      </w:hyperlink>
    </w:p>
    <w:p>
      <w:pPr>
        <w:spacing w:after="0" w:line="240" w:lineRule="auto"/>
        <w:ind w:left="720" w:hanging="720"/>
      </w:pPr>
      <w:r>
        <w:t xml:space="preserve">Sheng, X., Gupta, R., &amp; Cepni, O. (2022). Persistence of state-level uncertainty of the United States: The role of climate risks. </w:t>
      </w:r>
      <w:r>
        <w:rPr>
          <w:i/>
        </w:rPr>
        <w:t>Economics Letters, 215</w:t>
      </w:r>
      <w:r>
        <w:t xml:space="preserve">, Article 110500. </w:t>
      </w:r>
      <w:hyperlink r:id="rId40">
        <w:r>
          <w:rPr>
            <w:u w:val="single"/>
            <w:color w:val="0563C1"/>
          </w:rPr>
          <w:t>https://doi.org/10.1016/j.econlet.2022.110500</w:t>
        </w:r>
      </w:hyperlink>
    </w:p>
    <w:p>
      <w:pPr>
        <w:spacing w:after="0" w:line="240" w:lineRule="auto"/>
        <w:ind w:left="720" w:hanging="720"/>
      </w:pPr>
      <w:r>
        <w:t xml:space="preserve">Stigler, S. M. (2005). Correlation and causation: A comment. </w:t>
      </w:r>
      <w:r>
        <w:rPr>
          <w:i/>
        </w:rPr>
        <w:t>Perspectives in Biology and Medicine, 48</w:t>
      </w:r>
      <w:r>
        <w:t xml:space="preserve">(1 Suppl.), S88-S94. </w:t>
      </w:r>
      <w:hyperlink r:id="rId41">
        <w:r>
          <w:rPr>
            <w:u w:val="single"/>
            <w:color w:val="0563C1"/>
          </w:rPr>
          <w:t>https://doi.org/10.1353/pbm.2005.0031</w:t>
        </w:r>
      </w:hyperlink>
    </w:p>
    <w:p>
      <w:pPr>
        <w:spacing w:after="0" w:line="240" w:lineRule="auto"/>
        <w:ind w:left="720" w:hanging="720"/>
      </w:pPr>
      <w:r>
        <w:t xml:space="preserve">Stiglitz, J. E. (2019). Addressing climate change through price and non-price interventions. </w:t>
      </w:r>
      <w:r>
        <w:rPr>
          <w:i/>
        </w:rPr>
        <w:t>European Economic Review, 119</w:t>
      </w:r>
      <w:r>
        <w:t xml:space="preserve">, 594-612. </w:t>
      </w:r>
      <w:hyperlink r:id="rId104">
        <w:r>
          <w:rPr>
            <w:u w:val="single"/>
            <w:color w:val="0563C1"/>
          </w:rPr>
          <w:t>https://doi.org/10.1016/j.euroecorev.2019.05.007</w:t>
        </w:r>
      </w:hyperlink>
    </w:p>
    <w:p>
      <w:pPr>
        <w:spacing w:after="0" w:line="240" w:lineRule="auto"/>
        <w:ind w:left="720" w:hanging="720"/>
      </w:pPr>
      <w:r>
        <w:t xml:space="preserve">Sun, Y., Yang, Y., Huang, N., &amp; Zou, X. (2020). The impacts of climate change risks on financial performance of mining industry: Evidence from listed companies in China. </w:t>
      </w:r>
      <w:r>
        <w:rPr>
          <w:i/>
        </w:rPr>
        <w:t>Resources Policy, 69</w:t>
      </w:r>
      <w:r>
        <w:t xml:space="preserve">, Article 101828. </w:t>
      </w:r>
      <w:hyperlink r:id="rId43">
        <w:r>
          <w:rPr>
            <w:u w:val="single"/>
            <w:color w:val="0563C1"/>
          </w:rPr>
          <w:t>https://doi.org/10.1016/j.resourpol.2020.101828</w:t>
        </w:r>
      </w:hyperlink>
    </w:p>
    <w:p>
      <w:pPr>
        <w:spacing w:after="0" w:line="240" w:lineRule="auto"/>
        <w:ind w:left="720" w:hanging="720"/>
      </w:pPr>
      <w:r>
        <w:t xml:space="preserve">Transparency International. (2025). </w:t>
      </w:r>
      <w:r>
        <w:rPr>
          <w:i/>
        </w:rPr>
        <w:t>Corruption Perceptions Index 2024</w:t>
      </w:r>
      <w:r>
        <w:t xml:space="preserve">. </w:t>
      </w:r>
      <w:hyperlink r:id="rId105">
        <w:r>
          <w:rPr>
            <w:u w:val="single"/>
            <w:color w:val="0563C1"/>
          </w:rPr>
          <w:t>https://www.transparency.org/en/cpi/2024</w:t>
        </w:r>
      </w:hyperlink>
    </w:p>
    <w:p>
      <w:pPr>
        <w:spacing w:after="0" w:line="240" w:lineRule="auto"/>
        <w:ind w:left="720" w:hanging="720"/>
      </w:pPr>
      <w:r>
        <w:t xml:space="preserve">United Nations System Staff College. (2020, August 3). </w:t>
      </w:r>
      <w:r>
        <w:rPr>
          <w:i/>
        </w:rPr>
        <w:t>Strong institutions are essential for effective climate action</w:t>
      </w:r>
      <w:r>
        <w:t xml:space="preserve">. </w:t>
      </w:r>
      <w:hyperlink r:id="rId106">
        <w:r>
          <w:rPr>
            <w:u w:val="single"/>
            <w:color w:val="0563C1"/>
          </w:rPr>
          <w:t>https://www.unssc.org/news-and-insights/news/strong-institutions-are-essential-effective-climate-action</w:t>
        </w:r>
      </w:hyperlink>
    </w:p>
    <w:p>
      <w:pPr>
        <w:spacing w:after="0" w:line="240" w:lineRule="auto"/>
        <w:ind w:left="720" w:hanging="720"/>
      </w:pPr>
      <w:r>
        <w:t xml:space="preserve">Wiklund, S. (2023). Evaluating physical climate risk for equity funds with quantitative modelling: How exposed are sustainable funds? </w:t>
      </w:r>
      <w:r>
        <w:rPr>
          <w:i/>
        </w:rPr>
        <w:t>Journal of Sustainable Finance &amp; Investment, 13</w:t>
      </w:r>
      <w:r>
        <w:t xml:space="preserve">(2), 893-918. </w:t>
      </w:r>
      <w:hyperlink r:id="rId107">
        <w:r>
          <w:rPr>
            <w:u w:val="single"/>
            <w:color w:val="0563C1"/>
          </w:rPr>
          <w:t>https://doi.org/10.1080/20430795.2021.1894901</w:t>
        </w:r>
      </w:hyperlink>
    </w:p>
    <w:p>
      <w:pPr>
        <w:spacing w:after="0" w:line="240" w:lineRule="auto"/>
        <w:ind w:left="720" w:hanging="720"/>
      </w:pPr>
      <w:r>
        <w:t xml:space="preserve">World Bank Group. (2022). </w:t>
      </w:r>
      <w:r>
        <w:rPr>
          <w:i/>
        </w:rPr>
        <w:t>Ghana country climate and development report</w:t>
      </w:r>
      <w:r>
        <w:t xml:space="preserve">. World Bank. </w:t>
      </w:r>
      <w:hyperlink r:id="rId108">
        <w:r>
          <w:rPr>
            <w:u w:val="single"/>
            <w:color w:val="0563C1"/>
          </w:rPr>
          <w:t>https://openknowledge.worldbank.org/entities/publication/c735de13-aa4a-57f2-94be-d888816b83ba</w:t>
        </w:r>
      </w:hyperlink>
    </w:p>
    <w:p>
      <w:pPr>
        <w:spacing w:after="0" w:line="240" w:lineRule="auto"/>
        <w:ind w:left="720" w:hanging="720"/>
      </w:pPr>
      <w:r>
        <w:t xml:space="preserve">Wu, B., Wen, F., Zhang, Y., &amp; Huang, Z. (2024). Climate risk and the systemic risk of banks: A global perspective. </w:t>
      </w:r>
      <w:r>
        <w:rPr>
          <w:i/>
        </w:rPr>
        <w:t>Journal of International Financial Markets, Institutions and Money, 95</w:t>
      </w:r>
      <w:r>
        <w:t xml:space="preserve">, Article 102030. </w:t>
      </w:r>
      <w:hyperlink r:id="rId50">
        <w:r>
          <w:rPr>
            <w:u w:val="single"/>
            <w:color w:val="0563C1"/>
          </w:rPr>
          <w:t>https://doi.org/10.1016/j.intfin.2024.102030</w:t>
        </w:r>
      </w:hyperlink>
    </w:p>
    <w:p>
      <w:pPr>
        <w:spacing w:after="0" w:line="240" w:lineRule="auto"/>
        <w:ind w:left="720" w:hanging="720"/>
      </w:pPr>
      <w:r>
        <w:t xml:space="preserve">Wu, W., Massart, D. L., &amp; de Jong, S. (1997). The kernel PCA algorithms for wide data. Part I: Theory and algorithms. </w:t>
      </w:r>
      <w:r>
        <w:rPr>
          <w:i/>
        </w:rPr>
        <w:t>Chemometrics and Intelligent Laboratory Systems, 36</w:t>
      </w:r>
      <w:r>
        <w:t xml:space="preserve">(2), 165-172. </w:t>
      </w:r>
      <w:hyperlink r:id="rId109">
        <w:r>
          <w:rPr>
            <w:u w:val="single"/>
            <w:color w:val="0563C1"/>
          </w:rPr>
          <w:t>https://doi.org/10.1016/S0169-7439(97)00010-5</w:t>
        </w:r>
      </w:hyperlink>
    </w:p>
    <w:p>
      <w:pPr>
        <w:spacing w:after="0" w:line="240" w:lineRule="auto"/>
        <w:ind w:left="720" w:hanging="720"/>
      </w:pPr>
      <w:r>
        <w:t xml:space="preserve">Zhang, X., Fu, Q., Lu, L., Wang, Q., &amp; Zhang, S. (2021). Bank liquidity creation, network contagion and systemic risk: Evidence from Chinese listed banks. </w:t>
      </w:r>
      <w:r>
        <w:rPr>
          <w:i/>
        </w:rPr>
        <w:t>Journal of Financial Stability, 53</w:t>
      </w:r>
      <w:r>
        <w:t xml:space="preserve">, Article 100844. </w:t>
      </w:r>
      <w:hyperlink r:id="rId110">
        <w:r>
          <w:rPr>
            <w:u w:val="single"/>
            <w:color w:val="0563C1"/>
          </w:rPr>
          <w:t>https://doi.org/10.1016/j.jfs.2021.100844</w:t>
        </w:r>
      </w:hyperlink>
    </w:p>
    <w:p>
      <w:pPr>
        <w:spacing w:after="0" w:line="240" w:lineRule="auto"/>
        <w:ind w:left="720" w:hanging="720"/>
      </w:pPr>
      <w:r>
        <w:t xml:space="preserve">Zhang, X., Zhang, S., &amp; Lu, L. (2022). The banking instability and climate change: Evidence from China. </w:t>
      </w:r>
      <w:r>
        <w:rPr>
          <w:i/>
        </w:rPr>
        <w:t>Energy Economics, 106</w:t>
      </w:r>
      <w:r>
        <w:t xml:space="preserve">, Article 105787. </w:t>
      </w:r>
      <w:hyperlink r:id="rId111">
        <w:r>
          <w:rPr>
            <w:u w:val="single"/>
            <w:color w:val="0563C1"/>
          </w:rPr>
          <w:t>https://doi.org/10.1016/j.eneco.2021.105787</w:t>
        </w:r>
      </w:hyperlink>
    </w:p>
    <w:sectPr w:rsidR="003F0226" w:rsidRPr="003F0226">
      <w:headerReference w:type="even" r:id="rId51"/>
      <w:headerReference w:type="default" r:id="rId52"/>
      <w:footerReference w:type="even" r:id="rId53"/>
      <w:footerReference w:type="default" r:id="rId54"/>
      <w:headerReference w:type="first" r:id="rId55"/>
      <w:footerReference w:type="first" r:id="rId56"/>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88D2E" w14:textId="77777777" w:rsidR="009F102B" w:rsidRDefault="009F102B">
      <w:r>
        <w:separator/>
      </w:r>
    </w:p>
  </w:endnote>
  <w:endnote w:type="continuationSeparator" w:id="0">
    <w:p w14:paraId="42C96FB5" w14:textId="77777777" w:rsidR="009F102B" w:rsidRDefault="009F1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Regular">
    <w:altName w:val="Times New Roman"/>
    <w:charset w:val="00"/>
    <w:family w:val="auto"/>
    <w:pitch w:val="default"/>
    <w:sig w:usb0="E0002AEF" w:usb1="C0007841" w:usb2="00000009" w:usb3="00000000" w:csb0="400001FF" w:csb1="FFFF0000"/>
  </w:font>
  <w:font w:name="DejaVu Math TeX Gyre">
    <w:altName w:val="Calibri"/>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7F2A2" w14:textId="77777777" w:rsidR="004470EC" w:rsidRDefault="00447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B86E8" w14:textId="77777777" w:rsidR="004470EC" w:rsidRDefault="00447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FB439" w14:textId="77777777" w:rsidR="004470EC" w:rsidRDefault="00447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C7C28" w14:textId="77777777" w:rsidR="009F102B" w:rsidRDefault="009F102B">
      <w:r>
        <w:separator/>
      </w:r>
    </w:p>
  </w:footnote>
  <w:footnote w:type="continuationSeparator" w:id="0">
    <w:p w14:paraId="433CF6FD" w14:textId="77777777" w:rsidR="009F102B" w:rsidRDefault="009F1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90CB9" w14:textId="77777777" w:rsidR="004470EC" w:rsidRDefault="00000000">
    <w:pPr>
      <w:pStyle w:val="Header"/>
    </w:pPr>
    <w:r>
      <w:pict w14:anchorId="4F72DF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887813" o:spid="_x0000_s1026" type="#_x0000_t136" style="position:absolute;margin-left:0;margin-top:0;width:493.05pt;height:92.45pt;rotation:315;z-index:-251655168;mso-position-horizontal:center;mso-position-horizontal-relative:margin;mso-position-vertical:center;mso-position-vertical-relative:margin;mso-width-relative:page;mso-height-relative:page" o:allowincell="f" fillcolor="silver" stroked="f">
          <v:fill opacity=".5"/>
          <v:textpath style="font-family:&quot;Calibri&quot;;font-size:1pt" fitpath="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15518" w14:textId="77777777" w:rsidR="004470EC" w:rsidRDefault="00000000">
    <w:pPr>
      <w:pStyle w:val="Header"/>
    </w:pPr>
    <w:r>
      <w:pict w14:anchorId="04E52B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887814" o:spid="_x0000_s1027" type="#_x0000_t136" style="position:absolute;margin-left:0;margin-top:0;width:493.05pt;height:92.45pt;rotation:315;z-index:-251654144;mso-position-horizontal:center;mso-position-horizontal-relative:margin;mso-position-vertical:center;mso-position-vertical-relative:margin;mso-width-relative:page;mso-height-relative:page" o:allowincell="f" fillcolor="silver" stroked="f">
          <v:fill opacity=".5"/>
          <v:textpath style="font-family:&quot;Calibri&quot;;font-size:1pt" fitpath="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F64C8" w14:textId="77777777" w:rsidR="004470EC" w:rsidRDefault="00000000">
    <w:pPr>
      <w:pStyle w:val="Header"/>
    </w:pPr>
    <w:r>
      <w:pict w14:anchorId="66B840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887812" o:spid="_x0000_s1025" type="#_x0000_t136" style="position:absolute;margin-left:0;margin-top:0;width:493.05pt;height:92.45pt;rotation:315;z-index:-251657216;mso-position-horizontal:center;mso-position-horizontal-relative:margin;mso-position-vertical:center;mso-position-vertical-relative:margin;mso-width-relative:page;mso-height-relative:page" o:allowincell="f" fillcolor="silver" stroked="f">
          <v:fill opacity=".5"/>
          <v:textpath style="font-family:&quot;Calibri&quot;;font-size:1pt" fitpath="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D0033"/>
    <w:multiLevelType w:val="multilevel"/>
    <w:tmpl w:val="9EB4CF90"/>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2F2F37"/>
    <w:multiLevelType w:val="multilevel"/>
    <w:tmpl w:val="40A8BB72"/>
    <w:lvl w:ilvl="0">
      <w:start w:val="8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D336E4"/>
    <w:multiLevelType w:val="multilevel"/>
    <w:tmpl w:val="34D336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5675B79"/>
    <w:multiLevelType w:val="hybridMultilevel"/>
    <w:tmpl w:val="01AC8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A271C5"/>
    <w:multiLevelType w:val="multilevel"/>
    <w:tmpl w:val="4AA271C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5A647AF6"/>
    <w:multiLevelType w:val="hybridMultilevel"/>
    <w:tmpl w:val="0EAC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037600">
    <w:abstractNumId w:val="4"/>
  </w:num>
  <w:num w:numId="2" w16cid:durableId="828449195">
    <w:abstractNumId w:val="2"/>
  </w:num>
  <w:num w:numId="3" w16cid:durableId="1559586568">
    <w:abstractNumId w:val="5"/>
  </w:num>
  <w:num w:numId="4" w16cid:durableId="1096364976">
    <w:abstractNumId w:val="0"/>
  </w:num>
  <w:num w:numId="5" w16cid:durableId="1578784595">
    <w:abstractNumId w:val="1"/>
  </w:num>
  <w:num w:numId="6" w16cid:durableId="1112860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c1NjAxNjE1N7S0NDRV0lEKTi0uzszPAykwqgUAxdsrHSwAAAA="/>
  </w:docVars>
  <w:rsids>
    <w:rsidRoot w:val="7EDF9C25"/>
    <w:rsid w:val="00056F3A"/>
    <w:rsid w:val="0006321E"/>
    <w:rsid w:val="00196700"/>
    <w:rsid w:val="001A7AF9"/>
    <w:rsid w:val="00215C82"/>
    <w:rsid w:val="0038616C"/>
    <w:rsid w:val="003F0226"/>
    <w:rsid w:val="004470EC"/>
    <w:rsid w:val="004525FF"/>
    <w:rsid w:val="004867CC"/>
    <w:rsid w:val="0050538C"/>
    <w:rsid w:val="00544BF1"/>
    <w:rsid w:val="00685A50"/>
    <w:rsid w:val="006930AC"/>
    <w:rsid w:val="0071658F"/>
    <w:rsid w:val="0072667A"/>
    <w:rsid w:val="00793022"/>
    <w:rsid w:val="007D2385"/>
    <w:rsid w:val="00893482"/>
    <w:rsid w:val="008F3D03"/>
    <w:rsid w:val="009221EA"/>
    <w:rsid w:val="009F102B"/>
    <w:rsid w:val="00A52E3C"/>
    <w:rsid w:val="00AE4B10"/>
    <w:rsid w:val="00BA5542"/>
    <w:rsid w:val="00BE39DC"/>
    <w:rsid w:val="00C40881"/>
    <w:rsid w:val="00D85C16"/>
    <w:rsid w:val="00D962DD"/>
    <w:rsid w:val="00E20AEB"/>
    <w:rsid w:val="00E95081"/>
    <w:rsid w:val="00E960AE"/>
    <w:rsid w:val="00EC36D3"/>
    <w:rsid w:val="00EE1DF4"/>
    <w:rsid w:val="00F5106F"/>
    <w:rsid w:val="00F66E23"/>
    <w:rsid w:val="2ED81F45"/>
    <w:rsid w:val="57DD73DF"/>
    <w:rsid w:val="67BCACE6"/>
    <w:rsid w:val="79F302CA"/>
    <w:rsid w:val="7EDF9C25"/>
    <w:rsid w:val="BCFB06BA"/>
    <w:rsid w:val="DCF97B10"/>
    <w:rsid w:val="DF75A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20122AD"/>
  <w15:docId w15:val="{57754FAA-0767-4EAF-B2A3-D7FA97E16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zh-CN"/>
    </w:rPr>
  </w:style>
  <w:style w:type="paragraph" w:styleId="Heading1">
    <w:name w:val="heading 1"/>
    <w:basedOn w:val="Normal"/>
    <w:next w:val="Normal"/>
    <w:link w:val="Heading1Char"/>
    <w:uiPriority w:val="9"/>
    <w:qFormat/>
    <w:pPr>
      <w:keepNext/>
      <w:keepLines/>
      <w:jc w:val="both"/>
      <w:outlineLvl w:val="0"/>
    </w:pPr>
    <w:rPr>
      <w:rFonts w:eastAsiaTheme="majorEastAsia" w:cstheme="majorBidi"/>
      <w:b/>
      <w:color w:val="000000" w:themeColor="text1"/>
      <w:szCs w:val="32"/>
    </w:rPr>
  </w:style>
  <w:style w:type="paragraph" w:styleId="Heading3">
    <w:name w:val="heading 3"/>
    <w:basedOn w:val="Normal"/>
    <w:next w:val="Normal"/>
    <w:link w:val="Heading3Char"/>
    <w:semiHidden/>
    <w:unhideWhenUsed/>
    <w:qFormat/>
    <w:rsid w:val="00EE1DF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13"/>
        <w:tab w:val="right" w:pos="9026"/>
      </w:tabs>
    </w:pPr>
  </w:style>
  <w:style w:type="paragraph" w:styleId="Header">
    <w:name w:val="header"/>
    <w:basedOn w:val="Normal"/>
    <w:link w:val="HeaderChar"/>
    <w:pPr>
      <w:tabs>
        <w:tab w:val="center" w:pos="4513"/>
        <w:tab w:val="right" w:pos="9026"/>
      </w:tabs>
    </w:pPr>
  </w:style>
  <w:style w:type="character" w:styleId="Hyperlink">
    <w:name w:val="Hyperlink"/>
    <w:basedOn w:val="DefaultParagraphFont"/>
    <w:rPr>
      <w:color w:val="0563C1" w:themeColor="hyperlink"/>
      <w:u w:val="single"/>
    </w:rPr>
  </w:style>
  <w:style w:type="paragraph" w:styleId="ListParagraph">
    <w:name w:val="List Paragraph"/>
    <w:basedOn w:val="Normal"/>
    <w:uiPriority w:val="34"/>
    <w:qFormat/>
    <w:pPr>
      <w:ind w:left="720"/>
      <w:contextualSpacing/>
    </w:pPr>
  </w:style>
  <w:style w:type="paragraph" w:styleId="NoSpacing">
    <w:name w:val="No Spacing"/>
    <w:link w:val="NoSpacingChar"/>
    <w:uiPriority w:val="1"/>
    <w:qFormat/>
    <w:pPr>
      <w:jc w:val="both"/>
    </w:pPr>
    <w:rPr>
      <w:rFonts w:ascii="Times New Roman" w:eastAsia="Calibri" w:hAnsi="Times New Roman" w:cs="Arial"/>
      <w:sz w:val="24"/>
      <w:szCs w:val="22"/>
      <w:lang w:val="en-GB"/>
    </w:rPr>
  </w:style>
  <w:style w:type="paragraph" w:customStyle="1" w:styleId="Default">
    <w:name w:val="Default"/>
    <w:pPr>
      <w:autoSpaceDE w:val="0"/>
      <w:autoSpaceDN w:val="0"/>
      <w:adjustRightInd w:val="0"/>
    </w:pPr>
    <w:rPr>
      <w:rFonts w:ascii="Times New Roman" w:eastAsiaTheme="minorHAnsi" w:hAnsi="Times New Roman" w:cs="Times New Roman"/>
      <w:color w:val="000000"/>
      <w:sz w:val="24"/>
      <w:szCs w:val="24"/>
    </w:rPr>
  </w:style>
  <w:style w:type="character" w:customStyle="1" w:styleId="NoSpacingChar">
    <w:name w:val="No Spacing Char"/>
    <w:link w:val="NoSpacing"/>
    <w:uiPriority w:val="1"/>
    <w:rPr>
      <w:rFonts w:ascii="Times New Roman" w:eastAsia="Calibri" w:hAnsi="Times New Roman" w:cs="Arial"/>
      <w:sz w:val="24"/>
      <w:szCs w:val="22"/>
      <w:lang w:val="en-GB" w:eastAsia="en-US" w:bidi="ar-SA"/>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erChar">
    <w:name w:val="Header Char"/>
    <w:basedOn w:val="DefaultParagraphFont"/>
    <w:link w:val="Header"/>
    <w:rPr>
      <w:lang w:val="en-US" w:eastAsia="zh-CN"/>
    </w:rPr>
  </w:style>
  <w:style w:type="character" w:customStyle="1" w:styleId="FooterChar">
    <w:name w:val="Footer Char"/>
    <w:basedOn w:val="DefaultParagraphFont"/>
    <w:link w:val="Footer"/>
    <w:rPr>
      <w:lang w:val="en-US" w:eastAsia="zh-CN"/>
    </w:rPr>
  </w:style>
  <w:style w:type="character" w:customStyle="1" w:styleId="Heading3Char">
    <w:name w:val="Heading 3 Char"/>
    <w:basedOn w:val="DefaultParagraphFont"/>
    <w:link w:val="Heading3"/>
    <w:semiHidden/>
    <w:rsid w:val="00EE1DF4"/>
    <w:rPr>
      <w:rFonts w:asciiTheme="majorHAnsi" w:eastAsiaTheme="majorEastAsia" w:hAnsiTheme="majorHAnsi" w:cstheme="majorBidi"/>
      <w:color w:val="1F4D78" w:themeColor="accent1" w:themeShade="7F"/>
      <w:sz w:val="24"/>
      <w:szCs w:val="24"/>
      <w:lang w:eastAsia="zh-CN"/>
    </w:rPr>
  </w:style>
  <w:style w:type="paragraph" w:styleId="NormalWeb">
    <w:name w:val="Normal (Web)"/>
    <w:basedOn w:val="Normal"/>
    <w:uiPriority w:val="99"/>
    <w:unhideWhenUsed/>
    <w:rsid w:val="00EE1DF4"/>
    <w:pPr>
      <w:spacing w:before="100" w:beforeAutospacing="1" w:after="100" w:afterAutospacing="1"/>
    </w:pPr>
    <w:rPr>
      <w:rFonts w:ascii="Times New Roman" w:eastAsia="Times New Roman" w:hAnsi="Times New Roman" w:cs="Times New Roman"/>
      <w:sz w:val="24"/>
      <w:szCs w:val="24"/>
      <w:lang w:eastAsia="en-US"/>
    </w:rPr>
  </w:style>
  <w:style w:type="character" w:styleId="UnresolvedMention">
    <w:name w:val="Unresolved Mention"/>
    <w:basedOn w:val="DefaultParagraphFont"/>
    <w:uiPriority w:val="99"/>
    <w:semiHidden/>
    <w:unhideWhenUsed/>
    <w:rsid w:val="0006321E"/>
    <w:rPr>
      <w:color w:val="605E5C"/>
      <w:shd w:val="clear" w:color="auto" w:fill="E1DFDD"/>
    </w:rPr>
  </w:style>
  <w:style w:type="character" w:customStyle="1" w:styleId="Heading1Char">
    <w:name w:val="Heading 1 Char"/>
    <w:basedOn w:val="DefaultParagraphFont"/>
    <w:link w:val="Heading1"/>
    <w:uiPriority w:val="9"/>
    <w:rsid w:val="008F3D03"/>
    <w:rPr>
      <w:rFonts w:eastAsiaTheme="majorEastAsia" w:cstheme="majorBidi"/>
      <w:b/>
      <w:color w:val="000000" w:themeColor="text1"/>
      <w:szCs w:val="32"/>
      <w:lang w:eastAsia="zh-CN"/>
    </w:rPr>
  </w:style>
  <w:style w:type="character" w:styleId="Emphasis">
    <w:name w:val="Emphasis"/>
    <w:basedOn w:val="DefaultParagraphFont"/>
    <w:uiPriority w:val="20"/>
    <w:qFormat/>
    <w:rsid w:val="003F0226"/>
    <w:rPr>
      <w:i/>
      <w:iCs/>
    </w:rPr>
  </w:style>
  <w:style w:type="character" w:styleId="Strong">
    <w:name w:val="Strong"/>
    <w:basedOn w:val="DefaultParagraphFont"/>
    <w:uiPriority w:val="22"/>
    <w:qFormat/>
    <w:rsid w:val="003F02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038/s41558-022-01297-6" TargetMode="External"/><Relationship Id="rId18" Type="http://schemas.openxmlformats.org/officeDocument/2006/relationships/hyperlink" Target="https://doi.org/10.1016/j.ecolecon.2018.05.011" TargetMode="External"/><Relationship Id="rId26" Type="http://schemas.openxmlformats.org/officeDocument/2006/relationships/hyperlink" Target="https://doi.org/10.1080/23322039.2020.1808282" TargetMode="External"/><Relationship Id="rId39" Type="http://schemas.openxmlformats.org/officeDocument/2006/relationships/hyperlink" Target="https://www.bankofengland.co.uk/quarterly-bulletin/2017/q2/the-banks-response-to-climate-change?utm_source=chatgpt.com" TargetMode="External"/><Relationship Id="rId21" Type="http://schemas.openxmlformats.org/officeDocument/2006/relationships/hyperlink" Target="https://www.germanwatch.org/en/16046?utm_source=chatgpt.com" TargetMode="External"/><Relationship Id="rId34" Type="http://schemas.openxmlformats.org/officeDocument/2006/relationships/hyperlink" Target="https://doi.org/10.3390/su8070601" TargetMode="External"/><Relationship Id="rId42" Type="http://schemas.openxmlformats.org/officeDocument/2006/relationships/hyperlink" Target="https://doi.org/10.32877/eb.v2i2.130" TargetMode="External"/><Relationship Id="rId47" Type="http://schemas.openxmlformats.org/officeDocument/2006/relationships/hyperlink" Target="https://doi.org/10.9734/jemt/2025/v31i81340" TargetMode="External"/><Relationship Id="rId50" Type="http://schemas.openxmlformats.org/officeDocument/2006/relationships/hyperlink" Target="https://doi.org/10.1016/j.intfin.2024.102030" TargetMode="External"/><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93/rcfs/cfaa006" TargetMode="External"/><Relationship Id="rId29" Type="http://schemas.openxmlformats.org/officeDocument/2006/relationships/hyperlink" Target="https://doi.org/10.1002/gsj.1479" TargetMode="External"/><Relationship Id="rId11" Type="http://schemas.openxmlformats.org/officeDocument/2006/relationships/hyperlink" Target="https://www.bis.org/publ/bcbs144.htm?utm_source=chatgpt.com" TargetMode="External"/><Relationship Id="rId24" Type="http://schemas.openxmlformats.org/officeDocument/2006/relationships/hyperlink" Target="https://doi.org/10.1007/s10311-020-01059-w" TargetMode="External"/><Relationship Id="rId32" Type="http://schemas.openxmlformats.org/officeDocument/2006/relationships/hyperlink" Target="https://doi.org/10.1093/rfs/hhad094" TargetMode="External"/><Relationship Id="rId37" Type="http://schemas.openxmlformats.org/officeDocument/2006/relationships/hyperlink" Target="https://doi.org/10.1111/1467-8551.12665" TargetMode="External"/><Relationship Id="rId40" Type="http://schemas.openxmlformats.org/officeDocument/2006/relationships/hyperlink" Target="https://doi.org/10.1016/j.econlet.2022.110500" TargetMode="External"/><Relationship Id="rId45" Type="http://schemas.openxmlformats.org/officeDocument/2006/relationships/hyperlink" Target="https://doi.org/10.56557/jogee/2025/v21i49902"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doi.org/10.1016/j.energy.2022.126376" TargetMode="External"/><Relationship Id="rId4" Type="http://schemas.openxmlformats.org/officeDocument/2006/relationships/settings" Target="settings.xml"/><Relationship Id="rId9" Type="http://schemas.openxmlformats.org/officeDocument/2006/relationships/hyperlink" Target="https://doi.org/10.1038/nmeth.3587" TargetMode="External"/><Relationship Id="rId14" Type="http://schemas.openxmlformats.org/officeDocument/2006/relationships/hyperlink" Target="https://researchportalplus.anu.edu.au/en/publications/the-role-of-the-banking-industry-in-facilitating-climate-change-m/?utm_source=chatgpt.com" TargetMode="External"/><Relationship Id="rId22" Type="http://schemas.openxmlformats.org/officeDocument/2006/relationships/hyperlink" Target="https://www.germanwatch.org/en/19777?utm_source=chatgpt.com" TargetMode="External"/><Relationship Id="rId27" Type="http://schemas.openxmlformats.org/officeDocument/2006/relationships/hyperlink" Target="https://mpra.ub.uni-muenchen.de/82212/?utm_source=chatgpt.com" TargetMode="External"/><Relationship Id="rId30" Type="http://schemas.openxmlformats.org/officeDocument/2006/relationships/hyperlink" Target="https://journals.uwyo.edu/index.php/ela/article/view/371?utm_source=chatgpt.com" TargetMode="External"/><Relationship Id="rId35" Type="http://schemas.openxmlformats.org/officeDocument/2006/relationships/hyperlink" Target="https://www.econbiz.de/Record/climate-change-strategies-and-firm-performance-an-emirical-investigation-of-the-natural-resource-based-view-of-the-firm-michalisin-michael/10008857703?utm_source=chatgpt.com" TargetMode="External"/><Relationship Id="rId43" Type="http://schemas.openxmlformats.org/officeDocument/2006/relationships/hyperlink" Target="https://doi.org/10.1016/j.resourpol.2020.101828" TargetMode="External"/><Relationship Id="rId48" Type="http://schemas.openxmlformats.org/officeDocument/2006/relationships/hyperlink" Target="https://doi.org/10.1016/j.mulfin.2023.100824" TargetMode="External"/><Relationship Id="rId56" Type="http://schemas.openxmlformats.org/officeDocument/2006/relationships/footer" Target="footer3.xml"/><Relationship Id="rId8" Type="http://schemas.openxmlformats.org/officeDocument/2006/relationships/image" Target="media/image1.emf"/><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bankofengland.co.uk/working-paper/2016/lets-talk-about-the-weather-the-impact-of-climate-change-on-central-banks?utm_source=chatgpt.com" TargetMode="External"/><Relationship Id="rId17" Type="http://schemas.openxmlformats.org/officeDocument/2006/relationships/hyperlink" Target="https://www.soas.ac.uk/research/climate-change-and-cost-capital-developing-countries?utm_source=chatgpt.com" TargetMode="External"/><Relationship Id="rId25" Type="http://schemas.openxmlformats.org/officeDocument/2006/relationships/hyperlink" Target="https://doi.org/10.1016/j.crm.2017.12.003" TargetMode="External"/><Relationship Id="rId33" Type="http://schemas.openxmlformats.org/officeDocument/2006/relationships/hyperlink" Target="https://doi.org/10.1142/S2010007818500124" TargetMode="External"/><Relationship Id="rId38" Type="http://schemas.openxmlformats.org/officeDocument/2006/relationships/hyperlink" Target="https://doi.org/10.1371/journal.pone.0271309" TargetMode="External"/><Relationship Id="rId46" Type="http://schemas.openxmlformats.org/officeDocument/2006/relationships/hyperlink" Target="https://doi.org/10.1016/j.techfore.2024.123757" TargetMode="External"/><Relationship Id="rId20" Type="http://schemas.openxmlformats.org/officeDocument/2006/relationships/hyperlink" Target="https://www.mckinsey.com/capabilities/risk-and-resilience/our-insights/banking-imperatives-for-managing-climate-risk?utm_source=chatgpt.com" TargetMode="External"/><Relationship Id="rId41" Type="http://schemas.openxmlformats.org/officeDocument/2006/relationships/hyperlink" Target="https://doi.org/10.1353/pbm.2005.0031"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sb.stanford.edu/faculty-research/books/fundamentals-financial-management-13th-edition?utm_source=chatgpt.com" TargetMode="External"/><Relationship Id="rId23" Type="http://schemas.openxmlformats.org/officeDocument/2006/relationships/hyperlink" Target="https://www.germanwatch.org/en/19777?utm_source=chatgpt.com" TargetMode="External"/><Relationship Id="rId28" Type="http://schemas.openxmlformats.org/officeDocument/2006/relationships/hyperlink" Target="https://doi.org/10.1093/rfs/hhad002" TargetMode="External"/><Relationship Id="rId36" Type="http://schemas.openxmlformats.org/officeDocument/2006/relationships/hyperlink" Target="https://www.eba-net.org/wp-content/uploads/2023/02/Nowiski-FINAL.pdf?utm_source=chatgpt.com" TargetMode="External"/><Relationship Id="rId49" Type="http://schemas.openxmlformats.org/officeDocument/2006/relationships/hyperlink" Target="https://doi.org/10.1057/s41260-024-00384-x" TargetMode="External"/><Relationship Id="rId57" Type="http://schemas.openxmlformats.org/officeDocument/2006/relationships/fontTable" Target="fontTable.xml"/><Relationship Id="rId10" Type="http://schemas.openxmlformats.org/officeDocument/2006/relationships/hyperlink" Target="https://odi.org/en/publications/climate-change-finance-in-ghana/?utm_source=chatgpt.com" TargetMode="External"/><Relationship Id="rId31" Type="http://schemas.openxmlformats.org/officeDocument/2006/relationships/hyperlink" Target="https://jonuns.com/index.php/journal/article/view/513?utm_source=chatgpt.com" TargetMode="External"/><Relationship Id="rId44" Type="http://schemas.openxmlformats.org/officeDocument/2006/relationships/hyperlink" Target="https://doi.org/10.1016/j.irfa.2024.103438" TargetMode="External"/><Relationship Id="rId52" Type="http://schemas.openxmlformats.org/officeDocument/2006/relationships/header" Target="header2.xml"/><Relationship Id="rId59" Type="http://schemas.openxmlformats.org/officeDocument/2006/relationships/hyperlink" Target="https://www.businessperspectives.org/index.php/journals?controller=pdfview&amp;item_id=6515&amp;task=download" TargetMode="External"/><Relationship Id="rId60" Type="http://schemas.openxmlformats.org/officeDocument/2006/relationships/hyperlink" Target="https://odi.org/en/publications/climate-change-finance-in-ghana/" TargetMode="External"/><Relationship Id="rId61" Type="http://schemas.openxmlformats.org/officeDocument/2006/relationships/hyperlink" Target="https://www.bis.org/bcbs/publ/d517.htm" TargetMode="External"/><Relationship Id="rId62" Type="http://schemas.openxmlformats.org/officeDocument/2006/relationships/hyperlink" Target="https://europepmc.org/article/MED/35244921" TargetMode="External"/><Relationship Id="rId63" Type="http://schemas.openxmlformats.org/officeDocument/2006/relationships/hyperlink" Target="https://doi.org/10.1093/rfs/hhn104" TargetMode="External"/><Relationship Id="rId64" Type="http://schemas.openxmlformats.org/officeDocument/2006/relationships/hyperlink" Target="https://doi.org/10.1016/j.jfs.2021.100877" TargetMode="External"/><Relationship Id="rId65" Type="http://schemas.openxmlformats.org/officeDocument/2006/relationships/hyperlink" Target="https://www.soas.ac.uk/research/climate-change-and-cost-capital-developing-countries" TargetMode="External"/><Relationship Id="rId66" Type="http://schemas.openxmlformats.org/officeDocument/2006/relationships/hyperlink" Target="https://doi.org/10.1038/nature15725" TargetMode="External"/><Relationship Id="rId67" Type="http://schemas.openxmlformats.org/officeDocument/2006/relationships/hyperlink" Target="https://doi.org/10.1016/S0925-2312(03)00433-8" TargetMode="External"/><Relationship Id="rId68" Type="http://schemas.openxmlformats.org/officeDocument/2006/relationships/hyperlink" Target="https://doi.org/10.1057/s41294-022-00189-0" TargetMode="External"/><Relationship Id="rId69" Type="http://schemas.openxmlformats.org/officeDocument/2006/relationships/hyperlink" Target="https://doi.org/10.1007/s13132-016-0376-6" TargetMode="External"/><Relationship Id="rId70" Type="http://schemas.openxmlformats.org/officeDocument/2006/relationships/hyperlink" Target="https://doi.org/10.1016/j.jfs.2023.101132" TargetMode="External"/><Relationship Id="rId71" Type="http://schemas.openxmlformats.org/officeDocument/2006/relationships/hyperlink" Target="https://doi.org/10.1257/jel.52.3.740" TargetMode="External"/><Relationship Id="rId72" Type="http://schemas.openxmlformats.org/officeDocument/2006/relationships/hyperlink" Target="https://doi.org/10.1038/nclimate2972" TargetMode="External"/><Relationship Id="rId73" Type="http://schemas.openxmlformats.org/officeDocument/2006/relationships/hyperlink" Target="https://doi.org/10.1016/j.lrp.2010.01.002" TargetMode="External"/><Relationship Id="rId74" Type="http://schemas.openxmlformats.org/officeDocument/2006/relationships/hyperlink" Target="https://doi.org/10.1002/bsd2.13" TargetMode="External"/><Relationship Id="rId75" Type="http://schemas.openxmlformats.org/officeDocument/2006/relationships/hyperlink" Target="https://www.germanwatch.org/en/19777" TargetMode="External"/><Relationship Id="rId76" Type="http://schemas.openxmlformats.org/officeDocument/2006/relationships/hyperlink" Target="https://doi.org/10.2991/aebmr.k.211119.052" TargetMode="External"/><Relationship Id="rId77" Type="http://schemas.openxmlformats.org/officeDocument/2006/relationships/hyperlink" Target="https://europepmc.org/article/MED/28462548" TargetMode="External"/><Relationship Id="rId78" Type="http://schemas.openxmlformats.org/officeDocument/2006/relationships/hyperlink" Target="https://doi.org/10.7916/d8-w2nc-4103" TargetMode="External"/><Relationship Id="rId79" Type="http://schemas.openxmlformats.org/officeDocument/2006/relationships/hyperlink" Target="https://doi.org/10.1057/s41267-017-0125-5" TargetMode="External"/><Relationship Id="rId80" Type="http://schemas.openxmlformats.org/officeDocument/2006/relationships/hyperlink" Target="https://www.ipcc.ch/report/ar5/syr/" TargetMode="External"/><Relationship Id="rId81" Type="http://schemas.openxmlformats.org/officeDocument/2006/relationships/hyperlink" Target="https://doi.org/10.1007/978-3-030-61160-6_2" TargetMode="External"/><Relationship Id="rId82" Type="http://schemas.openxmlformats.org/officeDocument/2006/relationships/hyperlink" Target="https://doi.org/10.1016/j.jcorpfin.2021.102019" TargetMode="External"/><Relationship Id="rId83" Type="http://schemas.openxmlformats.org/officeDocument/2006/relationships/hyperlink" Target="https://doi.org/10.1016/j.eneco.2021.105624" TargetMode="External"/><Relationship Id="rId84" Type="http://schemas.openxmlformats.org/officeDocument/2006/relationships/hyperlink" Target="https://doi.org/10.1177/001316446002000116" TargetMode="External"/><Relationship Id="rId85" Type="http://schemas.openxmlformats.org/officeDocument/2006/relationships/hyperlink" Target="https://doi.org/10.5539/ibr.v13n10p130" TargetMode="External"/><Relationship Id="rId86" Type="http://schemas.openxmlformats.org/officeDocument/2006/relationships/hyperlink" Target="https://doi.org/10.1017/CBO9781139177245.004" TargetMode="External"/><Relationship Id="rId87" Type="http://schemas.openxmlformats.org/officeDocument/2006/relationships/hyperlink" Target="https://doi.org/10.1016/j.irfa.2022.102198" TargetMode="External"/><Relationship Id="rId88" Type="http://schemas.openxmlformats.org/officeDocument/2006/relationships/hyperlink" Target="https://doi.org/10.1016/S0304-4076(01)00098-7" TargetMode="External"/><Relationship Id="rId89" Type="http://schemas.openxmlformats.org/officeDocument/2006/relationships/hyperlink" Target="https://doi.org/10.1016/j.irfa.2024.103096" TargetMode="External"/><Relationship Id="rId90" Type="http://schemas.openxmlformats.org/officeDocument/2006/relationships/hyperlink" Target="https://doi.org/10.1016/j.procs.2022.11.268" TargetMode="External"/><Relationship Id="rId91" Type="http://schemas.openxmlformats.org/officeDocument/2006/relationships/hyperlink" Target="https://doi.org/10.5539/ijef.v6n10p201" TargetMode="External"/><Relationship Id="rId92" Type="http://schemas.openxmlformats.org/officeDocument/2006/relationships/hyperlink" Target="https://doi.org/10.1177/1070496519887484" TargetMode="External"/><Relationship Id="rId93" Type="http://schemas.openxmlformats.org/officeDocument/2006/relationships/hyperlink" Target="https://www.econbiz.de/Record/climate-change-strategies-and-firm-performance-an-emirical-investigation-of-the-natural-resource-based-view-of-the-firm-michalisin-michael/10008857703" TargetMode="External"/><Relationship Id="rId94" Type="http://schemas.openxmlformats.org/officeDocument/2006/relationships/hyperlink" Target="https://doi.org/10.5455/ijlr.20170415115235" TargetMode="External"/><Relationship Id="rId95" Type="http://schemas.openxmlformats.org/officeDocument/2006/relationships/hyperlink" Target="https://doi.org/10.22495/jgr_v4_i2_p5" TargetMode="External"/><Relationship Id="rId96" Type="http://schemas.openxmlformats.org/officeDocument/2006/relationships/hyperlink" Target="https://science.nasa.gov/climate-change/" TargetMode="External"/><Relationship Id="rId97" Type="http://schemas.openxmlformats.org/officeDocument/2006/relationships/hyperlink" Target="https://doi.org/10.3846/BTP.2017.017" TargetMode="External"/><Relationship Id="rId98" Type="http://schemas.openxmlformats.org/officeDocument/2006/relationships/hyperlink" Target="https://doi.org/10.46830/wriwp.19.00125" TargetMode="External"/><Relationship Id="rId99" Type="http://schemas.openxmlformats.org/officeDocument/2006/relationships/hyperlink" Target="https://doi.org/10.13106/jafeb.2021.vol8.no4.0727" TargetMode="External"/><Relationship Id="rId100" Type="http://schemas.openxmlformats.org/officeDocument/2006/relationships/hyperlink" Target="https://doi.org/10.1016/j.spc.2021.12.023" TargetMode="External"/><Relationship Id="rId101" Type="http://schemas.openxmlformats.org/officeDocument/2006/relationships/hyperlink" Target="https://doi.org/10.1016/j.jfs.2021.100870" TargetMode="External"/><Relationship Id="rId102" Type="http://schemas.openxmlformats.org/officeDocument/2006/relationships/hyperlink" Target="https://doi.org/10.46557/001c.39728" TargetMode="External"/><Relationship Id="rId103" Type="http://schemas.openxmlformats.org/officeDocument/2006/relationships/hyperlink" Target="https://www.bankofengland.co.uk/quarterly-bulletin/2017/q2/the-banks-response-to-climate-change" TargetMode="External"/><Relationship Id="rId104" Type="http://schemas.openxmlformats.org/officeDocument/2006/relationships/hyperlink" Target="https://doi.org/10.1016/j.euroecorev.2019.05.007" TargetMode="External"/><Relationship Id="rId105" Type="http://schemas.openxmlformats.org/officeDocument/2006/relationships/hyperlink" Target="https://www.transparency.org/en/cpi/2024" TargetMode="External"/><Relationship Id="rId106" Type="http://schemas.openxmlformats.org/officeDocument/2006/relationships/hyperlink" Target="https://www.unssc.org/news-and-insights/news/strong-institutions-are-essential-effective-climate-action" TargetMode="External"/><Relationship Id="rId107" Type="http://schemas.openxmlformats.org/officeDocument/2006/relationships/hyperlink" Target="https://doi.org/10.1080/20430795.2021.1894901" TargetMode="External"/><Relationship Id="rId108" Type="http://schemas.openxmlformats.org/officeDocument/2006/relationships/hyperlink" Target="https://openknowledge.worldbank.org/entities/publication/c735de13-aa4a-57f2-94be-d888816b83ba" TargetMode="External"/><Relationship Id="rId109" Type="http://schemas.openxmlformats.org/officeDocument/2006/relationships/hyperlink" Target="https://doi.org/10.1016/S0169-7439(97)00010-5" TargetMode="External"/><Relationship Id="rId110" Type="http://schemas.openxmlformats.org/officeDocument/2006/relationships/hyperlink" Target="https://doi.org/10.1016/j.jfs.2021.100844" TargetMode="External"/><Relationship Id="rId111" Type="http://schemas.openxmlformats.org/officeDocument/2006/relationships/hyperlink" Target="https://doi.org/10.1016/j.eneco.2021.10578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0"/>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31</Pages>
  <Words>13263</Words>
  <Characters>75602</Characters>
  <Application>Microsoft Office Word</Application>
  <DocSecurity>0</DocSecurity>
  <Lines>630</Lines>
  <Paragraphs>177</Paragraphs>
  <ScaleCrop>false</ScaleCrop>
  <Company/>
  <LinksUpToDate>false</LinksUpToDate>
  <CharactersWithSpaces>88688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Nana Manso Frympon</dc:creator>
  <cp:lastModifiedBy>SDI 1087</cp:lastModifiedBy>
  <cp:revision>22</cp:revision>
  <dcterms:created xsi:type="dcterms:W3CDTF">2026-04-30T09:56:00Z</dcterms:created>
  <dcterms:modified xsi:type="dcterms:W3CDTF">2026-07-04T11:42:00Z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1033-6.11.0.8608</vt:lpwstr>
  </property>
  <property fmtid="{D5CDD505-2E9C-101B-9397-08002B2CF9AE}" pid="3" name="ICV">
    <vt:lpwstr>EFB1F0B9760C35A0327AFC6985FE7C87_43</vt:lpwstr>
  </property>
</Properties>
</file>