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0AE4">
      <w:pPr>
        <w:pStyle w:val="8"/>
        <w:spacing w:line="360" w:lineRule="auto"/>
        <w:ind w:left="0"/>
        <w:jc w:val="center"/>
        <w:rPr>
          <w:rFonts w:ascii="Times New Roman Regular" w:hAnsi="Times New Roman Regular" w:cs="Times New Roman Regular"/>
          <w:sz w:val="24"/>
          <w:szCs w:val="24"/>
        </w:rPr>
      </w:pPr>
      <w:bookmarkStart w:id="0" w:name="_Toc156224697"/>
      <w:bookmarkStart w:id="1" w:name="_Toc156569072"/>
      <w:r>
        <w:rPr>
          <w:rFonts w:ascii="Times New Roman Regular" w:hAnsi="Times New Roman Regular" w:cs="Times New Roman Regular"/>
          <w:sz w:val="24"/>
          <w:szCs w:val="24"/>
        </w:rPr>
        <w:t>The Nexus Between Climate Risk and Financial Performance of Selected Universal Banks on Ghana Stock Exchange</w:t>
      </w:r>
    </w:p>
    <w:p w14:paraId="799699B4">
      <w:pPr>
        <w:pStyle w:val="8"/>
        <w:spacing w:line="360" w:lineRule="auto"/>
        <w:ind w:left="0"/>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w:t>
      </w:r>
    </w:p>
    <w:p w14:paraId="27D60C5C">
      <w:pPr>
        <w:jc w:val="center"/>
        <w:rPr>
          <w:rFonts w:ascii="Times New Roman Regular" w:hAnsi="Times New Roman Regular" w:cs="Times New Roman Regular"/>
          <w:sz w:val="24"/>
          <w:szCs w:val="24"/>
        </w:rPr>
      </w:pPr>
    </w:p>
    <w:p w14:paraId="59A4EEB3"/>
    <w:p w14:paraId="27663B98">
      <w:pPr>
        <w:pStyle w:val="2"/>
        <w:spacing w:line="360" w:lineRule="auto"/>
        <w:jc w:val="center"/>
        <w:rPr>
          <w:rFonts w:ascii="Times New Roman Regular" w:hAnsi="Times New Roman Regular" w:cs="Times New Roman Regular"/>
          <w:color w:val="auto"/>
          <w:sz w:val="24"/>
          <w:szCs w:val="24"/>
        </w:rPr>
      </w:pPr>
      <w:r>
        <w:rPr>
          <w:rFonts w:ascii="Times New Roman Regular" w:hAnsi="Times New Roman Regular" w:cs="Times New Roman Regular"/>
          <w:color w:val="auto"/>
          <w:sz w:val="24"/>
          <w:szCs w:val="24"/>
        </w:rPr>
        <w:t>ABSTRACT</w:t>
      </w:r>
      <w:bookmarkEnd w:id="0"/>
      <w:bookmarkEnd w:id="1"/>
    </w:p>
    <w:p w14:paraId="70F0BF67">
      <w:pPr>
        <w:autoSpaceDE w:val="0"/>
        <w:autoSpaceDN w:val="0"/>
        <w:adjustRightInd w:val="0"/>
        <w:spacing w:line="48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Climate risk and its implications for financial institutions have become increasingly significant in the global discourse. This study focuses on the nexus between climate risk and bank financial performance, with a specific emphasis on licensed universal banks in Ghana. The study covered fifteen (15) years, from 2010 to 2024. Based on the data availability and convenience, the study was restricted to ten (10) banks. </w:t>
      </w:r>
      <w:r>
        <w:rPr>
          <w:rFonts w:ascii="Times New Roman Regular" w:hAnsi="Times New Roman Regular" w:cs="Times New Roman Regular"/>
          <w:bCs/>
          <w:sz w:val="24"/>
          <w:szCs w:val="24"/>
        </w:rPr>
        <w:t>Panel data regression technique was used to establish the causal relationship between the variables. Specifically,</w:t>
      </w:r>
      <w:r>
        <w:rPr>
          <w:rFonts w:ascii="Times New Roman Regular" w:hAnsi="Times New Roman Regular" w:cs="Times New Roman Regular"/>
          <w:sz w:val="24"/>
          <w:szCs w:val="24"/>
        </w:rPr>
        <w:t xml:space="preserve"> study used the Generalized Least Square Regression method to control the effects of autocorrelation and heteroskedasticity present in panel data.</w:t>
      </w:r>
      <w:r>
        <w:rPr>
          <w:rFonts w:ascii="Times New Roman Regular" w:hAnsi="Times New Roman Regular" w:cs="Times New Roman Regular"/>
          <w:bCs/>
          <w:sz w:val="24"/>
          <w:szCs w:val="24"/>
        </w:rPr>
        <w:t xml:space="preserve"> The study also employed Principal Component Analysis (PCA) to derived Financial Performance Index. </w:t>
      </w:r>
      <w:r>
        <w:rPr>
          <w:rFonts w:ascii="Times New Roman Regular" w:hAnsi="Times New Roman Regular" w:cs="Times New Roman Regular"/>
          <w:sz w:val="24"/>
          <w:szCs w:val="24"/>
        </w:rPr>
        <w:t>From the Hausman Specification test, the null hypothesis were rejected for model since the p- values of the chi-square  was less than 0.05. This implies that the fixed effects model was more appropriate for the model. The results showed that climate risk has a significant negative impact on financial performance of selected licensed universal banks in Ghana. This implies that climate risk significantly reduces the bank financial performance of the selected commercial banks.</w:t>
      </w:r>
    </w:p>
    <w:p w14:paraId="212B4F9D">
      <w:pPr>
        <w:autoSpaceDE w:val="0"/>
        <w:autoSpaceDN w:val="0"/>
        <w:adjustRightInd w:val="0"/>
        <w:spacing w:line="480" w:lineRule="auto"/>
        <w:jc w:val="both"/>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rPr>
        <w:t>The study recommended that, a government can further improve the accuracy of climate prediction, reduce climate problems caused by extensive development, and improve policies and measures for energy conservation and emissions reduction</w:t>
      </w:r>
      <w:r>
        <w:rPr>
          <w:rFonts w:hint="default" w:ascii="Times New Roman Regular" w:hAnsi="Times New Roman Regular" w:cs="Times New Roman Regular"/>
          <w:sz w:val="24"/>
          <w:szCs w:val="24"/>
          <w:lang w:val="en-US"/>
        </w:rPr>
        <w:t>.</w:t>
      </w:r>
    </w:p>
    <w:p w14:paraId="068BB11B">
      <w:pPr>
        <w:autoSpaceDE w:val="0"/>
        <w:autoSpaceDN w:val="0"/>
        <w:adjustRightInd w:val="0"/>
        <w:spacing w:line="480" w:lineRule="auto"/>
        <w:jc w:val="both"/>
        <w:rPr>
          <w:rFonts w:hint="default"/>
          <w:lang w:val="en-US"/>
        </w:rPr>
      </w:pPr>
    </w:p>
    <w:p w14:paraId="49F86639">
      <w:pPr>
        <w:spacing w:line="360" w:lineRule="auto"/>
        <w:rPr>
          <w:rFonts w:ascii="Times New Roman Italic" w:hAnsi="Times New Roman Italic" w:cs="Times New Roman Italic"/>
          <w:i/>
          <w:iCs/>
          <w:sz w:val="24"/>
          <w:szCs w:val="24"/>
        </w:rPr>
      </w:pPr>
      <w:r>
        <w:rPr>
          <w:rFonts w:ascii="Times New Roman Regular" w:hAnsi="Times New Roman Regular" w:cs="Times New Roman Regular"/>
          <w:sz w:val="24"/>
          <w:szCs w:val="24"/>
        </w:rPr>
        <w:t xml:space="preserve">Keywords: </w:t>
      </w:r>
      <w:r>
        <w:rPr>
          <w:rFonts w:ascii="Times New Roman Italic" w:hAnsi="Times New Roman Italic" w:cs="Times New Roman Italic"/>
          <w:i/>
          <w:iCs/>
          <w:sz w:val="24"/>
          <w:szCs w:val="24"/>
        </w:rPr>
        <w:t>Climate Risk, Bank Performance, Principal Component Analysis, Financial Performance Index</w:t>
      </w:r>
    </w:p>
    <w:p w14:paraId="2909ED4D">
      <w:pPr>
        <w:autoSpaceDE w:val="0"/>
        <w:autoSpaceDN w:val="0"/>
        <w:adjustRightInd w:val="0"/>
        <w:spacing w:line="480" w:lineRule="auto"/>
        <w:jc w:val="both"/>
        <w:rPr>
          <w:rFonts w:hint="default"/>
          <w:lang w:val="en-US"/>
        </w:rPr>
        <w:sectPr>
          <w:pgSz w:w="12240" w:h="15840"/>
          <w:pgMar w:top="1440" w:right="1440" w:bottom="1440" w:left="1440" w:header="720" w:footer="720" w:gutter="0"/>
          <w:pgNumType w:fmt="lowerRoman" w:start="1"/>
          <w:cols w:space="720" w:num="1"/>
          <w:docGrid w:linePitch="360" w:charSpace="0"/>
        </w:sectPr>
      </w:pPr>
    </w:p>
    <w:p w14:paraId="08D3B7B6">
      <w:pPr>
        <w:spacing w:line="360" w:lineRule="auto"/>
        <w:rPr>
          <w:rFonts w:ascii="Times New Roman Regular" w:hAnsi="Times New Roman Regular" w:cs="Times New Roman Regular"/>
          <w:sz w:val="24"/>
          <w:szCs w:val="24"/>
        </w:rPr>
      </w:pPr>
    </w:p>
    <w:p w14:paraId="3D3B83A7">
      <w:pPr>
        <w:spacing w:line="360" w:lineRule="auto"/>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1.0 Introduction</w:t>
      </w:r>
    </w:p>
    <w:p w14:paraId="2F3682E6">
      <w:pPr>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Climate change is rapidly being recognized as a major danger to global economic growth and financial stability (Dafermos, Nikolaidi and Galanis, 2018; Lee et al., 2022). Climate change is a projected major change in worldwide weather patterns that is attributed to elevated levels of greenhouse gas emissions caused by human activities (IPPC, 2014). The predicted impacts of climate change are becoming increasingly visible. Climate change brings about environment and climate-related risks (Asante et al., 2015). These risks include severe weather events, water shortages, and the failure to respond to and ameliorate the consequences of climate change.  It is becoming more apparent to policymakers, scholars, and the general public that there is an urgent need to address climate-related security concerns via collaboration and dialog.</w:t>
      </w:r>
    </w:p>
    <w:p w14:paraId="5948743D">
      <w:pPr>
        <w:spacing w:line="360" w:lineRule="auto"/>
        <w:jc w:val="both"/>
        <w:rPr>
          <w:rFonts w:ascii="Times New Roman Regular" w:hAnsi="Times New Roman Regular" w:cs="Times New Roman Regular"/>
          <w:sz w:val="24"/>
          <w:szCs w:val="24"/>
        </w:rPr>
      </w:pPr>
    </w:p>
    <w:p w14:paraId="4BA03B53">
      <w:pPr>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Practically every industry in the economy is exposed to hazards arising from the immediate and prolonged physical impacts of climate change. The entire business value chain is impacted by climate risk, from primary materials to final consumers. In addition to inadequate adaptation capabilities, the current state of climate risk exposes the economies and societies of a number of countries to the direct and indirect negative effects of climate change and climate-related disasters. Recent research indicates that climate risk can impact both overall economic indicators and the operations and qualities of companies through two main channels: (i) physical channels, which involve direct physical harm caused by climate-related events; and (ii) transition channels, which encompass the disruptions associated with transitioning to a less environmentally damaging economy (Lee et al., 2022).   In research undertaken by Dietz et al. (2016), the aim was to measure the impact of climate change on the worldwide financial system. Based on their research, climate change might potentially decrease the dividend payments of businesses, thereby impacting the value of financial assets.</w:t>
      </w:r>
    </w:p>
    <w:p w14:paraId="5D10BFF5">
      <w:pPr>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The present scientific understanding of climate change provides solid evidence on climate risk, or the potential adverse consequences of climate change on society as a whole in the decades to come (Roncoroni et al, 2021). In contrast, asset prices do not presently represent such scientific understanding. One set of explanations for this state of things concerns financial markets' failure to absorb externalities (Stiglitz et al., 2017; Stiglitz, 2019), particularly over time horizons longer than a few years.  Climate change and climate-related risk are projected to have serious consequences for stability of the financial sector, notably in banking (Scott et al., 2017). Climate risks could influence the safety of the banking industry via transitional risks like uncertainty around the change towards a low-carbon economy, as well as physical risks like severe weather occurrences. Over years, banks have had to closely monitor how extreme weather occurrences affect their ability to continue operations. According to Jack et al. (2021), climate risk is a systemic problem with broad implications for the world economy, health, security, and prosperity. Mitigating climate danger will need a coordinated worldwide effort to carry out systematic alterations, and multiple questions exist about the optimal configuration of this effort. </w:t>
      </w:r>
    </w:p>
    <w:p w14:paraId="66A10DEA">
      <w:pPr>
        <w:spacing w:line="360" w:lineRule="auto"/>
        <w:jc w:val="both"/>
        <w:rPr>
          <w:rFonts w:ascii="Times New Roman Regular" w:hAnsi="Times New Roman Regular" w:cs="Times New Roman Regular"/>
          <w:bCs/>
          <w:sz w:val="24"/>
          <w:szCs w:val="24"/>
        </w:rPr>
      </w:pPr>
      <w:r>
        <w:rPr>
          <w:rFonts w:ascii="Times New Roman Regular" w:hAnsi="Times New Roman Regular" w:cs="Times New Roman Regular"/>
          <w:bCs/>
          <w:sz w:val="24"/>
          <w:szCs w:val="24"/>
        </w:rPr>
        <w:t>In 2020, the United Nations Climate Change published an article stating that robust and high-quality institutions are essential for sustainable development as well as successful and sustained climate mitigation and adaptation. In order to prevent corruption from undermining the fight against climate change, institutions need to coordinate their anti-corruption efforts. Transparency International claims that although the climate is not a sector, it involves corrupt major industries, including waste management, forestry, energy, and construction. Corruption adds at least twenty percent to the expenses of these industries.</w:t>
      </w:r>
    </w:p>
    <w:p w14:paraId="4B9FCA23">
      <w:pPr>
        <w:spacing w:line="360" w:lineRule="auto"/>
        <w:jc w:val="both"/>
        <w:rPr>
          <w:rFonts w:ascii="Times New Roman Regular" w:hAnsi="Times New Roman Regular" w:cs="Times New Roman Regular"/>
          <w:bCs/>
          <w:sz w:val="24"/>
          <w:szCs w:val="24"/>
        </w:rPr>
      </w:pPr>
    </w:p>
    <w:p w14:paraId="4C1A6B6B">
      <w:pPr>
        <w:pStyle w:val="2"/>
        <w:spacing w:line="360" w:lineRule="auto"/>
        <w:jc w:val="left"/>
        <w:rPr>
          <w:rFonts w:ascii="Times New Roman Regular" w:hAnsi="Times New Roman Regular" w:cs="Times New Roman Regular"/>
          <w:sz w:val="24"/>
          <w:szCs w:val="24"/>
        </w:rPr>
      </w:pPr>
      <w:bookmarkStart w:id="2" w:name="_Toc156569077"/>
      <w:r>
        <w:rPr>
          <w:rFonts w:ascii="Times New Roman Regular" w:hAnsi="Times New Roman Regular" w:cs="Times New Roman Regular"/>
          <w:sz w:val="24"/>
          <w:szCs w:val="24"/>
        </w:rPr>
        <w:t>1.1 Problem Statement</w:t>
      </w:r>
      <w:bookmarkEnd w:id="2"/>
    </w:p>
    <w:p w14:paraId="2C97C562">
      <w:pPr>
        <w:spacing w:line="360" w:lineRule="auto"/>
        <w:jc w:val="both"/>
        <w:rPr>
          <w:rFonts w:ascii="Times New Roman Regular" w:hAnsi="Times New Roman Regular" w:cs="Times New Roman Regular"/>
          <w:bCs/>
          <w:sz w:val="24"/>
          <w:szCs w:val="24"/>
        </w:rPr>
      </w:pPr>
      <w:r>
        <w:rPr>
          <w:rFonts w:ascii="Times New Roman Regular" w:hAnsi="Times New Roman Regular" w:cs="Times New Roman Regular"/>
          <w:bCs/>
          <w:sz w:val="24"/>
          <w:szCs w:val="24"/>
        </w:rPr>
        <w:t>According to the 2017 Country Climate and Development Report (CCDR) for Ghana that was published by the World Bank Group, if immediate efforts are not done regarding climate change in Ghana, at least one million people might fall into poverty as a result of climatic shocks. It is estimated that by 2050, low-income families may see a drop in income of up to forty percent. Universal banks fund a substantial number of projects in Ghana, as they do in many other developing nations. Universal banks also provide finance for activities that have a negative influence on environmental quality and social standards. For example, activities like as mining, forestry, and cocoa-induced agricultural development have resulted in a decline in total forest cover from 32.7% in 1990 to 21.7% in 2010. The Network for Greening the Financial System (NGFS), which was founded in December 2017, recognized that climate change risks were a source of financial risk and might have a negative impact on the banking system's overall performance. As a result, central banks and regulators are responsible for ensuring that the financial system is resilient to the risks associated with climate change.</w:t>
      </w:r>
    </w:p>
    <w:p w14:paraId="557C0E73">
      <w:pPr>
        <w:spacing w:line="360" w:lineRule="auto"/>
        <w:jc w:val="both"/>
        <w:rPr>
          <w:rFonts w:ascii="Times New Roman Regular" w:hAnsi="Times New Roman Regular" w:cs="Times New Roman Regular"/>
          <w:bCs/>
          <w:sz w:val="24"/>
          <w:szCs w:val="24"/>
        </w:rPr>
      </w:pPr>
      <w:r>
        <w:rPr>
          <w:rFonts w:ascii="Times New Roman Regular" w:hAnsi="Times New Roman Regular" w:cs="Times New Roman Regular"/>
          <w:bCs/>
          <w:sz w:val="24"/>
          <w:szCs w:val="24"/>
        </w:rPr>
        <w:t xml:space="preserve">Physical hazards can manifest in various ways for financial institutions, including direct and indirect consequences. These consequences may arise from the institutions' exposure to companies and households that are impacted by climate disruptions, as well as from the repercussions of climate change on the wider economy and the feedback mechanisms that occur within the financial system (Zhang, Zhang, &amp; Lu, 2022). Financial institutions may be impacted by the consequences of climate change on their operations and personnel, supply chain, distribution chain, consumers, tangible assets, and the communities on which they depend. While some consequences will be immediate, such as the destruction of property caused by floods, others will have a longer-lasting effect, like reduced water supply as a result of heightened demand from other regions.  Climate-related risks have the potential to impact borrowers' capacity to completely amortize their bank debts, either directly or indirectly. This, in turn, can elevate the probability of default (Buhr et al., 2018; Dowla, 2018). Furthermore, the potential deterioration of collateralized assets may exacerbate credit risks, which may have adverse consequences on the profitability of the financial institutions. </w:t>
      </w:r>
    </w:p>
    <w:p w14:paraId="1343476B">
      <w:pPr>
        <w:spacing w:line="360" w:lineRule="auto"/>
        <w:jc w:val="both"/>
        <w:rPr>
          <w:rFonts w:ascii="Times New Roman Regular" w:hAnsi="Times New Roman Regular" w:cs="Times New Roman Regular"/>
          <w:bCs/>
          <w:sz w:val="24"/>
          <w:szCs w:val="24"/>
        </w:rPr>
      </w:pPr>
      <w:r>
        <w:rPr>
          <w:rFonts w:ascii="Times New Roman Regular" w:hAnsi="Times New Roman Regular" w:cs="Times New Roman Regular"/>
          <w:bCs/>
          <w:sz w:val="24"/>
          <w:szCs w:val="24"/>
        </w:rPr>
        <w:t>Despite the existence of empirical evidence demonstrating the influence of climate risk on microeconomic and macroeconomic systems, there has been a lack of research pertaining to relationship between climate risk and bank performance in Ghana and Africa as a whole (Zhang et al., 2021). In order to address this empirical void, the present study examines the relationship between climate risk and financial performance licensed commercial banks in Ghana. Financial institutions generate liquidity through the conversion of illiquid assets into liquid assets and deposits into assets (Berger and Bouwmann, 2009). This research posits that climate risk can affect banks' overall liquidity creation by influencing the demand and supply aspects of liquidity creation via its effects on the economy and various economic sectors.  Motivated by this, the research covers this empirical void by investigating whether climate risk can influence banks’ liquidity creation in Ghanaian context.</w:t>
      </w:r>
    </w:p>
    <w:p w14:paraId="17178E18">
      <w:pPr>
        <w:spacing w:line="360" w:lineRule="auto"/>
        <w:jc w:val="both"/>
        <w:rPr>
          <w:rFonts w:ascii="Times New Roman Regular" w:hAnsi="Times New Roman Regular" w:cs="Times New Roman Regular"/>
          <w:bCs/>
          <w:sz w:val="24"/>
          <w:szCs w:val="24"/>
        </w:rPr>
      </w:pPr>
      <w:r>
        <w:rPr>
          <w:rFonts w:ascii="Times New Roman Regular" w:hAnsi="Times New Roman Regular" w:cs="Times New Roman Regular"/>
          <w:bCs/>
          <w:sz w:val="24"/>
          <w:szCs w:val="24"/>
        </w:rPr>
        <w:t>Limited number of scholars have employed exhaustive indicators in their efforts to quantify the impacts of climate risks (Song, Wang, and Wang 2023; Huang et al., 2018). This study provides a scholarly contribution by drawing upon the works of Huang et al. (2018) and Song, Wang, and Wang (2023), employing the global climate risk index (CRI)  as a measure of climate risks and its influence on the performance of banks. In contrast to individual climate indicators like temperature, precipitation, floods and landslides, the Climate Risk Index (CRI) gives a complete assessment of severe weather-related losses fatalities on a country-by-country basis. This metric measures the vulnerability and risk of each nation to extreme weather occurrences, for example, hurricanes, droughts, and heatwaves.</w:t>
      </w:r>
    </w:p>
    <w:p w14:paraId="7DB2E75C">
      <w:pPr>
        <w:spacing w:line="360" w:lineRule="auto"/>
        <w:jc w:val="both"/>
        <w:rPr>
          <w:rFonts w:ascii="Times New Roman Regular" w:hAnsi="Times New Roman Regular" w:cs="Times New Roman Regular"/>
          <w:bCs/>
          <w:sz w:val="24"/>
          <w:szCs w:val="24"/>
        </w:rPr>
      </w:pPr>
    </w:p>
    <w:p w14:paraId="5362C0E9">
      <w:pPr>
        <w:pStyle w:val="2"/>
        <w:spacing w:line="360" w:lineRule="auto"/>
        <w:rPr>
          <w:rFonts w:ascii="Times New Roman Regular" w:hAnsi="Times New Roman Regular" w:cs="Times New Roman Regular"/>
          <w:sz w:val="24"/>
          <w:szCs w:val="24"/>
        </w:rPr>
      </w:pPr>
      <w:bookmarkStart w:id="3" w:name="_Toc156569081"/>
      <w:r>
        <w:rPr>
          <w:rFonts w:ascii="Times New Roman Regular" w:hAnsi="Times New Roman Regular" w:cs="Times New Roman Regular"/>
          <w:sz w:val="24"/>
          <w:szCs w:val="24"/>
        </w:rPr>
        <w:t>1.3 Study Hypotheses</w:t>
      </w:r>
      <w:bookmarkEnd w:id="3"/>
    </w:p>
    <w:p w14:paraId="0E8F9AAA">
      <w:pPr>
        <w:pStyle w:val="8"/>
        <w:spacing w:line="360" w:lineRule="auto"/>
        <w:ind w:left="0"/>
        <w:jc w:val="both"/>
        <w:rPr>
          <w:rFonts w:ascii="Times New Roman Regular" w:hAnsi="Times New Roman Regular" w:cs="Times New Roman Regular"/>
          <w:bCs/>
          <w:sz w:val="24"/>
          <w:szCs w:val="24"/>
        </w:rPr>
      </w:pPr>
      <w:r>
        <w:rPr>
          <w:rFonts w:ascii="Times New Roman Regular" w:hAnsi="Times New Roman Regular" w:cs="Times New Roman Regular"/>
          <w:b/>
          <w:sz w:val="24"/>
          <w:szCs w:val="24"/>
        </w:rPr>
        <w:t>H0:</w:t>
      </w:r>
      <w:r>
        <w:rPr>
          <w:rFonts w:ascii="Times New Roman Regular" w:hAnsi="Times New Roman Regular" w:cs="Times New Roman Regular"/>
          <w:bCs/>
          <w:sz w:val="24"/>
          <w:szCs w:val="24"/>
        </w:rPr>
        <w:t xml:space="preserve"> Climate risk has a significant negative impact on financial performance of licensed universal banks in Ghana.</w:t>
      </w:r>
    </w:p>
    <w:p w14:paraId="362D3470">
      <w:pPr>
        <w:spacing w:line="360" w:lineRule="auto"/>
        <w:jc w:val="both"/>
        <w:rPr>
          <w:rFonts w:ascii="Times New Roman Regular" w:hAnsi="Times New Roman Regular" w:cs="Times New Roman Regular"/>
          <w:bCs/>
          <w:sz w:val="24"/>
          <w:szCs w:val="24"/>
        </w:rPr>
      </w:pPr>
    </w:p>
    <w:p w14:paraId="7F418DDE">
      <w:pPr>
        <w:spacing w:line="360" w:lineRule="auto"/>
        <w:rPr>
          <w:rFonts w:ascii="Times New Roman Regular" w:hAnsi="Times New Roman Regular" w:cs="Times New Roman Regular"/>
          <w:sz w:val="24"/>
          <w:szCs w:val="24"/>
        </w:rPr>
      </w:pPr>
    </w:p>
    <w:p w14:paraId="10EC6E0B">
      <w:pPr>
        <w:spacing w:line="360" w:lineRule="auto"/>
        <w:rPr>
          <w:rFonts w:ascii="Times New Roman Regular" w:hAnsi="Times New Roman Regular" w:cs="Times New Roman Regular"/>
          <w:sz w:val="24"/>
          <w:szCs w:val="24"/>
        </w:rPr>
      </w:pPr>
    </w:p>
    <w:p w14:paraId="59466127">
      <w:pPr>
        <w:pStyle w:val="2"/>
        <w:spacing w:line="360" w:lineRule="auto"/>
        <w:rPr>
          <w:rFonts w:ascii="Times New Roman Regular" w:hAnsi="Times New Roman Regular" w:cs="Times New Roman Regular"/>
          <w:bCs/>
          <w:sz w:val="24"/>
          <w:szCs w:val="24"/>
        </w:rPr>
      </w:pPr>
      <w:bookmarkStart w:id="4" w:name="_Toc156569088"/>
      <w:r>
        <w:rPr>
          <w:rFonts w:ascii="Times New Roman Regular" w:hAnsi="Times New Roman Regular" w:cs="Times New Roman Regular"/>
          <w:bCs/>
          <w:sz w:val="24"/>
          <w:szCs w:val="24"/>
        </w:rPr>
        <w:t xml:space="preserve">2.0 </w:t>
      </w:r>
      <w:bookmarkEnd w:id="4"/>
      <w:r>
        <w:rPr>
          <w:rFonts w:ascii="Times New Roman Regular" w:hAnsi="Times New Roman Regular" w:cs="Times New Roman Regular"/>
          <w:bCs/>
          <w:sz w:val="24"/>
          <w:szCs w:val="24"/>
        </w:rPr>
        <w:t>Literature Review</w:t>
      </w:r>
    </w:p>
    <w:p w14:paraId="7C0A081B">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This section reviews briefly significant concepts, theories and empirical literature by various researchers relating to climate risk, institutional quality and bank performance. </w:t>
      </w:r>
    </w:p>
    <w:p w14:paraId="27E5E613">
      <w:pPr>
        <w:spacing w:line="360" w:lineRule="auto"/>
        <w:contextualSpacing/>
        <w:jc w:val="both"/>
        <w:rPr>
          <w:rFonts w:ascii="Times New Roman Regular" w:hAnsi="Times New Roman Regular" w:cs="Times New Roman Regular"/>
          <w:sz w:val="24"/>
          <w:szCs w:val="24"/>
        </w:rPr>
      </w:pPr>
    </w:p>
    <w:p w14:paraId="39B840E4">
      <w:pPr>
        <w:pStyle w:val="2"/>
        <w:spacing w:line="360" w:lineRule="auto"/>
        <w:rPr>
          <w:rFonts w:ascii="Times New Roman Regular" w:hAnsi="Times New Roman Regular" w:cs="Times New Roman Regular"/>
          <w:sz w:val="24"/>
          <w:szCs w:val="24"/>
        </w:rPr>
      </w:pPr>
      <w:bookmarkStart w:id="5" w:name="_Toc156569089"/>
      <w:r>
        <w:rPr>
          <w:rFonts w:ascii="Times New Roman Regular" w:hAnsi="Times New Roman Regular" w:cs="Times New Roman Regular"/>
          <w:sz w:val="24"/>
          <w:szCs w:val="24"/>
        </w:rPr>
        <w:t>2.1 Concepts Review</w:t>
      </w:r>
      <w:bookmarkEnd w:id="5"/>
      <w:r>
        <w:rPr>
          <w:rFonts w:ascii="Times New Roman Regular" w:hAnsi="Times New Roman Regular" w:cs="Times New Roman Regular"/>
          <w:sz w:val="24"/>
          <w:szCs w:val="24"/>
        </w:rPr>
        <w:t xml:space="preserve"> </w:t>
      </w:r>
    </w:p>
    <w:p w14:paraId="6C9E4A6F">
      <w:pPr>
        <w:pStyle w:val="2"/>
        <w:spacing w:line="360" w:lineRule="auto"/>
        <w:rPr>
          <w:rFonts w:ascii="Times New Roman Regular" w:hAnsi="Times New Roman Regular" w:cs="Times New Roman Regular"/>
          <w:bCs/>
          <w:sz w:val="24"/>
          <w:szCs w:val="24"/>
          <w:lang w:val="en-GB"/>
        </w:rPr>
      </w:pPr>
      <w:bookmarkStart w:id="6" w:name="_Toc156569090"/>
      <w:r>
        <w:rPr>
          <w:rFonts w:ascii="Times New Roman Regular" w:hAnsi="Times New Roman Regular" w:cs="Times New Roman Regular"/>
          <w:bCs/>
          <w:sz w:val="24"/>
          <w:szCs w:val="24"/>
          <w:lang w:val="en-GB"/>
        </w:rPr>
        <w:t>2.1.1 Climate Change and Climate Risk</w:t>
      </w:r>
      <w:bookmarkEnd w:id="6"/>
      <w:r>
        <w:rPr>
          <w:rFonts w:ascii="Times New Roman Regular" w:hAnsi="Times New Roman Regular" w:cs="Times New Roman Regular"/>
          <w:bCs/>
          <w:sz w:val="24"/>
          <w:szCs w:val="24"/>
          <w:lang w:val="en-GB"/>
        </w:rPr>
        <w:t xml:space="preserve"> </w:t>
      </w:r>
    </w:p>
    <w:p w14:paraId="0F9A7BD7">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A climate change is an unusual variation in the weather. This might be a variation in the amount of precipitation that a place receives on a yearly average, or it could be a variation in the temperature that a place experiences on a monthly or seasonal basis (NASA Educational Technology Services, 2018). Social, economic and cultural behaviours are both directly and indirectly impacted by climate change, which has a significant impact on both nature and human activity. According to Maier, Whitehead, and Walter (2018), climate risk is the possibility that a hazardous weather event and its consequences would have an impact on a certain system and the system's vulnerability to those consequences. Addressing climate change and psychology education: An approach to taking action. The possibility that climate change may have a negative impact on natural or human systems is known as climate risk, according to the Intergovernmental Panel on Climate Change (IPPC). It is crucial to comprehend and anticipate how climate change risks may affect economic activity as long as global temperatures are predicted to increase (Dell, Jones, &amp; Olken, 2014). Extreme weather events have a direct impact on businesses including mining, forestry, fisheries, and agriculture since these sectors are susceptible to climate change. Because the market may connect all sectors, industries like banking that rely less on the environment are equally impacted by climate change (Sun et al., 2020).</w:t>
      </w:r>
    </w:p>
    <w:p w14:paraId="348D8FCB">
      <w:pPr>
        <w:spacing w:line="360" w:lineRule="auto"/>
        <w:jc w:val="both"/>
        <w:rPr>
          <w:rFonts w:ascii="Times New Roman Regular" w:hAnsi="Times New Roman Regular" w:cs="Times New Roman Regular"/>
          <w:sz w:val="24"/>
          <w:szCs w:val="24"/>
          <w:lang w:val="en-GB"/>
        </w:rPr>
      </w:pPr>
    </w:p>
    <w:p w14:paraId="35D22A6D">
      <w:pPr>
        <w:pStyle w:val="2"/>
        <w:spacing w:line="360" w:lineRule="auto"/>
        <w:rPr>
          <w:rFonts w:ascii="Times New Roman Regular" w:hAnsi="Times New Roman Regular" w:cs="Times New Roman Regular"/>
          <w:sz w:val="24"/>
          <w:szCs w:val="24"/>
          <w:lang w:val="en-GB"/>
        </w:rPr>
      </w:pPr>
      <w:bookmarkStart w:id="7" w:name="_Toc156569091"/>
      <w:r>
        <w:rPr>
          <w:rFonts w:ascii="Times New Roman Regular" w:hAnsi="Times New Roman Regular" w:cs="Times New Roman Regular"/>
          <w:sz w:val="24"/>
          <w:szCs w:val="24"/>
          <w:lang w:val="en-GB"/>
        </w:rPr>
        <w:t>2.1.2 Categories of Climate Risks</w:t>
      </w:r>
      <w:bookmarkEnd w:id="7"/>
    </w:p>
    <w:p w14:paraId="5AB25C9B">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 xml:space="preserve">The literature on climate risk classifies climate risks into two parts (Lee et al. 2022). The first strand of literature makes the claim that climate risk directly harms society and the economy via physical channels, known as physical risks. Physical risks are risks related to physical changes brought on by climate changes. The US Environmental Protection Agency claims these risks may be either acute or chronic physical risks. According to Mazmanian, Jurewitz &amp; Nelson (2020), acute physical risks are defined as those that are triggered by specific occurrences, such as heightened intensity of severe weather events like hurricanes, cyclones, heat waves, or floods. Acute physical risks might result in lower income from fewer units produced due to supply chain disruptions and transportation issues. Chronic physical risks" refers to longer-term changes in climate patterns, such as persistently high temperatures, rising sea levels, altered precipitation patterns, which may result in heat waves or sea level rise (Lavell et al., 2012; Pinchot et al., 2021). Chronic hazards lead to higher capital and operational costs because they might cause infrastructure damage or insufficient water supply for hydropower plants or nuclear and fossil fuel plants to cool down. Changes in water availability, sourcing, and quality, as well as food security and significant temperature fluctuations, may impact the financial performance of firms. These changes can influence all aspects of organizations, including their premises, operations, supply chain, transportation requirements, and employee safety. Burke et al. (2015) observe a non-linear link between global temperature and economic development, for instance, noting that when the global temperature rises over 13 °C, economic growth dramatically decreases. In a similar vein, Kahn et al. (2021) claim that in addition to hindering global economic development, a rise in temperature of 0.04°C per year without mitigation measures might result minimising more than 7% in the real global GDP per capita. </w:t>
      </w:r>
    </w:p>
    <w:p w14:paraId="07978B51">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The second category of research on climate risk argues that climate risk has an indirect impact in the form of transition hazards. Transition risks refer to the potential challenges that arise from an organization's ability to effectively and efficiently manage and adapt to both internal and external changes in order to decrease greenhouse gas emissions and shift towards renewable energy sources. The process of transitioning necessitates the implementation of governmental and legislative measures, technological advancements, and market adjustments to effectively satisfy the needs for both mitigating and adapting to climate change. The level of risk and financial consequences resulting from policy changes are contingent upon the characteristics and timing of these policy alterations. As the magnitude of loss and damage resulting from climate change expands, the probability of facing legal action is also expected to rise. Causes for such legal action including the organizations' negligence in reducing the effects of climate change, their inability to adjust to climate change, and their inadequate disclosure of significant financial risks. Furthermore, the adoption of technology advancements or breakthroughs that facilitate the shift towards a more sustainable, energy-efficient economic framework may greatly influence enterprises. Carbon risk is the most prevalent kind of transition risk. Pinchot et al. (2021) analyze the impact of Australia's involvement in the Kyoto Protocol, which requires the nation to cut carbon emissions. They find that enterprises, especially those with high carbon emissions, have more financial difficulties, leading to a reduction in the leverage ratio.</w:t>
      </w:r>
    </w:p>
    <w:p w14:paraId="5BC85035">
      <w:pPr>
        <w:spacing w:line="360" w:lineRule="auto"/>
        <w:jc w:val="both"/>
        <w:rPr>
          <w:rFonts w:ascii="Times New Roman Regular" w:hAnsi="Times New Roman Regular" w:cs="Times New Roman Regular"/>
          <w:b/>
          <w:bCs/>
          <w:sz w:val="24"/>
          <w:szCs w:val="24"/>
          <w:lang w:val="en-GB"/>
        </w:rPr>
      </w:pPr>
    </w:p>
    <w:p w14:paraId="2EB9DA6C">
      <w:pPr>
        <w:pStyle w:val="2"/>
        <w:spacing w:line="360" w:lineRule="auto"/>
        <w:rPr>
          <w:rFonts w:ascii="Times New Roman Regular" w:hAnsi="Times New Roman Regular" w:cs="Times New Roman Regular"/>
          <w:sz w:val="24"/>
          <w:szCs w:val="24"/>
          <w:lang w:val="en-GB"/>
        </w:rPr>
      </w:pPr>
      <w:bookmarkStart w:id="8" w:name="_Toc156569092"/>
      <w:r>
        <w:rPr>
          <w:rFonts w:ascii="Times New Roman Regular" w:hAnsi="Times New Roman Regular" w:cs="Times New Roman Regular"/>
          <w:sz w:val="24"/>
          <w:szCs w:val="24"/>
          <w:lang w:val="en-GB"/>
        </w:rPr>
        <w:t>2.1.2 Climate Risks in the Context of Banking</w:t>
      </w:r>
      <w:bookmarkEnd w:id="8"/>
      <w:r>
        <w:rPr>
          <w:rFonts w:ascii="Times New Roman Regular" w:hAnsi="Times New Roman Regular" w:cs="Times New Roman Regular"/>
          <w:sz w:val="24"/>
          <w:szCs w:val="24"/>
          <w:lang w:val="en-GB"/>
        </w:rPr>
        <w:t xml:space="preserve"> </w:t>
      </w:r>
    </w:p>
    <w:p w14:paraId="2AFD1A8E">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Climate risks may significantly affect financial services, particularly banking services. Physical risk drivers, which may be either immediate or long-term, interact with transition risk drivers to convey climate-related financial dangers via various microeconomic and macroeconomic channels of transmission. These risks differ based on geographical differences, factors that increase or decrease financial and economic conditions, and often manifest as credit, market, liquidity, and operational risks. Climate risk may affect credit risk by directly or indirectly exposing borrowers to a decline in their capacity to repay loans. This can result in increased chances of default and larger losses in the event of default.</w:t>
      </w:r>
    </w:p>
    <w:p w14:paraId="4AF091B4">
      <w:pPr>
        <w:spacing w:line="360" w:lineRule="auto"/>
        <w:jc w:val="both"/>
        <w:rPr>
          <w:rFonts w:ascii="Times New Roman Regular" w:hAnsi="Times New Roman Regular" w:cs="Times New Roman Regular"/>
          <w:sz w:val="24"/>
          <w:szCs w:val="24"/>
          <w:lang w:val="en-GB"/>
        </w:rPr>
      </w:pPr>
    </w:p>
    <w:p w14:paraId="0A12713F">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 xml:space="preserve">Climate-related risks have the potential to initiate risks in the financial market. Financial assets may be affected by a change in investors' perception of profitability if there is a sudden transition with a significant number of assets becoming obsolete. This decline in market value might lead to forced sales at significantly reduced prices, perhaps triggering a severe financial disaster. Banks face market risk in addition to climate risk. Banks that would have negative impacts on their balance sheet due to credit and market concerns may face difficulties in obtaining short-term refinancing, which might possibly create tensions in the interbank lending market. Climate risk may have an influence on the operational risk of banks. If banks face physical hazards that pose a threat to their offices or data centers, they may experience alterations in their operational procedures and an impact on other institutions in their value chain. Fig 1 : The graphic below illustrates the influence of climate hazards on the financial services sector. </w:t>
      </w:r>
    </w:p>
    <w:p w14:paraId="008F42FA">
      <w:pPr>
        <w:spacing w:line="360" w:lineRule="auto"/>
        <w:jc w:val="both"/>
        <w:rPr>
          <w:rFonts w:ascii="Times New Roman Regular" w:hAnsi="Times New Roman Regular" w:cs="Times New Roman Regular"/>
          <w:b/>
          <w:bCs/>
          <w:sz w:val="24"/>
          <w:szCs w:val="24"/>
          <w:lang w:val="en-GB"/>
        </w:rPr>
      </w:pPr>
      <w:r>
        <w:rPr>
          <w:rFonts w:ascii="Times New Roman Regular" w:hAnsi="Times New Roman Regular" w:cs="Times New Roman Regular"/>
          <w:sz w:val="24"/>
          <w:szCs w:val="24"/>
          <w:lang w:eastAsia="en-US"/>
        </w:rPr>
        <w:drawing>
          <wp:inline distT="0" distB="0" distL="0" distR="0">
            <wp:extent cx="5814060" cy="4103370"/>
            <wp:effectExtent l="0" t="0" r="25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5887759" cy="4155617"/>
                    </a:xfrm>
                    <a:prstGeom prst="rect">
                      <a:avLst/>
                    </a:prstGeom>
                  </pic:spPr>
                </pic:pic>
              </a:graphicData>
            </a:graphic>
          </wp:inline>
        </w:drawing>
      </w:r>
    </w:p>
    <w:p w14:paraId="13091012">
      <w:pPr>
        <w:spacing w:line="360" w:lineRule="auto"/>
        <w:jc w:val="both"/>
        <w:rPr>
          <w:rFonts w:ascii="Times New Roman Regular" w:hAnsi="Times New Roman Regular" w:eastAsia="Calibri" w:cs="Times New Roman Regular"/>
          <w:b/>
          <w:sz w:val="24"/>
          <w:szCs w:val="24"/>
        </w:rPr>
      </w:pPr>
      <w:r>
        <w:rPr>
          <w:rFonts w:ascii="Times New Roman Regular" w:hAnsi="Times New Roman Regular" w:cs="Times New Roman Regular"/>
          <w:b/>
          <w:bCs/>
          <w:sz w:val="24"/>
          <w:szCs w:val="24"/>
          <w:lang w:val="en-GB"/>
        </w:rPr>
        <w:t xml:space="preserve">Source: </w:t>
      </w:r>
      <w:r>
        <w:rPr>
          <w:rFonts w:ascii="Times New Roman Regular" w:hAnsi="Times New Roman Regular" w:eastAsia="Calibri" w:cs="Times New Roman Regular"/>
          <w:b/>
          <w:sz w:val="24"/>
          <w:szCs w:val="24"/>
        </w:rPr>
        <w:t>Source: Delloitte, 2026</w:t>
      </w:r>
    </w:p>
    <w:p w14:paraId="5DBA2C33">
      <w:pPr>
        <w:spacing w:line="360" w:lineRule="auto"/>
        <w:rPr>
          <w:rFonts w:ascii="Times New Roman Regular" w:hAnsi="Times New Roman Regular" w:cs="Times New Roman Regular"/>
          <w:b/>
          <w:bCs/>
          <w:sz w:val="24"/>
          <w:szCs w:val="24"/>
          <w:lang w:val="en-GB"/>
        </w:rPr>
      </w:pPr>
    </w:p>
    <w:p w14:paraId="4A3E8591">
      <w:pPr>
        <w:pStyle w:val="2"/>
        <w:spacing w:line="360" w:lineRule="auto"/>
        <w:rPr>
          <w:rFonts w:ascii="Times New Roman Regular" w:hAnsi="Times New Roman Regular" w:cs="Times New Roman Regular"/>
          <w:sz w:val="24"/>
          <w:szCs w:val="24"/>
          <w:lang w:val="en-GB"/>
        </w:rPr>
      </w:pPr>
      <w:bookmarkStart w:id="9" w:name="_Toc156569093"/>
      <w:r>
        <w:rPr>
          <w:rFonts w:ascii="Times New Roman Regular" w:hAnsi="Times New Roman Regular" w:cs="Times New Roman Regular"/>
          <w:sz w:val="24"/>
          <w:szCs w:val="24"/>
          <w:lang w:val="en-GB"/>
        </w:rPr>
        <w:t>2.1.3 Measures of Climate Risk</w:t>
      </w:r>
      <w:bookmarkEnd w:id="9"/>
    </w:p>
    <w:p w14:paraId="5B96F686">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Climate risk measures can be categorized into two: The study by Salisu and Oloko (2023) examines two types of measures: those that are influenced by weather conditions and those that are influenced by weather-related losses. Measures based on weather conditions primarily emphasize the physical aspects of climate risk, such as heat waves, intense rainfall, drought, and tropical cyclones (Wiklund, 2023). Temperature and other connected variables are commonly used to measure and assess climate risk. Bressan &amp; Romagnoli (2021) assessed climate risk by using temperature as a metric while investigating the effectiveness of weather and climate derivatives as instruments for managing risk. Furthermore, Shenng et al. (2022) and Shenng, Gupta &amp; Cepnii (2022), measured climate risk by temperature when they were examining the influence of climatic hazards on the economic operations of certain states in the United States.</w:t>
      </w:r>
    </w:p>
    <w:p w14:paraId="497C4D45">
      <w:pPr>
        <w:spacing w:line="360" w:lineRule="auto"/>
        <w:jc w:val="both"/>
        <w:rPr>
          <w:rFonts w:ascii="Times New Roman Regular" w:hAnsi="Times New Roman Regular" w:cs="Times New Roman Regular"/>
          <w:sz w:val="24"/>
          <w:szCs w:val="24"/>
          <w:lang w:val="en-GB"/>
        </w:rPr>
      </w:pPr>
    </w:p>
    <w:p w14:paraId="40AD1AB2">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Weather-related indicators take into account indications of financial damages  as well as casualties (such as the number of deaths) caused by extreme weather occurrences. Extreme weather occurrences typically inflict physical harm to the environment, as well as negative implications for socioeconomic activity. Such losses and interruptions will have a detrimental impact on corporate economic gains (Huang, Kerstein &amp; 2018). Measures of weather-related loss account for both the transition and physical consequences of climate change, as well as other direct impacts on peoples’ lives. While physical risk can be defined as material damage to the environment directly caused by natural disasters, for example, droughts, forest fires, hurricanes and floods, the transition effects of climate change are considered to be the aftermath of these environmental transformations in the form of adaptation and sudden policy action (Ren et al., 2022).</w:t>
      </w:r>
    </w:p>
    <w:p w14:paraId="4BE5F535">
      <w:pPr>
        <w:spacing w:line="360" w:lineRule="auto"/>
        <w:jc w:val="both"/>
        <w:rPr>
          <w:rFonts w:ascii="Times New Roman Regular" w:hAnsi="Times New Roman Regular" w:cs="Times New Roman Regular"/>
          <w:sz w:val="24"/>
          <w:szCs w:val="24"/>
          <w:lang w:val="en-GB"/>
        </w:rPr>
      </w:pPr>
    </w:p>
    <w:p w14:paraId="4FFCC43A">
      <w:pPr>
        <w:spacing w:line="360" w:lineRule="auto"/>
        <w:jc w:val="both"/>
        <w:rPr>
          <w:rFonts w:ascii="Times New Roman Regular" w:hAnsi="Times New Roman Regular" w:cs="Times New Roman Regular"/>
          <w:sz w:val="24"/>
          <w:szCs w:val="24"/>
          <w:lang w:val="en-GB"/>
        </w:rPr>
      </w:pPr>
      <w:r>
        <w:rPr>
          <w:rFonts w:ascii="Times New Roman Regular" w:hAnsi="Times New Roman Regular" w:cs="Times New Roman Regular"/>
          <w:sz w:val="24"/>
          <w:szCs w:val="24"/>
          <w:lang w:val="en-GB"/>
        </w:rPr>
        <w:t xml:space="preserve">The Climate Risk Index, created by Germanwatch and documented in Eckstein et al. (2021), is a significant climate risk assessment that encompasses the tangible and transformative influences of climate change. The index primarily evaluates the extent of harm inflicted by severe climatic occurrences, such as hurricanes, droughts, and heat waves, in various regions and countries. This index tends to be more beneficial for creating climate change strategies at both the national and worldwide, and it looks to be more suited for country-specific analysis. This study employs Global Climate Risk Index as a measure of climate risk. </w:t>
      </w:r>
    </w:p>
    <w:p w14:paraId="2F00B3F9">
      <w:pPr>
        <w:spacing w:line="360" w:lineRule="auto"/>
        <w:rPr>
          <w:rFonts w:ascii="Times New Roman Regular" w:hAnsi="Times New Roman Regular" w:cs="Times New Roman Regular"/>
          <w:sz w:val="24"/>
          <w:szCs w:val="24"/>
        </w:rPr>
      </w:pPr>
    </w:p>
    <w:p w14:paraId="49051533">
      <w:pPr>
        <w:pStyle w:val="2"/>
        <w:spacing w:line="360" w:lineRule="auto"/>
        <w:rPr>
          <w:rFonts w:ascii="Times New Roman Regular" w:hAnsi="Times New Roman Regular" w:cs="Times New Roman Regular"/>
          <w:sz w:val="24"/>
          <w:szCs w:val="24"/>
        </w:rPr>
      </w:pPr>
      <w:bookmarkStart w:id="10" w:name="_Toc156569095"/>
      <w:r>
        <w:rPr>
          <w:rFonts w:ascii="Times New Roman Regular" w:hAnsi="Times New Roman Regular" w:cs="Times New Roman Regular"/>
          <w:sz w:val="24"/>
          <w:szCs w:val="24"/>
        </w:rPr>
        <w:t>2.1.4 Bank Performance</w:t>
      </w:r>
      <w:bookmarkEnd w:id="10"/>
      <w:r>
        <w:rPr>
          <w:rFonts w:ascii="Times New Roman Regular" w:hAnsi="Times New Roman Regular" w:cs="Times New Roman Regular"/>
          <w:sz w:val="24"/>
          <w:szCs w:val="24"/>
        </w:rPr>
        <w:t xml:space="preserve"> </w:t>
      </w:r>
    </w:p>
    <w:p w14:paraId="630B12C7">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In the simplest form, performance of a bank is described as the accomplishment of the bank's goals within the predetermined timeframe, at the lowest possible cost, and with the best use of the available resources (Hajer and Anis, 2018). Performance for a manager may take many different forms, such as profitability, competitiveness for the company or the individual, the work environment, or the standard of services offered to clients. Performance measurement acts as a technique of directing people and inspiring them to perform, just like any other control and management function does. As a result, while measuring performance is the first step in improving performance, improvement cannot occur without a mechanism to obtain feedback on performance. There are two distinct types of performance measurement: financial and non-financial. While non-financial performance measurement is focused on the factors that influence the results, financial performance measurement is focused on the outcomes or results (Dossi and Patelli, 2010).  The financial performance of a company is indicative of the efficiency with which it generates profits from the resources it employs in its core business. Additionally, financial performance is employed as a general gauge of an organization's long-term financial health. Investors are informed about a bank's overall health by its financial performance. It paints a picture of the management's effectiveness and the state of the economy. The main financial performance metrics of banks include interest income, net interest margin, earnings per share, return on equity, and return on assets (Alshatti, 2015; Nuhiu, Hoti and Bektashi, 2017; Zhongming, Frimpong and Guoping, 2019). Non-financial performance measures convey performance in terms other than money. Non-financial performance measurements are those that offer performance information in non-monetary terms, such as market share, customer happiness, innovation or new product creation, and staff attrition (Sadek et al., 2012; Marie, Ibrahim and Al Nasser, 2014; Kori, Muathe and Maina, 2020).</w:t>
      </w:r>
    </w:p>
    <w:p w14:paraId="3ADC408C">
      <w:pPr>
        <w:spacing w:line="360" w:lineRule="auto"/>
        <w:contextualSpacing/>
        <w:jc w:val="both"/>
        <w:rPr>
          <w:rFonts w:ascii="Times New Roman Regular" w:hAnsi="Times New Roman Regular" w:cs="Times New Roman Regular"/>
          <w:sz w:val="24"/>
          <w:szCs w:val="24"/>
        </w:rPr>
      </w:pPr>
    </w:p>
    <w:p w14:paraId="2EA5160C">
      <w:pPr>
        <w:pStyle w:val="2"/>
        <w:spacing w:line="360" w:lineRule="auto"/>
        <w:rPr>
          <w:rFonts w:ascii="Times New Roman Regular" w:hAnsi="Times New Roman Regular" w:cs="Times New Roman Regular"/>
          <w:sz w:val="24"/>
          <w:szCs w:val="24"/>
        </w:rPr>
      </w:pPr>
      <w:bookmarkStart w:id="11" w:name="_Toc156569098"/>
      <w:r>
        <w:rPr>
          <w:rFonts w:ascii="Times New Roman Regular" w:hAnsi="Times New Roman Regular" w:cs="Times New Roman Regular"/>
          <w:sz w:val="24"/>
          <w:szCs w:val="24"/>
        </w:rPr>
        <w:t>2.3 Empirical Review</w:t>
      </w:r>
      <w:bookmarkEnd w:id="11"/>
      <w:r>
        <w:rPr>
          <w:rFonts w:ascii="Times New Roman Regular" w:hAnsi="Times New Roman Regular" w:cs="Times New Roman Regular"/>
          <w:sz w:val="24"/>
          <w:szCs w:val="24"/>
        </w:rPr>
        <w:t xml:space="preserve"> </w:t>
      </w:r>
    </w:p>
    <w:p w14:paraId="0E4BA660">
      <w:pPr>
        <w:pStyle w:val="2"/>
        <w:spacing w:line="360" w:lineRule="auto"/>
        <w:rPr>
          <w:rFonts w:ascii="Times New Roman Regular" w:hAnsi="Times New Roman Regular" w:cs="Times New Roman Regular"/>
          <w:sz w:val="24"/>
          <w:szCs w:val="24"/>
        </w:rPr>
      </w:pPr>
      <w:bookmarkStart w:id="12" w:name="_Toc156569099"/>
      <w:r>
        <w:rPr>
          <w:rFonts w:ascii="Times New Roman Regular" w:hAnsi="Times New Roman Regular" w:cs="Times New Roman Regular"/>
          <w:sz w:val="24"/>
          <w:szCs w:val="24"/>
        </w:rPr>
        <w:t>2.3.1 Climate Risk and Financial Performance</w:t>
      </w:r>
      <w:bookmarkEnd w:id="12"/>
      <w:r>
        <w:rPr>
          <w:rFonts w:ascii="Times New Roman Regular" w:hAnsi="Times New Roman Regular" w:cs="Times New Roman Regular"/>
          <w:sz w:val="24"/>
          <w:szCs w:val="24"/>
        </w:rPr>
        <w:t xml:space="preserve"> </w:t>
      </w:r>
    </w:p>
    <w:p w14:paraId="073A6674">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 xml:space="preserve">Climate change and climate risk have long been recognized as having a significant influence on a country's economic performance and the financial performance and viability of its firms. (Michalisin &amp; Stinchfield, 2010; Dell et al., 2014; Pan &amp; Qiu, 2022; Ozkan, Temiz, &amp; Yildiz, 2023). A critical review of extant literature shows the following empirical results. </w:t>
      </w:r>
    </w:p>
    <w:p w14:paraId="66791EBE">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 xml:space="preserve">Cevik &amp; Miryugin (2023) made a research contribution by conducting an analysis on the impact of climate change susceptibility on the performance of over 3.3 million nonfinancial enterprises across 24 countries from 1997 to 2019. The dataset utilized to assess climate change susceptibility was obtained from the Notre Dame Global Adaptation Institute (ND-GAIN), with a comprehensive consideration of macroeconomic factors and firm characteristics. Climate change susceptibility has a statistically significant effect on a variety of firm performance indicators, including leverage, interest burden, profitability, and total factor productivity (TFP), according to empirical findings. Access to debt financing for nonfinancial firms operating in countries with greater vulnerability to climate change is typically more difficult to obtain, even at higher interest rates, compared to firms operating in countries with lower vulnerability to climate change. Furthermore, these firms tend to be less productive and profitable. In conclusion, although climate change is unavoidable, policymakers can strengthen structural and financial resilience to withstand disruptions to economic activity, reduce the financial burden on private firms, and generate development opportunities. </w:t>
      </w:r>
    </w:p>
    <w:p w14:paraId="4F9D5E7A">
      <w:pPr>
        <w:pStyle w:val="9"/>
        <w:spacing w:line="360" w:lineRule="auto"/>
        <w:contextualSpacing/>
        <w:rPr>
          <w:rFonts w:ascii="Times New Roman Regular" w:hAnsi="Times New Roman Regular" w:cs="Times New Roman Regular"/>
          <w:szCs w:val="24"/>
        </w:rPr>
      </w:pPr>
    </w:p>
    <w:p w14:paraId="633E4709">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lang w:val="en-US"/>
        </w:rPr>
        <w:t>Huang, Kerstein, and Wang (2017) conducted an international study to examine the effect of climate risk on financing and performance decisions. The study discovered, through the use of the Germanwatch-compiled and published Global Climate Risk Index, that significant cyclones, heatwaves, and floods increase the volatility of firms' cash flows and earnings. Businesses are more likely to maintain cash reserves in nations with unfavorable weather conditions as a means of bolstering their organizational resilience against weather-related obstacles and generating financial flexibility. Additionally, these businesses have a propensity to distribute fewer cash dividends and to have a greater long-term debt to short-term debt ratio.</w:t>
      </w:r>
    </w:p>
    <w:p w14:paraId="67380081">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Moyo and Wingard (2015) evaluated how climate change affected South African companies' financial performance.  The goal of the study was to determine how much financial performance is impacted by climate change response. The study revealed that there is a favorable and statistically significant association between climate-change performance and financial performance.</w:t>
      </w:r>
    </w:p>
    <w:p w14:paraId="6A7845B4">
      <w:pPr>
        <w:pStyle w:val="9"/>
        <w:spacing w:line="360" w:lineRule="auto"/>
        <w:contextualSpacing/>
        <w:rPr>
          <w:rFonts w:ascii="Times New Roman Regular" w:hAnsi="Times New Roman Regular" w:cs="Times New Roman Regular"/>
          <w:szCs w:val="24"/>
          <w:lang w:val="en-US"/>
        </w:rPr>
      </w:pPr>
      <w:r>
        <w:rPr>
          <w:rFonts w:ascii="Times New Roman Regular" w:hAnsi="Times New Roman Regular" w:cs="Times New Roman Regular"/>
          <w:szCs w:val="24"/>
          <w:lang w:val="en-US"/>
        </w:rPr>
        <w:t>Sun et al. (2020) conducted a study on the nexus between climate change risks and financial performance of listed mining firms in China. The primary goal of the study was to examine the direct and indirect mechanisms through which climate change risks affect company financial results. The article also used a novel data set, a climate risk indicator with five different categories of climate risks to examine the impact of climate risks on China's mineral listed companies. Based on the findings, a relationship was observed between climate change and financial performance of mining companies. Different resource types provide different risks for mining firms when it comes to climate change. According to this study, the financial performance of mining firms is impacted by climate change risks in both positive and negative ways. To enhance their brand value and provide new competitive advantages for sustained growth, mining businesses have to take proactive measures to execute low-carbon policies and release emission information in response to the concerns posed by climate change.</w:t>
      </w:r>
    </w:p>
    <w:p w14:paraId="2316F95D">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lang w:val="en-US"/>
        </w:rPr>
        <w:t>A study was carried out by Luan et al. (2022) who examined the relationship between climate risk and enterprise performance. Chinese A-listed businesses from 2004 to 2018 were chosen as a sample in this research. The research discovered that the return on assets of businesses is greatly lowered by the total loss caused by meteorological disasters, the most evident of which are downpour, drought, gale, hail, and lightning catastrophes. Furthermore, the typhoon's effects on the provinces will have a significant impact on the return on business assets. most noticeable. The research also suggests that companies with a diversified portfolio would be less susceptible to natural disasters and will assume a lesser portion of the climate risk.</w:t>
      </w:r>
    </w:p>
    <w:p w14:paraId="436918A3">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Gurai, Gianfrancesco &amp; Vioto (2023) investigated the connection between US banks' and insurers' financial systemic risk and climate change. The first objective was to determine if, how much, and how soon US banking and insurance sectors' systemic risk responds to billion-dollar weather-related climate catastrophes. The research shows that some severe occurrences might increase the danger to the financial system and offer. Second, using quantile regressions, the research examined the relationship between the systemic risk of the two US financial sectors and the performance of the green and brown market indices. Higher green index levels, with a rising magnitude in tail circumstances, were shown to minimize systemic risk more than a rise in brown indexes. The study's findings support the need for proper policies to be adopted in order to counteract the increase in the frequency and severity of climate catastrophes.</w:t>
      </w:r>
    </w:p>
    <w:p w14:paraId="31E2F35E">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Using data from 56 countries between 1995 and 2012, Lee et al. (2022) investigated how climate risk affected the creation of bank liquidity. In particular, it looks at whether bank and country factors affect the relationship between climate risk and bank liquidity creation. According to the research, Climate adaptation has a positive impact on overall liquidity creation, while climate sensitivity and exposure have a negative effect. According to the study, these effects are especially bad for larger banks with less capital, banks located in emerging and lower-GDP countries, and banks in Asia.</w:t>
      </w:r>
    </w:p>
    <w:p w14:paraId="6A9F21EE">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A study was conducted by Dafermo, Nikolaidi &amp; Galanis (2018) to examine the relationship between monetary policy, climate change, and financial stability through the lens of the stock-flow ecological macroeconomic model. Four pivotal findings emerged from their research. Climate change is anticipated to progressively undermine the liquidity of businesses by eradicating their capital and diminishing their profitability. This, in turn, may result in an increased default rate, which has the potential to negatively impact both the financial and non-financial corporate sectors. Secondly, portfolio reallocations prompted by climate change damages may result in a progressive decline in the value of corporate bonds. Furthermore, the expansion of credit could be negatively impacted by climate-induced financial instability, which could further intensify the adverse effects of climate change on economic activity. Furthermore, the adoption of an environmentally friendly quantitative easing (QE) program by corporations has the potential to mitigate climate-induced financial instability and curtail the acceleration of global warming.</w:t>
      </w:r>
    </w:p>
    <w:p w14:paraId="75E59DEB">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Physical channels through which climate risks influence corporate activities and decisions have been empirically demonstrated to disrupt business performance and decisions. As a precaution against climate change, Huang et al. (2018) discovered that climate-related weather events, particularly heat waves, floods, and cyclones, can increase the volatility of a company's earnings and prompt it to retain more capital, reduce dividend payments, and increase long-term obligations. In line with this, Javadi &amp; Masum (2021) establish that drought risk is significantly positively correlated with an increase in the cost of financing for U.S. companies.</w:t>
      </w:r>
    </w:p>
    <w:p w14:paraId="04E8473F">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Dietz et al. (2016) looked at the physical effects of climate change on the financial system quantitatively. They use the climate value at framework in addition to a typical integrated assessment model. Dietz et al. (2016) assert that a changing environment may result in lower dividend payments from businesses and, therefore, lower prices for financial assets. According to these research, climate risk has the potential to negatively impact the banking industry and have an impact on decisions.</w:t>
      </w:r>
    </w:p>
    <w:p w14:paraId="5E01ED90">
      <w:pPr>
        <w:pStyle w:val="9"/>
        <w:spacing w:line="360" w:lineRule="auto"/>
        <w:contextualSpacing/>
        <w:rPr>
          <w:rFonts w:ascii="Times New Roman Regular" w:hAnsi="Times New Roman Regular" w:cs="Times New Roman Regular"/>
          <w:szCs w:val="24"/>
        </w:rPr>
      </w:pPr>
      <w:r>
        <w:rPr>
          <w:rFonts w:ascii="Times New Roman Regular" w:hAnsi="Times New Roman Regular" w:cs="Times New Roman Regular"/>
          <w:szCs w:val="24"/>
        </w:rPr>
        <w:t>Giang et al. (2021) looked at the relationship between listed industrial companies in Vietnam's financial performance and the risks associated with climate change. Through the use of control variables and an econometric regression model, this research examines the link between climate change risk and corporate performance using both quantitative and qualitative methodologies. The data was taken from 144 listed firms between 2015–2019. This empirical analysis revealed a relationship between industrial businesses' financial performance and climate change. The findings suggest that financial performance is negatively impacted by climate change. There exists a noteworthy and adverse association between humidity risk and the financial performance of corporations. Nonetheless, several independent factors, including rainfall, daylight hours, and temperature, have very little effect on financial performance.</w:t>
      </w:r>
    </w:p>
    <w:p w14:paraId="0B039790">
      <w:pPr>
        <w:pStyle w:val="9"/>
        <w:spacing w:line="360" w:lineRule="auto"/>
        <w:contextualSpacing/>
        <w:rPr>
          <w:rFonts w:ascii="Times New Roman Regular" w:hAnsi="Times New Roman Regular" w:cs="Times New Roman Regular"/>
          <w:szCs w:val="24"/>
        </w:rPr>
      </w:pPr>
    </w:p>
    <w:p w14:paraId="23DA3885">
      <w:pPr>
        <w:pStyle w:val="9"/>
        <w:spacing w:line="360" w:lineRule="auto"/>
        <w:ind w:firstLine="2402" w:firstLineChars="1000"/>
        <w:contextualSpacing/>
        <w:rPr>
          <w:rFonts w:ascii="Times New Roman Regular" w:hAnsi="Times New Roman Regular" w:cs="Times New Roman Regular"/>
          <w:b/>
          <w:bCs/>
          <w:szCs w:val="24"/>
        </w:rPr>
      </w:pPr>
      <w:r>
        <w:rPr>
          <w:rFonts w:ascii="Times New Roman Regular" w:hAnsi="Times New Roman Regular" w:cs="Times New Roman Regular"/>
          <w:b/>
          <w:bCs/>
          <w:szCs w:val="24"/>
        </w:rPr>
        <w:t>Fig 2 : Conceptual Framework</w:t>
      </w:r>
    </w:p>
    <w:p w14:paraId="05B70B8E">
      <w:pPr>
        <w:spacing w:line="360" w:lineRule="auto"/>
        <w:rPr>
          <w:rFonts w:ascii="Times New Roman Regular" w:hAnsi="Times New Roman Regular" w:cs="Times New Roman Regular"/>
          <w:sz w:val="24"/>
          <w:szCs w:val="24"/>
        </w:rPr>
      </w:pPr>
      <w:r>
        <w:rPr>
          <w:rFonts w:ascii="Times New Roman Regular" w:hAnsi="Times New Roman Regular" w:eastAsia="Calibri" w:cs="Times New Roman Regular"/>
          <w:b/>
          <w:bCs/>
          <w:sz w:val="24"/>
          <w:szCs w:val="24"/>
          <w:lang w:eastAsia="en-US"/>
        </w:rPr>
        <mc:AlternateContent>
          <mc:Choice Requires="wps">
            <w:drawing>
              <wp:anchor distT="0" distB="0" distL="114300" distR="114300" simplePos="0" relativeHeight="251659264" behindDoc="0" locked="0" layoutInCell="1" allowOverlap="1">
                <wp:simplePos x="0" y="0"/>
                <wp:positionH relativeFrom="column">
                  <wp:posOffset>-596265</wp:posOffset>
                </wp:positionH>
                <wp:positionV relativeFrom="paragraph">
                  <wp:posOffset>88900</wp:posOffset>
                </wp:positionV>
                <wp:extent cx="2128520" cy="1381760"/>
                <wp:effectExtent l="6350" t="6350" r="24130" b="8890"/>
                <wp:wrapNone/>
                <wp:docPr id="3" name="Rounded Rectangle 2"/>
                <wp:cNvGraphicFramePr/>
                <a:graphic xmlns:a="http://schemas.openxmlformats.org/drawingml/2006/main">
                  <a:graphicData uri="http://schemas.microsoft.com/office/word/2010/wordprocessingShape">
                    <wps:wsp>
                      <wps:cNvSpPr/>
                      <wps:spPr>
                        <a:xfrm>
                          <a:off x="0" y="0"/>
                          <a:ext cx="2128520" cy="1381760"/>
                        </a:xfrm>
                        <a:prstGeom prst="roundRect">
                          <a:avLst/>
                        </a:prstGeom>
                        <a:solidFill>
                          <a:sysClr val="window" lastClr="FFFFFF"/>
                        </a:solidFill>
                        <a:ln w="12700" cap="flat" cmpd="sng" algn="ctr">
                          <a:solidFill>
                            <a:srgbClr val="ED7D31"/>
                          </a:solidFill>
                          <a:prstDash val="solid"/>
                          <a:miter lim="800000"/>
                        </a:ln>
                        <a:effectLst/>
                      </wps:spPr>
                      <wps:txbx>
                        <w:txbxContent>
                          <w:p w14:paraId="16072EA3">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C94E946">
                            <w:pPr>
                              <w:pStyle w:val="8"/>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2" o:spid="_x0000_s1026" o:spt="2" style="position:absolute;left:0pt;margin-left:-46.95pt;margin-top:7pt;height:108.8pt;width:167.6pt;z-index:251659264;v-text-anchor:middle;mso-width-relative:page;mso-height-relative:page;" fillcolor="#FFFFFF" filled="t" stroked="t" coordsize="21600,21600" arcsize="0.166666666666667" o:gfxdata="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8KRyHYAAAACgEA&#10;AA8AAAAAAAAAAQAgAAAAIgAAAGRycy9kb3ducmV2LnhtbFBLAQIUABQAAAAIAIdO4kA3XSvJjAIA&#10;AC4FAAAOAAAAAAAAAAEAIAAAACcBAABkcnMvZTJvRG9jLnhtbFBLBQYAAAAABgAGAFkBAAAlBgAA&#10;AAA=&#10;">
                <v:fill on="t" focussize="0,0"/>
                <v:stroke weight="1pt" color="#ED7D31" miterlimit="8" joinstyle="miter"/>
                <v:imagedata o:title=""/>
                <o:lock v:ext="edit" aspectratio="f"/>
                <v:textbox>
                  <w:txbxContent>
                    <w:p w14:paraId="16072EA3">
                      <w:pPr>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 xml:space="preserve">CLIMATE RISK </w:t>
                      </w:r>
                    </w:p>
                    <w:p w14:paraId="2C94E946">
                      <w:pPr>
                        <w:pStyle w:val="8"/>
                        <w:numPr>
                          <w:ilvl w:val="0"/>
                          <w:numId w:val="1"/>
                        </w:numPr>
                        <w:jc w:val="center"/>
                        <w:rPr>
                          <w:rFonts w:ascii="Times New Roman Regular" w:hAnsi="Times New Roman Regular" w:cs="Times New Roman Regular"/>
                          <w:iCs/>
                          <w:color w:val="000000"/>
                        </w:rPr>
                      </w:pPr>
                      <w:r>
                        <w:rPr>
                          <w:rFonts w:ascii="Times New Roman Regular" w:hAnsi="Times New Roman Regular" w:cs="Times New Roman Regular"/>
                          <w:iCs/>
                          <w:color w:val="000000"/>
                        </w:rPr>
                        <w:t>Climate Risk Index (CRI)</w:t>
                      </w:r>
                    </w:p>
                  </w:txbxContent>
                </v:textbox>
              </v:roundrect>
            </w:pict>
          </mc:Fallback>
        </mc:AlternateContent>
      </w:r>
      <w:r>
        <w:rPr>
          <w:rFonts w:ascii="Times New Roman Regular" w:hAnsi="Times New Roman Regular" w:eastAsia="Calibri" w:cs="Times New Roman Regular"/>
          <w:b/>
          <w:sz w:val="24"/>
          <w:szCs w:val="24"/>
          <w:lang w:eastAsia="en-US"/>
        </w:rPr>
        <mc:AlternateContent>
          <mc:Choice Requires="wps">
            <w:drawing>
              <wp:anchor distT="0" distB="0" distL="114300" distR="114300" simplePos="0" relativeHeight="251660288" behindDoc="0" locked="0" layoutInCell="1" allowOverlap="1">
                <wp:simplePos x="0" y="0"/>
                <wp:positionH relativeFrom="column">
                  <wp:posOffset>3263265</wp:posOffset>
                </wp:positionH>
                <wp:positionV relativeFrom="paragraph">
                  <wp:posOffset>65405</wp:posOffset>
                </wp:positionV>
                <wp:extent cx="2575560" cy="1431925"/>
                <wp:effectExtent l="6350" t="6350" r="8890" b="9525"/>
                <wp:wrapNone/>
                <wp:docPr id="5" name="Rounded Rectangle 5"/>
                <wp:cNvGraphicFramePr/>
                <a:graphic xmlns:a="http://schemas.openxmlformats.org/drawingml/2006/main">
                  <a:graphicData uri="http://schemas.microsoft.com/office/word/2010/wordprocessingShape">
                    <wps:wsp>
                      <wps:cNvSpPr/>
                      <wps:spPr>
                        <a:xfrm>
                          <a:off x="0" y="0"/>
                          <a:ext cx="2575560" cy="1431925"/>
                        </a:xfrm>
                        <a:prstGeom prst="roundRect">
                          <a:avLst/>
                        </a:prstGeom>
                        <a:solidFill>
                          <a:sysClr val="window" lastClr="FFFFFF"/>
                        </a:solidFill>
                        <a:ln w="12700" cap="flat" cmpd="sng" algn="ctr">
                          <a:solidFill>
                            <a:srgbClr val="4472C4"/>
                          </a:solidFill>
                          <a:prstDash val="solid"/>
                          <a:miter lim="800000"/>
                        </a:ln>
                        <a:effectLst/>
                      </wps:spPr>
                      <wps:txbx>
                        <w:txbxContent>
                          <w:p w14:paraId="30775FBB">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6EA06757">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Net Interest Margin </w:t>
                            </w:r>
                          </w:p>
                          <w:p w14:paraId="1AA96FB7">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Liquid Funds to Total Assets</w:t>
                            </w:r>
                          </w:p>
                          <w:p w14:paraId="712F83BD">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Return on Asset </w:t>
                            </w:r>
                          </w:p>
                          <w:p w14:paraId="46DDD5B5">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Return on Equity </w:t>
                            </w:r>
                          </w:p>
                          <w:p w14:paraId="475C57E5">
                            <w:pPr>
                              <w:pStyle w:val="8"/>
                              <w:spacing w:line="256" w:lineRule="auto"/>
                              <w:ind w:left="643"/>
                              <w:jc w:val="both"/>
                              <w:rPr>
                                <w:i/>
                                <w:iCs/>
                                <w:color w:val="000000" w:themeColor="text1"/>
                                <w14:textFill>
                                  <w14:solidFill>
                                    <w14:schemeClr w14:val="tx1"/>
                                  </w14:solidFill>
                                </w14:textFill>
                              </w:rPr>
                            </w:pPr>
                          </w:p>
                          <w:p w14:paraId="3CA4CF8C">
                            <w:pPr>
                              <w:pStyle w:val="8"/>
                              <w:spacing w:line="256" w:lineRule="auto"/>
                              <w:ind w:left="643"/>
                              <w:rPr>
                                <w:i/>
                                <w:iCs/>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56.95pt;margin-top:5.15pt;height:112.75pt;width:202.8pt;z-index:251660288;v-text-anchor:middle;mso-width-relative:page;mso-height-relative:page;" fillcolor="#FFFFFF" filled="t" stroked="t" coordsize="21600,21600" arcsize="0.166666666666667" o:gfxdata="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PQ3zWTbAAAA&#10;CgEAAA8AAAAAAAAAAQAgAAAAIgAAAGRycy9kb3ducmV2LnhtbFBLAQIUABQAAAAIAIdO4kDJ/ZD4&#10;jAIAAC4FAAAOAAAAAAAAAAEAIAAAACoBAABkcnMvZTJvRG9jLnhtbFBLBQYAAAAABgAGAFkBAAAo&#10;BgAAAAA=&#10;">
                <v:fill on="t" focussize="0,0"/>
                <v:stroke weight="1pt" color="#4472C4" miterlimit="8" joinstyle="miter"/>
                <v:imagedata o:title=""/>
                <o:lock v:ext="edit" aspectratio="f"/>
                <v:textbox>
                  <w:txbxContent>
                    <w:p w14:paraId="30775FBB">
                      <w:pPr>
                        <w:ind w:left="283"/>
                        <w:jc w:val="center"/>
                        <w:rPr>
                          <w:rFonts w:ascii="Times New Roman Regular" w:hAnsi="Times New Roman Regular" w:cs="Times New Roman Regular"/>
                          <w:bCs/>
                          <w:color w:val="000000"/>
                        </w:rPr>
                      </w:pPr>
                      <w:r>
                        <w:rPr>
                          <w:rFonts w:ascii="Times New Roman Regular" w:hAnsi="Times New Roman Regular" w:cs="Times New Roman Regular"/>
                          <w:bCs/>
                          <w:color w:val="000000"/>
                        </w:rPr>
                        <w:t>BANK PERFORMANCE</w:t>
                      </w:r>
                    </w:p>
                    <w:p w14:paraId="6EA06757">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Net Interest Margin </w:t>
                      </w:r>
                    </w:p>
                    <w:p w14:paraId="1AA96FB7">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Liquid Funds to Total Assets</w:t>
                      </w:r>
                    </w:p>
                    <w:p w14:paraId="712F83BD">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Return on Asset </w:t>
                      </w:r>
                    </w:p>
                    <w:p w14:paraId="46DDD5B5">
                      <w:pPr>
                        <w:pStyle w:val="8"/>
                        <w:numPr>
                          <w:ilvl w:val="0"/>
                          <w:numId w:val="2"/>
                        </w:numPr>
                        <w:spacing w:line="256" w:lineRule="auto"/>
                        <w:jc w:val="both"/>
                        <w:rPr>
                          <w:rFonts w:ascii="Times New Roman Regular" w:hAnsi="Times New Roman Regular" w:cs="Times New Roman Regular"/>
                          <w:iCs/>
                          <w:color w:val="000000" w:themeColor="text1"/>
                          <w14:textFill>
                            <w14:solidFill>
                              <w14:schemeClr w14:val="tx1"/>
                            </w14:solidFill>
                          </w14:textFill>
                        </w:rPr>
                      </w:pPr>
                      <w:r>
                        <w:rPr>
                          <w:rFonts w:ascii="Times New Roman Regular" w:hAnsi="Times New Roman Regular" w:cs="Times New Roman Regular"/>
                          <w:iCs/>
                          <w:color w:val="000000" w:themeColor="text1"/>
                          <w14:textFill>
                            <w14:solidFill>
                              <w14:schemeClr w14:val="tx1"/>
                            </w14:solidFill>
                          </w14:textFill>
                        </w:rPr>
                        <w:t xml:space="preserve">Return on Equity </w:t>
                      </w:r>
                    </w:p>
                    <w:p w14:paraId="475C57E5">
                      <w:pPr>
                        <w:pStyle w:val="8"/>
                        <w:spacing w:line="256" w:lineRule="auto"/>
                        <w:ind w:left="643"/>
                        <w:jc w:val="both"/>
                        <w:rPr>
                          <w:i/>
                          <w:iCs/>
                          <w:color w:val="000000" w:themeColor="text1"/>
                          <w14:textFill>
                            <w14:solidFill>
                              <w14:schemeClr w14:val="tx1"/>
                            </w14:solidFill>
                          </w14:textFill>
                        </w:rPr>
                      </w:pPr>
                    </w:p>
                    <w:p w14:paraId="3CA4CF8C">
                      <w:pPr>
                        <w:pStyle w:val="8"/>
                        <w:spacing w:line="256" w:lineRule="auto"/>
                        <w:ind w:left="643"/>
                        <w:rPr>
                          <w:i/>
                          <w:iCs/>
                          <w:color w:val="000000" w:themeColor="text1"/>
                          <w14:textFill>
                            <w14:solidFill>
                              <w14:schemeClr w14:val="tx1"/>
                            </w14:solidFill>
                          </w14:textFill>
                        </w:rPr>
                      </w:pPr>
                    </w:p>
                  </w:txbxContent>
                </v:textbox>
              </v:roundrect>
            </w:pict>
          </mc:Fallback>
        </mc:AlternateContent>
      </w:r>
    </w:p>
    <w:p w14:paraId="5A42F3C4">
      <w:pPr>
        <w:spacing w:line="360" w:lineRule="auto"/>
        <w:rPr>
          <w:rFonts w:ascii="Times New Roman Regular" w:hAnsi="Times New Roman Regular" w:cs="Times New Roman Regular"/>
          <w:sz w:val="24"/>
          <w:szCs w:val="24"/>
        </w:rPr>
      </w:pPr>
    </w:p>
    <w:p w14:paraId="558E9459">
      <w:pPr>
        <w:spacing w:line="360" w:lineRule="auto"/>
        <w:rPr>
          <w:rFonts w:ascii="Times New Roman Regular" w:hAnsi="Times New Roman Regular" w:cs="Times New Roman Regular"/>
          <w:sz w:val="24"/>
          <w:szCs w:val="24"/>
        </w:rPr>
      </w:pPr>
      <w:r>
        <w:rPr>
          <w:rFonts w:ascii="Times New Roman Regular" w:hAnsi="Times New Roman Regular" w:eastAsia="Calibri" w:cs="Times New Roman Regular"/>
          <w:b/>
          <w:sz w:val="24"/>
          <w:szCs w:val="24"/>
          <w:lang w:eastAsia="en-US"/>
        </w:rPr>
        <mc:AlternateContent>
          <mc:Choice Requires="wps">
            <w:drawing>
              <wp:anchor distT="0" distB="0" distL="114300" distR="114300" simplePos="0" relativeHeight="251661312" behindDoc="0" locked="0" layoutInCell="1" allowOverlap="1">
                <wp:simplePos x="0" y="0"/>
                <wp:positionH relativeFrom="column">
                  <wp:posOffset>1546860</wp:posOffset>
                </wp:positionH>
                <wp:positionV relativeFrom="paragraph">
                  <wp:posOffset>227330</wp:posOffset>
                </wp:positionV>
                <wp:extent cx="1696720" cy="0"/>
                <wp:effectExtent l="0" t="38100" r="5080" b="38100"/>
                <wp:wrapNone/>
                <wp:docPr id="9" name="Straight Arrow Connector 9"/>
                <wp:cNvGraphicFramePr/>
                <a:graphic xmlns:a="http://schemas.openxmlformats.org/drawingml/2006/main">
                  <a:graphicData uri="http://schemas.microsoft.com/office/word/2010/wordprocessingShape">
                    <wps:wsp>
                      <wps:cNvCnPr/>
                      <wps:spPr>
                        <a:xfrm>
                          <a:off x="0" y="0"/>
                          <a:ext cx="16967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21.8pt;margin-top:17.9pt;height:0pt;width:133.6pt;z-index:251661312;mso-width-relative:page;mso-height-relative:page;" filled="f" stroked="t" coordsize="21600,21600" o:gfxdata="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Fp4ZjYAAAACQEAAA8AAAAAAAAAAQAgAAAAIgAAAGRycy9kb3ducmV2LnhtbFBLAQIUABQA&#10;AAAIAIdO4kCqgPzt8AEAAOQDAAAOAAAAAAAAAAEAIAAAACcBAABkcnMvZTJvRG9jLnhtbFBLBQYA&#10;AAAABgAGAFkBAACJBQAAAAA=&#10;">
                <v:fill on="f" focussize="0,0"/>
                <v:stroke weight="0.5pt" color="#5B9BD5 [3204]" miterlimit="8" joinstyle="miter" endarrow="block"/>
                <v:imagedata o:title=""/>
                <o:lock v:ext="edit" aspectratio="f"/>
              </v:shape>
            </w:pict>
          </mc:Fallback>
        </mc:AlternateContent>
      </w:r>
    </w:p>
    <w:p w14:paraId="59DDF49F">
      <w:pPr>
        <w:spacing w:line="360" w:lineRule="auto"/>
        <w:rPr>
          <w:rFonts w:ascii="Times New Roman Regular" w:hAnsi="Times New Roman Regular" w:cs="Times New Roman Regular"/>
          <w:sz w:val="24"/>
          <w:szCs w:val="24"/>
        </w:rPr>
      </w:pPr>
    </w:p>
    <w:p w14:paraId="32FE4CE2">
      <w:pPr>
        <w:spacing w:line="360" w:lineRule="auto"/>
        <w:rPr>
          <w:rFonts w:ascii="Times New Roman Regular" w:hAnsi="Times New Roman Regular" w:cs="Times New Roman Regular"/>
          <w:sz w:val="24"/>
          <w:szCs w:val="24"/>
        </w:rPr>
      </w:pPr>
    </w:p>
    <w:p w14:paraId="60D83AC3">
      <w:pPr>
        <w:spacing w:line="360" w:lineRule="auto"/>
        <w:rPr>
          <w:rFonts w:ascii="Times New Roman Regular" w:hAnsi="Times New Roman Regular" w:cs="Times New Roman Regular"/>
          <w:sz w:val="24"/>
          <w:szCs w:val="24"/>
        </w:rPr>
      </w:pPr>
    </w:p>
    <w:p w14:paraId="625341AD">
      <w:pPr>
        <w:spacing w:line="360" w:lineRule="auto"/>
        <w:rPr>
          <w:rFonts w:ascii="Times New Roman Regular" w:hAnsi="Times New Roman Regular" w:cs="Times New Roman Regular"/>
          <w:sz w:val="24"/>
          <w:szCs w:val="24"/>
        </w:rPr>
      </w:pPr>
    </w:p>
    <w:p w14:paraId="2F0B66D6">
      <w:pPr>
        <w:spacing w:line="360" w:lineRule="auto"/>
        <w:rPr>
          <w:rFonts w:ascii="Times New Roman Regular" w:hAnsi="Times New Roman Regular" w:cs="Times New Roman Regular"/>
          <w:sz w:val="24"/>
          <w:szCs w:val="24"/>
        </w:rPr>
      </w:pPr>
    </w:p>
    <w:p w14:paraId="6374E32D">
      <w:pPr>
        <w:spacing w:line="360" w:lineRule="auto"/>
        <w:rPr>
          <w:rFonts w:ascii="Times New Roman Regular" w:hAnsi="Times New Roman Regular" w:cs="Times New Roman Regular"/>
          <w:b/>
          <w:bCs/>
          <w:sz w:val="24"/>
          <w:szCs w:val="24"/>
        </w:rPr>
      </w:pPr>
      <w:bookmarkStart w:id="13" w:name="_Toc156569105"/>
      <w:bookmarkStart w:id="14" w:name="_Toc93980291"/>
      <w:r>
        <w:rPr>
          <w:rFonts w:ascii="Times New Roman Regular" w:hAnsi="Times New Roman Regular" w:cs="Times New Roman Regular"/>
          <w:b/>
          <w:bCs/>
          <w:sz w:val="24"/>
          <w:szCs w:val="24"/>
        </w:rPr>
        <w:t xml:space="preserve">3.0 </w:t>
      </w:r>
      <w:bookmarkEnd w:id="13"/>
      <w:bookmarkEnd w:id="14"/>
      <w:r>
        <w:rPr>
          <w:rFonts w:ascii="Times New Roman Regular" w:hAnsi="Times New Roman Regular" w:cs="Times New Roman Regular"/>
          <w:b/>
          <w:bCs/>
          <w:sz w:val="24"/>
          <w:szCs w:val="24"/>
        </w:rPr>
        <w:t>Methodology</w:t>
      </w:r>
    </w:p>
    <w:p w14:paraId="163C2179">
      <w:pPr>
        <w:pStyle w:val="10"/>
        <w:spacing w:line="360" w:lineRule="auto"/>
        <w:jc w:val="both"/>
        <w:rPr>
          <w:rStyle w:val="11"/>
          <w:rFonts w:ascii="Times New Roman Regular" w:hAnsi="Times New Roman Regular" w:cs="Times New Roman Regular"/>
          <w:szCs w:val="24"/>
        </w:rPr>
      </w:pPr>
      <w:r>
        <w:rPr>
          <w:rFonts w:ascii="Times New Roman Regular" w:hAnsi="Times New Roman Regular" w:cs="Times New Roman Regular"/>
          <w:bCs/>
          <w:color w:val="auto"/>
        </w:rPr>
        <w:t xml:space="preserve">The study uses quantitative research approach.  </w:t>
      </w:r>
      <w:r>
        <w:rPr>
          <w:rStyle w:val="11"/>
          <w:rFonts w:ascii="Times New Roman Regular" w:hAnsi="Times New Roman Regular" w:cs="Times New Roman Regular"/>
          <w:szCs w:val="24"/>
        </w:rPr>
        <w:t xml:space="preserve">The sample of this study was limited to ten (10) commercial banks, all been licensed by the Bank of Ghana. </w:t>
      </w:r>
      <w:bookmarkStart w:id="15" w:name="_Hlk92174832"/>
      <w:r>
        <w:rPr>
          <w:rStyle w:val="11"/>
          <w:rFonts w:ascii="Times New Roman Regular" w:hAnsi="Times New Roman Regular" w:cs="Times New Roman Regular"/>
          <w:szCs w:val="24"/>
        </w:rPr>
        <w:t>These commercial banks include GCB</w:t>
      </w:r>
      <w:r>
        <w:rPr>
          <w:rStyle w:val="11"/>
          <w:rFonts w:ascii="Times New Roman Regular" w:hAnsi="Times New Roman Regular" w:cs="Times New Roman Regular"/>
          <w:szCs w:val="24"/>
          <w:lang w:val="en-US"/>
        </w:rPr>
        <w:t xml:space="preserve"> Bank</w:t>
      </w:r>
      <w:r>
        <w:rPr>
          <w:rStyle w:val="11"/>
          <w:rFonts w:ascii="Times New Roman Regular" w:hAnsi="Times New Roman Regular" w:cs="Times New Roman Regular"/>
          <w:szCs w:val="24"/>
        </w:rPr>
        <w:t xml:space="preserve">, Ecobank Ghana Limited (EBL), ABSA Bank Ghana Limited, CAL Bank Limited (CAL), Zenith Bank Limited (ZBL), Stanbic Bank Ghana Limited (SBG), Access Bank Ghana Limited (ABG), </w:t>
      </w:r>
      <w:r>
        <w:rPr>
          <w:rStyle w:val="11"/>
          <w:rFonts w:ascii="Times New Roman Regular" w:hAnsi="Times New Roman Regular" w:cs="Times New Roman Regular"/>
          <w:szCs w:val="24"/>
          <w:lang w:val="en-US"/>
        </w:rPr>
        <w:t>Republic Bank</w:t>
      </w:r>
      <w:r>
        <w:rPr>
          <w:rStyle w:val="11"/>
          <w:rFonts w:ascii="Times New Roman Regular" w:hAnsi="Times New Roman Regular" w:cs="Times New Roman Regular"/>
          <w:szCs w:val="24"/>
        </w:rPr>
        <w:t xml:space="preserve">, Guaranteed Trust Bank (GTB) and Agricultural Development Bank (ADB). </w:t>
      </w:r>
      <w:bookmarkEnd w:id="15"/>
      <w:r>
        <w:rPr>
          <w:rStyle w:val="11"/>
          <w:rFonts w:ascii="Times New Roman Regular" w:hAnsi="Times New Roman Regular" w:cs="Times New Roman Regular"/>
          <w:szCs w:val="24"/>
        </w:rPr>
        <w:t xml:space="preserve">The </w:t>
      </w:r>
      <w:r>
        <w:rPr>
          <w:rStyle w:val="11"/>
          <w:rFonts w:ascii="Times New Roman Regular" w:hAnsi="Times New Roman Regular" w:cs="Times New Roman Regular"/>
          <w:szCs w:val="24"/>
          <w:lang w:val="en-US"/>
        </w:rPr>
        <w:t>Universal</w:t>
      </w:r>
      <w:r>
        <w:rPr>
          <w:rStyle w:val="11"/>
          <w:rFonts w:ascii="Times New Roman Regular" w:hAnsi="Times New Roman Regular" w:cs="Times New Roman Regular"/>
          <w:szCs w:val="24"/>
        </w:rPr>
        <w:t xml:space="preserve"> banks were chosen based on the availability of data as well as having greatest market share. </w:t>
      </w:r>
    </w:p>
    <w:p w14:paraId="1BDCD68E">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For the purposes of this research, annual panel data spanning the period 2010-2024 were used.</w:t>
      </w:r>
    </w:p>
    <w:p w14:paraId="021FD6E3">
      <w:pPr>
        <w:spacing w:line="360" w:lineRule="auto"/>
        <w:rPr>
          <w:rFonts w:ascii="Times New Roman Regular" w:hAnsi="Times New Roman Regular" w:eastAsia="Times New Roman" w:cs="Times New Roman Regular"/>
          <w:bCs/>
          <w:sz w:val="24"/>
          <w:szCs w:val="24"/>
        </w:rPr>
      </w:pPr>
      <w:r>
        <w:rPr>
          <w:rFonts w:ascii="Times New Roman Regular" w:hAnsi="Times New Roman Regular" w:eastAsia="Times New Roman" w:cs="Times New Roman Regular"/>
          <w:bCs/>
          <w:sz w:val="24"/>
          <w:szCs w:val="24"/>
        </w:rPr>
        <w:t>The main explanatory variables that this study employs i</w:t>
      </w:r>
      <w:r>
        <w:rPr>
          <w:rFonts w:ascii="Times New Roman Regular" w:hAnsi="Times New Roman Regular" w:cs="Times New Roman Regular"/>
          <w:bCs/>
          <w:sz w:val="24"/>
          <w:szCs w:val="24"/>
        </w:rPr>
        <w:t>s</w:t>
      </w:r>
      <w:r>
        <w:rPr>
          <w:rFonts w:ascii="Times New Roman Regular" w:hAnsi="Times New Roman Regular" w:eastAsia="Times New Roman" w:cs="Times New Roman Regular"/>
          <w:bCs/>
          <w:sz w:val="24"/>
          <w:szCs w:val="24"/>
        </w:rPr>
        <w:t xml:space="preserve"> climate risk</w:t>
      </w:r>
      <w:r>
        <w:rPr>
          <w:rFonts w:ascii="Times New Roman Regular" w:hAnsi="Times New Roman Regular" w:cs="Times New Roman Regular"/>
          <w:bCs/>
          <w:sz w:val="24"/>
          <w:szCs w:val="24"/>
        </w:rPr>
        <w:t xml:space="preserve">, </w:t>
      </w:r>
      <w:r>
        <w:rPr>
          <w:rFonts w:ascii="Times New Roman Regular" w:hAnsi="Times New Roman Regular" w:eastAsia="Times New Roman" w:cs="Times New Roman Regular"/>
          <w:bCs/>
          <w:sz w:val="24"/>
          <w:szCs w:val="24"/>
        </w:rPr>
        <w:t xml:space="preserve">whilst the dependent variable is bank’s financial performance. Climate risk is measured by climate risk index compiled by Global Climate Risk Index and published by Germanwatch. </w:t>
      </w:r>
    </w:p>
    <w:p w14:paraId="1A837904">
      <w:pPr>
        <w:spacing w:line="360" w:lineRule="auto"/>
        <w:rPr>
          <w:rFonts w:ascii="Times New Roman Regular" w:hAnsi="Times New Roman Regular" w:eastAsia="Times New Roman" w:cs="Times New Roman Regular"/>
          <w:bCs/>
          <w:sz w:val="24"/>
          <w:szCs w:val="24"/>
        </w:rPr>
      </w:pPr>
      <w:r>
        <w:rPr>
          <w:rFonts w:ascii="Times New Roman Regular" w:hAnsi="Times New Roman Regular" w:eastAsia="Times New Roman" w:cs="Times New Roman Regular"/>
          <w:bCs/>
          <w:sz w:val="24"/>
          <w:szCs w:val="24"/>
        </w:rPr>
        <w:t>Bank’s financial performance is proxied by net interest margin, return on assets liquid fund to total asset, and return on equity, all derived from PwC Ghana Banking Survey Reports.</w:t>
      </w:r>
    </w:p>
    <w:p w14:paraId="40C64AEC">
      <w:pPr>
        <w:spacing w:line="360" w:lineRule="auto"/>
        <w:rPr>
          <w:rFonts w:ascii="Times New Roman Regular" w:hAnsi="Times New Roman Regular" w:eastAsia="Times New Roman" w:cs="Times New Roman Regular"/>
          <w:bCs/>
          <w:sz w:val="24"/>
          <w:szCs w:val="24"/>
        </w:rPr>
      </w:pPr>
    </w:p>
    <w:p w14:paraId="1235209F">
      <w:pPr>
        <w:pStyle w:val="2"/>
        <w:spacing w:line="360" w:lineRule="auto"/>
        <w:rPr>
          <w:rFonts w:ascii="Times New Roman Regular" w:hAnsi="Times New Roman Regular" w:cs="Times New Roman Regular"/>
          <w:sz w:val="24"/>
          <w:szCs w:val="24"/>
        </w:rPr>
      </w:pPr>
      <w:bookmarkStart w:id="16" w:name="_Toc93980298"/>
      <w:bookmarkStart w:id="17" w:name="_Toc156569113"/>
      <w:r>
        <w:rPr>
          <w:rFonts w:ascii="Times New Roman Regular" w:hAnsi="Times New Roman Regular" w:cs="Times New Roman Regular"/>
          <w:sz w:val="24"/>
          <w:szCs w:val="24"/>
        </w:rPr>
        <w:t>3.1 Model Estimation and Specification</w:t>
      </w:r>
      <w:bookmarkEnd w:id="16"/>
      <w:bookmarkEnd w:id="17"/>
      <w:r>
        <w:rPr>
          <w:rFonts w:ascii="Times New Roman Regular" w:hAnsi="Times New Roman Regular" w:cs="Times New Roman Regular"/>
          <w:sz w:val="24"/>
          <w:szCs w:val="24"/>
        </w:rPr>
        <w:t xml:space="preserve"> </w:t>
      </w:r>
    </w:p>
    <w:p w14:paraId="1B3121EC">
      <w:pPr>
        <w:pStyle w:val="10"/>
        <w:spacing w:line="360" w:lineRule="auto"/>
        <w:jc w:val="both"/>
        <w:rPr>
          <w:rFonts w:ascii="Times New Roman Regular" w:hAnsi="Times New Roman Regular" w:cs="Times New Roman Regular"/>
          <w:color w:val="auto"/>
        </w:rPr>
      </w:pPr>
      <w:r>
        <w:rPr>
          <w:rFonts w:ascii="Times New Roman Regular" w:hAnsi="Times New Roman Regular" w:cs="Times New Roman Regular"/>
          <w:color w:val="auto"/>
        </w:rPr>
        <w:t>This study adapted the model of Lee and Gardner (2017). The following basic empirical research model was developed in the form of Panel data regression equation:</w:t>
      </w:r>
    </w:p>
    <w:p w14:paraId="46EF0A04">
      <w:pPr>
        <w:pStyle w:val="10"/>
        <w:spacing w:line="360" w:lineRule="auto"/>
        <w:rPr>
          <w:rFonts w:ascii="Times New Roman Regular" w:hAnsi="Times New Roman Regular" w:cs="Times New Roman Regular" w:eastAsiaTheme="minorEastAsia"/>
          <w:color w:val="auto"/>
        </w:rPr>
      </w:pPr>
      <m:oMath>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BFP</m:t>
            </m:r>
            <m:ctrlPr>
              <w:rPr>
                <w:rFonts w:ascii="DejaVu Math TeX Gyre" w:hAnsi="DejaVu Math TeX Gyre" w:cs="Times New Roman Regular"/>
                <w:i/>
                <w:color w:val="auto"/>
              </w:rPr>
            </m:ctrlPr>
          </m:e>
          <m:sub>
            <m:r>
              <m:rPr/>
              <w:rPr>
                <w:rFonts w:ascii="DejaVu Math TeX Gyre" w:hAnsi="DejaVu Math TeX Gyre" w:cs="Times New Roman Regular"/>
                <w:color w:val="auto"/>
              </w:rPr>
              <m:t>it</m:t>
            </m:r>
            <m:ctrlPr>
              <w:rPr>
                <w:rFonts w:ascii="DejaVu Math TeX Gyre" w:hAnsi="DejaVu Math TeX Gyre" w:cs="Times New Roman Regular"/>
                <w:i/>
                <w:color w:val="auto"/>
              </w:rPr>
            </m:ctrlPr>
          </m:sub>
        </m:sSub>
        <m:r>
          <m:rP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0</m:t>
            </m:r>
            <m:ctrlPr>
              <w:rPr>
                <w:rFonts w:ascii="DejaVu Math TeX Gyre" w:hAnsi="DejaVu Math TeX Gyre" w:cs="Times New Roman Regular"/>
                <w:i/>
                <w:color w:val="auto"/>
              </w:rPr>
            </m:ctrlPr>
          </m:sub>
        </m:sSub>
        <m:r>
          <m:rPr/>
          <w:rPr>
            <w:rFonts w:ascii="DejaVu Math TeX Gyre" w:hAnsi="DejaVu Math TeX Gyre" w:cs="Times New Roman Regular"/>
            <w:color w:val="auto"/>
          </w:rPr>
          <m:t xml:space="preserve">+ </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1</m:t>
            </m:r>
            <m:ctrlPr>
              <w:rPr>
                <w:rFonts w:ascii="DejaVu Math TeX Gyre" w:hAnsi="DejaVu Math TeX Gyre" w:cs="Times New Roman Regular"/>
                <w:i/>
                <w:color w:val="auto"/>
              </w:rPr>
            </m:ctrlPr>
          </m:sub>
        </m:sSub>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CRI</m:t>
            </m:r>
            <m:ctrlPr>
              <w:rPr>
                <w:rFonts w:ascii="DejaVu Math TeX Gyre" w:hAnsi="DejaVu Math TeX Gyre" w:cs="Times New Roman Regular"/>
                <w:i/>
                <w:color w:val="auto"/>
              </w:rPr>
            </m:ctrlPr>
          </m:e>
          <m:sub>
            <m:r>
              <m:rPr/>
              <w:rPr>
                <w:rFonts w:ascii="DejaVu Math TeX Gyre" w:hAnsi="DejaVu Math TeX Gyre" w:cs="Times New Roman Regular"/>
                <w:color w:val="auto"/>
              </w:rPr>
              <m:t>it</m:t>
            </m:r>
            <m:ctrlPr>
              <w:rPr>
                <w:rFonts w:ascii="DejaVu Math TeX Gyre" w:hAnsi="DejaVu Math TeX Gyre" w:cs="Times New Roman Regular"/>
                <w:i/>
                <w:color w:val="auto"/>
              </w:rPr>
            </m:ctrlPr>
          </m:sub>
        </m:sSub>
        <m:r>
          <m:rP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2</m:t>
            </m:r>
            <m:ctrlPr>
              <w:rPr>
                <w:rFonts w:ascii="DejaVu Math TeX Gyre" w:hAnsi="DejaVu Math TeX Gyre" w:cs="Times New Roman Regular"/>
                <w:i/>
                <w:color w:val="auto"/>
              </w:rPr>
            </m:ctrlPr>
          </m:sub>
        </m:sSub>
        <m:r>
          <m:rPr/>
          <w:rPr>
            <w:rFonts w:ascii="DejaVu Math TeX Gyre" w:hAnsi="DejaVu Math TeX Gyre" w:cs="Times New Roman Regular"/>
            <w:color w:val="auto"/>
          </w:rPr>
          <m:t>LV+</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3</m:t>
            </m:r>
            <m:ctrlPr>
              <w:rPr>
                <w:rFonts w:ascii="DejaVu Math TeX Gyre" w:hAnsi="DejaVu Math TeX Gyre" w:cs="Times New Roman Regular"/>
                <w:i/>
                <w:color w:val="auto"/>
              </w:rPr>
            </m:ctrlPr>
          </m:sub>
        </m:sSub>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Bs</m:t>
            </m:r>
            <m:ctrlPr>
              <w:rPr>
                <w:rFonts w:ascii="DejaVu Math TeX Gyre" w:hAnsi="DejaVu Math TeX Gyre" w:cs="Times New Roman Regular"/>
                <w:i/>
                <w:color w:val="auto"/>
              </w:rPr>
            </m:ctrlPr>
          </m:e>
          <m:sub>
            <m:r>
              <m:rPr/>
              <w:rPr>
                <w:rFonts w:ascii="DejaVu Math TeX Gyre" w:hAnsi="DejaVu Math TeX Gyre" w:cs="Times New Roman Regular"/>
                <w:color w:val="auto"/>
              </w:rPr>
              <m:t>it</m:t>
            </m:r>
            <m:ctrlPr>
              <w:rPr>
                <w:rFonts w:ascii="DejaVu Math TeX Gyre" w:hAnsi="DejaVu Math TeX Gyre" w:cs="Times New Roman Regular"/>
                <w:i/>
                <w:color w:val="auto"/>
              </w:rPr>
            </m:ctrlPr>
          </m:sub>
        </m:sSub>
        <m:r>
          <m:rP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4</m:t>
            </m:r>
            <m:ctrlPr>
              <w:rPr>
                <w:rFonts w:ascii="DejaVu Math TeX Gyre" w:hAnsi="DejaVu Math TeX Gyre" w:cs="Times New Roman Regular"/>
                <w:i/>
                <w:color w:val="auto"/>
              </w:rPr>
            </m:ctrlPr>
          </m:sub>
        </m:sSub>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INF</m:t>
            </m:r>
            <m:ctrlPr>
              <w:rPr>
                <w:rFonts w:ascii="DejaVu Math TeX Gyre" w:hAnsi="DejaVu Math TeX Gyre" w:cs="Times New Roman Regular"/>
                <w:i/>
                <w:color w:val="auto"/>
              </w:rPr>
            </m:ctrlPr>
          </m:e>
          <m:sub>
            <m:r>
              <m:rPr/>
              <w:rPr>
                <w:rFonts w:ascii="DejaVu Math TeX Gyre" w:hAnsi="DejaVu Math TeX Gyre" w:cs="Times New Roman Regular"/>
                <w:color w:val="auto"/>
              </w:rPr>
              <m:t>it</m:t>
            </m:r>
            <m:ctrlPr>
              <w:rPr>
                <w:rFonts w:ascii="DejaVu Math TeX Gyre" w:hAnsi="DejaVu Math TeX Gyre" w:cs="Times New Roman Regular"/>
                <w:i/>
                <w:color w:val="auto"/>
              </w:rPr>
            </m:ctrlPr>
          </m:sub>
        </m:sSub>
        <m:r>
          <m:rPr/>
          <w:rPr>
            <w:rFonts w:ascii="DejaVu Math TeX Gyre" w:hAnsi="DejaVu Math TeX Gyre" w:cs="Times New Roman Regular"/>
            <w:color w:val="auto"/>
          </w:rPr>
          <m:t>+</m:t>
        </m:r>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β</m:t>
            </m:r>
            <m:ctrlPr>
              <w:rPr>
                <w:rFonts w:ascii="DejaVu Math TeX Gyre" w:hAnsi="DejaVu Math TeX Gyre" w:cs="Times New Roman Regular"/>
                <w:i/>
                <w:color w:val="auto"/>
              </w:rPr>
            </m:ctrlPr>
          </m:e>
          <m:sub>
            <m:r>
              <m:rPr/>
              <w:rPr>
                <w:rFonts w:ascii="DejaVu Math TeX Gyre" w:hAnsi="DejaVu Math TeX Gyre" w:cs="Times New Roman Regular"/>
                <w:color w:val="auto"/>
              </w:rPr>
              <m:t>5</m:t>
            </m:r>
            <m:ctrlPr>
              <w:rPr>
                <w:rFonts w:ascii="DejaVu Math TeX Gyre" w:hAnsi="DejaVu Math TeX Gyre" w:cs="Times New Roman Regular"/>
                <w:i/>
                <w:color w:val="auto"/>
              </w:rPr>
            </m:ctrlPr>
          </m:sub>
        </m:sSub>
        <m:sSub>
          <m:sSubPr>
            <m:ctrlPr>
              <w:rPr>
                <w:rFonts w:ascii="DejaVu Math TeX Gyre" w:hAnsi="DejaVu Math TeX Gyre" w:cs="Times New Roman Regular"/>
                <w:i/>
                <w:color w:val="auto"/>
              </w:rPr>
            </m:ctrlPr>
          </m:sSubPr>
          <m:e>
            <m:r>
              <m:rPr/>
              <w:rPr>
                <w:rFonts w:ascii="DejaVu Math TeX Gyre" w:hAnsi="DejaVu Math TeX Gyre" w:cs="Times New Roman Regular"/>
                <w:color w:val="auto"/>
              </w:rPr>
              <m:t>GDPG</m:t>
            </m:r>
            <m:ctrlPr>
              <w:rPr>
                <w:rFonts w:ascii="DejaVu Math TeX Gyre" w:hAnsi="DejaVu Math TeX Gyre" w:cs="Times New Roman Regular"/>
                <w:i/>
                <w:color w:val="auto"/>
              </w:rPr>
            </m:ctrlPr>
          </m:e>
          <m:sub>
            <m:r>
              <m:rPr/>
              <w:rPr>
                <w:rFonts w:ascii="DejaVu Math TeX Gyre" w:hAnsi="DejaVu Math TeX Gyre" w:cs="Times New Roman Regular"/>
                <w:color w:val="auto"/>
              </w:rPr>
              <m:t>it</m:t>
            </m:r>
            <m:ctrlPr>
              <w:rPr>
                <w:rFonts w:ascii="DejaVu Math TeX Gyre" w:hAnsi="DejaVu Math TeX Gyre" w:cs="Times New Roman Regular"/>
                <w:i/>
                <w:color w:val="auto"/>
              </w:rPr>
            </m:ctrlPr>
          </m:sub>
        </m:sSub>
        <m:r>
          <m:rPr/>
          <w:rPr>
            <w:rFonts w:ascii="DejaVu Math TeX Gyre" w:hAnsi="DejaVu Math TeX Gyre" w:cs="Times New Roman Regular"/>
            <w:color w:val="auto"/>
          </w:rPr>
          <m:t>+</m:t>
        </m:r>
      </m:oMath>
      <w:r>
        <w:rPr>
          <w:rFonts w:ascii="Times New Roman Regular" w:hAnsi="Times New Roman Regular" w:cs="Times New Roman Regular"/>
          <w:bCs/>
          <w:i/>
          <w:color w:val="auto"/>
        </w:rPr>
        <w:t xml:space="preserve"> </w:t>
      </w:r>
      <m:oMath>
        <m:sSub>
          <m:sSubPr>
            <m:ctrlPr>
              <w:rPr>
                <w:rFonts w:ascii="DejaVu Math TeX Gyre" w:hAnsi="DejaVu Math TeX Gyre" w:cs="Times New Roman Regular"/>
                <w:bCs/>
                <w:i/>
                <w:color w:val="auto"/>
              </w:rPr>
            </m:ctrlPr>
          </m:sSubPr>
          <m:e>
            <m:r>
              <m:rPr/>
              <w:rPr>
                <w:rFonts w:ascii="DejaVu Math TeX Gyre" w:hAnsi="DejaVu Math TeX Gyre" w:cs="Times New Roman Regular"/>
                <w:color w:val="auto"/>
              </w:rPr>
              <m:t>µ</m:t>
            </m:r>
            <m:ctrlPr>
              <w:rPr>
                <w:rFonts w:ascii="DejaVu Math TeX Gyre" w:hAnsi="DejaVu Math TeX Gyre" w:cs="Times New Roman Regular"/>
                <w:bCs/>
                <w:i/>
                <w:color w:val="auto"/>
              </w:rPr>
            </m:ctrlPr>
          </m:e>
          <m:sub>
            <m:r>
              <m:rPr/>
              <w:rPr>
                <w:rFonts w:ascii="DejaVu Math TeX Gyre" w:hAnsi="DejaVu Math TeX Gyre" w:cs="Times New Roman Regular"/>
                <w:color w:val="auto"/>
              </w:rPr>
              <m:t>it</m:t>
            </m:r>
            <m:ctrlPr>
              <w:rPr>
                <w:rFonts w:ascii="DejaVu Math TeX Gyre" w:hAnsi="DejaVu Math TeX Gyre" w:cs="Times New Roman Regular"/>
                <w:bCs/>
                <w:i/>
                <w:color w:val="auto"/>
              </w:rPr>
            </m:ctrlPr>
          </m:sub>
        </m:sSub>
      </m:oMath>
    </w:p>
    <w:p w14:paraId="5B600688">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Where:</w:t>
      </w:r>
    </w:p>
    <w:p w14:paraId="0DE76966">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BFP = Bank Financial Performance (proxied by NIM, ROE, ROA and LTA by an index using PCA)</w:t>
      </w:r>
    </w:p>
    <w:p w14:paraId="01C3274E">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CRI = Climate Risk (proxied by climate risk index)</w:t>
      </w:r>
    </w:p>
    <w:p w14:paraId="36C7861F">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LV = Bank Leverage (proxied by bank’s debt to equity ratio)</w:t>
      </w:r>
    </w:p>
    <w:p w14:paraId="1F71223E">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Bs = Bank Size (proxied by natural logarithm of bank’s total assets) </w:t>
      </w:r>
    </w:p>
    <w:p w14:paraId="523B59DF">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INF = Inflation (proxied by annual consumer price index) </w:t>
      </w:r>
    </w:p>
    <w:p w14:paraId="49F3A670">
      <w:pPr>
        <w:spacing w:line="360" w:lineRule="auto"/>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GDPG = Economic Growth (real GDP growth) </w:t>
      </w:r>
    </w:p>
    <w:p w14:paraId="2344FC24">
      <w:pPr>
        <w:pStyle w:val="10"/>
        <w:spacing w:line="360" w:lineRule="auto"/>
        <w:contextualSpacing/>
        <w:jc w:val="both"/>
        <w:rPr>
          <w:rFonts w:ascii="Times New Roman Regular" w:hAnsi="Times New Roman Regular" w:cs="Times New Roman Regular"/>
          <w:color w:val="auto"/>
        </w:rPr>
      </w:pPr>
      <w:r>
        <w:rPr>
          <w:rFonts w:ascii="Times New Roman Regular" w:hAnsi="Times New Roman Regular" w:cs="Times New Roman Regular"/>
          <w:i/>
          <w:iCs/>
          <w:color w:val="auto"/>
        </w:rPr>
        <w:t xml:space="preserve">βi, </w:t>
      </w:r>
      <w:r>
        <w:rPr>
          <w:rFonts w:ascii="Times New Roman Regular" w:hAnsi="Times New Roman Regular" w:cs="Times New Roman Regular"/>
          <w:color w:val="auto"/>
        </w:rPr>
        <w:t xml:space="preserve">where </w:t>
      </w:r>
      <w:r>
        <w:rPr>
          <w:rFonts w:ascii="Times New Roman Regular" w:hAnsi="Times New Roman Regular" w:cs="Times New Roman Regular"/>
          <w:i/>
          <w:iCs/>
          <w:color w:val="auto"/>
        </w:rPr>
        <w:t>i</w:t>
      </w:r>
      <w:r>
        <w:rPr>
          <w:rFonts w:ascii="Times New Roman Regular" w:hAnsi="Times New Roman Regular" w:cs="Times New Roman Regular"/>
          <w:color w:val="auto"/>
        </w:rPr>
        <w:t xml:space="preserve"> = 1, 2, 3, 4 and 5  represents the coefficients of the explanatory variables of the model, and</w:t>
      </w:r>
    </w:p>
    <w:p w14:paraId="2889C8AC">
      <w:pPr>
        <w:spacing w:line="360" w:lineRule="auto"/>
        <w:contextualSpacing/>
        <w:jc w:val="both"/>
        <w:rPr>
          <w:rFonts w:ascii="Times New Roman Regular" w:hAnsi="Times New Roman Regular" w:cs="Times New Roman Regular"/>
          <w:sz w:val="24"/>
          <w:szCs w:val="24"/>
        </w:rPr>
      </w:pPr>
      <m:oMath>
        <m:sSub>
          <m:sSubPr>
            <m:ctrlPr>
              <w:rPr>
                <w:rFonts w:ascii="DejaVu Math TeX Gyre" w:hAnsi="DejaVu Math TeX Gyre" w:cs="Times New Roman Regular"/>
                <w:bCs/>
                <w:i/>
                <w:sz w:val="24"/>
                <w:szCs w:val="24"/>
              </w:rPr>
            </m:ctrlPr>
          </m:sSubPr>
          <m:e>
            <m:r>
              <m:rPr/>
              <w:rPr>
                <w:rFonts w:ascii="DejaVu Math TeX Gyre" w:hAnsi="DejaVu Math TeX Gyre" w:cs="Times New Roman Regular"/>
                <w:sz w:val="24"/>
                <w:szCs w:val="24"/>
              </w:rPr>
              <m:t>µ</m:t>
            </m:r>
            <m:ctrlPr>
              <w:rPr>
                <w:rFonts w:ascii="DejaVu Math TeX Gyre" w:hAnsi="DejaVu Math TeX Gyre" w:cs="Times New Roman Regular"/>
                <w:bCs/>
                <w:i/>
                <w:sz w:val="24"/>
                <w:szCs w:val="24"/>
              </w:rPr>
            </m:ctrlPr>
          </m:e>
          <m:sub>
            <m:r>
              <m:rPr/>
              <w:rPr>
                <w:rFonts w:ascii="DejaVu Math TeX Gyre" w:hAnsi="DejaVu Math TeX Gyre" w:cs="Times New Roman Regular"/>
                <w:sz w:val="24"/>
                <w:szCs w:val="24"/>
              </w:rPr>
              <m:t>it</m:t>
            </m:r>
            <m:ctrlPr>
              <w:rPr>
                <w:rFonts w:ascii="DejaVu Math TeX Gyre" w:hAnsi="DejaVu Math TeX Gyre" w:cs="Times New Roman Regular"/>
                <w:bCs/>
                <w:i/>
                <w:sz w:val="24"/>
                <w:szCs w:val="24"/>
              </w:rPr>
            </m:ctrlPr>
          </m:sub>
        </m:sSub>
      </m:oMath>
      <w:r>
        <w:rPr>
          <w:rFonts w:ascii="Times New Roman Regular" w:hAnsi="Times New Roman Regular" w:cs="Times New Roman Regular"/>
          <w:sz w:val="24"/>
          <w:szCs w:val="24"/>
          <w:vertAlign w:val="subscript"/>
        </w:rPr>
        <w:t xml:space="preserve"> </w:t>
      </w:r>
      <w:r>
        <w:rPr>
          <w:rFonts w:ascii="Times New Roman Regular" w:hAnsi="Times New Roman Regular" w:cs="Times New Roman Regular"/>
          <w:sz w:val="24"/>
          <w:szCs w:val="24"/>
        </w:rPr>
        <w:t xml:space="preserve">= the error term. </w:t>
      </w:r>
    </w:p>
    <w:p w14:paraId="48E42EEC">
      <w:pPr>
        <w:autoSpaceDE w:val="0"/>
        <w:autoSpaceDN w:val="0"/>
        <w:adjustRightInd w:val="0"/>
        <w:spacing w:line="360" w:lineRule="auto"/>
        <w:jc w:val="both"/>
        <w:rPr>
          <w:rFonts w:ascii="Times New Roman Regular" w:hAnsi="Times New Roman Regular" w:cs="Times New Roman Regular"/>
          <w:b/>
          <w:bCs/>
          <w:sz w:val="24"/>
          <w:szCs w:val="24"/>
        </w:rPr>
      </w:pPr>
    </w:p>
    <w:p w14:paraId="74E8F5AA">
      <w:pPr>
        <w:autoSpaceDE w:val="0"/>
        <w:autoSpaceDN w:val="0"/>
        <w:adjustRightInd w:val="0"/>
        <w:spacing w:line="360" w:lineRule="auto"/>
        <w:jc w:val="both"/>
        <w:rPr>
          <w:rFonts w:ascii="Times New Roman Regular" w:hAnsi="Times New Roman Regular" w:eastAsia="Times New Roman" w:cs="Times New Roman Regular"/>
          <w:bCs/>
          <w:sz w:val="24"/>
          <w:szCs w:val="24"/>
        </w:rPr>
      </w:pPr>
      <w:r>
        <w:rPr>
          <w:rFonts w:ascii="Times New Roman Regular" w:hAnsi="Times New Roman Regular" w:cs="Times New Roman Regular"/>
          <w:b/>
          <w:bCs/>
          <w:sz w:val="24"/>
          <w:szCs w:val="24"/>
        </w:rPr>
        <w:t>4.0 Discussion of Results</w:t>
      </w:r>
    </w:p>
    <w:p w14:paraId="2825641C">
      <w:pPr>
        <w:pStyle w:val="2"/>
        <w:spacing w:line="360" w:lineRule="auto"/>
        <w:rPr>
          <w:rFonts w:ascii="Times New Roman Regular" w:hAnsi="Times New Roman Regular" w:cs="Times New Roman Regular"/>
          <w:sz w:val="24"/>
          <w:szCs w:val="24"/>
        </w:rPr>
      </w:pPr>
      <w:bookmarkStart w:id="18" w:name="_Toc156569135"/>
      <w:r>
        <w:rPr>
          <w:rFonts w:ascii="Times New Roman Regular" w:hAnsi="Times New Roman Regular" w:cs="Times New Roman Regular"/>
          <w:sz w:val="24"/>
          <w:szCs w:val="24"/>
        </w:rPr>
        <w:t>4.1 Principal Component Analysis</w:t>
      </w:r>
      <w:bookmarkEnd w:id="18"/>
      <w:r>
        <w:rPr>
          <w:rFonts w:ascii="Times New Roman Regular" w:hAnsi="Times New Roman Regular" w:cs="Times New Roman Regular"/>
          <w:sz w:val="24"/>
          <w:szCs w:val="24"/>
        </w:rPr>
        <w:t xml:space="preserve"> </w:t>
      </w:r>
    </w:p>
    <w:p w14:paraId="3D7E48A2">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Principal Component Analysis (PCA) is the generic term for a method that leverages advanced underlying mathematical concepts to reduce a number of potentially linked variables into a smaller number of uncorrelated variables known as principal components. (Wu, Massart &amp; De Jong, 1997; Mishra et al., 2017; Salem, 2021). PCA uses a vector space transform to reduce the dimensionality of large data sets (Cao et al., 2003). Principal component analysis was used to create a single financial performance index and institutional quality index consistent with earlier research. This is required because there was no agreement in the literature on a single most acceptable variable for measuring financial success. It is necessary since utilizing the different variables independently may not have sufficiently captured and shown the financial performance status of the chosen listed institutions.</w:t>
      </w:r>
    </w:p>
    <w:p w14:paraId="30B54D1D">
      <w:pPr>
        <w:autoSpaceDE w:val="0"/>
        <w:autoSpaceDN w:val="0"/>
        <w:adjustRightInd w:val="0"/>
        <w:spacing w:line="360" w:lineRule="auto"/>
        <w:jc w:val="both"/>
        <w:rPr>
          <w:rFonts w:ascii="Times New Roman Regular" w:hAnsi="Times New Roman Regular" w:cs="Times New Roman Regular"/>
          <w:sz w:val="24"/>
          <w:szCs w:val="24"/>
        </w:rPr>
      </w:pPr>
    </w:p>
    <w:p w14:paraId="365C1858">
      <w:pPr>
        <w:pStyle w:val="2"/>
        <w:spacing w:line="360" w:lineRule="auto"/>
        <w:rPr>
          <w:rFonts w:ascii="Times New Roman Regular" w:hAnsi="Times New Roman Regular" w:cs="Times New Roman Regular"/>
          <w:sz w:val="24"/>
          <w:szCs w:val="24"/>
        </w:rPr>
      </w:pPr>
      <w:bookmarkStart w:id="19" w:name="_Toc156569136"/>
      <w:r>
        <w:rPr>
          <w:rFonts w:ascii="Times New Roman Regular" w:hAnsi="Times New Roman Regular" w:cs="Times New Roman Regular"/>
          <w:sz w:val="24"/>
          <w:szCs w:val="24"/>
        </w:rPr>
        <w:t>4.1.1 Financial Performance Index (FINP)</w:t>
      </w:r>
      <w:bookmarkEnd w:id="19"/>
    </w:p>
    <w:p w14:paraId="061EB466">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The financial performance indicators that were used in the principal component analysis include: net interest margin (NIM), return on assets (ROA), return on equity (ROE) and liquid assets to total assets ratio (LTA). The Eigen Values of the variable variance matrix are calculated in order to perform principal component analysis.  According to literature, the classical cutoff value for eigen values is 1 (Lakshmikantham &amp; Sen, 2005; Kouachi, 2006). An eigen value of less than one is less efficient in terms of information than the average single variable. Table 1 displays the eigen values of the correlation matrix of the four (4) different indicators that were used to generate financial performance index (FINP). The total of the eigen values is equal to the number of individual indicators. The first principal component explains the highest variance of 51.69% in all the individual indicators with an eigenvalue of 2.0678. The second principal component explains a variance of 25.84%, with an eigenvalue of 1.0338. The third and fourth principal components were having eigenvalues less than 1, and there cannot be accepted. The first two principal components (PC1 and PC 2) are relevant measures of financial performance as they explain in total of 77.54% of the variance, and also have eigen values greater than the threshold eigen value of 1. The first two principal components were used to generate an index for financial performance in conformance with prior literature. </w:t>
      </w:r>
      <w:r>
        <w:rPr>
          <w:rFonts w:ascii="Times New Roman Regular" w:hAnsi="Times New Roman Regular" w:cs="Times New Roman Regular"/>
          <w:sz w:val="24"/>
          <w:szCs w:val="24"/>
        </w:rPr>
        <w:tab/>
      </w:r>
    </w:p>
    <w:p w14:paraId="62FB6B05">
      <w:pPr>
        <w:autoSpaceDE w:val="0"/>
        <w:autoSpaceDN w:val="0"/>
        <w:adjustRightInd w:val="0"/>
        <w:spacing w:line="360" w:lineRule="auto"/>
        <w:jc w:val="both"/>
        <w:rPr>
          <w:rFonts w:ascii="Times New Roman Regular" w:hAnsi="Times New Roman Regular" w:cs="Times New Roman Regular"/>
          <w:sz w:val="24"/>
          <w:szCs w:val="24"/>
        </w:rPr>
      </w:pPr>
    </w:p>
    <w:p w14:paraId="624580F8">
      <w:pPr>
        <w:pStyle w:val="2"/>
        <w:spacing w:line="360" w:lineRule="auto"/>
        <w:rPr>
          <w:rFonts w:ascii="Times New Roman Regular" w:hAnsi="Times New Roman Regular" w:cs="Times New Roman Regular"/>
          <w:sz w:val="24"/>
          <w:szCs w:val="24"/>
          <w:lang w:val="fr-FR"/>
        </w:rPr>
      </w:pPr>
      <w:bookmarkStart w:id="20" w:name="_Toc156569137"/>
      <w:r>
        <w:rPr>
          <w:rFonts w:ascii="Times New Roman Regular" w:hAnsi="Times New Roman Regular" w:cs="Times New Roman Regular"/>
          <w:sz w:val="24"/>
          <w:szCs w:val="24"/>
        </w:rPr>
        <w:t xml:space="preserve">Table 1: Eigen </w:t>
      </w:r>
      <w:r>
        <w:rPr>
          <w:rFonts w:ascii="Times New Roman Regular" w:hAnsi="Times New Roman Regular" w:cs="Times New Roman Regular"/>
          <w:sz w:val="24"/>
          <w:szCs w:val="24"/>
          <w:lang w:val="fr-FR"/>
        </w:rPr>
        <w:t>Values: Financial Performance Indicators</w:t>
      </w:r>
      <w:bookmarkEnd w:id="20"/>
    </w:p>
    <w:tbl>
      <w:tblPr>
        <w:tblStyle w:val="4"/>
        <w:tblW w:w="9360" w:type="dxa"/>
        <w:tblInd w:w="0" w:type="dxa"/>
        <w:tblLayout w:type="autofit"/>
        <w:tblCellMar>
          <w:top w:w="0" w:type="dxa"/>
          <w:left w:w="108" w:type="dxa"/>
          <w:bottom w:w="0" w:type="dxa"/>
          <w:right w:w="108" w:type="dxa"/>
        </w:tblCellMar>
      </w:tblPr>
      <w:tblGrid>
        <w:gridCol w:w="2759"/>
        <w:gridCol w:w="1494"/>
        <w:gridCol w:w="2693"/>
        <w:gridCol w:w="2414"/>
      </w:tblGrid>
      <w:tr w14:paraId="6ACF0B26">
        <w:trPr>
          <w:trHeight w:val="625" w:hRule="atLeast"/>
        </w:trPr>
        <w:tc>
          <w:tcPr>
            <w:tcW w:w="2759" w:type="dxa"/>
            <w:tcBorders>
              <w:top w:val="single" w:color="auto" w:sz="4" w:space="0"/>
              <w:left w:val="nil"/>
              <w:bottom w:val="single" w:color="auto" w:sz="8" w:space="0"/>
              <w:right w:val="nil"/>
            </w:tcBorders>
            <w:noWrap/>
            <w:vAlign w:val="bottom"/>
          </w:tcPr>
          <w:p w14:paraId="1F71A85A">
            <w:pPr>
              <w:spacing w:line="360" w:lineRule="auto"/>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Principal Component </w:t>
            </w:r>
          </w:p>
        </w:tc>
        <w:tc>
          <w:tcPr>
            <w:tcW w:w="1494" w:type="dxa"/>
            <w:tcBorders>
              <w:top w:val="single" w:color="auto" w:sz="4" w:space="0"/>
              <w:left w:val="nil"/>
              <w:bottom w:val="single" w:color="auto" w:sz="8" w:space="0"/>
              <w:right w:val="nil"/>
            </w:tcBorders>
            <w:noWrap/>
            <w:vAlign w:val="bottom"/>
          </w:tcPr>
          <w:p w14:paraId="66543AA4">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Eigenvalue</w:t>
            </w:r>
          </w:p>
        </w:tc>
        <w:tc>
          <w:tcPr>
            <w:tcW w:w="2693" w:type="dxa"/>
            <w:tcBorders>
              <w:top w:val="single" w:color="auto" w:sz="4" w:space="0"/>
              <w:left w:val="nil"/>
              <w:bottom w:val="single" w:color="auto" w:sz="8" w:space="0"/>
              <w:right w:val="nil"/>
            </w:tcBorders>
            <w:noWrap/>
            <w:vAlign w:val="bottom"/>
          </w:tcPr>
          <w:p w14:paraId="485A9D63">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Proportion of Variance</w:t>
            </w:r>
          </w:p>
        </w:tc>
        <w:tc>
          <w:tcPr>
            <w:tcW w:w="2414" w:type="dxa"/>
            <w:tcBorders>
              <w:top w:val="single" w:color="auto" w:sz="4" w:space="0"/>
              <w:left w:val="nil"/>
              <w:bottom w:val="single" w:color="auto" w:sz="8" w:space="0"/>
              <w:right w:val="nil"/>
            </w:tcBorders>
            <w:noWrap/>
            <w:vAlign w:val="bottom"/>
          </w:tcPr>
          <w:p w14:paraId="5754C9D0">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Cumulative Proportion</w:t>
            </w:r>
          </w:p>
        </w:tc>
      </w:tr>
      <w:tr w14:paraId="57ACD76C">
        <w:trPr>
          <w:trHeight w:val="589" w:hRule="atLeast"/>
        </w:trPr>
        <w:tc>
          <w:tcPr>
            <w:tcW w:w="2759" w:type="dxa"/>
            <w:tcBorders>
              <w:top w:val="nil"/>
              <w:left w:val="nil"/>
              <w:bottom w:val="nil"/>
              <w:right w:val="nil"/>
            </w:tcBorders>
            <w:noWrap/>
            <w:vAlign w:val="bottom"/>
          </w:tcPr>
          <w:p w14:paraId="23EBA1CC">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PC 1</w:t>
            </w:r>
          </w:p>
        </w:tc>
        <w:tc>
          <w:tcPr>
            <w:tcW w:w="1494" w:type="dxa"/>
            <w:tcBorders>
              <w:top w:val="nil"/>
              <w:left w:val="nil"/>
              <w:bottom w:val="nil"/>
              <w:right w:val="nil"/>
            </w:tcBorders>
            <w:noWrap/>
            <w:vAlign w:val="bottom"/>
          </w:tcPr>
          <w:p w14:paraId="21AAE5A7">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2.0678</w:t>
            </w:r>
          </w:p>
        </w:tc>
        <w:tc>
          <w:tcPr>
            <w:tcW w:w="2693" w:type="dxa"/>
            <w:tcBorders>
              <w:top w:val="nil"/>
              <w:left w:val="nil"/>
              <w:bottom w:val="nil"/>
              <w:right w:val="nil"/>
            </w:tcBorders>
            <w:noWrap/>
            <w:vAlign w:val="bottom"/>
          </w:tcPr>
          <w:p w14:paraId="343909A4">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0.5169</w:t>
            </w:r>
          </w:p>
        </w:tc>
        <w:tc>
          <w:tcPr>
            <w:tcW w:w="2414" w:type="dxa"/>
            <w:tcBorders>
              <w:top w:val="nil"/>
              <w:left w:val="nil"/>
              <w:bottom w:val="nil"/>
              <w:right w:val="nil"/>
            </w:tcBorders>
            <w:noWrap/>
            <w:vAlign w:val="bottom"/>
          </w:tcPr>
          <w:p w14:paraId="0B33A77B">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0.5169</w:t>
            </w:r>
          </w:p>
        </w:tc>
      </w:tr>
      <w:tr w14:paraId="0897CE26">
        <w:trPr>
          <w:trHeight w:val="589" w:hRule="atLeast"/>
        </w:trPr>
        <w:tc>
          <w:tcPr>
            <w:tcW w:w="2759" w:type="dxa"/>
            <w:tcBorders>
              <w:top w:val="nil"/>
              <w:left w:val="nil"/>
              <w:bottom w:val="nil"/>
              <w:right w:val="nil"/>
            </w:tcBorders>
            <w:noWrap/>
            <w:vAlign w:val="bottom"/>
          </w:tcPr>
          <w:p w14:paraId="1CD13DDA">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PC 2</w:t>
            </w:r>
          </w:p>
        </w:tc>
        <w:tc>
          <w:tcPr>
            <w:tcW w:w="1494" w:type="dxa"/>
            <w:tcBorders>
              <w:top w:val="nil"/>
              <w:left w:val="nil"/>
              <w:bottom w:val="nil"/>
              <w:right w:val="nil"/>
            </w:tcBorders>
            <w:noWrap/>
            <w:vAlign w:val="bottom"/>
          </w:tcPr>
          <w:p w14:paraId="223E9217">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1.0338</w:t>
            </w:r>
          </w:p>
        </w:tc>
        <w:tc>
          <w:tcPr>
            <w:tcW w:w="2693" w:type="dxa"/>
            <w:tcBorders>
              <w:top w:val="nil"/>
              <w:left w:val="nil"/>
              <w:bottom w:val="nil"/>
              <w:right w:val="nil"/>
            </w:tcBorders>
            <w:noWrap/>
            <w:vAlign w:val="bottom"/>
          </w:tcPr>
          <w:p w14:paraId="5577312E">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0.2584</w:t>
            </w:r>
          </w:p>
        </w:tc>
        <w:tc>
          <w:tcPr>
            <w:tcW w:w="2414" w:type="dxa"/>
            <w:tcBorders>
              <w:top w:val="nil"/>
              <w:left w:val="nil"/>
              <w:bottom w:val="nil"/>
              <w:right w:val="nil"/>
            </w:tcBorders>
            <w:noWrap/>
            <w:vAlign w:val="bottom"/>
          </w:tcPr>
          <w:p w14:paraId="58A68DB9">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0.7754</w:t>
            </w:r>
          </w:p>
        </w:tc>
      </w:tr>
      <w:tr w14:paraId="7313FD7E">
        <w:trPr>
          <w:trHeight w:val="589" w:hRule="atLeast"/>
        </w:trPr>
        <w:tc>
          <w:tcPr>
            <w:tcW w:w="2759" w:type="dxa"/>
            <w:tcBorders>
              <w:top w:val="nil"/>
              <w:left w:val="nil"/>
              <w:bottom w:val="nil"/>
              <w:right w:val="nil"/>
            </w:tcBorders>
            <w:noWrap/>
            <w:vAlign w:val="bottom"/>
          </w:tcPr>
          <w:p w14:paraId="42CC3669">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PC 3</w:t>
            </w:r>
          </w:p>
        </w:tc>
        <w:tc>
          <w:tcPr>
            <w:tcW w:w="1494" w:type="dxa"/>
            <w:tcBorders>
              <w:top w:val="nil"/>
              <w:left w:val="nil"/>
              <w:bottom w:val="nil"/>
              <w:right w:val="nil"/>
            </w:tcBorders>
            <w:noWrap/>
            <w:vAlign w:val="bottom"/>
          </w:tcPr>
          <w:p w14:paraId="2F50333C">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0.6313</w:t>
            </w:r>
          </w:p>
        </w:tc>
        <w:tc>
          <w:tcPr>
            <w:tcW w:w="2693" w:type="dxa"/>
            <w:tcBorders>
              <w:top w:val="nil"/>
              <w:left w:val="nil"/>
              <w:bottom w:val="nil"/>
              <w:right w:val="nil"/>
            </w:tcBorders>
            <w:noWrap/>
            <w:vAlign w:val="bottom"/>
          </w:tcPr>
          <w:p w14:paraId="32CA5D83">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0.1578</w:t>
            </w:r>
          </w:p>
        </w:tc>
        <w:tc>
          <w:tcPr>
            <w:tcW w:w="2414" w:type="dxa"/>
            <w:tcBorders>
              <w:top w:val="nil"/>
              <w:left w:val="nil"/>
              <w:bottom w:val="nil"/>
              <w:right w:val="nil"/>
            </w:tcBorders>
            <w:noWrap/>
            <w:vAlign w:val="bottom"/>
          </w:tcPr>
          <w:p w14:paraId="187246D4">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0.9332</w:t>
            </w:r>
          </w:p>
        </w:tc>
      </w:tr>
      <w:tr w14:paraId="019F6C36">
        <w:trPr>
          <w:trHeight w:val="625" w:hRule="atLeast"/>
        </w:trPr>
        <w:tc>
          <w:tcPr>
            <w:tcW w:w="2759" w:type="dxa"/>
            <w:tcBorders>
              <w:top w:val="nil"/>
              <w:left w:val="nil"/>
              <w:bottom w:val="single" w:color="auto" w:sz="8" w:space="0"/>
              <w:right w:val="nil"/>
            </w:tcBorders>
            <w:noWrap/>
            <w:vAlign w:val="bottom"/>
          </w:tcPr>
          <w:p w14:paraId="60F0B9BE">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PC 4</w:t>
            </w:r>
          </w:p>
        </w:tc>
        <w:tc>
          <w:tcPr>
            <w:tcW w:w="1494" w:type="dxa"/>
            <w:tcBorders>
              <w:top w:val="nil"/>
              <w:left w:val="nil"/>
              <w:bottom w:val="single" w:color="auto" w:sz="8" w:space="0"/>
              <w:right w:val="nil"/>
            </w:tcBorders>
            <w:noWrap/>
            <w:vAlign w:val="bottom"/>
          </w:tcPr>
          <w:p w14:paraId="0E128851">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0.2671</w:t>
            </w:r>
          </w:p>
        </w:tc>
        <w:tc>
          <w:tcPr>
            <w:tcW w:w="2693" w:type="dxa"/>
            <w:tcBorders>
              <w:top w:val="nil"/>
              <w:left w:val="nil"/>
              <w:bottom w:val="single" w:color="auto" w:sz="8" w:space="0"/>
              <w:right w:val="nil"/>
            </w:tcBorders>
            <w:noWrap/>
            <w:vAlign w:val="bottom"/>
          </w:tcPr>
          <w:p w14:paraId="78043A2E">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0.0668</w:t>
            </w:r>
          </w:p>
        </w:tc>
        <w:tc>
          <w:tcPr>
            <w:tcW w:w="2414" w:type="dxa"/>
            <w:tcBorders>
              <w:top w:val="nil"/>
              <w:left w:val="nil"/>
              <w:bottom w:val="single" w:color="auto" w:sz="8" w:space="0"/>
              <w:right w:val="nil"/>
            </w:tcBorders>
            <w:noWrap/>
            <w:vAlign w:val="bottom"/>
          </w:tcPr>
          <w:p w14:paraId="5538DDBD">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1.0000</w:t>
            </w:r>
          </w:p>
        </w:tc>
      </w:tr>
    </w:tbl>
    <w:p w14:paraId="5C071135">
      <w:pPr>
        <w:autoSpaceDE w:val="0"/>
        <w:autoSpaceDN w:val="0"/>
        <w:adjustRightInd w:val="0"/>
        <w:spacing w:line="360" w:lineRule="auto"/>
        <w:jc w:val="both"/>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Source: Researcher’s Own Construction (2026). </w:t>
      </w:r>
    </w:p>
    <w:p w14:paraId="162C03F0">
      <w:pPr>
        <w:spacing w:line="360" w:lineRule="auto"/>
        <w:rPr>
          <w:rFonts w:ascii="Times New Roman Regular" w:hAnsi="Times New Roman Regular" w:eastAsia="Times New Roman" w:cs="Times New Roman Regular"/>
          <w:bCs/>
          <w:sz w:val="24"/>
          <w:szCs w:val="24"/>
        </w:rPr>
      </w:pPr>
    </w:p>
    <w:p w14:paraId="319FB96C">
      <w:pPr>
        <w:pStyle w:val="2"/>
        <w:spacing w:line="360" w:lineRule="auto"/>
        <w:rPr>
          <w:rFonts w:ascii="Times New Roman Regular" w:hAnsi="Times New Roman Regular" w:cs="Times New Roman Regular"/>
          <w:sz w:val="24"/>
          <w:szCs w:val="24"/>
        </w:rPr>
      </w:pPr>
      <w:bookmarkStart w:id="21" w:name="_Toc156569140"/>
      <w:r>
        <w:rPr>
          <w:rFonts w:ascii="Times New Roman Regular" w:hAnsi="Times New Roman Regular" w:cs="Times New Roman Regular"/>
          <w:sz w:val="24"/>
          <w:szCs w:val="24"/>
        </w:rPr>
        <w:t>4.2 Descriptive Statistics</w:t>
      </w:r>
      <w:bookmarkEnd w:id="21"/>
      <w:r>
        <w:rPr>
          <w:rFonts w:ascii="Times New Roman Regular" w:hAnsi="Times New Roman Regular" w:cs="Times New Roman Regular"/>
          <w:sz w:val="24"/>
          <w:szCs w:val="24"/>
        </w:rPr>
        <w:t xml:space="preserve"> </w:t>
      </w:r>
    </w:p>
    <w:p w14:paraId="579936A8">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This section reports on the descriptive statistics of the variables under consideration. The descriptive statistics presented in this section include total number of observations, maximum value, minimum value, mean, and standard deviation of all the variables employed in this study. Table 2 displays the descriptive statistics for each variable. The total number of observations for the study as indicated on the table is 150.  As shown in Table2, the maximum and minimum values of the financial performance index (FINP) were 2.67 and -4.48 respectively, with the mean value of 0.92. The mean value of 0.92 represents the average financial performance index for the selected licensed commercial banks for the study. The standard deviations as indicated in Table 2 for financial performance index is 0.73. This implies that the values of financial performance index are minimally dispersed from its mean. </w:t>
      </w:r>
    </w:p>
    <w:p w14:paraId="2BD29D61">
      <w:pPr>
        <w:autoSpaceDE w:val="0"/>
        <w:autoSpaceDN w:val="0"/>
        <w:adjustRightInd w:val="0"/>
        <w:spacing w:line="360" w:lineRule="auto"/>
        <w:jc w:val="both"/>
        <w:rPr>
          <w:rFonts w:ascii="Times New Roman Regular" w:hAnsi="Times New Roman Regular" w:cs="Times New Roman Regular"/>
          <w:sz w:val="24"/>
          <w:szCs w:val="24"/>
        </w:rPr>
      </w:pPr>
    </w:p>
    <w:p w14:paraId="49EC5D9E">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From Table 2, the maximum and minimum values for climate risk index (CRI) are 126.17 and 23.30 respectively, whilst the mean value of climate risk index (CRI) is 66.64. The standard deviation of climate risk index (CRI) is 26.84. As shown in Table 1, institutional quality index (IQ) has a maximum and minimum index of 1.51 and -1.85. The mean value of institutional quality index is standard deviation of institutional quality is 0.0020 indicating that the values of institutional quality index are not distant from the mean.  As indicated in Table 1, the control variables; bank size (BZ), leverage (LEV), economic growth (GDPG, and inflation (INFR) have averages of 8.70%, 7.36%, 6.13%, and 12.40% respectively. The standard deviations of the control variables shown in Table.1 indicates that their values of bank size (BZ), leverage (LEV), economic growth (GDPG) and inflation (INFR) are close to their means. </w:t>
      </w:r>
    </w:p>
    <w:p w14:paraId="0BD045E7">
      <w:pPr>
        <w:pStyle w:val="2"/>
        <w:spacing w:line="360" w:lineRule="auto"/>
        <w:rPr>
          <w:rFonts w:ascii="Times New Roman Regular" w:hAnsi="Times New Roman Regular" w:cs="Times New Roman Regular"/>
          <w:sz w:val="24"/>
          <w:szCs w:val="24"/>
        </w:rPr>
      </w:pPr>
      <w:bookmarkStart w:id="22" w:name="_Toc156569141"/>
      <w:r>
        <w:rPr>
          <w:rFonts w:ascii="Times New Roman Regular" w:hAnsi="Times New Roman Regular" w:cs="Times New Roman Regular"/>
          <w:sz w:val="24"/>
          <w:szCs w:val="24"/>
        </w:rPr>
        <w:t>Table 2: Descriptive Statistics of the Variables</w:t>
      </w:r>
      <w:bookmarkEnd w:id="22"/>
      <w:r>
        <w:rPr>
          <w:rFonts w:ascii="Times New Roman Regular" w:hAnsi="Times New Roman Regular" w:cs="Times New Roman Regular"/>
          <w:sz w:val="24"/>
          <w:szCs w:val="24"/>
        </w:rPr>
        <w:t xml:space="preserve"> </w:t>
      </w:r>
    </w:p>
    <w:tbl>
      <w:tblPr>
        <w:tblStyle w:val="4"/>
        <w:tblW w:w="7727" w:type="dxa"/>
        <w:tblInd w:w="0" w:type="dxa"/>
        <w:tblLayout w:type="autofit"/>
        <w:tblCellMar>
          <w:top w:w="0" w:type="dxa"/>
          <w:left w:w="108" w:type="dxa"/>
          <w:bottom w:w="0" w:type="dxa"/>
          <w:right w:w="108" w:type="dxa"/>
        </w:tblCellMar>
      </w:tblPr>
      <w:tblGrid>
        <w:gridCol w:w="1491"/>
        <w:gridCol w:w="1024"/>
        <w:gridCol w:w="1116"/>
        <w:gridCol w:w="1024"/>
        <w:gridCol w:w="1024"/>
        <w:gridCol w:w="1024"/>
        <w:gridCol w:w="1024"/>
      </w:tblGrid>
      <w:tr w14:paraId="45E1D2B0">
        <w:trPr>
          <w:trHeight w:val="525" w:hRule="atLeast"/>
        </w:trPr>
        <w:tc>
          <w:tcPr>
            <w:tcW w:w="1491" w:type="dxa"/>
            <w:tcBorders>
              <w:top w:val="single" w:color="auto" w:sz="4" w:space="0"/>
              <w:left w:val="nil"/>
              <w:bottom w:val="single" w:color="auto" w:sz="8" w:space="0"/>
              <w:right w:val="nil"/>
            </w:tcBorders>
            <w:noWrap/>
            <w:vAlign w:val="bottom"/>
          </w:tcPr>
          <w:p w14:paraId="501657AE">
            <w:pPr>
              <w:spacing w:line="360" w:lineRule="auto"/>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Variables</w:t>
            </w:r>
          </w:p>
        </w:tc>
        <w:tc>
          <w:tcPr>
            <w:tcW w:w="1024" w:type="dxa"/>
            <w:tcBorders>
              <w:top w:val="single" w:color="auto" w:sz="4" w:space="0"/>
              <w:left w:val="nil"/>
              <w:bottom w:val="single" w:color="auto" w:sz="8" w:space="0"/>
              <w:right w:val="nil"/>
            </w:tcBorders>
            <w:noWrap/>
            <w:vAlign w:val="bottom"/>
          </w:tcPr>
          <w:p w14:paraId="042E80DC">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FINP</w:t>
            </w:r>
          </w:p>
        </w:tc>
        <w:tc>
          <w:tcPr>
            <w:tcW w:w="1116" w:type="dxa"/>
            <w:tcBorders>
              <w:top w:val="single" w:color="auto" w:sz="4" w:space="0"/>
              <w:left w:val="nil"/>
              <w:bottom w:val="single" w:color="auto" w:sz="8" w:space="0"/>
              <w:right w:val="nil"/>
            </w:tcBorders>
            <w:noWrap/>
            <w:vAlign w:val="bottom"/>
          </w:tcPr>
          <w:p w14:paraId="071238D0">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CRI</w:t>
            </w:r>
          </w:p>
        </w:tc>
        <w:tc>
          <w:tcPr>
            <w:tcW w:w="1024" w:type="dxa"/>
            <w:tcBorders>
              <w:top w:val="single" w:color="auto" w:sz="4" w:space="0"/>
              <w:left w:val="nil"/>
              <w:bottom w:val="single" w:color="auto" w:sz="8" w:space="0"/>
              <w:right w:val="nil"/>
            </w:tcBorders>
            <w:noWrap/>
            <w:vAlign w:val="bottom"/>
          </w:tcPr>
          <w:p w14:paraId="611A4293">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Bs</w:t>
            </w:r>
          </w:p>
        </w:tc>
        <w:tc>
          <w:tcPr>
            <w:tcW w:w="1024" w:type="dxa"/>
            <w:tcBorders>
              <w:top w:val="single" w:color="auto" w:sz="4" w:space="0"/>
              <w:left w:val="nil"/>
              <w:bottom w:val="single" w:color="auto" w:sz="8" w:space="0"/>
              <w:right w:val="nil"/>
            </w:tcBorders>
            <w:noWrap/>
            <w:vAlign w:val="bottom"/>
          </w:tcPr>
          <w:p w14:paraId="4778F863">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LEV</w:t>
            </w:r>
          </w:p>
        </w:tc>
        <w:tc>
          <w:tcPr>
            <w:tcW w:w="1024" w:type="dxa"/>
            <w:tcBorders>
              <w:top w:val="single" w:color="auto" w:sz="4" w:space="0"/>
              <w:left w:val="nil"/>
              <w:bottom w:val="single" w:color="auto" w:sz="8" w:space="0"/>
              <w:right w:val="nil"/>
            </w:tcBorders>
            <w:noWrap/>
            <w:vAlign w:val="bottom"/>
          </w:tcPr>
          <w:p w14:paraId="06DDD8E4">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GDPG</w:t>
            </w:r>
          </w:p>
        </w:tc>
        <w:tc>
          <w:tcPr>
            <w:tcW w:w="1024" w:type="dxa"/>
            <w:tcBorders>
              <w:top w:val="single" w:color="auto" w:sz="4" w:space="0"/>
              <w:left w:val="nil"/>
              <w:bottom w:val="single" w:color="auto" w:sz="8" w:space="0"/>
              <w:right w:val="nil"/>
            </w:tcBorders>
            <w:noWrap/>
            <w:vAlign w:val="bottom"/>
          </w:tcPr>
          <w:p w14:paraId="07D65E06">
            <w:pPr>
              <w:spacing w:line="360" w:lineRule="auto"/>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INFR</w:t>
            </w:r>
          </w:p>
        </w:tc>
      </w:tr>
      <w:tr w14:paraId="004E0DE2">
        <w:trPr>
          <w:trHeight w:val="755" w:hRule="atLeast"/>
        </w:trPr>
        <w:tc>
          <w:tcPr>
            <w:tcW w:w="1491" w:type="dxa"/>
            <w:tcBorders>
              <w:top w:val="nil"/>
              <w:left w:val="nil"/>
              <w:bottom w:val="nil"/>
              <w:right w:val="nil"/>
            </w:tcBorders>
            <w:noWrap/>
            <w:vAlign w:val="bottom"/>
          </w:tcPr>
          <w:p w14:paraId="035C80DC">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Mean</w:t>
            </w:r>
          </w:p>
        </w:tc>
        <w:tc>
          <w:tcPr>
            <w:tcW w:w="1024" w:type="dxa"/>
            <w:tcBorders>
              <w:top w:val="nil"/>
              <w:left w:val="nil"/>
              <w:bottom w:val="nil"/>
              <w:right w:val="nil"/>
            </w:tcBorders>
            <w:noWrap/>
            <w:vAlign w:val="bottom"/>
          </w:tcPr>
          <w:p w14:paraId="0EC82003">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0.9168</w:t>
            </w:r>
          </w:p>
        </w:tc>
        <w:tc>
          <w:tcPr>
            <w:tcW w:w="1116" w:type="dxa"/>
            <w:tcBorders>
              <w:top w:val="nil"/>
              <w:left w:val="nil"/>
              <w:bottom w:val="nil"/>
              <w:right w:val="nil"/>
            </w:tcBorders>
            <w:noWrap/>
            <w:vAlign w:val="bottom"/>
          </w:tcPr>
          <w:p w14:paraId="2E80CD63">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66.6493</w:t>
            </w:r>
          </w:p>
        </w:tc>
        <w:tc>
          <w:tcPr>
            <w:tcW w:w="1024" w:type="dxa"/>
            <w:tcBorders>
              <w:top w:val="nil"/>
              <w:left w:val="nil"/>
              <w:bottom w:val="nil"/>
              <w:right w:val="nil"/>
            </w:tcBorders>
            <w:noWrap/>
            <w:vAlign w:val="bottom"/>
          </w:tcPr>
          <w:p w14:paraId="1E540E95">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8.7029</w:t>
            </w:r>
          </w:p>
        </w:tc>
        <w:tc>
          <w:tcPr>
            <w:tcW w:w="1024" w:type="dxa"/>
            <w:tcBorders>
              <w:top w:val="nil"/>
              <w:left w:val="nil"/>
              <w:bottom w:val="nil"/>
              <w:right w:val="nil"/>
            </w:tcBorders>
            <w:noWrap/>
            <w:vAlign w:val="bottom"/>
          </w:tcPr>
          <w:p w14:paraId="19C025C6">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7.3623</w:t>
            </w:r>
          </w:p>
        </w:tc>
        <w:tc>
          <w:tcPr>
            <w:tcW w:w="1024" w:type="dxa"/>
            <w:tcBorders>
              <w:top w:val="nil"/>
              <w:left w:val="nil"/>
              <w:bottom w:val="nil"/>
              <w:right w:val="nil"/>
            </w:tcBorders>
            <w:noWrap/>
            <w:vAlign w:val="bottom"/>
          </w:tcPr>
          <w:p w14:paraId="7B75E6E1">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6.1301</w:t>
            </w:r>
          </w:p>
        </w:tc>
        <w:tc>
          <w:tcPr>
            <w:tcW w:w="1024" w:type="dxa"/>
            <w:tcBorders>
              <w:top w:val="nil"/>
              <w:left w:val="nil"/>
              <w:bottom w:val="nil"/>
              <w:right w:val="nil"/>
            </w:tcBorders>
            <w:noWrap/>
            <w:vAlign w:val="bottom"/>
          </w:tcPr>
          <w:p w14:paraId="752750A7">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12.4045</w:t>
            </w:r>
          </w:p>
        </w:tc>
      </w:tr>
      <w:tr w14:paraId="29D42922">
        <w:trPr>
          <w:trHeight w:val="755" w:hRule="atLeast"/>
        </w:trPr>
        <w:tc>
          <w:tcPr>
            <w:tcW w:w="1491" w:type="dxa"/>
            <w:tcBorders>
              <w:top w:val="nil"/>
              <w:left w:val="nil"/>
              <w:bottom w:val="nil"/>
              <w:right w:val="nil"/>
            </w:tcBorders>
            <w:noWrap/>
            <w:vAlign w:val="bottom"/>
          </w:tcPr>
          <w:p w14:paraId="4D774A47">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Median</w:t>
            </w:r>
          </w:p>
        </w:tc>
        <w:tc>
          <w:tcPr>
            <w:tcW w:w="1024" w:type="dxa"/>
            <w:tcBorders>
              <w:top w:val="nil"/>
              <w:left w:val="nil"/>
              <w:bottom w:val="nil"/>
              <w:right w:val="nil"/>
            </w:tcBorders>
            <w:noWrap/>
            <w:vAlign w:val="bottom"/>
          </w:tcPr>
          <w:p w14:paraId="746961F4">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0.0768</w:t>
            </w:r>
          </w:p>
        </w:tc>
        <w:tc>
          <w:tcPr>
            <w:tcW w:w="1116" w:type="dxa"/>
            <w:tcBorders>
              <w:top w:val="nil"/>
              <w:left w:val="nil"/>
              <w:bottom w:val="nil"/>
              <w:right w:val="nil"/>
            </w:tcBorders>
            <w:noWrap/>
            <w:vAlign w:val="bottom"/>
          </w:tcPr>
          <w:p w14:paraId="09DFC5E7">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60.7800</w:t>
            </w:r>
          </w:p>
        </w:tc>
        <w:tc>
          <w:tcPr>
            <w:tcW w:w="1024" w:type="dxa"/>
            <w:tcBorders>
              <w:top w:val="nil"/>
              <w:left w:val="nil"/>
              <w:bottom w:val="nil"/>
              <w:right w:val="nil"/>
            </w:tcBorders>
            <w:noWrap/>
            <w:vAlign w:val="bottom"/>
          </w:tcPr>
          <w:p w14:paraId="68B7F6EC">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9.1841</w:t>
            </w:r>
          </w:p>
        </w:tc>
        <w:tc>
          <w:tcPr>
            <w:tcW w:w="1024" w:type="dxa"/>
            <w:tcBorders>
              <w:top w:val="nil"/>
              <w:left w:val="nil"/>
              <w:bottom w:val="nil"/>
              <w:right w:val="nil"/>
            </w:tcBorders>
            <w:noWrap/>
            <w:vAlign w:val="bottom"/>
          </w:tcPr>
          <w:p w14:paraId="7488AAED">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5.5422</w:t>
            </w:r>
          </w:p>
        </w:tc>
        <w:tc>
          <w:tcPr>
            <w:tcW w:w="1024" w:type="dxa"/>
            <w:tcBorders>
              <w:top w:val="nil"/>
              <w:left w:val="nil"/>
              <w:bottom w:val="nil"/>
              <w:right w:val="nil"/>
            </w:tcBorders>
            <w:noWrap/>
            <w:vAlign w:val="bottom"/>
          </w:tcPr>
          <w:p w14:paraId="3A123538">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6.2001</w:t>
            </w:r>
          </w:p>
        </w:tc>
        <w:tc>
          <w:tcPr>
            <w:tcW w:w="1024" w:type="dxa"/>
            <w:tcBorders>
              <w:top w:val="nil"/>
              <w:left w:val="nil"/>
              <w:bottom w:val="nil"/>
              <w:right w:val="nil"/>
            </w:tcBorders>
            <w:noWrap/>
            <w:vAlign w:val="bottom"/>
          </w:tcPr>
          <w:p w14:paraId="67906734">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11.1863</w:t>
            </w:r>
          </w:p>
        </w:tc>
      </w:tr>
      <w:tr w14:paraId="104E5EE7">
        <w:trPr>
          <w:trHeight w:val="755" w:hRule="atLeast"/>
        </w:trPr>
        <w:tc>
          <w:tcPr>
            <w:tcW w:w="1491" w:type="dxa"/>
            <w:tcBorders>
              <w:top w:val="nil"/>
              <w:left w:val="nil"/>
              <w:bottom w:val="nil"/>
              <w:right w:val="nil"/>
            </w:tcBorders>
            <w:noWrap/>
            <w:vAlign w:val="bottom"/>
          </w:tcPr>
          <w:p w14:paraId="4B3ABEC3">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Maximum</w:t>
            </w:r>
          </w:p>
        </w:tc>
        <w:tc>
          <w:tcPr>
            <w:tcW w:w="1024" w:type="dxa"/>
            <w:tcBorders>
              <w:top w:val="nil"/>
              <w:left w:val="nil"/>
              <w:bottom w:val="nil"/>
              <w:right w:val="nil"/>
            </w:tcBorders>
            <w:noWrap/>
            <w:vAlign w:val="bottom"/>
          </w:tcPr>
          <w:p w14:paraId="27B52EA2">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2.2672</w:t>
            </w:r>
          </w:p>
        </w:tc>
        <w:tc>
          <w:tcPr>
            <w:tcW w:w="1116" w:type="dxa"/>
            <w:tcBorders>
              <w:top w:val="nil"/>
              <w:left w:val="nil"/>
              <w:bottom w:val="nil"/>
              <w:right w:val="nil"/>
            </w:tcBorders>
            <w:noWrap/>
            <w:vAlign w:val="bottom"/>
          </w:tcPr>
          <w:p w14:paraId="6CCAD6FD">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126.1700</w:t>
            </w:r>
          </w:p>
        </w:tc>
        <w:tc>
          <w:tcPr>
            <w:tcW w:w="1024" w:type="dxa"/>
            <w:tcBorders>
              <w:top w:val="nil"/>
              <w:left w:val="nil"/>
              <w:bottom w:val="nil"/>
              <w:right w:val="nil"/>
            </w:tcBorders>
            <w:noWrap/>
            <w:vAlign w:val="bottom"/>
          </w:tcPr>
          <w:p w14:paraId="3CA69575">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10.2051</w:t>
            </w:r>
          </w:p>
        </w:tc>
        <w:tc>
          <w:tcPr>
            <w:tcW w:w="1024" w:type="dxa"/>
            <w:tcBorders>
              <w:top w:val="nil"/>
              <w:left w:val="nil"/>
              <w:bottom w:val="nil"/>
              <w:right w:val="nil"/>
            </w:tcBorders>
            <w:noWrap/>
            <w:vAlign w:val="bottom"/>
          </w:tcPr>
          <w:p w14:paraId="5DC0728F">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87.0934</w:t>
            </w:r>
          </w:p>
        </w:tc>
        <w:tc>
          <w:tcPr>
            <w:tcW w:w="1024" w:type="dxa"/>
            <w:tcBorders>
              <w:top w:val="nil"/>
              <w:left w:val="nil"/>
              <w:bottom w:val="nil"/>
              <w:right w:val="nil"/>
            </w:tcBorders>
            <w:noWrap/>
            <w:vAlign w:val="bottom"/>
          </w:tcPr>
          <w:p w14:paraId="3AF7B59C">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14.0471</w:t>
            </w:r>
          </w:p>
        </w:tc>
        <w:tc>
          <w:tcPr>
            <w:tcW w:w="1024" w:type="dxa"/>
            <w:tcBorders>
              <w:top w:val="nil"/>
              <w:left w:val="nil"/>
              <w:bottom w:val="nil"/>
              <w:right w:val="nil"/>
            </w:tcBorders>
            <w:noWrap/>
            <w:vAlign w:val="bottom"/>
          </w:tcPr>
          <w:p w14:paraId="4BFEFD75">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19.247</w:t>
            </w:r>
          </w:p>
        </w:tc>
      </w:tr>
      <w:tr w14:paraId="6F28B000">
        <w:trPr>
          <w:trHeight w:val="555" w:hRule="atLeast"/>
        </w:trPr>
        <w:tc>
          <w:tcPr>
            <w:tcW w:w="1491" w:type="dxa"/>
            <w:tcBorders>
              <w:top w:val="nil"/>
              <w:left w:val="nil"/>
              <w:bottom w:val="nil"/>
              <w:right w:val="nil"/>
            </w:tcBorders>
            <w:noWrap/>
            <w:vAlign w:val="bottom"/>
          </w:tcPr>
          <w:p w14:paraId="299B7EE3">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Minimum</w:t>
            </w:r>
          </w:p>
        </w:tc>
        <w:tc>
          <w:tcPr>
            <w:tcW w:w="1024" w:type="dxa"/>
            <w:tcBorders>
              <w:top w:val="nil"/>
              <w:left w:val="nil"/>
              <w:bottom w:val="nil"/>
              <w:right w:val="nil"/>
            </w:tcBorders>
            <w:noWrap/>
            <w:vAlign w:val="bottom"/>
          </w:tcPr>
          <w:p w14:paraId="4D5FA26E">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-4.4885</w:t>
            </w:r>
          </w:p>
        </w:tc>
        <w:tc>
          <w:tcPr>
            <w:tcW w:w="1116" w:type="dxa"/>
            <w:tcBorders>
              <w:top w:val="nil"/>
              <w:left w:val="nil"/>
              <w:bottom w:val="nil"/>
              <w:right w:val="nil"/>
            </w:tcBorders>
            <w:noWrap/>
            <w:vAlign w:val="bottom"/>
          </w:tcPr>
          <w:p w14:paraId="68E7393D">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23.3000</w:t>
            </w:r>
          </w:p>
        </w:tc>
        <w:tc>
          <w:tcPr>
            <w:tcW w:w="1024" w:type="dxa"/>
            <w:tcBorders>
              <w:top w:val="nil"/>
              <w:left w:val="nil"/>
              <w:bottom w:val="nil"/>
              <w:right w:val="nil"/>
            </w:tcBorders>
            <w:noWrap/>
            <w:vAlign w:val="bottom"/>
          </w:tcPr>
          <w:p w14:paraId="098BCCDA">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5.1276</w:t>
            </w:r>
          </w:p>
        </w:tc>
        <w:tc>
          <w:tcPr>
            <w:tcW w:w="1024" w:type="dxa"/>
            <w:tcBorders>
              <w:top w:val="nil"/>
              <w:left w:val="nil"/>
              <w:bottom w:val="nil"/>
              <w:right w:val="nil"/>
            </w:tcBorders>
            <w:noWrap/>
            <w:vAlign w:val="bottom"/>
          </w:tcPr>
          <w:p w14:paraId="533E8C0E">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0.0057</w:t>
            </w:r>
          </w:p>
        </w:tc>
        <w:tc>
          <w:tcPr>
            <w:tcW w:w="1024" w:type="dxa"/>
            <w:tcBorders>
              <w:top w:val="nil"/>
              <w:left w:val="nil"/>
              <w:bottom w:val="nil"/>
              <w:right w:val="nil"/>
            </w:tcBorders>
            <w:noWrap/>
            <w:vAlign w:val="bottom"/>
          </w:tcPr>
          <w:p w14:paraId="218FCC28">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0.5139</w:t>
            </w:r>
          </w:p>
        </w:tc>
        <w:tc>
          <w:tcPr>
            <w:tcW w:w="1024" w:type="dxa"/>
            <w:tcBorders>
              <w:top w:val="nil"/>
              <w:left w:val="nil"/>
              <w:bottom w:val="nil"/>
              <w:right w:val="nil"/>
            </w:tcBorders>
            <w:noWrap/>
            <w:vAlign w:val="bottom"/>
          </w:tcPr>
          <w:p w14:paraId="2497D08E">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7.1436</w:t>
            </w:r>
          </w:p>
        </w:tc>
      </w:tr>
      <w:tr w14:paraId="47ACB2B5">
        <w:trPr>
          <w:trHeight w:val="678" w:hRule="atLeast"/>
        </w:trPr>
        <w:tc>
          <w:tcPr>
            <w:tcW w:w="1491" w:type="dxa"/>
            <w:tcBorders>
              <w:top w:val="nil"/>
              <w:left w:val="nil"/>
              <w:bottom w:val="nil"/>
              <w:right w:val="nil"/>
            </w:tcBorders>
            <w:noWrap/>
            <w:vAlign w:val="bottom"/>
          </w:tcPr>
          <w:p w14:paraId="06F4D6BB">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Std. Dev.</w:t>
            </w:r>
          </w:p>
        </w:tc>
        <w:tc>
          <w:tcPr>
            <w:tcW w:w="1024" w:type="dxa"/>
            <w:tcBorders>
              <w:top w:val="nil"/>
              <w:left w:val="nil"/>
              <w:bottom w:val="nil"/>
              <w:right w:val="nil"/>
            </w:tcBorders>
            <w:noWrap/>
            <w:vAlign w:val="bottom"/>
          </w:tcPr>
          <w:p w14:paraId="79DE789B">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0.7323</w:t>
            </w:r>
          </w:p>
        </w:tc>
        <w:tc>
          <w:tcPr>
            <w:tcW w:w="1116" w:type="dxa"/>
            <w:tcBorders>
              <w:top w:val="nil"/>
              <w:left w:val="nil"/>
              <w:bottom w:val="nil"/>
              <w:right w:val="nil"/>
            </w:tcBorders>
            <w:noWrap/>
            <w:vAlign w:val="bottom"/>
          </w:tcPr>
          <w:p w14:paraId="66C5C6BF">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26.8423</w:t>
            </w:r>
          </w:p>
        </w:tc>
        <w:tc>
          <w:tcPr>
            <w:tcW w:w="1024" w:type="dxa"/>
            <w:tcBorders>
              <w:top w:val="nil"/>
              <w:left w:val="nil"/>
              <w:bottom w:val="nil"/>
              <w:right w:val="nil"/>
            </w:tcBorders>
            <w:noWrap/>
            <w:vAlign w:val="bottom"/>
          </w:tcPr>
          <w:p w14:paraId="4C6671B7">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1.2368</w:t>
            </w:r>
          </w:p>
        </w:tc>
        <w:tc>
          <w:tcPr>
            <w:tcW w:w="1024" w:type="dxa"/>
            <w:tcBorders>
              <w:top w:val="nil"/>
              <w:left w:val="nil"/>
              <w:bottom w:val="nil"/>
              <w:right w:val="nil"/>
            </w:tcBorders>
            <w:noWrap/>
            <w:vAlign w:val="bottom"/>
          </w:tcPr>
          <w:p w14:paraId="11255BA4">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2.3792</w:t>
            </w:r>
          </w:p>
        </w:tc>
        <w:tc>
          <w:tcPr>
            <w:tcW w:w="1024" w:type="dxa"/>
            <w:tcBorders>
              <w:top w:val="nil"/>
              <w:left w:val="nil"/>
              <w:bottom w:val="nil"/>
              <w:right w:val="nil"/>
            </w:tcBorders>
            <w:noWrap/>
            <w:vAlign w:val="bottom"/>
          </w:tcPr>
          <w:p w14:paraId="6139541B">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3.2957</w:t>
            </w:r>
          </w:p>
        </w:tc>
        <w:tc>
          <w:tcPr>
            <w:tcW w:w="1024" w:type="dxa"/>
            <w:tcBorders>
              <w:top w:val="nil"/>
              <w:left w:val="nil"/>
              <w:bottom w:val="nil"/>
              <w:right w:val="nil"/>
            </w:tcBorders>
            <w:noWrap/>
            <w:vAlign w:val="bottom"/>
          </w:tcPr>
          <w:p w14:paraId="6F5C6C1E">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3.6936</w:t>
            </w:r>
          </w:p>
        </w:tc>
      </w:tr>
      <w:tr w14:paraId="1AA05AB7">
        <w:trPr>
          <w:trHeight w:val="755" w:hRule="atLeast"/>
        </w:trPr>
        <w:tc>
          <w:tcPr>
            <w:tcW w:w="1491" w:type="dxa"/>
            <w:tcBorders>
              <w:top w:val="nil"/>
              <w:left w:val="nil"/>
              <w:bottom w:val="nil"/>
              <w:right w:val="nil"/>
            </w:tcBorders>
            <w:noWrap/>
            <w:vAlign w:val="bottom"/>
          </w:tcPr>
          <w:p w14:paraId="4750B4AD">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Skewness</w:t>
            </w:r>
          </w:p>
        </w:tc>
        <w:tc>
          <w:tcPr>
            <w:tcW w:w="1024" w:type="dxa"/>
            <w:tcBorders>
              <w:top w:val="nil"/>
              <w:left w:val="nil"/>
              <w:bottom w:val="nil"/>
              <w:right w:val="nil"/>
            </w:tcBorders>
            <w:noWrap/>
            <w:vAlign w:val="bottom"/>
          </w:tcPr>
          <w:p w14:paraId="7E303267">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-0.6673</w:t>
            </w:r>
          </w:p>
        </w:tc>
        <w:tc>
          <w:tcPr>
            <w:tcW w:w="1116" w:type="dxa"/>
            <w:tcBorders>
              <w:top w:val="nil"/>
              <w:left w:val="nil"/>
              <w:bottom w:val="nil"/>
              <w:right w:val="nil"/>
            </w:tcBorders>
            <w:noWrap/>
            <w:vAlign w:val="bottom"/>
          </w:tcPr>
          <w:p w14:paraId="1A0A864B">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0.4804</w:t>
            </w:r>
          </w:p>
        </w:tc>
        <w:tc>
          <w:tcPr>
            <w:tcW w:w="1024" w:type="dxa"/>
            <w:tcBorders>
              <w:top w:val="nil"/>
              <w:left w:val="nil"/>
              <w:bottom w:val="nil"/>
              <w:right w:val="nil"/>
            </w:tcBorders>
            <w:noWrap/>
            <w:vAlign w:val="bottom"/>
          </w:tcPr>
          <w:p w14:paraId="20CE9BE0">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-1.1389</w:t>
            </w:r>
          </w:p>
        </w:tc>
        <w:tc>
          <w:tcPr>
            <w:tcW w:w="1024" w:type="dxa"/>
            <w:tcBorders>
              <w:top w:val="nil"/>
              <w:left w:val="nil"/>
              <w:bottom w:val="nil"/>
              <w:right w:val="nil"/>
            </w:tcBorders>
            <w:noWrap/>
            <w:vAlign w:val="bottom"/>
          </w:tcPr>
          <w:p w14:paraId="313EB5CB">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4.9545</w:t>
            </w:r>
          </w:p>
        </w:tc>
        <w:tc>
          <w:tcPr>
            <w:tcW w:w="1024" w:type="dxa"/>
            <w:tcBorders>
              <w:top w:val="nil"/>
              <w:left w:val="nil"/>
              <w:bottom w:val="nil"/>
              <w:right w:val="nil"/>
            </w:tcBorders>
            <w:noWrap/>
            <w:vAlign w:val="bottom"/>
          </w:tcPr>
          <w:p w14:paraId="4DD10948">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0.4981</w:t>
            </w:r>
          </w:p>
        </w:tc>
        <w:tc>
          <w:tcPr>
            <w:tcW w:w="1024" w:type="dxa"/>
            <w:tcBorders>
              <w:top w:val="nil"/>
              <w:left w:val="nil"/>
              <w:bottom w:val="nil"/>
              <w:right w:val="nil"/>
            </w:tcBorders>
            <w:noWrap/>
            <w:vAlign w:val="bottom"/>
          </w:tcPr>
          <w:p w14:paraId="675DF582">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0.4271</w:t>
            </w:r>
          </w:p>
        </w:tc>
      </w:tr>
      <w:tr w14:paraId="56E7E494">
        <w:trPr>
          <w:trHeight w:val="755" w:hRule="atLeast"/>
        </w:trPr>
        <w:tc>
          <w:tcPr>
            <w:tcW w:w="1491" w:type="dxa"/>
            <w:tcBorders>
              <w:top w:val="nil"/>
              <w:left w:val="nil"/>
              <w:bottom w:val="nil"/>
              <w:right w:val="nil"/>
            </w:tcBorders>
            <w:noWrap/>
            <w:vAlign w:val="bottom"/>
          </w:tcPr>
          <w:p w14:paraId="14C4D3D5">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 Kurtosis</w:t>
            </w:r>
          </w:p>
        </w:tc>
        <w:tc>
          <w:tcPr>
            <w:tcW w:w="1024" w:type="dxa"/>
            <w:tcBorders>
              <w:top w:val="nil"/>
              <w:left w:val="nil"/>
              <w:bottom w:val="nil"/>
              <w:right w:val="nil"/>
            </w:tcBorders>
            <w:noWrap/>
            <w:vAlign w:val="bottom"/>
          </w:tcPr>
          <w:p w14:paraId="5DFF5271">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6.3869</w:t>
            </w:r>
          </w:p>
        </w:tc>
        <w:tc>
          <w:tcPr>
            <w:tcW w:w="1116" w:type="dxa"/>
            <w:tcBorders>
              <w:top w:val="nil"/>
              <w:left w:val="nil"/>
              <w:bottom w:val="nil"/>
              <w:right w:val="nil"/>
            </w:tcBorders>
            <w:noWrap/>
            <w:vAlign w:val="bottom"/>
          </w:tcPr>
          <w:p w14:paraId="270A9E81">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2.5881</w:t>
            </w:r>
          </w:p>
        </w:tc>
        <w:tc>
          <w:tcPr>
            <w:tcW w:w="1024" w:type="dxa"/>
            <w:tcBorders>
              <w:top w:val="nil"/>
              <w:left w:val="nil"/>
              <w:bottom w:val="nil"/>
              <w:right w:val="nil"/>
            </w:tcBorders>
            <w:noWrap/>
            <w:vAlign w:val="bottom"/>
          </w:tcPr>
          <w:p w14:paraId="5D6F9274">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3.1495</w:t>
            </w:r>
          </w:p>
        </w:tc>
        <w:tc>
          <w:tcPr>
            <w:tcW w:w="1024" w:type="dxa"/>
            <w:tcBorders>
              <w:top w:val="nil"/>
              <w:left w:val="nil"/>
              <w:bottom w:val="nil"/>
              <w:right w:val="nil"/>
            </w:tcBorders>
            <w:noWrap/>
            <w:vAlign w:val="bottom"/>
          </w:tcPr>
          <w:p w14:paraId="1C5252F2">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31.4197</w:t>
            </w:r>
          </w:p>
        </w:tc>
        <w:tc>
          <w:tcPr>
            <w:tcW w:w="1024" w:type="dxa"/>
            <w:tcBorders>
              <w:top w:val="nil"/>
              <w:left w:val="nil"/>
              <w:bottom w:val="nil"/>
              <w:right w:val="nil"/>
            </w:tcBorders>
            <w:noWrap/>
            <w:vAlign w:val="bottom"/>
          </w:tcPr>
          <w:p w14:paraId="1D44C97C">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3.1950</w:t>
            </w:r>
          </w:p>
        </w:tc>
        <w:tc>
          <w:tcPr>
            <w:tcW w:w="1024" w:type="dxa"/>
            <w:tcBorders>
              <w:top w:val="nil"/>
              <w:left w:val="nil"/>
              <w:bottom w:val="nil"/>
              <w:right w:val="nil"/>
            </w:tcBorders>
            <w:noWrap/>
            <w:vAlign w:val="bottom"/>
          </w:tcPr>
          <w:p w14:paraId="72F25D08">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1.8907</w:t>
            </w:r>
          </w:p>
        </w:tc>
      </w:tr>
      <w:tr w14:paraId="33C82C55">
        <w:trPr>
          <w:trHeight w:val="801" w:hRule="atLeast"/>
        </w:trPr>
        <w:tc>
          <w:tcPr>
            <w:tcW w:w="1491" w:type="dxa"/>
            <w:tcBorders>
              <w:top w:val="nil"/>
              <w:left w:val="nil"/>
              <w:bottom w:val="single" w:color="auto" w:sz="4" w:space="0"/>
              <w:right w:val="nil"/>
            </w:tcBorders>
            <w:noWrap/>
            <w:vAlign w:val="bottom"/>
          </w:tcPr>
          <w:p w14:paraId="1938F888">
            <w:pPr>
              <w:spacing w:line="360" w:lineRule="auto"/>
              <w:rPr>
                <w:rFonts w:ascii="Times New Roman Regular" w:hAnsi="Times New Roman Regular" w:cs="Times New Roman Regular"/>
                <w:sz w:val="22"/>
                <w:szCs w:val="22"/>
              </w:rPr>
            </w:pPr>
            <w:r>
              <w:rPr>
                <w:rFonts w:ascii="Times New Roman Regular" w:hAnsi="Times New Roman Regular" w:cs="Times New Roman Regular"/>
                <w:sz w:val="22"/>
                <w:szCs w:val="22"/>
              </w:rPr>
              <w:t>Observations</w:t>
            </w:r>
          </w:p>
        </w:tc>
        <w:tc>
          <w:tcPr>
            <w:tcW w:w="1024" w:type="dxa"/>
            <w:tcBorders>
              <w:top w:val="nil"/>
              <w:left w:val="nil"/>
              <w:bottom w:val="single" w:color="auto" w:sz="4" w:space="0"/>
              <w:right w:val="nil"/>
            </w:tcBorders>
            <w:noWrap/>
            <w:vAlign w:val="bottom"/>
          </w:tcPr>
          <w:p w14:paraId="39A32910">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c>
          <w:tcPr>
            <w:tcW w:w="1116" w:type="dxa"/>
            <w:tcBorders>
              <w:top w:val="nil"/>
              <w:left w:val="nil"/>
              <w:bottom w:val="single" w:color="auto" w:sz="4" w:space="0"/>
              <w:right w:val="nil"/>
            </w:tcBorders>
            <w:noWrap/>
            <w:vAlign w:val="bottom"/>
          </w:tcPr>
          <w:p w14:paraId="436B125E">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c>
          <w:tcPr>
            <w:tcW w:w="1024" w:type="dxa"/>
            <w:tcBorders>
              <w:top w:val="nil"/>
              <w:left w:val="nil"/>
              <w:bottom w:val="single" w:color="auto" w:sz="4" w:space="0"/>
              <w:right w:val="nil"/>
            </w:tcBorders>
            <w:noWrap/>
            <w:vAlign w:val="bottom"/>
          </w:tcPr>
          <w:p w14:paraId="7DAC8BE4">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c>
          <w:tcPr>
            <w:tcW w:w="1024" w:type="dxa"/>
            <w:tcBorders>
              <w:top w:val="nil"/>
              <w:left w:val="nil"/>
              <w:bottom w:val="single" w:color="auto" w:sz="4" w:space="0"/>
              <w:right w:val="nil"/>
            </w:tcBorders>
            <w:noWrap/>
            <w:vAlign w:val="bottom"/>
          </w:tcPr>
          <w:p w14:paraId="5F7FB1AC">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c>
          <w:tcPr>
            <w:tcW w:w="1024" w:type="dxa"/>
            <w:tcBorders>
              <w:top w:val="nil"/>
              <w:left w:val="nil"/>
              <w:bottom w:val="single" w:color="auto" w:sz="4" w:space="0"/>
              <w:right w:val="nil"/>
            </w:tcBorders>
            <w:noWrap/>
            <w:vAlign w:val="bottom"/>
          </w:tcPr>
          <w:p w14:paraId="40CFF976">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c>
          <w:tcPr>
            <w:tcW w:w="1024" w:type="dxa"/>
            <w:tcBorders>
              <w:top w:val="nil"/>
              <w:left w:val="nil"/>
              <w:bottom w:val="single" w:color="auto" w:sz="4" w:space="0"/>
              <w:right w:val="nil"/>
            </w:tcBorders>
            <w:noWrap/>
            <w:vAlign w:val="bottom"/>
          </w:tcPr>
          <w:p w14:paraId="05A205E1">
            <w:pPr>
              <w:spacing w:line="360" w:lineRule="auto"/>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150</w:t>
            </w:r>
          </w:p>
        </w:tc>
      </w:tr>
    </w:tbl>
    <w:p w14:paraId="21597712">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b/>
          <w:bCs/>
          <w:sz w:val="24"/>
          <w:szCs w:val="24"/>
        </w:rPr>
        <w:t xml:space="preserve">Note: </w:t>
      </w:r>
      <w:r>
        <w:rPr>
          <w:rFonts w:ascii="Times New Roman Regular" w:hAnsi="Times New Roman Regular" w:cs="Times New Roman Regular"/>
          <w:sz w:val="24"/>
          <w:szCs w:val="24"/>
        </w:rPr>
        <w:t>These are the definitions of the variables: FINP = Financial Performance Index; CRI = Climate Risk Index; Bs = Bank Size; LEV = Leverage; GDPG = Real GDP Growth; and INFR = Inflation.</w:t>
      </w:r>
    </w:p>
    <w:p w14:paraId="0039BE3E">
      <w:pPr>
        <w:autoSpaceDE w:val="0"/>
        <w:autoSpaceDN w:val="0"/>
        <w:adjustRightInd w:val="0"/>
        <w:spacing w:line="360" w:lineRule="auto"/>
        <w:jc w:val="both"/>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Source: Researcher’s Own Construction (2026)</w:t>
      </w:r>
    </w:p>
    <w:p w14:paraId="4243F5B0">
      <w:pPr>
        <w:autoSpaceDE w:val="0"/>
        <w:autoSpaceDN w:val="0"/>
        <w:adjustRightInd w:val="0"/>
        <w:spacing w:line="360" w:lineRule="auto"/>
        <w:jc w:val="both"/>
        <w:rPr>
          <w:rFonts w:ascii="Times New Roman Regular" w:hAnsi="Times New Roman Regular" w:cs="Times New Roman Regular"/>
          <w:b/>
          <w:bCs/>
          <w:sz w:val="24"/>
          <w:szCs w:val="24"/>
        </w:rPr>
      </w:pPr>
    </w:p>
    <w:p w14:paraId="44353E60">
      <w:pPr>
        <w:autoSpaceDE w:val="0"/>
        <w:autoSpaceDN w:val="0"/>
        <w:adjustRightInd w:val="0"/>
        <w:spacing w:line="360" w:lineRule="auto"/>
        <w:jc w:val="both"/>
        <w:rPr>
          <w:rFonts w:ascii="Times New Roman Regular" w:hAnsi="Times New Roman Regular" w:cs="Times New Roman Regular"/>
          <w:b/>
          <w:bCs/>
          <w:sz w:val="24"/>
          <w:szCs w:val="24"/>
        </w:rPr>
      </w:pPr>
    </w:p>
    <w:p w14:paraId="49A6BE25">
      <w:pPr>
        <w:pStyle w:val="2"/>
        <w:spacing w:line="360" w:lineRule="auto"/>
        <w:rPr>
          <w:rFonts w:ascii="Times New Roman Regular" w:hAnsi="Times New Roman Regular" w:cs="Times New Roman Regular"/>
          <w:sz w:val="24"/>
          <w:szCs w:val="24"/>
        </w:rPr>
      </w:pPr>
      <w:bookmarkStart w:id="23" w:name="_Toc156569142"/>
      <w:r>
        <w:rPr>
          <w:rFonts w:ascii="Times New Roman Regular" w:hAnsi="Times New Roman Regular" w:cs="Times New Roman Regular"/>
          <w:sz w:val="24"/>
          <w:szCs w:val="24"/>
        </w:rPr>
        <w:t>4.3 Correlation Analysis</w:t>
      </w:r>
      <w:bookmarkEnd w:id="23"/>
      <w:r>
        <w:rPr>
          <w:rFonts w:ascii="Times New Roman Regular" w:hAnsi="Times New Roman Regular" w:cs="Times New Roman Regular"/>
          <w:sz w:val="24"/>
          <w:szCs w:val="24"/>
        </w:rPr>
        <w:t xml:space="preserve"> </w:t>
      </w:r>
    </w:p>
    <w:p w14:paraId="1CD9600B">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Correlation measures the strength of the linear association between two variables (Gogtay &amp; Thatte, 2017). A positive correlation indicates that both measures are increasing in relation to one another, whereas a negative correlation indicates that as one measure rises, the other falls. Table 3 presents a correlation matrix of the variables under study. As displayed in Table 3, there is negative correlation between climate risk (CRI) and financial performance (FINP). The correlation between climate risk and financial performance is significant at 1%. Institutional quality (IQ) is positively correlated with financial performance (FINP) at 10% significance level. Also, there is positive correlation between the interaction variable (CR_IQ) and financial performance (FINP) at 5% significance level.</w:t>
      </w:r>
    </w:p>
    <w:p w14:paraId="5A464E3A">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Furthermore, bank size (BZ), economic growth (GDPG) and inflation (INFR) are positively correlated with financial performance (FINP) at 10% significance level. On the other hand, leverage (LEV) is negatively and significantly correlated financial performance. The correlation coefficients between the key explanatory variables are all below 70%. It can be concluded that there is no significant degree of multicollinearity between the variables under consideration. Overall, the correlation matrix presented in table in table 4. indicates that there are correlations between climate risk, institutional quality and financial performance of the selected licensed commercial banks. Nevertheless, it should be noted that a correlation between variables does not inherently imply that changes in one variable cause corresponding changes in the other (Stigler, 2005; Altman &amp; Krzywinski, 2015). Hence the researcher employed Generalized Least Square regression to establish the causal relationship between the variables.</w:t>
      </w:r>
    </w:p>
    <w:p w14:paraId="5633E4CE">
      <w:pPr>
        <w:tabs>
          <w:tab w:val="left" w:pos="3661"/>
        </w:tabs>
        <w:spacing w:line="360" w:lineRule="auto"/>
        <w:rPr>
          <w:rFonts w:ascii="Times New Roman Regular" w:hAnsi="Times New Roman Regular" w:cs="Times New Roman Regular"/>
          <w:sz w:val="24"/>
          <w:szCs w:val="24"/>
        </w:rPr>
      </w:pPr>
    </w:p>
    <w:p w14:paraId="1FDD9598">
      <w:pPr>
        <w:tabs>
          <w:tab w:val="left" w:pos="3661"/>
        </w:tabs>
        <w:spacing w:line="360" w:lineRule="auto"/>
        <w:rPr>
          <w:rFonts w:ascii="Times New Roman Regular" w:hAnsi="Times New Roman Regular" w:cs="Times New Roman Regular"/>
          <w:sz w:val="24"/>
          <w:szCs w:val="24"/>
        </w:rPr>
      </w:pPr>
    </w:p>
    <w:p w14:paraId="12C0AB22">
      <w:pPr>
        <w:pStyle w:val="2"/>
        <w:spacing w:line="360" w:lineRule="auto"/>
        <w:rPr>
          <w:rFonts w:ascii="Times New Roman Regular" w:hAnsi="Times New Roman Regular" w:cs="Times New Roman Regular"/>
          <w:sz w:val="24"/>
          <w:szCs w:val="24"/>
        </w:rPr>
      </w:pPr>
      <w:bookmarkStart w:id="24" w:name="_Toc156569143"/>
      <w:r>
        <w:rPr>
          <w:rFonts w:ascii="Times New Roman Regular" w:hAnsi="Times New Roman Regular" w:cs="Times New Roman Regular"/>
          <w:sz w:val="24"/>
          <w:szCs w:val="24"/>
        </w:rPr>
        <w:t>Table 3: Correlation Matrix</w:t>
      </w:r>
      <w:bookmarkEnd w:id="24"/>
      <w:r>
        <w:rPr>
          <w:rFonts w:ascii="Times New Roman Regular" w:hAnsi="Times New Roman Regular" w:cs="Times New Roman Regular"/>
          <w:sz w:val="24"/>
          <w:szCs w:val="24"/>
        </w:rPr>
        <w:t xml:space="preserve"> </w:t>
      </w:r>
    </w:p>
    <w:tbl>
      <w:tblPr>
        <w:tblStyle w:val="4"/>
        <w:tblW w:w="7887" w:type="dxa"/>
        <w:tblInd w:w="0" w:type="dxa"/>
        <w:tblLayout w:type="autofit"/>
        <w:tblCellMar>
          <w:top w:w="0" w:type="dxa"/>
          <w:left w:w="108" w:type="dxa"/>
          <w:bottom w:w="0" w:type="dxa"/>
          <w:right w:w="108" w:type="dxa"/>
        </w:tblCellMar>
      </w:tblPr>
      <w:tblGrid>
        <w:gridCol w:w="1355"/>
        <w:gridCol w:w="1109"/>
        <w:gridCol w:w="1109"/>
        <w:gridCol w:w="1073"/>
        <w:gridCol w:w="1223"/>
        <w:gridCol w:w="945"/>
        <w:gridCol w:w="1073"/>
      </w:tblGrid>
      <w:tr w14:paraId="6E4312FE">
        <w:trPr>
          <w:trHeight w:val="277" w:hRule="atLeast"/>
        </w:trPr>
        <w:tc>
          <w:tcPr>
            <w:tcW w:w="1355" w:type="dxa"/>
            <w:tcBorders>
              <w:top w:val="single" w:color="auto" w:sz="4" w:space="0"/>
              <w:left w:val="nil"/>
              <w:bottom w:val="single" w:color="auto" w:sz="8" w:space="0"/>
              <w:right w:val="nil"/>
            </w:tcBorders>
            <w:noWrap/>
            <w:vAlign w:val="bottom"/>
          </w:tcPr>
          <w:p w14:paraId="0471F2B3">
            <w:pPr>
              <w:spacing w:line="360" w:lineRule="auto"/>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Variables</w:t>
            </w:r>
          </w:p>
        </w:tc>
        <w:tc>
          <w:tcPr>
            <w:tcW w:w="1109" w:type="dxa"/>
            <w:tcBorders>
              <w:top w:val="single" w:color="auto" w:sz="4" w:space="0"/>
              <w:left w:val="nil"/>
              <w:bottom w:val="single" w:color="auto" w:sz="8" w:space="0"/>
              <w:right w:val="nil"/>
            </w:tcBorders>
            <w:noWrap/>
            <w:vAlign w:val="bottom"/>
          </w:tcPr>
          <w:p w14:paraId="22786B1C">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FINP</w:t>
            </w:r>
          </w:p>
        </w:tc>
        <w:tc>
          <w:tcPr>
            <w:tcW w:w="1109" w:type="dxa"/>
            <w:tcBorders>
              <w:top w:val="single" w:color="auto" w:sz="4" w:space="0"/>
              <w:left w:val="nil"/>
              <w:bottom w:val="single" w:color="auto" w:sz="8" w:space="0"/>
              <w:right w:val="nil"/>
            </w:tcBorders>
            <w:noWrap/>
            <w:vAlign w:val="bottom"/>
          </w:tcPr>
          <w:p w14:paraId="00B1DFDA">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CRI</w:t>
            </w:r>
          </w:p>
        </w:tc>
        <w:tc>
          <w:tcPr>
            <w:tcW w:w="1073" w:type="dxa"/>
            <w:tcBorders>
              <w:top w:val="single" w:color="auto" w:sz="4" w:space="0"/>
              <w:left w:val="nil"/>
              <w:bottom w:val="single" w:color="auto" w:sz="8" w:space="0"/>
              <w:right w:val="nil"/>
            </w:tcBorders>
            <w:noWrap/>
            <w:vAlign w:val="bottom"/>
          </w:tcPr>
          <w:p w14:paraId="42E55708">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Bs</w:t>
            </w:r>
          </w:p>
        </w:tc>
        <w:tc>
          <w:tcPr>
            <w:tcW w:w="1223" w:type="dxa"/>
            <w:tcBorders>
              <w:top w:val="single" w:color="auto" w:sz="4" w:space="0"/>
              <w:left w:val="nil"/>
              <w:bottom w:val="single" w:color="auto" w:sz="8" w:space="0"/>
              <w:right w:val="nil"/>
            </w:tcBorders>
            <w:noWrap/>
            <w:vAlign w:val="bottom"/>
          </w:tcPr>
          <w:p w14:paraId="7348A785">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LEV</w:t>
            </w:r>
          </w:p>
        </w:tc>
        <w:tc>
          <w:tcPr>
            <w:tcW w:w="945" w:type="dxa"/>
            <w:tcBorders>
              <w:top w:val="single" w:color="auto" w:sz="4" w:space="0"/>
              <w:left w:val="nil"/>
              <w:bottom w:val="single" w:color="auto" w:sz="8" w:space="0"/>
              <w:right w:val="nil"/>
            </w:tcBorders>
            <w:noWrap/>
            <w:vAlign w:val="bottom"/>
          </w:tcPr>
          <w:p w14:paraId="454F87E9">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GDPG</w:t>
            </w:r>
          </w:p>
        </w:tc>
        <w:tc>
          <w:tcPr>
            <w:tcW w:w="1073" w:type="dxa"/>
            <w:tcBorders>
              <w:top w:val="single" w:color="auto" w:sz="4" w:space="0"/>
              <w:left w:val="nil"/>
              <w:bottom w:val="single" w:color="auto" w:sz="8" w:space="0"/>
              <w:right w:val="nil"/>
            </w:tcBorders>
            <w:noWrap/>
            <w:vAlign w:val="bottom"/>
          </w:tcPr>
          <w:p w14:paraId="171DD362">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INFR</w:t>
            </w:r>
          </w:p>
        </w:tc>
      </w:tr>
      <w:tr w14:paraId="11EC8D1A">
        <w:trPr>
          <w:trHeight w:val="613" w:hRule="atLeast"/>
        </w:trPr>
        <w:tc>
          <w:tcPr>
            <w:tcW w:w="1355" w:type="dxa"/>
            <w:tcBorders>
              <w:top w:val="nil"/>
              <w:left w:val="nil"/>
              <w:bottom w:val="nil"/>
              <w:right w:val="nil"/>
            </w:tcBorders>
            <w:noWrap/>
            <w:vAlign w:val="bottom"/>
          </w:tcPr>
          <w:p w14:paraId="1E3C838D">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FINP</w:t>
            </w:r>
          </w:p>
        </w:tc>
        <w:tc>
          <w:tcPr>
            <w:tcW w:w="1109" w:type="dxa"/>
            <w:tcBorders>
              <w:top w:val="nil"/>
              <w:left w:val="nil"/>
              <w:bottom w:val="nil"/>
              <w:right w:val="nil"/>
            </w:tcBorders>
            <w:noWrap/>
            <w:vAlign w:val="bottom"/>
          </w:tcPr>
          <w:p w14:paraId="128F73A5">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c>
          <w:tcPr>
            <w:tcW w:w="1109" w:type="dxa"/>
            <w:tcBorders>
              <w:top w:val="nil"/>
              <w:left w:val="nil"/>
              <w:bottom w:val="nil"/>
              <w:right w:val="nil"/>
            </w:tcBorders>
            <w:noWrap/>
            <w:vAlign w:val="bottom"/>
          </w:tcPr>
          <w:p w14:paraId="245435FE">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4DA81BD4">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45406397">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52396DF3">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003BD1CE">
            <w:pPr>
              <w:spacing w:line="360" w:lineRule="auto"/>
              <w:jc w:val="center"/>
              <w:rPr>
                <w:rFonts w:ascii="Times New Roman Regular" w:hAnsi="Times New Roman Regular" w:cs="Times New Roman Regular"/>
                <w:sz w:val="24"/>
                <w:szCs w:val="24"/>
              </w:rPr>
            </w:pPr>
          </w:p>
        </w:tc>
      </w:tr>
      <w:tr w14:paraId="761FDB2F">
        <w:trPr>
          <w:trHeight w:val="613" w:hRule="atLeast"/>
        </w:trPr>
        <w:tc>
          <w:tcPr>
            <w:tcW w:w="1355" w:type="dxa"/>
            <w:tcBorders>
              <w:top w:val="nil"/>
              <w:left w:val="nil"/>
              <w:bottom w:val="nil"/>
              <w:right w:val="nil"/>
            </w:tcBorders>
            <w:noWrap/>
            <w:vAlign w:val="bottom"/>
          </w:tcPr>
          <w:p w14:paraId="3AEDD9F1">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CRI </w:t>
            </w:r>
          </w:p>
        </w:tc>
        <w:tc>
          <w:tcPr>
            <w:tcW w:w="1109" w:type="dxa"/>
            <w:tcBorders>
              <w:top w:val="nil"/>
              <w:left w:val="nil"/>
              <w:bottom w:val="nil"/>
              <w:right w:val="nil"/>
            </w:tcBorders>
            <w:noWrap/>
            <w:vAlign w:val="bottom"/>
          </w:tcPr>
          <w:p w14:paraId="51CEBCEF">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-0.2772</w:t>
            </w:r>
            <w:r>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03330CB2">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587AC368">
            <w:pPr>
              <w:spacing w:line="360" w:lineRule="auto"/>
              <w:jc w:val="center"/>
              <w:rPr>
                <w:rFonts w:ascii="Times New Roman Regular" w:hAnsi="Times New Roman Regular" w:cs="Times New Roman Regular"/>
                <w:sz w:val="24"/>
                <w:szCs w:val="24"/>
              </w:rPr>
            </w:pPr>
          </w:p>
        </w:tc>
        <w:tc>
          <w:tcPr>
            <w:tcW w:w="1223" w:type="dxa"/>
            <w:tcBorders>
              <w:top w:val="nil"/>
              <w:left w:val="nil"/>
              <w:bottom w:val="nil"/>
              <w:right w:val="nil"/>
            </w:tcBorders>
            <w:noWrap/>
            <w:vAlign w:val="bottom"/>
          </w:tcPr>
          <w:p w14:paraId="78A75634">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46A30F89">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7897E457">
            <w:pPr>
              <w:spacing w:line="360" w:lineRule="auto"/>
              <w:jc w:val="center"/>
              <w:rPr>
                <w:rFonts w:ascii="Times New Roman Regular" w:hAnsi="Times New Roman Regular" w:cs="Times New Roman Regular"/>
                <w:sz w:val="24"/>
                <w:szCs w:val="24"/>
              </w:rPr>
            </w:pPr>
          </w:p>
        </w:tc>
      </w:tr>
      <w:tr w14:paraId="6F9440FC">
        <w:trPr>
          <w:trHeight w:val="613" w:hRule="atLeast"/>
        </w:trPr>
        <w:tc>
          <w:tcPr>
            <w:tcW w:w="1355" w:type="dxa"/>
            <w:tcBorders>
              <w:top w:val="nil"/>
              <w:left w:val="nil"/>
              <w:bottom w:val="nil"/>
              <w:right w:val="nil"/>
            </w:tcBorders>
            <w:noWrap/>
            <w:vAlign w:val="bottom"/>
          </w:tcPr>
          <w:p w14:paraId="3F288466">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Bs </w:t>
            </w:r>
          </w:p>
        </w:tc>
        <w:tc>
          <w:tcPr>
            <w:tcW w:w="1109" w:type="dxa"/>
            <w:tcBorders>
              <w:top w:val="nil"/>
              <w:left w:val="nil"/>
              <w:bottom w:val="nil"/>
              <w:right w:val="nil"/>
            </w:tcBorders>
            <w:noWrap/>
            <w:vAlign w:val="bottom"/>
          </w:tcPr>
          <w:p w14:paraId="106C0D4E">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0.0655</w:t>
            </w:r>
            <w:r>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1C47316B">
            <w:pPr>
              <w:spacing w:line="360" w:lineRule="auto"/>
              <w:jc w:val="center"/>
              <w:rPr>
                <w:rFonts w:ascii="Times New Roman Regular" w:hAnsi="Times New Roman Regular" w:cs="Times New Roman Regular"/>
                <w:sz w:val="24"/>
                <w:szCs w:val="24"/>
                <w:lang w:val="fr-CH"/>
              </w:rPr>
            </w:pPr>
            <w:r>
              <w:rPr>
                <w:rFonts w:ascii="Times New Roman Regular" w:hAnsi="Times New Roman Regular" w:cs="Times New Roman Regular"/>
                <w:sz w:val="24"/>
                <w:szCs w:val="24"/>
              </w:rPr>
              <w:t>0.015</w:t>
            </w:r>
            <w:r>
              <w:rPr>
                <w:rFonts w:ascii="Times New Roman Regular" w:hAnsi="Times New Roman Regular" w:cs="Times New Roman Regular"/>
                <w:sz w:val="24"/>
                <w:szCs w:val="24"/>
                <w:lang w:val="fr-CH"/>
              </w:rPr>
              <w:t>9</w:t>
            </w:r>
          </w:p>
        </w:tc>
        <w:tc>
          <w:tcPr>
            <w:tcW w:w="1073" w:type="dxa"/>
            <w:tcBorders>
              <w:top w:val="nil"/>
              <w:left w:val="nil"/>
              <w:bottom w:val="nil"/>
              <w:right w:val="nil"/>
            </w:tcBorders>
            <w:noWrap/>
            <w:vAlign w:val="bottom"/>
          </w:tcPr>
          <w:p w14:paraId="723FA5AB">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c>
          <w:tcPr>
            <w:tcW w:w="1223" w:type="dxa"/>
            <w:tcBorders>
              <w:top w:val="nil"/>
              <w:left w:val="nil"/>
              <w:bottom w:val="nil"/>
              <w:right w:val="nil"/>
            </w:tcBorders>
            <w:noWrap/>
            <w:vAlign w:val="bottom"/>
          </w:tcPr>
          <w:p w14:paraId="0EC37C1F">
            <w:pPr>
              <w:spacing w:line="360" w:lineRule="auto"/>
              <w:jc w:val="center"/>
              <w:rPr>
                <w:rFonts w:ascii="Times New Roman Regular" w:hAnsi="Times New Roman Regular" w:cs="Times New Roman Regular"/>
                <w:sz w:val="24"/>
                <w:szCs w:val="24"/>
              </w:rPr>
            </w:pPr>
          </w:p>
        </w:tc>
        <w:tc>
          <w:tcPr>
            <w:tcW w:w="945" w:type="dxa"/>
            <w:tcBorders>
              <w:top w:val="nil"/>
              <w:left w:val="nil"/>
              <w:bottom w:val="nil"/>
              <w:right w:val="nil"/>
            </w:tcBorders>
            <w:noWrap/>
            <w:vAlign w:val="bottom"/>
          </w:tcPr>
          <w:p w14:paraId="7C7D736C">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73C1DEFB">
            <w:pPr>
              <w:spacing w:line="360" w:lineRule="auto"/>
              <w:jc w:val="center"/>
              <w:rPr>
                <w:rFonts w:ascii="Times New Roman Regular" w:hAnsi="Times New Roman Regular" w:cs="Times New Roman Regular"/>
                <w:sz w:val="24"/>
                <w:szCs w:val="24"/>
              </w:rPr>
            </w:pPr>
          </w:p>
        </w:tc>
      </w:tr>
      <w:tr w14:paraId="581A411A">
        <w:trPr>
          <w:trHeight w:val="613" w:hRule="atLeast"/>
        </w:trPr>
        <w:tc>
          <w:tcPr>
            <w:tcW w:w="1355" w:type="dxa"/>
            <w:tcBorders>
              <w:top w:val="nil"/>
              <w:left w:val="nil"/>
              <w:bottom w:val="nil"/>
              <w:right w:val="nil"/>
            </w:tcBorders>
            <w:noWrap/>
            <w:vAlign w:val="bottom"/>
          </w:tcPr>
          <w:p w14:paraId="258E02DA">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LEV </w:t>
            </w:r>
          </w:p>
        </w:tc>
        <w:tc>
          <w:tcPr>
            <w:tcW w:w="1109" w:type="dxa"/>
            <w:tcBorders>
              <w:top w:val="nil"/>
              <w:left w:val="nil"/>
              <w:bottom w:val="nil"/>
              <w:right w:val="nil"/>
            </w:tcBorders>
            <w:noWrap/>
            <w:vAlign w:val="bottom"/>
          </w:tcPr>
          <w:p w14:paraId="5410300C">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-0.0228</w:t>
            </w:r>
          </w:p>
        </w:tc>
        <w:tc>
          <w:tcPr>
            <w:tcW w:w="1109" w:type="dxa"/>
            <w:tcBorders>
              <w:top w:val="nil"/>
              <w:left w:val="nil"/>
              <w:bottom w:val="nil"/>
              <w:right w:val="nil"/>
            </w:tcBorders>
            <w:noWrap/>
            <w:vAlign w:val="bottom"/>
          </w:tcPr>
          <w:p w14:paraId="0C1027CF">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-0.0921</w:t>
            </w:r>
          </w:p>
        </w:tc>
        <w:tc>
          <w:tcPr>
            <w:tcW w:w="1073" w:type="dxa"/>
            <w:tcBorders>
              <w:top w:val="nil"/>
              <w:left w:val="nil"/>
              <w:bottom w:val="nil"/>
              <w:right w:val="nil"/>
            </w:tcBorders>
            <w:noWrap/>
            <w:vAlign w:val="bottom"/>
          </w:tcPr>
          <w:p w14:paraId="62D3F5CE">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-0.0357</w:t>
            </w:r>
          </w:p>
        </w:tc>
        <w:tc>
          <w:tcPr>
            <w:tcW w:w="1223" w:type="dxa"/>
            <w:tcBorders>
              <w:top w:val="nil"/>
              <w:left w:val="nil"/>
              <w:bottom w:val="nil"/>
              <w:right w:val="nil"/>
            </w:tcBorders>
            <w:noWrap/>
            <w:vAlign w:val="bottom"/>
          </w:tcPr>
          <w:p w14:paraId="7889D638">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c>
          <w:tcPr>
            <w:tcW w:w="945" w:type="dxa"/>
            <w:tcBorders>
              <w:top w:val="nil"/>
              <w:left w:val="nil"/>
              <w:bottom w:val="nil"/>
              <w:right w:val="nil"/>
            </w:tcBorders>
            <w:noWrap/>
            <w:vAlign w:val="bottom"/>
          </w:tcPr>
          <w:p w14:paraId="5AEC223F">
            <w:pPr>
              <w:spacing w:line="360" w:lineRule="auto"/>
              <w:jc w:val="center"/>
              <w:rPr>
                <w:rFonts w:ascii="Times New Roman Regular" w:hAnsi="Times New Roman Regular" w:cs="Times New Roman Regular"/>
                <w:sz w:val="24"/>
                <w:szCs w:val="24"/>
              </w:rPr>
            </w:pPr>
          </w:p>
        </w:tc>
        <w:tc>
          <w:tcPr>
            <w:tcW w:w="1073" w:type="dxa"/>
            <w:tcBorders>
              <w:top w:val="nil"/>
              <w:left w:val="nil"/>
              <w:bottom w:val="nil"/>
              <w:right w:val="nil"/>
            </w:tcBorders>
            <w:noWrap/>
            <w:vAlign w:val="bottom"/>
          </w:tcPr>
          <w:p w14:paraId="2FEAA720">
            <w:pPr>
              <w:spacing w:line="360" w:lineRule="auto"/>
              <w:jc w:val="center"/>
              <w:rPr>
                <w:rFonts w:ascii="Times New Roman Regular" w:hAnsi="Times New Roman Regular" w:cs="Times New Roman Regular"/>
                <w:sz w:val="24"/>
                <w:szCs w:val="24"/>
              </w:rPr>
            </w:pPr>
          </w:p>
        </w:tc>
      </w:tr>
      <w:tr w14:paraId="5D590924">
        <w:trPr>
          <w:trHeight w:val="613" w:hRule="atLeast"/>
        </w:trPr>
        <w:tc>
          <w:tcPr>
            <w:tcW w:w="1355" w:type="dxa"/>
            <w:tcBorders>
              <w:top w:val="nil"/>
              <w:left w:val="nil"/>
              <w:bottom w:val="nil"/>
              <w:right w:val="nil"/>
            </w:tcBorders>
            <w:noWrap/>
            <w:vAlign w:val="bottom"/>
          </w:tcPr>
          <w:p w14:paraId="0240716B">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GDPG </w:t>
            </w:r>
          </w:p>
        </w:tc>
        <w:tc>
          <w:tcPr>
            <w:tcW w:w="1109" w:type="dxa"/>
            <w:tcBorders>
              <w:top w:val="nil"/>
              <w:left w:val="nil"/>
              <w:bottom w:val="nil"/>
              <w:right w:val="nil"/>
            </w:tcBorders>
            <w:noWrap/>
            <w:vAlign w:val="bottom"/>
          </w:tcPr>
          <w:p w14:paraId="7D4BC9B8">
            <w:pPr>
              <w:spacing w:line="360" w:lineRule="auto"/>
              <w:jc w:val="center"/>
              <w:rPr>
                <w:rFonts w:ascii="Times New Roman Regular" w:hAnsi="Times New Roman Regular" w:cs="Times New Roman Regular"/>
                <w:sz w:val="24"/>
                <w:szCs w:val="24"/>
                <w:vertAlign w:val="superscript"/>
              </w:rPr>
            </w:pPr>
            <w:r>
              <w:rPr>
                <w:rFonts w:ascii="Times New Roman Regular" w:hAnsi="Times New Roman Regular" w:cs="Times New Roman Regular"/>
                <w:sz w:val="24"/>
                <w:szCs w:val="24"/>
              </w:rPr>
              <w:t>0.0704</w:t>
            </w:r>
            <w:r>
              <w:rPr>
                <w:rFonts w:ascii="Times New Roman Regular" w:hAnsi="Times New Roman Regular" w:cs="Times New Roman Regular"/>
                <w:sz w:val="24"/>
                <w:szCs w:val="24"/>
                <w:vertAlign w:val="superscript"/>
              </w:rPr>
              <w:t>*</w:t>
            </w:r>
          </w:p>
        </w:tc>
        <w:tc>
          <w:tcPr>
            <w:tcW w:w="1109" w:type="dxa"/>
            <w:tcBorders>
              <w:top w:val="nil"/>
              <w:left w:val="nil"/>
              <w:bottom w:val="nil"/>
              <w:right w:val="nil"/>
            </w:tcBorders>
            <w:noWrap/>
            <w:vAlign w:val="bottom"/>
          </w:tcPr>
          <w:p w14:paraId="5F868C5C">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0.0294</w:t>
            </w:r>
            <w:r>
              <w:rPr>
                <w:rFonts w:ascii="Times New Roman Regular" w:hAnsi="Times New Roman Regular" w:cs="Times New Roman Regular"/>
                <w:sz w:val="24"/>
                <w:szCs w:val="24"/>
                <w:vertAlign w:val="superscript"/>
                <w:lang w:val="fr-CH"/>
              </w:rPr>
              <w:t>*</w:t>
            </w:r>
          </w:p>
        </w:tc>
        <w:tc>
          <w:tcPr>
            <w:tcW w:w="1073" w:type="dxa"/>
            <w:tcBorders>
              <w:top w:val="nil"/>
              <w:left w:val="nil"/>
              <w:bottom w:val="nil"/>
              <w:right w:val="nil"/>
            </w:tcBorders>
            <w:noWrap/>
            <w:vAlign w:val="bottom"/>
          </w:tcPr>
          <w:p w14:paraId="47C38135">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-0.06019</w:t>
            </w:r>
          </w:p>
        </w:tc>
        <w:tc>
          <w:tcPr>
            <w:tcW w:w="1223" w:type="dxa"/>
            <w:tcBorders>
              <w:top w:val="nil"/>
              <w:left w:val="nil"/>
              <w:bottom w:val="nil"/>
              <w:right w:val="nil"/>
            </w:tcBorders>
            <w:noWrap/>
            <w:vAlign w:val="bottom"/>
          </w:tcPr>
          <w:p w14:paraId="3240BBA6">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-0.0837</w:t>
            </w:r>
          </w:p>
        </w:tc>
        <w:tc>
          <w:tcPr>
            <w:tcW w:w="945" w:type="dxa"/>
            <w:tcBorders>
              <w:top w:val="nil"/>
              <w:left w:val="nil"/>
              <w:bottom w:val="nil"/>
              <w:right w:val="nil"/>
            </w:tcBorders>
            <w:noWrap/>
            <w:vAlign w:val="bottom"/>
          </w:tcPr>
          <w:p w14:paraId="786BB0A2">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c>
          <w:tcPr>
            <w:tcW w:w="1073" w:type="dxa"/>
            <w:tcBorders>
              <w:top w:val="nil"/>
              <w:left w:val="nil"/>
              <w:bottom w:val="nil"/>
              <w:right w:val="nil"/>
            </w:tcBorders>
            <w:noWrap/>
            <w:vAlign w:val="bottom"/>
          </w:tcPr>
          <w:p w14:paraId="5664352E">
            <w:pPr>
              <w:spacing w:line="360" w:lineRule="auto"/>
              <w:jc w:val="center"/>
              <w:rPr>
                <w:rFonts w:ascii="Times New Roman Regular" w:hAnsi="Times New Roman Regular" w:cs="Times New Roman Regular"/>
                <w:sz w:val="24"/>
                <w:szCs w:val="24"/>
              </w:rPr>
            </w:pPr>
          </w:p>
        </w:tc>
      </w:tr>
      <w:tr w14:paraId="541A5A39">
        <w:trPr>
          <w:trHeight w:val="650" w:hRule="atLeast"/>
        </w:trPr>
        <w:tc>
          <w:tcPr>
            <w:tcW w:w="1355" w:type="dxa"/>
            <w:tcBorders>
              <w:top w:val="nil"/>
              <w:left w:val="nil"/>
              <w:bottom w:val="single" w:color="auto" w:sz="8" w:space="0"/>
              <w:right w:val="nil"/>
            </w:tcBorders>
            <w:noWrap/>
            <w:vAlign w:val="bottom"/>
          </w:tcPr>
          <w:p w14:paraId="3BC08557">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INFR </w:t>
            </w:r>
          </w:p>
        </w:tc>
        <w:tc>
          <w:tcPr>
            <w:tcW w:w="1109" w:type="dxa"/>
            <w:tcBorders>
              <w:top w:val="nil"/>
              <w:left w:val="nil"/>
              <w:bottom w:val="single" w:color="auto" w:sz="8" w:space="0"/>
              <w:right w:val="nil"/>
            </w:tcBorders>
            <w:noWrap/>
            <w:vAlign w:val="bottom"/>
          </w:tcPr>
          <w:p w14:paraId="63C83D95">
            <w:pPr>
              <w:spacing w:line="360" w:lineRule="auto"/>
              <w:jc w:val="center"/>
              <w:rPr>
                <w:rFonts w:ascii="Times New Roman Regular" w:hAnsi="Times New Roman Regular" w:cs="Times New Roman Regular"/>
                <w:sz w:val="24"/>
                <w:szCs w:val="24"/>
                <w:vertAlign w:val="superscript"/>
              </w:rPr>
            </w:pPr>
            <w:r>
              <w:rPr>
                <w:rFonts w:ascii="Times New Roman Regular" w:hAnsi="Times New Roman Regular" w:cs="Times New Roman Regular"/>
                <w:sz w:val="24"/>
                <w:szCs w:val="24"/>
              </w:rPr>
              <w:t>0.0009</w:t>
            </w:r>
            <w:r>
              <w:rPr>
                <w:rFonts w:ascii="Times New Roman Regular" w:hAnsi="Times New Roman Regular" w:cs="Times New Roman Regular"/>
                <w:sz w:val="24"/>
                <w:szCs w:val="24"/>
                <w:vertAlign w:val="superscript"/>
              </w:rPr>
              <w:t>*</w:t>
            </w:r>
          </w:p>
        </w:tc>
        <w:tc>
          <w:tcPr>
            <w:tcW w:w="1109" w:type="dxa"/>
            <w:tcBorders>
              <w:top w:val="nil"/>
              <w:left w:val="nil"/>
              <w:bottom w:val="single" w:color="auto" w:sz="8" w:space="0"/>
              <w:right w:val="nil"/>
            </w:tcBorders>
            <w:noWrap/>
            <w:vAlign w:val="bottom"/>
          </w:tcPr>
          <w:p w14:paraId="13EF7B50">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0.1144</w:t>
            </w:r>
            <w:r>
              <w:rPr>
                <w:rFonts w:ascii="Times New Roman Regular" w:hAnsi="Times New Roman Regular" w:cs="Times New Roman Regular"/>
                <w:sz w:val="24"/>
                <w:szCs w:val="24"/>
                <w:vertAlign w:val="superscript"/>
                <w:lang w:val="fr-CH"/>
              </w:rPr>
              <w:t>*</w:t>
            </w:r>
          </w:p>
        </w:tc>
        <w:tc>
          <w:tcPr>
            <w:tcW w:w="1073" w:type="dxa"/>
            <w:tcBorders>
              <w:top w:val="nil"/>
              <w:left w:val="nil"/>
              <w:bottom w:val="single" w:color="auto" w:sz="8" w:space="0"/>
              <w:right w:val="nil"/>
            </w:tcBorders>
            <w:noWrap/>
            <w:vAlign w:val="bottom"/>
          </w:tcPr>
          <w:p w14:paraId="655A5B0A">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-0.0047</w:t>
            </w:r>
          </w:p>
        </w:tc>
        <w:tc>
          <w:tcPr>
            <w:tcW w:w="1223" w:type="dxa"/>
            <w:tcBorders>
              <w:top w:val="nil"/>
              <w:left w:val="nil"/>
              <w:bottom w:val="single" w:color="auto" w:sz="8" w:space="0"/>
              <w:right w:val="nil"/>
            </w:tcBorders>
            <w:noWrap/>
            <w:vAlign w:val="bottom"/>
          </w:tcPr>
          <w:p w14:paraId="56638A90">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-4.62E-05</w:t>
            </w:r>
            <w:r>
              <w:rPr>
                <w:rFonts w:ascii="Times New Roman Regular" w:hAnsi="Times New Roman Regular" w:cs="Times New Roman Regular"/>
                <w:sz w:val="24"/>
                <w:szCs w:val="24"/>
                <w:vertAlign w:val="superscript"/>
                <w:lang w:val="fr-CH"/>
              </w:rPr>
              <w:t>***</w:t>
            </w:r>
          </w:p>
        </w:tc>
        <w:tc>
          <w:tcPr>
            <w:tcW w:w="945" w:type="dxa"/>
            <w:tcBorders>
              <w:top w:val="nil"/>
              <w:left w:val="nil"/>
              <w:bottom w:val="single" w:color="auto" w:sz="8" w:space="0"/>
              <w:right w:val="nil"/>
            </w:tcBorders>
            <w:noWrap/>
            <w:vAlign w:val="bottom"/>
          </w:tcPr>
          <w:p w14:paraId="43C7A0C9">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-0.3289</w:t>
            </w:r>
          </w:p>
        </w:tc>
        <w:tc>
          <w:tcPr>
            <w:tcW w:w="1073" w:type="dxa"/>
            <w:tcBorders>
              <w:top w:val="nil"/>
              <w:left w:val="nil"/>
              <w:bottom w:val="single" w:color="auto" w:sz="8" w:space="0"/>
              <w:right w:val="nil"/>
            </w:tcBorders>
            <w:noWrap/>
            <w:vAlign w:val="bottom"/>
          </w:tcPr>
          <w:p w14:paraId="5C701D21">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w:t>
            </w:r>
          </w:p>
        </w:tc>
      </w:tr>
    </w:tbl>
    <w:p w14:paraId="12041161">
      <w:pPr>
        <w:autoSpaceDE w:val="0"/>
        <w:autoSpaceDN w:val="0"/>
        <w:adjustRightInd w:val="0"/>
        <w:spacing w:line="360" w:lineRule="auto"/>
        <w:jc w:val="both"/>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Note:</w:t>
      </w:r>
      <w:r>
        <w:rPr>
          <w:rFonts w:ascii="Times New Roman Regular" w:hAnsi="Times New Roman Regular" w:cs="Times New Roman Regular"/>
          <w:sz w:val="24"/>
          <w:szCs w:val="24"/>
        </w:rPr>
        <w:t xml:space="preserve"> (*), (**) and (***) shows 10.00%, 5.00% and 1.00% level of significance respectively. These are the definitions of the variables: FINP = Financial Performance Index; CRI = Climate Risk Index; Bs = Bank Size; LEV = Leverage; GDPG = Real GDP Growth; and INFR = Inflation.</w:t>
      </w:r>
    </w:p>
    <w:p w14:paraId="411B7374">
      <w:pPr>
        <w:pStyle w:val="2"/>
        <w:spacing w:line="360" w:lineRule="auto"/>
        <w:rPr>
          <w:rFonts w:ascii="Times New Roman Regular" w:hAnsi="Times New Roman Regular" w:cs="Times New Roman Regular"/>
          <w:sz w:val="24"/>
          <w:szCs w:val="24"/>
        </w:rPr>
      </w:pPr>
      <w:bookmarkStart w:id="25" w:name="_Toc156569147"/>
      <w:r>
        <w:rPr>
          <w:rFonts w:ascii="Times New Roman Regular" w:hAnsi="Times New Roman Regular" w:cs="Times New Roman Regular"/>
          <w:sz w:val="24"/>
          <w:szCs w:val="24"/>
        </w:rPr>
        <w:t>4.5.1 Panel Unit Root Tests</w:t>
      </w:r>
      <w:bookmarkEnd w:id="25"/>
      <w:r>
        <w:rPr>
          <w:rFonts w:ascii="Times New Roman Regular" w:hAnsi="Times New Roman Regular" w:cs="Times New Roman Regular"/>
          <w:sz w:val="24"/>
          <w:szCs w:val="24"/>
        </w:rPr>
        <w:t xml:space="preserve"> </w:t>
      </w:r>
    </w:p>
    <w:p w14:paraId="55291257">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Table.5 shows the Panel Unit Root Test for the variables utilized in this study. Specifically, the study employed Levin, Lin and Chu (2002) Panel Unit Root test. For Levin, Lin and Chu unit root test, if prob. value is greater than 0.05 (5%), accept the null hypothesis, indicating existence of unit root (non-stationary). Also, if prob. value is less than 0.05 (5%), reject the null hypothesis, implying that non-existence of unit root (stationary). From Table 4, all the variables were constant at levels with the exception of bank size (BZ) and inflation (INFR). After first differencing, bank size (BZ) and inflation (INFR) became stationary at 5% significance level. </w:t>
      </w:r>
    </w:p>
    <w:p w14:paraId="23B16E58">
      <w:pPr>
        <w:autoSpaceDE w:val="0"/>
        <w:autoSpaceDN w:val="0"/>
        <w:adjustRightInd w:val="0"/>
        <w:spacing w:line="360" w:lineRule="auto"/>
        <w:jc w:val="both"/>
        <w:rPr>
          <w:rFonts w:ascii="Times New Roman Regular" w:hAnsi="Times New Roman Regular" w:cs="Times New Roman Regular"/>
          <w:sz w:val="24"/>
          <w:szCs w:val="24"/>
        </w:rPr>
      </w:pPr>
    </w:p>
    <w:p w14:paraId="68E2FE88">
      <w:pPr>
        <w:autoSpaceDE w:val="0"/>
        <w:autoSpaceDN w:val="0"/>
        <w:adjustRightInd w:val="0"/>
        <w:spacing w:line="360" w:lineRule="auto"/>
        <w:jc w:val="both"/>
        <w:rPr>
          <w:rFonts w:ascii="Times New Roman Regular" w:hAnsi="Times New Roman Regular" w:cs="Times New Roman Regular"/>
          <w:sz w:val="24"/>
          <w:szCs w:val="24"/>
        </w:rPr>
      </w:pPr>
    </w:p>
    <w:p w14:paraId="674B9C11">
      <w:pPr>
        <w:autoSpaceDE w:val="0"/>
        <w:autoSpaceDN w:val="0"/>
        <w:adjustRightInd w:val="0"/>
        <w:spacing w:line="360" w:lineRule="auto"/>
        <w:jc w:val="both"/>
        <w:rPr>
          <w:rFonts w:ascii="Times New Roman Regular" w:hAnsi="Times New Roman Regular" w:cs="Times New Roman Regular"/>
          <w:sz w:val="24"/>
          <w:szCs w:val="24"/>
        </w:rPr>
      </w:pPr>
    </w:p>
    <w:p w14:paraId="5AAF3142">
      <w:pPr>
        <w:autoSpaceDE w:val="0"/>
        <w:autoSpaceDN w:val="0"/>
        <w:adjustRightInd w:val="0"/>
        <w:spacing w:line="360" w:lineRule="auto"/>
        <w:jc w:val="both"/>
        <w:rPr>
          <w:rFonts w:ascii="Times New Roman Regular" w:hAnsi="Times New Roman Regular" w:cs="Times New Roman Regular"/>
          <w:sz w:val="24"/>
          <w:szCs w:val="24"/>
        </w:rPr>
      </w:pPr>
    </w:p>
    <w:p w14:paraId="0E019F33">
      <w:pPr>
        <w:autoSpaceDE w:val="0"/>
        <w:autoSpaceDN w:val="0"/>
        <w:adjustRightInd w:val="0"/>
        <w:spacing w:line="360" w:lineRule="auto"/>
        <w:jc w:val="both"/>
        <w:rPr>
          <w:rFonts w:ascii="Times New Roman Regular" w:hAnsi="Times New Roman Regular" w:cs="Times New Roman Regular"/>
          <w:sz w:val="24"/>
          <w:szCs w:val="24"/>
        </w:rPr>
      </w:pPr>
    </w:p>
    <w:p w14:paraId="6F45226B">
      <w:pPr>
        <w:autoSpaceDE w:val="0"/>
        <w:autoSpaceDN w:val="0"/>
        <w:adjustRightInd w:val="0"/>
        <w:spacing w:line="360" w:lineRule="auto"/>
        <w:jc w:val="both"/>
        <w:rPr>
          <w:rFonts w:ascii="Times New Roman Regular" w:hAnsi="Times New Roman Regular" w:cs="Times New Roman Regular"/>
          <w:sz w:val="24"/>
          <w:szCs w:val="24"/>
        </w:rPr>
      </w:pPr>
    </w:p>
    <w:p w14:paraId="4A465A3B">
      <w:pPr>
        <w:autoSpaceDE w:val="0"/>
        <w:autoSpaceDN w:val="0"/>
        <w:adjustRightInd w:val="0"/>
        <w:spacing w:line="360" w:lineRule="auto"/>
        <w:jc w:val="both"/>
        <w:rPr>
          <w:rFonts w:ascii="Times New Roman Regular" w:hAnsi="Times New Roman Regular" w:cs="Times New Roman Regular"/>
          <w:sz w:val="24"/>
          <w:szCs w:val="24"/>
        </w:rPr>
      </w:pPr>
    </w:p>
    <w:p w14:paraId="080070EA">
      <w:pPr>
        <w:pStyle w:val="2"/>
        <w:spacing w:line="360" w:lineRule="auto"/>
        <w:rPr>
          <w:rFonts w:ascii="Times New Roman Regular" w:hAnsi="Times New Roman Regular" w:cs="Times New Roman Regular"/>
          <w:sz w:val="24"/>
          <w:szCs w:val="24"/>
        </w:rPr>
      </w:pPr>
      <w:bookmarkStart w:id="26" w:name="_Toc156569148"/>
      <w:r>
        <w:rPr>
          <w:rFonts w:ascii="Times New Roman Regular" w:hAnsi="Times New Roman Regular" w:cs="Times New Roman Regular"/>
          <w:sz w:val="24"/>
          <w:szCs w:val="24"/>
        </w:rPr>
        <w:t>Table 4: Panel Unit Root Test – Levin, Lin and Chu Test (2002)</w:t>
      </w:r>
      <w:bookmarkEnd w:id="26"/>
    </w:p>
    <w:tbl>
      <w:tblPr>
        <w:tblStyle w:val="4"/>
        <w:tblpPr w:leftFromText="180" w:rightFromText="180" w:vertAnchor="text" w:tblpY="1"/>
        <w:tblOverlap w:val="never"/>
        <w:tblW w:w="8555" w:type="dxa"/>
        <w:tblInd w:w="0" w:type="dxa"/>
        <w:tblLayout w:type="autofit"/>
        <w:tblCellMar>
          <w:top w:w="0" w:type="dxa"/>
          <w:left w:w="108" w:type="dxa"/>
          <w:bottom w:w="0" w:type="dxa"/>
          <w:right w:w="108" w:type="dxa"/>
        </w:tblCellMar>
      </w:tblPr>
      <w:tblGrid>
        <w:gridCol w:w="1573"/>
        <w:gridCol w:w="1846"/>
        <w:gridCol w:w="1645"/>
        <w:gridCol w:w="1794"/>
        <w:gridCol w:w="1697"/>
      </w:tblGrid>
      <w:tr w14:paraId="22AFA201">
        <w:trPr>
          <w:trHeight w:val="702" w:hRule="atLeast"/>
        </w:trPr>
        <w:tc>
          <w:tcPr>
            <w:tcW w:w="1573" w:type="dxa"/>
            <w:tcBorders>
              <w:top w:val="single" w:color="auto" w:sz="4" w:space="0"/>
              <w:left w:val="nil"/>
              <w:bottom w:val="single" w:color="auto" w:sz="4" w:space="0"/>
              <w:right w:val="nil"/>
            </w:tcBorders>
            <w:noWrap/>
            <w:vAlign w:val="bottom"/>
          </w:tcPr>
          <w:p w14:paraId="13F86E91">
            <w:pPr>
              <w:spacing w:line="360" w:lineRule="auto"/>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Variables </w:t>
            </w:r>
          </w:p>
        </w:tc>
        <w:tc>
          <w:tcPr>
            <w:tcW w:w="3491" w:type="dxa"/>
            <w:gridSpan w:val="2"/>
            <w:tcBorders>
              <w:top w:val="single" w:color="auto" w:sz="4" w:space="0"/>
              <w:left w:val="nil"/>
              <w:bottom w:val="single" w:color="auto" w:sz="4" w:space="0"/>
              <w:right w:val="nil"/>
            </w:tcBorders>
            <w:noWrap/>
            <w:vAlign w:val="bottom"/>
          </w:tcPr>
          <w:p w14:paraId="3CB674F0">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At Levels</w:t>
            </w:r>
          </w:p>
        </w:tc>
        <w:tc>
          <w:tcPr>
            <w:tcW w:w="3491" w:type="dxa"/>
            <w:gridSpan w:val="2"/>
            <w:tcBorders>
              <w:top w:val="single" w:color="auto" w:sz="4" w:space="0"/>
              <w:left w:val="nil"/>
              <w:bottom w:val="single" w:color="auto" w:sz="4" w:space="0"/>
              <w:right w:val="nil"/>
            </w:tcBorders>
            <w:noWrap/>
            <w:vAlign w:val="bottom"/>
          </w:tcPr>
          <w:p w14:paraId="3EB0E0DF">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First Difference</w:t>
            </w:r>
          </w:p>
        </w:tc>
      </w:tr>
      <w:tr w14:paraId="196DA2A8">
        <w:trPr>
          <w:trHeight w:val="702" w:hRule="atLeast"/>
        </w:trPr>
        <w:tc>
          <w:tcPr>
            <w:tcW w:w="1573" w:type="dxa"/>
            <w:tcBorders>
              <w:top w:val="single" w:color="auto" w:sz="4" w:space="0"/>
              <w:left w:val="nil"/>
              <w:right w:val="nil"/>
            </w:tcBorders>
            <w:noWrap/>
            <w:vAlign w:val="bottom"/>
          </w:tcPr>
          <w:p w14:paraId="46E6D5C8">
            <w:pPr>
              <w:spacing w:line="360" w:lineRule="auto"/>
              <w:rPr>
                <w:rFonts w:ascii="Times New Roman Regular" w:hAnsi="Times New Roman Regular" w:cs="Times New Roman Regular"/>
                <w:b/>
                <w:bCs/>
                <w:sz w:val="24"/>
                <w:szCs w:val="24"/>
              </w:rPr>
            </w:pPr>
          </w:p>
        </w:tc>
        <w:tc>
          <w:tcPr>
            <w:tcW w:w="3491" w:type="dxa"/>
            <w:gridSpan w:val="2"/>
            <w:tcBorders>
              <w:top w:val="single" w:color="auto" w:sz="4" w:space="0"/>
              <w:left w:val="nil"/>
              <w:right w:val="nil"/>
            </w:tcBorders>
            <w:noWrap/>
            <w:vAlign w:val="bottom"/>
          </w:tcPr>
          <w:p w14:paraId="20A43632">
            <w:pPr>
              <w:spacing w:line="360" w:lineRule="auto"/>
              <w:jc w:val="center"/>
              <w:rPr>
                <w:rFonts w:ascii="Times New Roman Regular" w:hAnsi="Times New Roman Regular" w:cs="Times New Roman Regular"/>
                <w:b/>
                <w:bCs/>
                <w:sz w:val="24"/>
                <w:szCs w:val="24"/>
                <w:u w:val="single"/>
              </w:rPr>
            </w:pPr>
            <w:r>
              <w:rPr>
                <w:rFonts w:ascii="Times New Roman Regular" w:hAnsi="Times New Roman Regular" w:cs="Times New Roman Regular"/>
                <w:b/>
                <w:bCs/>
                <w:sz w:val="24"/>
                <w:szCs w:val="24"/>
                <w:u w:val="single"/>
              </w:rPr>
              <w:t>With Constant and Trend</w:t>
            </w:r>
          </w:p>
        </w:tc>
        <w:tc>
          <w:tcPr>
            <w:tcW w:w="3491" w:type="dxa"/>
            <w:gridSpan w:val="2"/>
            <w:tcBorders>
              <w:top w:val="single" w:color="auto" w:sz="4" w:space="0"/>
              <w:left w:val="nil"/>
              <w:right w:val="nil"/>
            </w:tcBorders>
            <w:noWrap/>
            <w:vAlign w:val="bottom"/>
          </w:tcPr>
          <w:p w14:paraId="56BFDC27">
            <w:pPr>
              <w:spacing w:line="360" w:lineRule="auto"/>
              <w:jc w:val="center"/>
              <w:rPr>
                <w:rFonts w:ascii="Times New Roman Regular" w:hAnsi="Times New Roman Regular" w:cs="Times New Roman Regular"/>
                <w:b/>
                <w:bCs/>
                <w:sz w:val="24"/>
                <w:szCs w:val="24"/>
                <w:u w:val="single"/>
              </w:rPr>
            </w:pPr>
            <w:r>
              <w:rPr>
                <w:rFonts w:ascii="Times New Roman Regular" w:hAnsi="Times New Roman Regular" w:cs="Times New Roman Regular"/>
                <w:b/>
                <w:bCs/>
                <w:sz w:val="24"/>
                <w:szCs w:val="24"/>
                <w:u w:val="single"/>
              </w:rPr>
              <w:t>With Constant and Trend</w:t>
            </w:r>
          </w:p>
        </w:tc>
      </w:tr>
      <w:tr w14:paraId="35F9A005">
        <w:trPr>
          <w:trHeight w:val="676" w:hRule="atLeast"/>
        </w:trPr>
        <w:tc>
          <w:tcPr>
            <w:tcW w:w="1573" w:type="dxa"/>
            <w:tcBorders>
              <w:left w:val="nil"/>
              <w:bottom w:val="nil"/>
              <w:right w:val="nil"/>
            </w:tcBorders>
            <w:noWrap/>
            <w:vAlign w:val="bottom"/>
          </w:tcPr>
          <w:p w14:paraId="1E05BC62">
            <w:pPr>
              <w:spacing w:line="360" w:lineRule="auto"/>
              <w:jc w:val="center"/>
              <w:rPr>
                <w:rFonts w:ascii="Times New Roman Regular" w:hAnsi="Times New Roman Regular" w:cs="Times New Roman Regular"/>
                <w:sz w:val="24"/>
                <w:szCs w:val="24"/>
              </w:rPr>
            </w:pPr>
          </w:p>
        </w:tc>
        <w:tc>
          <w:tcPr>
            <w:tcW w:w="1846" w:type="dxa"/>
            <w:tcBorders>
              <w:left w:val="nil"/>
              <w:bottom w:val="nil"/>
              <w:right w:val="nil"/>
            </w:tcBorders>
            <w:noWrap/>
            <w:vAlign w:val="bottom"/>
          </w:tcPr>
          <w:p w14:paraId="5D18BBAA">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t. statistics</w:t>
            </w:r>
          </w:p>
        </w:tc>
        <w:tc>
          <w:tcPr>
            <w:tcW w:w="1645" w:type="dxa"/>
            <w:tcBorders>
              <w:left w:val="nil"/>
              <w:bottom w:val="nil"/>
              <w:right w:val="nil"/>
            </w:tcBorders>
            <w:noWrap/>
            <w:vAlign w:val="bottom"/>
          </w:tcPr>
          <w:p w14:paraId="18E44E37">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Prob </w:t>
            </w:r>
          </w:p>
        </w:tc>
        <w:tc>
          <w:tcPr>
            <w:tcW w:w="1794" w:type="dxa"/>
            <w:tcBorders>
              <w:left w:val="nil"/>
              <w:bottom w:val="nil"/>
              <w:right w:val="nil"/>
            </w:tcBorders>
            <w:noWrap/>
            <w:vAlign w:val="bottom"/>
          </w:tcPr>
          <w:p w14:paraId="09994536">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t. statistics</w:t>
            </w:r>
          </w:p>
        </w:tc>
        <w:tc>
          <w:tcPr>
            <w:tcW w:w="1697" w:type="dxa"/>
            <w:tcBorders>
              <w:left w:val="nil"/>
              <w:bottom w:val="nil"/>
              <w:right w:val="nil"/>
            </w:tcBorders>
            <w:noWrap/>
            <w:vAlign w:val="bottom"/>
          </w:tcPr>
          <w:p w14:paraId="5800E90E">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 xml:space="preserve">Prob </w:t>
            </w:r>
          </w:p>
        </w:tc>
      </w:tr>
      <w:tr w14:paraId="73857F12">
        <w:trPr>
          <w:trHeight w:val="676" w:hRule="atLeast"/>
        </w:trPr>
        <w:tc>
          <w:tcPr>
            <w:tcW w:w="1573" w:type="dxa"/>
            <w:tcBorders>
              <w:top w:val="nil"/>
              <w:left w:val="nil"/>
              <w:bottom w:val="nil"/>
              <w:right w:val="nil"/>
            </w:tcBorders>
            <w:noWrap/>
            <w:vAlign w:val="bottom"/>
          </w:tcPr>
          <w:p w14:paraId="447CA2CD">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FINP</w:t>
            </w:r>
          </w:p>
        </w:tc>
        <w:tc>
          <w:tcPr>
            <w:tcW w:w="1846" w:type="dxa"/>
            <w:tcBorders>
              <w:top w:val="nil"/>
              <w:left w:val="nil"/>
              <w:bottom w:val="nil"/>
              <w:right w:val="nil"/>
            </w:tcBorders>
            <w:noWrap/>
            <w:vAlign w:val="bottom"/>
          </w:tcPr>
          <w:p w14:paraId="7C7E7B25">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-6.892</w:t>
            </w:r>
          </w:p>
        </w:tc>
        <w:tc>
          <w:tcPr>
            <w:tcW w:w="1645" w:type="dxa"/>
            <w:tcBorders>
              <w:top w:val="nil"/>
              <w:left w:val="nil"/>
              <w:bottom w:val="nil"/>
              <w:right w:val="nil"/>
            </w:tcBorders>
            <w:noWrap/>
            <w:vAlign w:val="bottom"/>
          </w:tcPr>
          <w:p w14:paraId="1B473121">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0.0000**</w:t>
            </w:r>
          </w:p>
        </w:tc>
        <w:tc>
          <w:tcPr>
            <w:tcW w:w="1794" w:type="dxa"/>
            <w:tcBorders>
              <w:top w:val="nil"/>
              <w:left w:val="nil"/>
              <w:bottom w:val="nil"/>
              <w:right w:val="nil"/>
            </w:tcBorders>
            <w:noWrap/>
            <w:vAlign w:val="bottom"/>
          </w:tcPr>
          <w:p w14:paraId="15348E0A">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1C39E150">
            <w:pPr>
              <w:spacing w:line="360" w:lineRule="auto"/>
              <w:jc w:val="center"/>
              <w:rPr>
                <w:rFonts w:ascii="Times New Roman Regular" w:hAnsi="Times New Roman Regular" w:cs="Times New Roman Regular"/>
                <w:sz w:val="24"/>
                <w:szCs w:val="24"/>
              </w:rPr>
            </w:pPr>
          </w:p>
        </w:tc>
      </w:tr>
      <w:tr w14:paraId="3E847EDE">
        <w:trPr>
          <w:trHeight w:val="676" w:hRule="atLeast"/>
        </w:trPr>
        <w:tc>
          <w:tcPr>
            <w:tcW w:w="1573" w:type="dxa"/>
            <w:tcBorders>
              <w:top w:val="nil"/>
              <w:left w:val="nil"/>
              <w:bottom w:val="nil"/>
              <w:right w:val="nil"/>
            </w:tcBorders>
            <w:noWrap/>
            <w:vAlign w:val="bottom"/>
          </w:tcPr>
          <w:p w14:paraId="6368BA8A">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CRI </w:t>
            </w:r>
          </w:p>
        </w:tc>
        <w:tc>
          <w:tcPr>
            <w:tcW w:w="1846" w:type="dxa"/>
            <w:tcBorders>
              <w:top w:val="nil"/>
              <w:left w:val="nil"/>
              <w:bottom w:val="nil"/>
              <w:right w:val="nil"/>
            </w:tcBorders>
            <w:noWrap/>
            <w:vAlign w:val="bottom"/>
          </w:tcPr>
          <w:p w14:paraId="43C93AA4">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-11.933</w:t>
            </w:r>
          </w:p>
        </w:tc>
        <w:tc>
          <w:tcPr>
            <w:tcW w:w="1645" w:type="dxa"/>
            <w:tcBorders>
              <w:top w:val="nil"/>
              <w:left w:val="nil"/>
              <w:bottom w:val="nil"/>
              <w:right w:val="nil"/>
            </w:tcBorders>
            <w:noWrap/>
            <w:vAlign w:val="bottom"/>
          </w:tcPr>
          <w:p w14:paraId="19DB7EBF">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 .0000**</w:t>
            </w:r>
          </w:p>
        </w:tc>
        <w:tc>
          <w:tcPr>
            <w:tcW w:w="1794" w:type="dxa"/>
            <w:tcBorders>
              <w:top w:val="nil"/>
              <w:left w:val="nil"/>
              <w:bottom w:val="nil"/>
              <w:right w:val="nil"/>
            </w:tcBorders>
            <w:noWrap/>
            <w:vAlign w:val="bottom"/>
          </w:tcPr>
          <w:p w14:paraId="149A1EB6">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7798DDDE">
            <w:pPr>
              <w:spacing w:line="360" w:lineRule="auto"/>
              <w:jc w:val="center"/>
              <w:rPr>
                <w:rFonts w:ascii="Times New Roman Regular" w:hAnsi="Times New Roman Regular" w:cs="Times New Roman Regular"/>
                <w:sz w:val="24"/>
                <w:szCs w:val="24"/>
              </w:rPr>
            </w:pPr>
          </w:p>
        </w:tc>
      </w:tr>
      <w:tr w14:paraId="0B10C709">
        <w:trPr>
          <w:trHeight w:val="676" w:hRule="atLeast"/>
        </w:trPr>
        <w:tc>
          <w:tcPr>
            <w:tcW w:w="1573" w:type="dxa"/>
            <w:tcBorders>
              <w:top w:val="nil"/>
              <w:left w:val="nil"/>
              <w:bottom w:val="nil"/>
              <w:right w:val="nil"/>
            </w:tcBorders>
            <w:noWrap/>
            <w:vAlign w:val="bottom"/>
          </w:tcPr>
          <w:p w14:paraId="7C03CFCE">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Bs</w:t>
            </w:r>
          </w:p>
        </w:tc>
        <w:tc>
          <w:tcPr>
            <w:tcW w:w="1846" w:type="dxa"/>
            <w:tcBorders>
              <w:top w:val="nil"/>
              <w:left w:val="nil"/>
              <w:bottom w:val="nil"/>
              <w:right w:val="nil"/>
            </w:tcBorders>
            <w:noWrap/>
            <w:vAlign w:val="bottom"/>
          </w:tcPr>
          <w:p w14:paraId="394804C7">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2.791</w:t>
            </w:r>
          </w:p>
        </w:tc>
        <w:tc>
          <w:tcPr>
            <w:tcW w:w="1645" w:type="dxa"/>
            <w:tcBorders>
              <w:top w:val="nil"/>
              <w:left w:val="nil"/>
              <w:bottom w:val="nil"/>
              <w:right w:val="nil"/>
            </w:tcBorders>
            <w:noWrap/>
            <w:vAlign w:val="bottom"/>
          </w:tcPr>
          <w:p w14:paraId="1AEC1259">
            <w:pPr>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0.9979</w:t>
            </w:r>
          </w:p>
        </w:tc>
        <w:tc>
          <w:tcPr>
            <w:tcW w:w="1794" w:type="dxa"/>
            <w:tcBorders>
              <w:top w:val="nil"/>
              <w:left w:val="nil"/>
              <w:bottom w:val="nil"/>
              <w:right w:val="nil"/>
            </w:tcBorders>
            <w:noWrap/>
            <w:vAlign w:val="bottom"/>
          </w:tcPr>
          <w:p w14:paraId="6D88A1D1">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-7.188</w:t>
            </w:r>
          </w:p>
        </w:tc>
        <w:tc>
          <w:tcPr>
            <w:tcW w:w="1697" w:type="dxa"/>
            <w:tcBorders>
              <w:top w:val="nil"/>
              <w:left w:val="nil"/>
              <w:bottom w:val="nil"/>
              <w:right w:val="nil"/>
            </w:tcBorders>
            <w:noWrap/>
            <w:vAlign w:val="bottom"/>
          </w:tcPr>
          <w:p w14:paraId="2DB4C5B0">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0.0000**</w:t>
            </w:r>
          </w:p>
        </w:tc>
      </w:tr>
      <w:tr w14:paraId="4890DDD4">
        <w:trPr>
          <w:trHeight w:val="676" w:hRule="atLeast"/>
        </w:trPr>
        <w:tc>
          <w:tcPr>
            <w:tcW w:w="1573" w:type="dxa"/>
            <w:tcBorders>
              <w:top w:val="nil"/>
              <w:left w:val="nil"/>
              <w:bottom w:val="nil"/>
              <w:right w:val="nil"/>
            </w:tcBorders>
            <w:noWrap/>
            <w:vAlign w:val="bottom"/>
          </w:tcPr>
          <w:p w14:paraId="1DB04C6F">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LEV</w:t>
            </w:r>
          </w:p>
        </w:tc>
        <w:tc>
          <w:tcPr>
            <w:tcW w:w="1846" w:type="dxa"/>
            <w:tcBorders>
              <w:top w:val="nil"/>
              <w:left w:val="nil"/>
              <w:bottom w:val="nil"/>
              <w:right w:val="nil"/>
            </w:tcBorders>
            <w:noWrap/>
            <w:vAlign w:val="bottom"/>
          </w:tcPr>
          <w:p w14:paraId="0F70FF97">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-2.367</w:t>
            </w:r>
          </w:p>
        </w:tc>
        <w:tc>
          <w:tcPr>
            <w:tcW w:w="1645" w:type="dxa"/>
            <w:tcBorders>
              <w:top w:val="nil"/>
              <w:left w:val="nil"/>
              <w:bottom w:val="nil"/>
              <w:right w:val="nil"/>
            </w:tcBorders>
            <w:noWrap/>
            <w:vAlign w:val="bottom"/>
          </w:tcPr>
          <w:p w14:paraId="7D09FF58">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0.0090**</w:t>
            </w:r>
          </w:p>
        </w:tc>
        <w:tc>
          <w:tcPr>
            <w:tcW w:w="1794" w:type="dxa"/>
            <w:tcBorders>
              <w:top w:val="nil"/>
              <w:left w:val="nil"/>
              <w:bottom w:val="nil"/>
              <w:right w:val="nil"/>
            </w:tcBorders>
            <w:noWrap/>
            <w:vAlign w:val="bottom"/>
          </w:tcPr>
          <w:p w14:paraId="0395DBB8">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271AC1FD">
            <w:pPr>
              <w:spacing w:line="360" w:lineRule="auto"/>
              <w:jc w:val="center"/>
              <w:rPr>
                <w:rFonts w:ascii="Times New Roman Regular" w:hAnsi="Times New Roman Regular" w:cs="Times New Roman Regular"/>
                <w:sz w:val="24"/>
                <w:szCs w:val="24"/>
              </w:rPr>
            </w:pPr>
          </w:p>
        </w:tc>
      </w:tr>
      <w:tr w14:paraId="02C45562">
        <w:trPr>
          <w:trHeight w:val="676" w:hRule="atLeast"/>
        </w:trPr>
        <w:tc>
          <w:tcPr>
            <w:tcW w:w="1573" w:type="dxa"/>
            <w:tcBorders>
              <w:top w:val="nil"/>
              <w:left w:val="nil"/>
              <w:bottom w:val="nil"/>
              <w:right w:val="nil"/>
            </w:tcBorders>
            <w:noWrap/>
            <w:vAlign w:val="bottom"/>
          </w:tcPr>
          <w:p w14:paraId="789ADC76">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GDPG</w:t>
            </w:r>
          </w:p>
        </w:tc>
        <w:tc>
          <w:tcPr>
            <w:tcW w:w="1846" w:type="dxa"/>
            <w:tcBorders>
              <w:top w:val="nil"/>
              <w:left w:val="nil"/>
              <w:bottom w:val="nil"/>
              <w:right w:val="nil"/>
            </w:tcBorders>
            <w:noWrap/>
            <w:vAlign w:val="bottom"/>
          </w:tcPr>
          <w:p w14:paraId="6808A1E3">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-7.542</w:t>
            </w:r>
          </w:p>
        </w:tc>
        <w:tc>
          <w:tcPr>
            <w:tcW w:w="1645" w:type="dxa"/>
            <w:tcBorders>
              <w:top w:val="nil"/>
              <w:left w:val="nil"/>
              <w:bottom w:val="nil"/>
              <w:right w:val="nil"/>
            </w:tcBorders>
            <w:noWrap/>
            <w:vAlign w:val="bottom"/>
          </w:tcPr>
          <w:p w14:paraId="2E376798">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0.0000**</w:t>
            </w:r>
          </w:p>
        </w:tc>
        <w:tc>
          <w:tcPr>
            <w:tcW w:w="1794" w:type="dxa"/>
            <w:tcBorders>
              <w:top w:val="nil"/>
              <w:left w:val="nil"/>
              <w:bottom w:val="nil"/>
              <w:right w:val="nil"/>
            </w:tcBorders>
            <w:noWrap/>
            <w:vAlign w:val="bottom"/>
          </w:tcPr>
          <w:p w14:paraId="1E8DFBCD">
            <w:pPr>
              <w:spacing w:line="360" w:lineRule="auto"/>
              <w:jc w:val="center"/>
              <w:rPr>
                <w:rFonts w:ascii="Times New Roman Regular" w:hAnsi="Times New Roman Regular" w:cs="Times New Roman Regular"/>
                <w:sz w:val="24"/>
                <w:szCs w:val="24"/>
              </w:rPr>
            </w:pPr>
          </w:p>
        </w:tc>
        <w:tc>
          <w:tcPr>
            <w:tcW w:w="1697" w:type="dxa"/>
            <w:tcBorders>
              <w:top w:val="nil"/>
              <w:left w:val="nil"/>
              <w:bottom w:val="nil"/>
              <w:right w:val="nil"/>
            </w:tcBorders>
            <w:noWrap/>
            <w:vAlign w:val="bottom"/>
          </w:tcPr>
          <w:p w14:paraId="4801A92F">
            <w:pPr>
              <w:spacing w:line="360" w:lineRule="auto"/>
              <w:jc w:val="center"/>
              <w:rPr>
                <w:rFonts w:ascii="Times New Roman Regular" w:hAnsi="Times New Roman Regular" w:cs="Times New Roman Regular"/>
                <w:sz w:val="24"/>
                <w:szCs w:val="24"/>
              </w:rPr>
            </w:pPr>
          </w:p>
        </w:tc>
      </w:tr>
      <w:tr w14:paraId="4F896621">
        <w:trPr>
          <w:trHeight w:val="676" w:hRule="atLeast"/>
        </w:trPr>
        <w:tc>
          <w:tcPr>
            <w:tcW w:w="1573" w:type="dxa"/>
            <w:tcBorders>
              <w:top w:val="nil"/>
              <w:left w:val="nil"/>
              <w:bottom w:val="single" w:color="auto" w:sz="4" w:space="0"/>
              <w:right w:val="nil"/>
            </w:tcBorders>
            <w:noWrap/>
            <w:vAlign w:val="bottom"/>
          </w:tcPr>
          <w:p w14:paraId="410C33E5">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INFR</w:t>
            </w:r>
          </w:p>
        </w:tc>
        <w:tc>
          <w:tcPr>
            <w:tcW w:w="1846" w:type="dxa"/>
            <w:tcBorders>
              <w:top w:val="nil"/>
              <w:left w:val="nil"/>
              <w:bottom w:val="single" w:color="auto" w:sz="4" w:space="0"/>
              <w:right w:val="nil"/>
            </w:tcBorders>
            <w:noWrap/>
            <w:vAlign w:val="bottom"/>
          </w:tcPr>
          <w:p w14:paraId="0C2FA0E1">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0.053</w:t>
            </w:r>
          </w:p>
        </w:tc>
        <w:tc>
          <w:tcPr>
            <w:tcW w:w="1645" w:type="dxa"/>
            <w:tcBorders>
              <w:top w:val="nil"/>
              <w:left w:val="nil"/>
              <w:bottom w:val="single" w:color="auto" w:sz="4" w:space="0"/>
              <w:right w:val="nil"/>
            </w:tcBorders>
            <w:noWrap/>
            <w:vAlign w:val="bottom"/>
          </w:tcPr>
          <w:p w14:paraId="1A3B8333">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0.5212</w:t>
            </w:r>
          </w:p>
        </w:tc>
        <w:tc>
          <w:tcPr>
            <w:tcW w:w="1794" w:type="dxa"/>
            <w:tcBorders>
              <w:top w:val="nil"/>
              <w:left w:val="nil"/>
              <w:bottom w:val="single" w:color="auto" w:sz="4" w:space="0"/>
              <w:right w:val="nil"/>
            </w:tcBorders>
            <w:noWrap/>
            <w:vAlign w:val="bottom"/>
          </w:tcPr>
          <w:p w14:paraId="7824FC7D">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-3.335 </w:t>
            </w:r>
          </w:p>
        </w:tc>
        <w:tc>
          <w:tcPr>
            <w:tcW w:w="1697" w:type="dxa"/>
            <w:tcBorders>
              <w:top w:val="nil"/>
              <w:left w:val="nil"/>
              <w:bottom w:val="single" w:color="auto" w:sz="4" w:space="0"/>
              <w:right w:val="nil"/>
            </w:tcBorders>
            <w:noWrap/>
            <w:vAlign w:val="bottom"/>
          </w:tcPr>
          <w:p w14:paraId="3DF733C2">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0.0000** </w:t>
            </w:r>
          </w:p>
        </w:tc>
      </w:tr>
    </w:tbl>
    <w:p w14:paraId="651FD2DB">
      <w:pPr>
        <w:autoSpaceDE w:val="0"/>
        <w:autoSpaceDN w:val="0"/>
        <w:adjustRightInd w:val="0"/>
        <w:spacing w:line="360" w:lineRule="auto"/>
        <w:jc w:val="both"/>
        <w:rPr>
          <w:rFonts w:ascii="Times New Roman Regular" w:hAnsi="Times New Roman Regular" w:cs="Times New Roman Regular"/>
          <w:b/>
          <w:bCs/>
          <w:sz w:val="24"/>
          <w:szCs w:val="24"/>
        </w:rPr>
      </w:pPr>
    </w:p>
    <w:p w14:paraId="10E917B8">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b/>
          <w:bCs/>
          <w:sz w:val="24"/>
          <w:szCs w:val="24"/>
        </w:rPr>
        <w:t>Note:</w:t>
      </w:r>
      <w:r>
        <w:rPr>
          <w:rFonts w:ascii="Times New Roman Regular" w:hAnsi="Times New Roman Regular" w:cs="Times New Roman Regular"/>
          <w:sz w:val="24"/>
          <w:szCs w:val="24"/>
        </w:rPr>
        <w:t xml:space="preserve"> (**) indicate the probabilities of 5% level of significance respectively. Probabilities are computed assuming asymptotic normality. </w:t>
      </w:r>
    </w:p>
    <w:p w14:paraId="593FA07E">
      <w:pPr>
        <w:autoSpaceDE w:val="0"/>
        <w:autoSpaceDN w:val="0"/>
        <w:adjustRightInd w:val="0"/>
        <w:spacing w:line="360" w:lineRule="auto"/>
        <w:jc w:val="both"/>
        <w:rPr>
          <w:rFonts w:ascii="Times New Roman Regular" w:hAnsi="Times New Roman Regular" w:cs="Times New Roman Regular"/>
          <w:sz w:val="24"/>
          <w:szCs w:val="24"/>
        </w:rPr>
      </w:pPr>
    </w:p>
    <w:p w14:paraId="78FCF9E1">
      <w:pPr>
        <w:pStyle w:val="2"/>
        <w:spacing w:line="360" w:lineRule="auto"/>
        <w:rPr>
          <w:rFonts w:ascii="Times New Roman Regular" w:hAnsi="Times New Roman Regular" w:cs="Times New Roman Regular"/>
          <w:sz w:val="24"/>
          <w:szCs w:val="24"/>
        </w:rPr>
      </w:pPr>
      <w:bookmarkStart w:id="27" w:name="_Toc156569153"/>
      <w:r>
        <w:rPr>
          <w:rFonts w:ascii="Times New Roman Regular" w:hAnsi="Times New Roman Regular" w:cs="Times New Roman Regular"/>
          <w:sz w:val="24"/>
          <w:szCs w:val="24"/>
        </w:rPr>
        <w:t>4.6 The Nexus between Climate Risk and Financial Bank Performance</w:t>
      </w:r>
      <w:bookmarkEnd w:id="27"/>
      <w:r>
        <w:rPr>
          <w:rFonts w:ascii="Times New Roman Regular" w:hAnsi="Times New Roman Regular" w:cs="Times New Roman Regular"/>
          <w:sz w:val="24"/>
          <w:szCs w:val="24"/>
        </w:rPr>
        <w:t xml:space="preserve"> </w:t>
      </w:r>
    </w:p>
    <w:p w14:paraId="1C0B3376">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The study utilized Feasible Generalized Least Square (FGLS) regression to control the effects of autocorrelation and heteroskedasticity present in panel fixed effects. Table 5 presents the regression results on the relationship between climate risk, institutional quality, and bank financial performance. The Wald Chi Square Statistic was 18.79 with a p. value less than 5%. This confirms that the independent variables are collectively 'significant' for model. It also confirms that each independent variable present in a model is significant. </w:t>
      </w:r>
    </w:p>
    <w:p w14:paraId="74C2001E">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The first hypothesis tested on the negative relationship between climate risk and bank financial performance. Based on the results in Table 5, the coefficient of climate risk (CRI) is negative and statistically significant at 5%. The result support the first hypothesis of the study. This implies that climate risk significantly reduces the bank financial performance of the selected commercial banks. Climate risk could have an effect on the bank's buildings and activities, as well as on its users and the business as a whole. Extreme weather events and long-term changes in the climate can cause retail stores and facilities to close, which can hurt customers' reputation and hurt banks' profits and cash flow.</w:t>
      </w:r>
      <w:bookmarkStart w:id="28" w:name="_Hlk91265582"/>
      <w:r>
        <w:rPr>
          <w:rFonts w:ascii="Times New Roman Regular" w:hAnsi="Times New Roman Regular" w:cs="Times New Roman Regular"/>
          <w:sz w:val="24"/>
          <w:szCs w:val="24"/>
        </w:rPr>
        <w:t xml:space="preserve"> The results in this study resonate with the findings of Huang, Kerstein &amp; Wang (2018). Huang, Kerstein &amp; Wang (2018) examined the impacts of climate change on bank performance, and also investigated the mediating role of natural disasters.  By using an unbalanced panel of 127 countries between the period 2005-2018, the researchers found a negative association climate change variables to bank performance variables. The study also found a significant mediating effect of climate change on bank performance via natural disasters in high-income countries, but not in low-income countries. The results of this study also confirm the views of Giang et al. (2021) who investigated </w:t>
      </w:r>
      <w:bookmarkEnd w:id="28"/>
      <w:r>
        <w:rPr>
          <w:rFonts w:ascii="Times New Roman Regular" w:hAnsi="Times New Roman Regular" w:cs="Times New Roman Regular"/>
          <w:sz w:val="24"/>
          <w:szCs w:val="24"/>
        </w:rPr>
        <w:t xml:space="preserve">the impact of climate change risk on financial performance of listed manufacturing firms in Vietnam. Their results found a negative correlation between climate change risk and financial performance. Specifically, humidity risk adversely affects the financial performance of the listed manufacturing. </w:t>
      </w:r>
      <w:r>
        <w:rPr>
          <w:rFonts w:ascii="Times New Roman Regular" w:hAnsi="Times New Roman Regular" w:cs="Times New Roman Regular"/>
          <w:sz w:val="24"/>
          <w:szCs w:val="24"/>
        </w:rPr>
        <w:tab/>
      </w:r>
      <w:r>
        <w:rPr>
          <w:rFonts w:ascii="Times New Roman Regular" w:hAnsi="Times New Roman Regular" w:cs="Times New Roman Regular"/>
          <w:sz w:val="24"/>
          <w:szCs w:val="24"/>
        </w:rPr>
        <w:tab/>
      </w:r>
    </w:p>
    <w:p w14:paraId="518B7F53">
      <w:pPr>
        <w:pStyle w:val="2"/>
        <w:spacing w:line="360" w:lineRule="auto"/>
        <w:rPr>
          <w:rFonts w:ascii="Times New Roman Regular" w:hAnsi="Times New Roman Regular" w:cs="Times New Roman Regular"/>
          <w:sz w:val="24"/>
          <w:szCs w:val="24"/>
        </w:rPr>
      </w:pPr>
      <w:bookmarkStart w:id="29" w:name="_Toc156569155"/>
      <w:r>
        <w:rPr>
          <w:rFonts w:ascii="Times New Roman Regular" w:hAnsi="Times New Roman Regular" w:cs="Times New Roman Regular"/>
          <w:sz w:val="24"/>
          <w:szCs w:val="24"/>
        </w:rPr>
        <w:t>Table 5: GLS Estimation Results:</w:t>
      </w:r>
      <w:bookmarkEnd w:id="29"/>
    </w:p>
    <w:tbl>
      <w:tblPr>
        <w:tblStyle w:val="4"/>
        <w:tblW w:w="8312" w:type="dxa"/>
        <w:tblInd w:w="0" w:type="dxa"/>
        <w:tblLayout w:type="autofit"/>
        <w:tblCellMar>
          <w:top w:w="0" w:type="dxa"/>
          <w:left w:w="108" w:type="dxa"/>
          <w:bottom w:w="0" w:type="dxa"/>
          <w:right w:w="108" w:type="dxa"/>
        </w:tblCellMar>
      </w:tblPr>
      <w:tblGrid>
        <w:gridCol w:w="2817"/>
        <w:gridCol w:w="5495"/>
      </w:tblGrid>
      <w:tr w14:paraId="4A12CBA6">
        <w:trPr>
          <w:trHeight w:val="331" w:hRule="atLeast"/>
        </w:trPr>
        <w:tc>
          <w:tcPr>
            <w:tcW w:w="2817" w:type="dxa"/>
            <w:tcBorders>
              <w:top w:val="single" w:color="auto" w:sz="4" w:space="0"/>
              <w:left w:val="nil"/>
              <w:bottom w:val="single" w:color="auto" w:sz="8" w:space="0"/>
              <w:right w:val="nil"/>
            </w:tcBorders>
            <w:noWrap/>
            <w:vAlign w:val="bottom"/>
          </w:tcPr>
          <w:p w14:paraId="6FA079E0">
            <w:pPr>
              <w:spacing w:line="360" w:lineRule="auto"/>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Variables</w:t>
            </w:r>
          </w:p>
        </w:tc>
        <w:tc>
          <w:tcPr>
            <w:tcW w:w="5495" w:type="dxa"/>
            <w:tcBorders>
              <w:top w:val="single" w:color="auto" w:sz="4" w:space="0"/>
              <w:left w:val="nil"/>
              <w:bottom w:val="single" w:color="auto" w:sz="8" w:space="0"/>
              <w:right w:val="nil"/>
            </w:tcBorders>
            <w:noWrap/>
            <w:vAlign w:val="bottom"/>
          </w:tcPr>
          <w:p w14:paraId="7A7087B3">
            <w:pPr>
              <w:spacing w:line="360" w:lineRule="auto"/>
              <w:jc w:val="center"/>
              <w:rPr>
                <w:rFonts w:ascii="Times New Roman Regular" w:hAnsi="Times New Roman Regular" w:cs="Times New Roman Regular"/>
                <w:b/>
                <w:bCs/>
                <w:sz w:val="24"/>
                <w:szCs w:val="24"/>
              </w:rPr>
            </w:pPr>
            <w:r>
              <w:rPr>
                <w:rFonts w:ascii="Times New Roman Regular" w:hAnsi="Times New Roman Regular" w:cs="Times New Roman Regular"/>
                <w:b/>
                <w:bCs/>
                <w:sz w:val="24"/>
                <w:szCs w:val="24"/>
              </w:rPr>
              <w:t>GLS Estimates</w:t>
            </w:r>
          </w:p>
        </w:tc>
      </w:tr>
      <w:tr w14:paraId="3123625C">
        <w:trPr>
          <w:trHeight w:val="432" w:hRule="atLeast"/>
        </w:trPr>
        <w:tc>
          <w:tcPr>
            <w:tcW w:w="2817" w:type="dxa"/>
            <w:tcBorders>
              <w:top w:val="nil"/>
              <w:left w:val="nil"/>
              <w:bottom w:val="nil"/>
              <w:right w:val="nil"/>
            </w:tcBorders>
            <w:noWrap/>
            <w:vAlign w:val="bottom"/>
          </w:tcPr>
          <w:p w14:paraId="4E1B6F41">
            <w:pPr>
              <w:spacing w:line="360" w:lineRule="auto"/>
              <w:rPr>
                <w:rFonts w:ascii="Times New Roman Regular" w:hAnsi="Times New Roman Regular" w:cs="Times New Roman Regular"/>
                <w:sz w:val="24"/>
                <w:szCs w:val="24"/>
              </w:rPr>
            </w:pPr>
          </w:p>
        </w:tc>
        <w:tc>
          <w:tcPr>
            <w:tcW w:w="5495" w:type="dxa"/>
            <w:tcBorders>
              <w:top w:val="nil"/>
              <w:left w:val="nil"/>
              <w:bottom w:val="nil"/>
              <w:right w:val="nil"/>
            </w:tcBorders>
            <w:noWrap/>
            <w:vAlign w:val="bottom"/>
          </w:tcPr>
          <w:p w14:paraId="0D87E330">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b/>
                <w:bCs/>
                <w:sz w:val="24"/>
                <w:szCs w:val="24"/>
              </w:rPr>
              <w:t>Coefficients</w:t>
            </w:r>
          </w:p>
        </w:tc>
      </w:tr>
      <w:tr w14:paraId="412DC89C">
        <w:trPr>
          <w:trHeight w:val="319" w:hRule="atLeast"/>
        </w:trPr>
        <w:tc>
          <w:tcPr>
            <w:tcW w:w="2817" w:type="dxa"/>
            <w:tcBorders>
              <w:top w:val="nil"/>
              <w:left w:val="nil"/>
              <w:bottom w:val="nil"/>
              <w:right w:val="nil"/>
            </w:tcBorders>
            <w:noWrap/>
            <w:vAlign w:val="bottom"/>
          </w:tcPr>
          <w:p w14:paraId="3581268F">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CRI</w:t>
            </w:r>
          </w:p>
        </w:tc>
        <w:tc>
          <w:tcPr>
            <w:tcW w:w="5495" w:type="dxa"/>
            <w:tcBorders>
              <w:top w:val="nil"/>
              <w:left w:val="nil"/>
              <w:bottom w:val="nil"/>
              <w:right w:val="nil"/>
            </w:tcBorders>
            <w:noWrap/>
            <w:vAlign w:val="bottom"/>
          </w:tcPr>
          <w:p w14:paraId="36B10C33">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-0.099066</w:t>
            </w:r>
            <w:r>
              <w:rPr>
                <w:rFonts w:ascii="Times New Roman Regular" w:hAnsi="Times New Roman Regular" w:cs="Times New Roman Regular"/>
                <w:sz w:val="24"/>
                <w:szCs w:val="24"/>
                <w:vertAlign w:val="superscript"/>
              </w:rPr>
              <w:t>**</w:t>
            </w:r>
          </w:p>
        </w:tc>
      </w:tr>
      <w:tr w14:paraId="447FAF61">
        <w:trPr>
          <w:trHeight w:val="319" w:hRule="atLeast"/>
        </w:trPr>
        <w:tc>
          <w:tcPr>
            <w:tcW w:w="2817" w:type="dxa"/>
            <w:tcBorders>
              <w:top w:val="nil"/>
              <w:left w:val="nil"/>
              <w:bottom w:val="nil"/>
              <w:right w:val="nil"/>
            </w:tcBorders>
            <w:noWrap/>
            <w:vAlign w:val="bottom"/>
          </w:tcPr>
          <w:p w14:paraId="1475D879">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07FE5E98">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(0.002944)</w:t>
            </w:r>
          </w:p>
        </w:tc>
      </w:tr>
      <w:tr w14:paraId="3359D6E5">
        <w:trPr>
          <w:trHeight w:val="319" w:hRule="atLeast"/>
        </w:trPr>
        <w:tc>
          <w:tcPr>
            <w:tcW w:w="2817" w:type="dxa"/>
            <w:tcBorders>
              <w:top w:val="nil"/>
              <w:left w:val="nil"/>
              <w:bottom w:val="nil"/>
              <w:right w:val="nil"/>
            </w:tcBorders>
            <w:noWrap/>
            <w:vAlign w:val="bottom"/>
          </w:tcPr>
          <w:p w14:paraId="717804FC">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BZ</w:t>
            </w:r>
          </w:p>
        </w:tc>
        <w:tc>
          <w:tcPr>
            <w:tcW w:w="5495" w:type="dxa"/>
            <w:tcBorders>
              <w:top w:val="nil"/>
              <w:left w:val="nil"/>
              <w:bottom w:val="nil"/>
              <w:right w:val="nil"/>
            </w:tcBorders>
            <w:noWrap/>
            <w:vAlign w:val="bottom"/>
          </w:tcPr>
          <w:p w14:paraId="24643534">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lang w:val="fr-CH"/>
              </w:rPr>
              <w:t>-0.053438</w:t>
            </w:r>
            <w:r>
              <w:rPr>
                <w:rFonts w:ascii="Times New Roman Regular" w:hAnsi="Times New Roman Regular" w:cs="Times New Roman Regular"/>
                <w:sz w:val="24"/>
                <w:szCs w:val="24"/>
                <w:vertAlign w:val="superscript"/>
                <w:lang w:val="fr-CH"/>
              </w:rPr>
              <w:t>*</w:t>
            </w:r>
          </w:p>
        </w:tc>
      </w:tr>
      <w:tr w14:paraId="2283C81B">
        <w:trPr>
          <w:trHeight w:val="319" w:hRule="atLeast"/>
        </w:trPr>
        <w:tc>
          <w:tcPr>
            <w:tcW w:w="2817" w:type="dxa"/>
            <w:tcBorders>
              <w:top w:val="nil"/>
              <w:left w:val="nil"/>
              <w:bottom w:val="nil"/>
              <w:right w:val="nil"/>
            </w:tcBorders>
            <w:noWrap/>
            <w:vAlign w:val="bottom"/>
          </w:tcPr>
          <w:p w14:paraId="1895E237">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49141559">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(0.062632)</w:t>
            </w:r>
          </w:p>
        </w:tc>
      </w:tr>
      <w:tr w14:paraId="665CC8EC">
        <w:trPr>
          <w:trHeight w:val="319" w:hRule="atLeast"/>
        </w:trPr>
        <w:tc>
          <w:tcPr>
            <w:tcW w:w="2817" w:type="dxa"/>
            <w:tcBorders>
              <w:top w:val="nil"/>
              <w:left w:val="nil"/>
              <w:bottom w:val="nil"/>
              <w:right w:val="nil"/>
            </w:tcBorders>
            <w:noWrap/>
            <w:vAlign w:val="bottom"/>
          </w:tcPr>
          <w:p w14:paraId="34A0864E">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LEV</w:t>
            </w:r>
          </w:p>
        </w:tc>
        <w:tc>
          <w:tcPr>
            <w:tcW w:w="5495" w:type="dxa"/>
            <w:tcBorders>
              <w:top w:val="nil"/>
              <w:left w:val="nil"/>
              <w:bottom w:val="nil"/>
              <w:right w:val="nil"/>
            </w:tcBorders>
            <w:noWrap/>
            <w:vAlign w:val="bottom"/>
          </w:tcPr>
          <w:p w14:paraId="0D4D37A7">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0.000108</w:t>
            </w:r>
            <w:r>
              <w:rPr>
                <w:rFonts w:ascii="Times New Roman Regular" w:hAnsi="Times New Roman Regular" w:cs="Times New Roman Regular"/>
                <w:sz w:val="24"/>
                <w:szCs w:val="24"/>
                <w:vertAlign w:val="superscript"/>
              </w:rPr>
              <w:t>**</w:t>
            </w:r>
          </w:p>
        </w:tc>
      </w:tr>
      <w:tr w14:paraId="33B362DB">
        <w:trPr>
          <w:trHeight w:val="319" w:hRule="atLeast"/>
        </w:trPr>
        <w:tc>
          <w:tcPr>
            <w:tcW w:w="2817" w:type="dxa"/>
            <w:tcBorders>
              <w:top w:val="nil"/>
              <w:left w:val="nil"/>
              <w:bottom w:val="nil"/>
              <w:right w:val="nil"/>
            </w:tcBorders>
            <w:noWrap/>
            <w:vAlign w:val="bottom"/>
          </w:tcPr>
          <w:p w14:paraId="1094FBF9">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3E934B0F">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(3.47E-06)</w:t>
            </w:r>
          </w:p>
        </w:tc>
      </w:tr>
      <w:tr w14:paraId="03ADF1A4">
        <w:trPr>
          <w:trHeight w:val="319" w:hRule="atLeast"/>
        </w:trPr>
        <w:tc>
          <w:tcPr>
            <w:tcW w:w="2817" w:type="dxa"/>
            <w:tcBorders>
              <w:top w:val="nil"/>
              <w:left w:val="nil"/>
              <w:bottom w:val="nil"/>
              <w:right w:val="nil"/>
            </w:tcBorders>
            <w:noWrap/>
            <w:vAlign w:val="bottom"/>
          </w:tcPr>
          <w:p w14:paraId="03E42E53">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GDPG</w:t>
            </w:r>
          </w:p>
        </w:tc>
        <w:tc>
          <w:tcPr>
            <w:tcW w:w="5495" w:type="dxa"/>
            <w:tcBorders>
              <w:top w:val="nil"/>
              <w:left w:val="nil"/>
              <w:bottom w:val="nil"/>
              <w:right w:val="nil"/>
            </w:tcBorders>
            <w:noWrap/>
            <w:vAlign w:val="bottom"/>
          </w:tcPr>
          <w:p w14:paraId="63D1D38F">
            <w:pPr>
              <w:spacing w:line="360" w:lineRule="auto"/>
              <w:jc w:val="center"/>
              <w:rPr>
                <w:rFonts w:ascii="Times New Roman Regular" w:hAnsi="Times New Roman Regular" w:cs="Times New Roman Regular"/>
                <w:sz w:val="24"/>
                <w:szCs w:val="24"/>
                <w:vertAlign w:val="superscript"/>
              </w:rPr>
            </w:pPr>
            <w:r>
              <w:rPr>
                <w:rFonts w:ascii="Times New Roman Regular" w:hAnsi="Times New Roman Regular" w:cs="Times New Roman Regular"/>
                <w:sz w:val="24"/>
                <w:szCs w:val="24"/>
              </w:rPr>
              <w:t>-0.056919</w:t>
            </w:r>
            <w:r>
              <w:rPr>
                <w:rFonts w:ascii="Times New Roman Regular" w:hAnsi="Times New Roman Regular" w:cs="Times New Roman Regular"/>
                <w:sz w:val="24"/>
                <w:szCs w:val="24"/>
                <w:vertAlign w:val="superscript"/>
              </w:rPr>
              <w:t>***</w:t>
            </w:r>
          </w:p>
        </w:tc>
      </w:tr>
      <w:tr w14:paraId="10F29D41">
        <w:trPr>
          <w:trHeight w:val="319" w:hRule="atLeast"/>
        </w:trPr>
        <w:tc>
          <w:tcPr>
            <w:tcW w:w="2817" w:type="dxa"/>
            <w:tcBorders>
              <w:top w:val="nil"/>
              <w:left w:val="nil"/>
              <w:bottom w:val="nil"/>
              <w:right w:val="nil"/>
            </w:tcBorders>
            <w:noWrap/>
            <w:vAlign w:val="bottom"/>
          </w:tcPr>
          <w:p w14:paraId="431BC824">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1BD9E353">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(4.90E-11)</w:t>
            </w:r>
          </w:p>
        </w:tc>
      </w:tr>
      <w:tr w14:paraId="25D9FFD8">
        <w:trPr>
          <w:trHeight w:val="319" w:hRule="atLeast"/>
        </w:trPr>
        <w:tc>
          <w:tcPr>
            <w:tcW w:w="2817" w:type="dxa"/>
            <w:tcBorders>
              <w:top w:val="nil"/>
              <w:left w:val="nil"/>
              <w:bottom w:val="nil"/>
              <w:right w:val="nil"/>
            </w:tcBorders>
            <w:noWrap/>
            <w:vAlign w:val="bottom"/>
          </w:tcPr>
          <w:p w14:paraId="46877FA2">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INFR</w:t>
            </w:r>
          </w:p>
        </w:tc>
        <w:tc>
          <w:tcPr>
            <w:tcW w:w="5495" w:type="dxa"/>
            <w:tcBorders>
              <w:top w:val="nil"/>
              <w:left w:val="nil"/>
              <w:bottom w:val="nil"/>
              <w:right w:val="nil"/>
            </w:tcBorders>
            <w:noWrap/>
            <w:vAlign w:val="bottom"/>
          </w:tcPr>
          <w:p w14:paraId="57384C75">
            <w:pPr>
              <w:spacing w:line="360" w:lineRule="auto"/>
              <w:jc w:val="center"/>
              <w:rPr>
                <w:rFonts w:ascii="Times New Roman Regular" w:hAnsi="Times New Roman Regular" w:cs="Times New Roman Regular"/>
                <w:sz w:val="24"/>
                <w:szCs w:val="24"/>
                <w:vertAlign w:val="superscript"/>
              </w:rPr>
            </w:pPr>
            <w:r>
              <w:rPr>
                <w:rFonts w:ascii="Times New Roman Regular" w:hAnsi="Times New Roman Regular" w:cs="Times New Roman Regular"/>
                <w:sz w:val="24"/>
                <w:szCs w:val="24"/>
              </w:rPr>
              <w:t>-0.023085</w:t>
            </w:r>
            <w:r>
              <w:rPr>
                <w:rFonts w:ascii="Times New Roman Regular" w:hAnsi="Times New Roman Regular" w:cs="Times New Roman Regular"/>
                <w:sz w:val="24"/>
                <w:szCs w:val="24"/>
                <w:vertAlign w:val="superscript"/>
              </w:rPr>
              <w:t>**</w:t>
            </w:r>
          </w:p>
        </w:tc>
      </w:tr>
      <w:tr w14:paraId="66A2375F">
        <w:trPr>
          <w:trHeight w:val="319" w:hRule="atLeast"/>
        </w:trPr>
        <w:tc>
          <w:tcPr>
            <w:tcW w:w="2817" w:type="dxa"/>
            <w:tcBorders>
              <w:top w:val="nil"/>
              <w:left w:val="nil"/>
              <w:bottom w:val="nil"/>
              <w:right w:val="nil"/>
            </w:tcBorders>
            <w:noWrap/>
            <w:vAlign w:val="bottom"/>
          </w:tcPr>
          <w:p w14:paraId="3738C50E">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nil"/>
              <w:right w:val="nil"/>
            </w:tcBorders>
            <w:noWrap/>
            <w:vAlign w:val="bottom"/>
          </w:tcPr>
          <w:p w14:paraId="17EC7DC9">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(0.022437)</w:t>
            </w:r>
          </w:p>
        </w:tc>
      </w:tr>
      <w:tr w14:paraId="5E1B6214">
        <w:trPr>
          <w:trHeight w:val="319" w:hRule="atLeast"/>
        </w:trPr>
        <w:tc>
          <w:tcPr>
            <w:tcW w:w="2817" w:type="dxa"/>
            <w:tcBorders>
              <w:top w:val="nil"/>
              <w:left w:val="nil"/>
              <w:bottom w:val="nil"/>
              <w:right w:val="nil"/>
            </w:tcBorders>
            <w:noWrap/>
            <w:vAlign w:val="bottom"/>
          </w:tcPr>
          <w:p w14:paraId="78332FEB">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_CONS</w:t>
            </w:r>
          </w:p>
        </w:tc>
        <w:tc>
          <w:tcPr>
            <w:tcW w:w="5495" w:type="dxa"/>
            <w:tcBorders>
              <w:top w:val="nil"/>
              <w:left w:val="nil"/>
              <w:bottom w:val="nil"/>
              <w:right w:val="nil"/>
            </w:tcBorders>
            <w:noWrap/>
            <w:vAlign w:val="bottom"/>
          </w:tcPr>
          <w:p w14:paraId="5EC2469A">
            <w:pPr>
              <w:spacing w:line="360" w:lineRule="auto"/>
              <w:jc w:val="center"/>
              <w:rPr>
                <w:rFonts w:ascii="Times New Roman Regular" w:hAnsi="Times New Roman Regular" w:cs="Times New Roman Regular"/>
                <w:sz w:val="24"/>
                <w:szCs w:val="24"/>
                <w:vertAlign w:val="superscript"/>
                <w:lang w:val="fr-CH"/>
              </w:rPr>
            </w:pPr>
            <w:r>
              <w:rPr>
                <w:rFonts w:ascii="Times New Roman Regular" w:hAnsi="Times New Roman Regular" w:cs="Times New Roman Regular"/>
                <w:sz w:val="24"/>
                <w:szCs w:val="24"/>
              </w:rPr>
              <w:t>130.083</w:t>
            </w:r>
            <w:r>
              <w:rPr>
                <w:rFonts w:ascii="Times New Roman Regular" w:hAnsi="Times New Roman Regular" w:cs="Times New Roman Regular"/>
                <w:sz w:val="24"/>
                <w:szCs w:val="24"/>
                <w:vertAlign w:val="superscript"/>
                <w:lang w:val="fr-CH"/>
              </w:rPr>
              <w:t>***</w:t>
            </w:r>
          </w:p>
        </w:tc>
      </w:tr>
      <w:tr w14:paraId="34205F8F">
        <w:trPr>
          <w:trHeight w:val="319" w:hRule="atLeast"/>
        </w:trPr>
        <w:tc>
          <w:tcPr>
            <w:tcW w:w="2817" w:type="dxa"/>
            <w:tcBorders>
              <w:top w:val="nil"/>
              <w:left w:val="nil"/>
              <w:bottom w:val="single" w:color="auto" w:sz="4" w:space="0"/>
              <w:right w:val="nil"/>
            </w:tcBorders>
            <w:noWrap/>
            <w:vAlign w:val="bottom"/>
          </w:tcPr>
          <w:p w14:paraId="5B8E74D4">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 </w:t>
            </w:r>
          </w:p>
        </w:tc>
        <w:tc>
          <w:tcPr>
            <w:tcW w:w="5495" w:type="dxa"/>
            <w:tcBorders>
              <w:top w:val="nil"/>
              <w:left w:val="nil"/>
              <w:bottom w:val="single" w:color="auto" w:sz="4" w:space="0"/>
              <w:right w:val="nil"/>
            </w:tcBorders>
            <w:noWrap/>
            <w:vAlign w:val="bottom"/>
          </w:tcPr>
          <w:p w14:paraId="0324C183">
            <w:pPr>
              <w:spacing w:line="360" w:lineRule="auto"/>
              <w:jc w:val="center"/>
              <w:rPr>
                <w:rFonts w:ascii="Times New Roman Regular" w:hAnsi="Times New Roman Regular" w:cs="Times New Roman Regular"/>
                <w:sz w:val="24"/>
                <w:szCs w:val="24"/>
              </w:rPr>
            </w:pPr>
            <w:r>
              <w:rPr>
                <w:rFonts w:ascii="Times New Roman Regular" w:hAnsi="Times New Roman Regular" w:cs="Times New Roman Regular"/>
                <w:sz w:val="24"/>
                <w:szCs w:val="24"/>
              </w:rPr>
              <w:t>(33.45665)</w:t>
            </w:r>
          </w:p>
        </w:tc>
      </w:tr>
      <w:tr w14:paraId="58C0D425">
        <w:trPr>
          <w:trHeight w:val="319" w:hRule="atLeast"/>
        </w:trPr>
        <w:tc>
          <w:tcPr>
            <w:tcW w:w="2817" w:type="dxa"/>
            <w:tcBorders>
              <w:top w:val="single" w:color="auto" w:sz="4" w:space="0"/>
              <w:left w:val="nil"/>
              <w:bottom w:val="nil"/>
              <w:right w:val="nil"/>
            </w:tcBorders>
            <w:noWrap/>
            <w:vAlign w:val="bottom"/>
          </w:tcPr>
          <w:p w14:paraId="58FEC7CB">
            <w:pPr>
              <w:spacing w:line="360" w:lineRule="auto"/>
              <w:rPr>
                <w:rFonts w:ascii="Times New Roman Regular" w:hAnsi="Times New Roman Regular" w:cs="Times New Roman Regular"/>
                <w:i/>
                <w:iCs/>
                <w:sz w:val="24"/>
                <w:szCs w:val="24"/>
              </w:rPr>
            </w:pPr>
            <w:r>
              <w:rPr>
                <w:rFonts w:ascii="Times New Roman Regular" w:hAnsi="Times New Roman Regular" w:cs="Times New Roman Regular"/>
                <w:i/>
                <w:iCs/>
                <w:sz w:val="24"/>
                <w:szCs w:val="24"/>
              </w:rPr>
              <w:t>N</w:t>
            </w:r>
          </w:p>
        </w:tc>
        <w:tc>
          <w:tcPr>
            <w:tcW w:w="5495" w:type="dxa"/>
            <w:tcBorders>
              <w:top w:val="single" w:color="auto" w:sz="4" w:space="0"/>
              <w:left w:val="nil"/>
              <w:bottom w:val="nil"/>
              <w:right w:val="nil"/>
            </w:tcBorders>
            <w:noWrap/>
            <w:vAlign w:val="bottom"/>
          </w:tcPr>
          <w:p w14:paraId="4143953B">
            <w:pPr>
              <w:spacing w:line="360" w:lineRule="auto"/>
              <w:jc w:val="center"/>
              <w:rPr>
                <w:rFonts w:ascii="Times New Roman Regular" w:hAnsi="Times New Roman Regular" w:cs="Times New Roman Regular"/>
                <w:i/>
                <w:iCs/>
                <w:sz w:val="24"/>
                <w:szCs w:val="24"/>
              </w:rPr>
            </w:pPr>
            <w:r>
              <w:rPr>
                <w:rFonts w:ascii="Times New Roman Regular" w:hAnsi="Times New Roman Regular" w:cs="Times New Roman Regular"/>
                <w:i/>
                <w:iCs/>
                <w:sz w:val="24"/>
                <w:szCs w:val="24"/>
              </w:rPr>
              <w:t>150</w:t>
            </w:r>
          </w:p>
        </w:tc>
      </w:tr>
      <w:tr w14:paraId="205DDC30">
        <w:trPr>
          <w:trHeight w:val="331" w:hRule="atLeast"/>
        </w:trPr>
        <w:tc>
          <w:tcPr>
            <w:tcW w:w="2817" w:type="dxa"/>
            <w:tcBorders>
              <w:top w:val="nil"/>
              <w:left w:val="nil"/>
              <w:bottom w:val="nil"/>
              <w:right w:val="nil"/>
            </w:tcBorders>
            <w:noWrap/>
            <w:vAlign w:val="bottom"/>
          </w:tcPr>
          <w:p w14:paraId="789775DE">
            <w:pPr>
              <w:spacing w:line="360" w:lineRule="auto"/>
              <w:rPr>
                <w:rFonts w:ascii="Times New Roman Regular" w:hAnsi="Times New Roman Regular" w:cs="Times New Roman Regular"/>
                <w:i/>
                <w:iCs/>
                <w:sz w:val="24"/>
                <w:szCs w:val="24"/>
                <w:vertAlign w:val="superscript"/>
              </w:rPr>
            </w:pPr>
            <w:r>
              <w:rPr>
                <w:rFonts w:ascii="Times New Roman Regular" w:hAnsi="Times New Roman Regular" w:cs="Times New Roman Regular"/>
                <w:i/>
                <w:iCs/>
                <w:sz w:val="24"/>
                <w:szCs w:val="24"/>
              </w:rPr>
              <w:t>Wald chi</w:t>
            </w:r>
            <w:r>
              <w:rPr>
                <w:rFonts w:ascii="Times New Roman Regular" w:hAnsi="Times New Roman Regular" w:cs="Times New Roman Regular"/>
                <w:i/>
                <w:iCs/>
                <w:sz w:val="24"/>
                <w:szCs w:val="24"/>
                <w:vertAlign w:val="superscript"/>
              </w:rPr>
              <w:t>2</w:t>
            </w:r>
          </w:p>
        </w:tc>
        <w:tc>
          <w:tcPr>
            <w:tcW w:w="5495" w:type="dxa"/>
            <w:tcBorders>
              <w:top w:val="nil"/>
              <w:left w:val="nil"/>
              <w:bottom w:val="nil"/>
              <w:right w:val="nil"/>
            </w:tcBorders>
            <w:noWrap/>
            <w:vAlign w:val="bottom"/>
          </w:tcPr>
          <w:p w14:paraId="6591AB19">
            <w:pPr>
              <w:spacing w:line="360" w:lineRule="auto"/>
              <w:jc w:val="center"/>
              <w:rPr>
                <w:rFonts w:ascii="Times New Roman Regular" w:hAnsi="Times New Roman Regular" w:cs="Times New Roman Regular"/>
                <w:i/>
                <w:iCs/>
                <w:sz w:val="24"/>
                <w:szCs w:val="24"/>
              </w:rPr>
            </w:pPr>
            <w:r>
              <w:rPr>
                <w:rFonts w:ascii="Times New Roman Regular" w:hAnsi="Times New Roman Regular" w:cs="Times New Roman Regular"/>
                <w:i/>
                <w:iCs/>
                <w:sz w:val="24"/>
                <w:szCs w:val="24"/>
              </w:rPr>
              <w:t>18.79</w:t>
            </w:r>
          </w:p>
        </w:tc>
      </w:tr>
      <w:tr w14:paraId="137DD55A">
        <w:trPr>
          <w:trHeight w:val="319" w:hRule="atLeast"/>
        </w:trPr>
        <w:tc>
          <w:tcPr>
            <w:tcW w:w="2817" w:type="dxa"/>
            <w:tcBorders>
              <w:top w:val="nil"/>
              <w:left w:val="nil"/>
              <w:bottom w:val="single" w:color="auto" w:sz="8" w:space="0"/>
              <w:right w:val="nil"/>
            </w:tcBorders>
            <w:noWrap/>
            <w:vAlign w:val="bottom"/>
          </w:tcPr>
          <w:p w14:paraId="4BD4EBD0">
            <w:pPr>
              <w:spacing w:line="360" w:lineRule="auto"/>
              <w:rPr>
                <w:rFonts w:ascii="Times New Roman Regular" w:hAnsi="Times New Roman Regular" w:cs="Times New Roman Regular"/>
                <w:i/>
                <w:iCs/>
                <w:sz w:val="24"/>
                <w:szCs w:val="24"/>
                <w:vertAlign w:val="superscript"/>
              </w:rPr>
            </w:pPr>
            <w:r>
              <w:rPr>
                <w:rFonts w:ascii="Times New Roman Regular" w:hAnsi="Times New Roman Regular" w:cs="Times New Roman Regular"/>
                <w:i/>
                <w:iCs/>
                <w:sz w:val="24"/>
                <w:szCs w:val="24"/>
              </w:rPr>
              <w:t xml:space="preserve">Prob </w:t>
            </w:r>
            <w:r>
              <w:rPr>
                <w:rFonts w:ascii="Times New Roman Regular" w:hAnsi="Times New Roman Regular" w:cs="Times New Roman Regular"/>
                <w:i/>
                <w:iCs/>
                <w:sz w:val="24"/>
                <w:szCs w:val="24"/>
                <w:lang w:val="fr-CH"/>
              </w:rPr>
              <w:t>&gt; chi</w:t>
            </w:r>
            <w:r>
              <w:rPr>
                <w:rFonts w:ascii="Times New Roman Regular" w:hAnsi="Times New Roman Regular" w:cs="Times New Roman Regular"/>
                <w:i/>
                <w:iCs/>
                <w:sz w:val="24"/>
                <w:szCs w:val="24"/>
                <w:vertAlign w:val="superscript"/>
              </w:rPr>
              <w:t>2</w:t>
            </w:r>
          </w:p>
        </w:tc>
        <w:tc>
          <w:tcPr>
            <w:tcW w:w="5495" w:type="dxa"/>
            <w:tcBorders>
              <w:top w:val="nil"/>
              <w:left w:val="nil"/>
              <w:bottom w:val="single" w:color="auto" w:sz="8" w:space="0"/>
              <w:right w:val="nil"/>
            </w:tcBorders>
            <w:noWrap/>
            <w:vAlign w:val="bottom"/>
          </w:tcPr>
          <w:p w14:paraId="42676440">
            <w:pPr>
              <w:spacing w:line="360" w:lineRule="auto"/>
              <w:jc w:val="center"/>
              <w:rPr>
                <w:rFonts w:ascii="Times New Roman Regular" w:hAnsi="Times New Roman Regular" w:cs="Times New Roman Regular"/>
                <w:i/>
                <w:iCs/>
                <w:sz w:val="24"/>
                <w:szCs w:val="24"/>
                <w:lang w:val="fr-CH"/>
              </w:rPr>
            </w:pPr>
            <w:r>
              <w:rPr>
                <w:rFonts w:ascii="Times New Roman Regular" w:hAnsi="Times New Roman Regular" w:cs="Times New Roman Regular"/>
                <w:i/>
                <w:iCs/>
                <w:sz w:val="24"/>
                <w:szCs w:val="24"/>
              </w:rPr>
              <w:t>0.</w:t>
            </w:r>
            <w:r>
              <w:rPr>
                <w:rFonts w:ascii="Times New Roman Regular" w:hAnsi="Times New Roman Regular" w:cs="Times New Roman Regular"/>
                <w:i/>
                <w:iCs/>
                <w:sz w:val="24"/>
                <w:szCs w:val="24"/>
                <w:lang w:val="fr-CH"/>
              </w:rPr>
              <w:t>0045</w:t>
            </w:r>
          </w:p>
        </w:tc>
      </w:tr>
    </w:tbl>
    <w:p w14:paraId="5D6E98F6">
      <w:pPr>
        <w:autoSpaceDE w:val="0"/>
        <w:autoSpaceDN w:val="0"/>
        <w:adjustRightInd w:val="0"/>
        <w:spacing w:line="360" w:lineRule="auto"/>
        <w:jc w:val="both"/>
        <w:rPr>
          <w:rFonts w:ascii="Times New Roman Regular" w:hAnsi="Times New Roman Regular" w:cs="Times New Roman Regular"/>
          <w:sz w:val="24"/>
          <w:szCs w:val="24"/>
        </w:rPr>
      </w:pPr>
      <w:r>
        <w:rPr>
          <w:rFonts w:ascii="Times New Roman Regular" w:hAnsi="Times New Roman Regular" w:cs="Times New Roman Regular"/>
          <w:b/>
          <w:bCs/>
          <w:sz w:val="24"/>
          <w:szCs w:val="24"/>
        </w:rPr>
        <w:t>Note</w:t>
      </w:r>
      <w:r>
        <w:rPr>
          <w:rFonts w:ascii="Times New Roman Regular" w:hAnsi="Times New Roman Regular" w:cs="Times New Roman Regular"/>
          <w:sz w:val="24"/>
          <w:szCs w:val="24"/>
        </w:rPr>
        <w:t>: Standard errors in parentheses. (</w:t>
      </w:r>
      <w:r>
        <w:rPr>
          <w:rFonts w:ascii="Times New Roman Regular" w:hAnsi="Times New Roman Regular" w:cs="Times New Roman Regular"/>
          <w:sz w:val="24"/>
          <w:szCs w:val="24"/>
          <w:vertAlign w:val="superscript"/>
        </w:rPr>
        <w:t>*</w:t>
      </w:r>
      <w:r>
        <w:rPr>
          <w:rFonts w:ascii="Times New Roman Regular" w:hAnsi="Times New Roman Regular" w:cs="Times New Roman Regular"/>
          <w:sz w:val="24"/>
          <w:szCs w:val="24"/>
        </w:rPr>
        <w:t>), (</w:t>
      </w:r>
      <w:r>
        <w:rPr>
          <w:rFonts w:ascii="Times New Roman Regular" w:hAnsi="Times New Roman Regular" w:cs="Times New Roman Regular"/>
          <w:sz w:val="24"/>
          <w:szCs w:val="24"/>
          <w:vertAlign w:val="superscript"/>
        </w:rPr>
        <w:t>**</w:t>
      </w:r>
      <w:r>
        <w:rPr>
          <w:rFonts w:ascii="Times New Roman Regular" w:hAnsi="Times New Roman Regular" w:cs="Times New Roman Regular"/>
          <w:sz w:val="24"/>
          <w:szCs w:val="24"/>
        </w:rPr>
        <w:t>), and (</w:t>
      </w:r>
      <w:r>
        <w:rPr>
          <w:rFonts w:ascii="Times New Roman Regular" w:hAnsi="Times New Roman Regular" w:cs="Times New Roman Regular"/>
          <w:sz w:val="24"/>
          <w:szCs w:val="24"/>
          <w:vertAlign w:val="superscript"/>
        </w:rPr>
        <w:t>***</w:t>
      </w:r>
      <w:r>
        <w:rPr>
          <w:rFonts w:ascii="Times New Roman Regular" w:hAnsi="Times New Roman Regular" w:cs="Times New Roman Regular"/>
          <w:sz w:val="24"/>
          <w:szCs w:val="24"/>
        </w:rPr>
        <w:t>)</w:t>
      </w:r>
      <w:r>
        <w:rPr>
          <w:rFonts w:ascii="Times New Roman Regular" w:hAnsi="Times New Roman Regular" w:cs="Times New Roman Regular"/>
          <w:sz w:val="24"/>
          <w:szCs w:val="24"/>
          <w:vertAlign w:val="superscript"/>
        </w:rPr>
        <w:t xml:space="preserve"> </w:t>
      </w:r>
      <w:r>
        <w:rPr>
          <w:rFonts w:ascii="Times New Roman Regular" w:hAnsi="Times New Roman Regular" w:cs="Times New Roman Regular"/>
          <w:sz w:val="24"/>
          <w:szCs w:val="24"/>
        </w:rPr>
        <w:t xml:space="preserve">indicates that the coefficients are significant at p. values of 10%, 5%, and 1% respectively </w:t>
      </w:r>
    </w:p>
    <w:p w14:paraId="76EF0934">
      <w:pPr>
        <w:autoSpaceDE w:val="0"/>
        <w:autoSpaceDN w:val="0"/>
        <w:adjustRightInd w:val="0"/>
        <w:spacing w:line="360" w:lineRule="auto"/>
        <w:jc w:val="both"/>
        <w:rPr>
          <w:rFonts w:ascii="Times New Roman Regular" w:hAnsi="Times New Roman Regular" w:cs="Times New Roman Regular"/>
          <w:sz w:val="24"/>
          <w:szCs w:val="24"/>
        </w:rPr>
      </w:pPr>
    </w:p>
    <w:p w14:paraId="4B41090D">
      <w:pPr>
        <w:pStyle w:val="2"/>
        <w:spacing w:line="360" w:lineRule="auto"/>
        <w:rPr>
          <w:rFonts w:ascii="Times New Roman Regular" w:hAnsi="Times New Roman Regular" w:cs="Times New Roman Regular"/>
          <w:sz w:val="24"/>
          <w:szCs w:val="24"/>
        </w:rPr>
      </w:pPr>
      <w:bookmarkStart w:id="30" w:name="_Toc156569161"/>
      <w:r>
        <w:rPr>
          <w:rFonts w:ascii="Times New Roman Regular" w:hAnsi="Times New Roman Regular" w:cs="Times New Roman Regular"/>
          <w:sz w:val="24"/>
          <w:szCs w:val="24"/>
        </w:rPr>
        <w:t>5.1 Summary of Findings</w:t>
      </w:r>
      <w:bookmarkEnd w:id="30"/>
      <w:r>
        <w:rPr>
          <w:rFonts w:ascii="Times New Roman Regular" w:hAnsi="Times New Roman Regular" w:cs="Times New Roman Regular"/>
          <w:sz w:val="24"/>
          <w:szCs w:val="24"/>
        </w:rPr>
        <w:t xml:space="preserve"> </w:t>
      </w:r>
    </w:p>
    <w:p w14:paraId="190506A0">
      <w:pPr>
        <w:pStyle w:val="10"/>
        <w:spacing w:line="360" w:lineRule="auto"/>
        <w:jc w:val="both"/>
        <w:rPr>
          <w:rFonts w:ascii="Times New Roman Regular" w:hAnsi="Times New Roman Regular" w:cs="Times New Roman Regular"/>
          <w:color w:val="auto"/>
        </w:rPr>
      </w:pPr>
      <w:r>
        <w:rPr>
          <w:rFonts w:ascii="Times New Roman Regular" w:hAnsi="Times New Roman Regular" w:cs="Times New Roman Regular"/>
          <w:color w:val="auto"/>
        </w:rPr>
        <w:t>Panel regression models were specified to test the link between climate risk and bank financial performance. Specifically, the model was tested using First Generalized Least Square Regression (FGLS).  By and large, the empirical results documented that climate risk is negatively related to bank financial performance  for the period under study.</w:t>
      </w:r>
    </w:p>
    <w:p w14:paraId="70DBE5DD">
      <w:pPr>
        <w:autoSpaceDE w:val="0"/>
        <w:autoSpaceDN w:val="0"/>
        <w:adjustRightInd w:val="0"/>
        <w:spacing w:line="360" w:lineRule="auto"/>
        <w:jc w:val="both"/>
        <w:rPr>
          <w:rFonts w:ascii="Times New Roman Regular" w:hAnsi="Times New Roman Regular" w:cs="Times New Roman Regular"/>
          <w:sz w:val="24"/>
          <w:szCs w:val="24"/>
        </w:rPr>
      </w:pPr>
    </w:p>
    <w:p w14:paraId="3F0E42E6">
      <w:pPr>
        <w:pStyle w:val="2"/>
        <w:spacing w:line="360" w:lineRule="auto"/>
        <w:rPr>
          <w:rFonts w:ascii="Times New Roman Regular" w:hAnsi="Times New Roman Regular" w:cs="Times New Roman Regular"/>
          <w:sz w:val="24"/>
          <w:szCs w:val="24"/>
        </w:rPr>
      </w:pPr>
      <w:bookmarkStart w:id="31" w:name="_Toc156569162"/>
      <w:r>
        <w:rPr>
          <w:rFonts w:ascii="Times New Roman Regular" w:hAnsi="Times New Roman Regular" w:cs="Times New Roman Regular"/>
          <w:sz w:val="24"/>
          <w:szCs w:val="24"/>
        </w:rPr>
        <w:t>5.1.1 Climate Risk and Bank Financial Performance</w:t>
      </w:r>
      <w:bookmarkEnd w:id="31"/>
    </w:p>
    <w:p w14:paraId="212955E3">
      <w:pPr>
        <w:pStyle w:val="10"/>
        <w:spacing w:line="360" w:lineRule="auto"/>
        <w:jc w:val="both"/>
        <w:rPr>
          <w:rFonts w:ascii="Times New Roman Regular" w:hAnsi="Times New Roman Regular" w:cs="Times New Roman Regular"/>
          <w:color w:val="auto"/>
        </w:rPr>
      </w:pPr>
      <w:r>
        <w:rPr>
          <w:rFonts w:ascii="Times New Roman Regular" w:hAnsi="Times New Roman Regular" w:cs="Times New Roman Regular"/>
          <w:color w:val="auto"/>
        </w:rPr>
        <w:t>Based on the empirical findings in the preceding chapter, climate risk has a significant negative impact on financial performance of the selected licensed commercial banks in Ghana. This implies that climate risk significantly reduces the bank financial performance of the selected commercial banks. Climate risk may have an influence on the bank's premises and operations, as well as its clients and the overall economy. Extreme weather events and long-term changes in the climate may lead to the closure of retail branches or facilities, substantially damaging customers' creditworthiness and badly affecting the profitability and liquidity of banks. The results in this study resonate with the findings of Huang, Kerstein &amp; Wang (2018).</w:t>
      </w:r>
    </w:p>
    <w:p w14:paraId="49D0A142">
      <w:pPr>
        <w:pStyle w:val="10"/>
        <w:spacing w:line="360" w:lineRule="auto"/>
        <w:jc w:val="both"/>
        <w:rPr>
          <w:rFonts w:ascii="Times New Roman Regular" w:hAnsi="Times New Roman Regular" w:cs="Times New Roman Regular"/>
          <w:color w:val="auto"/>
        </w:rPr>
      </w:pPr>
    </w:p>
    <w:p w14:paraId="63C738DE">
      <w:pPr>
        <w:pStyle w:val="2"/>
        <w:spacing w:line="360" w:lineRule="auto"/>
        <w:rPr>
          <w:rFonts w:ascii="Times New Roman Regular" w:hAnsi="Times New Roman Regular" w:cs="Times New Roman Regular"/>
          <w:sz w:val="24"/>
          <w:szCs w:val="24"/>
        </w:rPr>
      </w:pPr>
      <w:bookmarkStart w:id="32" w:name="_Toc156569165"/>
      <w:r>
        <w:rPr>
          <w:rFonts w:ascii="Times New Roman Regular" w:hAnsi="Times New Roman Regular" w:cs="Times New Roman Regular"/>
          <w:sz w:val="24"/>
          <w:szCs w:val="24"/>
        </w:rPr>
        <w:t>5.2 Conclusion</w:t>
      </w:r>
      <w:bookmarkEnd w:id="32"/>
      <w:r>
        <w:rPr>
          <w:rFonts w:ascii="Times New Roman Regular" w:hAnsi="Times New Roman Regular" w:cs="Times New Roman Regular"/>
          <w:sz w:val="24"/>
          <w:szCs w:val="24"/>
        </w:rPr>
        <w:t xml:space="preserve"> </w:t>
      </w:r>
    </w:p>
    <w:p w14:paraId="6CDD78F5">
      <w:pPr>
        <w:pStyle w:val="10"/>
        <w:spacing w:line="360" w:lineRule="auto"/>
        <w:jc w:val="both"/>
        <w:rPr>
          <w:rFonts w:ascii="Times New Roman Regular" w:hAnsi="Times New Roman Regular" w:cs="Times New Roman Regular"/>
          <w:color w:val="auto"/>
        </w:rPr>
      </w:pPr>
      <w:r>
        <w:rPr>
          <w:rFonts w:ascii="Times New Roman Regular" w:hAnsi="Times New Roman Regular" w:cs="Times New Roman Regular"/>
          <w:color w:val="auto"/>
        </w:rPr>
        <w:t xml:space="preserve">Studies on the relationship between climate risks and bank financial performance have been under researched. This study sought to examine the nexus between climate risksand financial performance of selected licensed commercial banks in Ghana. </w:t>
      </w:r>
    </w:p>
    <w:p w14:paraId="077646D1">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The study specifically used the Generalized Least Square Regression method to control the effects of autocorrelation and heteroskedasticity present in panel data. The results showed that climate risk has a significant negative impact on financial performance of selected licensed commercial banks in Ghana.</w:t>
      </w:r>
    </w:p>
    <w:p w14:paraId="35890152">
      <w:pPr>
        <w:spacing w:line="360" w:lineRule="auto"/>
        <w:rPr>
          <w:rFonts w:ascii="Times New Roman Regular" w:hAnsi="Times New Roman Regular" w:cs="Times New Roman Regular"/>
          <w:sz w:val="24"/>
          <w:szCs w:val="24"/>
        </w:rPr>
      </w:pPr>
    </w:p>
    <w:p w14:paraId="1E1A6F42">
      <w:pPr>
        <w:jc w:val="both"/>
        <w:outlineLvl w:val="0"/>
        <w:rPr>
          <w:rFonts w:ascii="Arial" w:hAnsi="Arial" w:cs="Arial"/>
        </w:rPr>
      </w:pPr>
      <w:r>
        <w:rPr>
          <w:rFonts w:ascii="Arial" w:hAnsi="Arial" w:cs="Arial"/>
          <w:b/>
          <w:bCs/>
        </w:rPr>
        <w:t>COMPETING INTERESTS DISCLAIMER:</w:t>
      </w:r>
    </w:p>
    <w:p w14:paraId="772AF012">
      <w:r>
        <w:t>Authors have declared that they have no known competing financial interests OR non-financial interests OR personal relationships that could have appeared to influence the work reported in this paper.</w:t>
      </w:r>
    </w:p>
    <w:p w14:paraId="4548CC1D"/>
    <w:p w14:paraId="14CB4BD4"/>
    <w:p w14:paraId="1C4BAC37">
      <w:pPr>
        <w:spacing w:line="360" w:lineRule="auto"/>
        <w:rPr>
          <w:rFonts w:ascii="Times New Roman Regular" w:hAnsi="Times New Roman Regular" w:cs="Times New Roman Regular"/>
          <w:sz w:val="24"/>
          <w:szCs w:val="24"/>
        </w:rPr>
      </w:pPr>
    </w:p>
    <w:p w14:paraId="45BF09BC">
      <w:pPr>
        <w:rPr>
          <w:b/>
          <w:highlight w:val="yellow"/>
          <w:lang w:eastAsia="en-US"/>
        </w:rPr>
      </w:pPr>
      <w:r>
        <w:rPr>
          <w:b/>
          <w:highlight w:val="yellow"/>
        </w:rPr>
        <w:t>Disclaimer (Artificial intelligence)</w:t>
      </w:r>
    </w:p>
    <w:p w14:paraId="4CE53F72">
      <w:pPr>
        <w:rPr>
          <w:highlight w:val="yellow"/>
        </w:rPr>
      </w:pPr>
      <w:r>
        <w:rPr>
          <w:highlight w:val="yellow"/>
        </w:rPr>
        <w:t xml:space="preserve">Author(s) hereby declare that NO generative AI technologies such as Large Language Models (ChatGPT, COPILOT, etc.) and text-to-image generators have been used during the writing or editing of this manuscript. </w:t>
      </w:r>
    </w:p>
    <w:p w14:paraId="5F87847C">
      <w:pPr>
        <w:spacing w:line="360" w:lineRule="auto"/>
        <w:rPr>
          <w:rFonts w:ascii="Times New Roman Regular" w:hAnsi="Times New Roman Regular" w:cs="Times New Roman Regular"/>
          <w:sz w:val="24"/>
          <w:szCs w:val="24"/>
        </w:rPr>
      </w:pPr>
    </w:p>
    <w:p w14:paraId="6CF26A9A">
      <w:pPr>
        <w:spacing w:line="360" w:lineRule="auto"/>
        <w:rPr>
          <w:rFonts w:ascii="Times New Roman Regular" w:hAnsi="Times New Roman Regular" w:cs="Times New Roman Regular"/>
          <w:sz w:val="24"/>
          <w:szCs w:val="24"/>
        </w:rPr>
      </w:pPr>
    </w:p>
    <w:p w14:paraId="2AF082D1">
      <w:pPr>
        <w:spacing w:line="360" w:lineRule="auto"/>
        <w:rPr>
          <w:rFonts w:ascii="Times New Roman Regular" w:hAnsi="Times New Roman Regular" w:cs="Times New Roman Regular"/>
          <w:sz w:val="24"/>
          <w:szCs w:val="24"/>
        </w:rPr>
      </w:pPr>
    </w:p>
    <w:p w14:paraId="67D762EA">
      <w:pPr>
        <w:pStyle w:val="2"/>
        <w:spacing w:line="360" w:lineRule="auto"/>
        <w:rPr>
          <w:rFonts w:ascii="Times New Roman Regular" w:hAnsi="Times New Roman Regular" w:cs="Times New Roman Regular"/>
          <w:sz w:val="24"/>
          <w:szCs w:val="24"/>
        </w:rPr>
      </w:pPr>
      <w:bookmarkStart w:id="33" w:name="_Toc156569168"/>
      <w:bookmarkStart w:id="34" w:name="_Toc156224795"/>
      <w:r>
        <w:rPr>
          <w:rFonts w:ascii="Times New Roman Regular" w:hAnsi="Times New Roman Regular" w:cs="Times New Roman Regular"/>
          <w:sz w:val="24"/>
          <w:szCs w:val="24"/>
        </w:rPr>
        <w:t>References</w:t>
      </w:r>
      <w:bookmarkEnd w:id="33"/>
      <w:bookmarkEnd w:id="34"/>
      <w:r>
        <w:rPr>
          <w:rFonts w:ascii="Times New Roman Regular" w:hAnsi="Times New Roman Regular" w:cs="Times New Roman Regular"/>
          <w:sz w:val="24"/>
          <w:szCs w:val="24"/>
        </w:rPr>
        <w:t xml:space="preserve"> </w:t>
      </w:r>
    </w:p>
    <w:p w14:paraId="79B9085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Altman, N., &amp; Krzywinski, M. (2015). Points of Significance: Association, correlation and causation. </w:t>
      </w:r>
      <w:r>
        <w:rPr>
          <w:rFonts w:ascii="Times New Roman Regular" w:hAnsi="Times New Roman Regular" w:cs="Times New Roman Regular"/>
          <w:i/>
          <w:iCs/>
          <w:sz w:val="24"/>
          <w:szCs w:val="24"/>
        </w:rPr>
        <w:t>Nature methods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12</w:t>
      </w:r>
      <w:r>
        <w:rPr>
          <w:rFonts w:ascii="Times New Roman Regular" w:hAnsi="Times New Roman Regular" w:cs="Times New Roman Regular"/>
          <w:sz w:val="24"/>
          <w:szCs w:val="24"/>
        </w:rPr>
        <w:t>(10).</w:t>
      </w:r>
    </w:p>
    <w:p w14:paraId="2058BDF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Arminen, H., &amp; Menegaki, A. N. (2019). Corruption, climate and the energy-environment-growth nexus. </w:t>
      </w:r>
      <w:r>
        <w:rPr>
          <w:rFonts w:ascii="Times New Roman Regular" w:hAnsi="Times New Roman Regular" w:cs="Times New Roman Regular"/>
          <w:i/>
          <w:iCs/>
          <w:sz w:val="24"/>
          <w:szCs w:val="24"/>
        </w:rPr>
        <w:t>Energy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80</w:t>
      </w:r>
      <w:r>
        <w:rPr>
          <w:rFonts w:ascii="Times New Roman Regular" w:hAnsi="Times New Roman Regular" w:cs="Times New Roman Regular"/>
          <w:sz w:val="24"/>
          <w:szCs w:val="24"/>
        </w:rPr>
        <w:t>, 621-634.</w:t>
      </w:r>
    </w:p>
    <w:p w14:paraId="077B8C6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Asante, F. A., Bawakyillenuo, S., Bird, N., Trujillo, N. C., Tagoe, C. A., &amp; Ashiabi, N. (2015). Climate change finance in Ghana--Research reports and studies.</w:t>
      </w:r>
    </w:p>
    <w:p w14:paraId="29C5708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Azam, M., Liu, L., &amp; Ahmad, N. (2021). Impact of institutional quality on environment and energy consumption: evidence from developing world. </w:t>
      </w:r>
      <w:r>
        <w:rPr>
          <w:rFonts w:ascii="Times New Roman Regular" w:hAnsi="Times New Roman Regular" w:cs="Times New Roman Regular"/>
          <w:i/>
          <w:iCs/>
          <w:sz w:val="24"/>
          <w:szCs w:val="24"/>
        </w:rPr>
        <w:t>Environment, Development and Sustainability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23</w:t>
      </w:r>
      <w:r>
        <w:rPr>
          <w:rFonts w:ascii="Times New Roman Regular" w:hAnsi="Times New Roman Regular" w:cs="Times New Roman Regular"/>
          <w:sz w:val="24"/>
          <w:szCs w:val="24"/>
        </w:rPr>
        <w:t>, 1646-1667.</w:t>
      </w:r>
    </w:p>
    <w:p w14:paraId="167ADE9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Basel, C. (2008). Principles for sound liquidity risk management and supervision. </w:t>
      </w:r>
      <w:r>
        <w:rPr>
          <w:rFonts w:ascii="Times New Roman Regular" w:hAnsi="Times New Roman Regular" w:cs="Times New Roman Regular"/>
          <w:i/>
          <w:iCs/>
          <w:sz w:val="24"/>
          <w:szCs w:val="24"/>
        </w:rPr>
        <w:t>Basel Committee on Banking Supervision</w:t>
      </w:r>
      <w:r>
        <w:rPr>
          <w:rFonts w:ascii="Times New Roman Regular" w:hAnsi="Times New Roman Regular" w:cs="Times New Roman Regular"/>
          <w:sz w:val="24"/>
          <w:szCs w:val="24"/>
        </w:rPr>
        <w:t>.</w:t>
      </w:r>
    </w:p>
    <w:p w14:paraId="02B9D76B">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Batten, S., Sowerbutts, R., &amp; Tanaka, M. (2016). Let's talk about the weather: the impact of climate change on central banks.</w:t>
      </w:r>
    </w:p>
    <w:p w14:paraId="2E89DCD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Bergquist, M., Nilsson, A., Harring, N., &amp; Jagers, S. C. (2022). Meta-analyses of fifteen determinants of public opinion about climate change taxes and laws. </w:t>
      </w:r>
      <w:r>
        <w:rPr>
          <w:rFonts w:ascii="Times New Roman Regular" w:hAnsi="Times New Roman Regular" w:cs="Times New Roman Regular"/>
          <w:i/>
          <w:iCs/>
          <w:sz w:val="24"/>
          <w:szCs w:val="24"/>
        </w:rPr>
        <w:t>Nature Climate Change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12</w:t>
      </w:r>
      <w:r>
        <w:rPr>
          <w:rFonts w:ascii="Times New Roman Regular" w:hAnsi="Times New Roman Regular" w:cs="Times New Roman Regular"/>
          <w:sz w:val="24"/>
          <w:szCs w:val="24"/>
        </w:rPr>
        <w:t>(3), 235-240.</w:t>
      </w:r>
    </w:p>
    <w:p w14:paraId="79E9199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Bhaumik, S. K., Dimova, R., Kumbhakar, S. C., &amp; Sun, K. (2018). Is tinkering with institutional quality a panacea for firm performance? Insights from a semiparametric approach to modeling firm performance. </w:t>
      </w:r>
      <w:r>
        <w:rPr>
          <w:rFonts w:ascii="Times New Roman Regular" w:hAnsi="Times New Roman Regular" w:cs="Times New Roman Regular"/>
          <w:i/>
          <w:iCs/>
          <w:sz w:val="24"/>
          <w:szCs w:val="24"/>
        </w:rPr>
        <w:t>Review of Development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22</w:t>
      </w:r>
      <w:r>
        <w:rPr>
          <w:rFonts w:ascii="Times New Roman Regular" w:hAnsi="Times New Roman Regular" w:cs="Times New Roman Regular"/>
          <w:sz w:val="24"/>
          <w:szCs w:val="24"/>
        </w:rPr>
        <w:t>(1), 1-22.</w:t>
      </w:r>
    </w:p>
    <w:p w14:paraId="7E869FC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Blundell, R., Griffith, R., Levell, P., &amp; O'Connell, M. (2020). Could COVID‐19 Infect the Consumer Prices Index?. </w:t>
      </w:r>
      <w:r>
        <w:rPr>
          <w:rFonts w:ascii="Times New Roman Regular" w:hAnsi="Times New Roman Regular" w:cs="Times New Roman Regular"/>
          <w:i/>
          <w:iCs/>
          <w:sz w:val="24"/>
          <w:szCs w:val="24"/>
        </w:rPr>
        <w:t>Fiscal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41</w:t>
      </w:r>
      <w:r>
        <w:rPr>
          <w:rFonts w:ascii="Times New Roman Regular" w:hAnsi="Times New Roman Regular" w:cs="Times New Roman Regular"/>
          <w:sz w:val="24"/>
          <w:szCs w:val="24"/>
        </w:rPr>
        <w:t>(2), 357-361.</w:t>
      </w:r>
    </w:p>
    <w:p w14:paraId="0DAC4F8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Bowman, M. (2010). The role of the banking industry in facilitating climate change mitigation and the transition to a low-carbon global economy. </w:t>
      </w:r>
      <w:r>
        <w:rPr>
          <w:rFonts w:ascii="Times New Roman Regular" w:hAnsi="Times New Roman Regular" w:cs="Times New Roman Regular"/>
          <w:i/>
          <w:iCs/>
          <w:sz w:val="24"/>
          <w:szCs w:val="24"/>
        </w:rPr>
        <w:t>Environment and Planning Law Journal</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27</w:t>
      </w:r>
      <w:r>
        <w:rPr>
          <w:rFonts w:ascii="Times New Roman Regular" w:hAnsi="Times New Roman Regular" w:cs="Times New Roman Regular"/>
          <w:sz w:val="24"/>
          <w:szCs w:val="24"/>
        </w:rPr>
        <w:t>, 448.</w:t>
      </w:r>
    </w:p>
    <w:p w14:paraId="267333A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Bressan, G. M., &amp; Romagnoli, S. (2021). Climate risks and weather derivatives: A copula-based pricing model. </w:t>
      </w:r>
      <w:r>
        <w:rPr>
          <w:rFonts w:ascii="Times New Roman Regular" w:hAnsi="Times New Roman Regular" w:cs="Times New Roman Regular"/>
          <w:i/>
          <w:iCs/>
          <w:sz w:val="24"/>
          <w:szCs w:val="24"/>
        </w:rPr>
        <w:t>Journal of Financial Stability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54</w:t>
      </w:r>
      <w:r>
        <w:rPr>
          <w:rFonts w:ascii="Times New Roman Regular" w:hAnsi="Times New Roman Regular" w:cs="Times New Roman Regular"/>
          <w:sz w:val="24"/>
          <w:szCs w:val="24"/>
        </w:rPr>
        <w:t>, 100877.</w:t>
      </w:r>
    </w:p>
    <w:p w14:paraId="2C923A9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Brigham, E. F., &amp; Houston, J. F. (2013). </w:t>
      </w:r>
      <w:r>
        <w:rPr>
          <w:rFonts w:ascii="Times New Roman Regular" w:hAnsi="Times New Roman Regular" w:cs="Times New Roman Regular"/>
          <w:i/>
          <w:iCs/>
          <w:sz w:val="24"/>
          <w:szCs w:val="24"/>
        </w:rPr>
        <w:t>Fundamentals of financial management</w:t>
      </w:r>
      <w:r>
        <w:rPr>
          <w:rFonts w:ascii="Times New Roman Regular" w:hAnsi="Times New Roman Regular" w:cs="Times New Roman Regular"/>
          <w:sz w:val="24"/>
          <w:szCs w:val="24"/>
        </w:rPr>
        <w:t>. South-Western Cengage Learning.</w:t>
      </w:r>
    </w:p>
    <w:p w14:paraId="00DE2B9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Brunnermeier, M. K., Dong, G. N., &amp; Palia, D. (2020). Banks’ noninterest income and systemic risk. </w:t>
      </w:r>
      <w:r>
        <w:rPr>
          <w:rFonts w:ascii="Times New Roman Regular" w:hAnsi="Times New Roman Regular" w:cs="Times New Roman Regular"/>
          <w:i/>
          <w:iCs/>
          <w:sz w:val="24"/>
          <w:szCs w:val="24"/>
        </w:rPr>
        <w:t>The Review of Corporate Finance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9</w:t>
      </w:r>
      <w:r>
        <w:rPr>
          <w:rFonts w:ascii="Times New Roman Regular" w:hAnsi="Times New Roman Regular" w:cs="Times New Roman Regular"/>
          <w:sz w:val="24"/>
          <w:szCs w:val="24"/>
        </w:rPr>
        <w:t>(2), 229-255.</w:t>
      </w:r>
    </w:p>
    <w:p w14:paraId="663B01F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Buallay, A., Fadel, S. M., Alajmi, J., &amp; Saudagaran, S. (2021). Sustainability reporting and bank performance after financial crisis: evidence from developed and developing countries. </w:t>
      </w:r>
      <w:r>
        <w:rPr>
          <w:rFonts w:ascii="Times New Roman Regular" w:hAnsi="Times New Roman Regular" w:cs="Times New Roman Regular"/>
          <w:i/>
          <w:iCs/>
          <w:sz w:val="24"/>
          <w:szCs w:val="24"/>
        </w:rPr>
        <w:t>Competitiveness Review: An International Business Journal</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31</w:t>
      </w:r>
      <w:r>
        <w:rPr>
          <w:rFonts w:ascii="Times New Roman Regular" w:hAnsi="Times New Roman Regular" w:cs="Times New Roman Regular"/>
          <w:sz w:val="24"/>
          <w:szCs w:val="24"/>
        </w:rPr>
        <w:t>(4), 747-770.</w:t>
      </w:r>
    </w:p>
    <w:p w14:paraId="00C65C5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Buggle, J. C., &amp; Durante, R. (2021). Climate risk, cooperation and the co-evolution of culture and institutions. </w:t>
      </w:r>
      <w:r>
        <w:rPr>
          <w:rFonts w:ascii="Times New Roman Regular" w:hAnsi="Times New Roman Regular" w:cs="Times New Roman Regular"/>
          <w:i/>
          <w:iCs/>
          <w:sz w:val="24"/>
          <w:szCs w:val="24"/>
        </w:rPr>
        <w:t>The Economic Journal</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131</w:t>
      </w:r>
      <w:r>
        <w:rPr>
          <w:rFonts w:ascii="Times New Roman Regular" w:hAnsi="Times New Roman Regular" w:cs="Times New Roman Regular"/>
          <w:sz w:val="24"/>
          <w:szCs w:val="24"/>
        </w:rPr>
        <w:t>(637), 1947-1987.</w:t>
      </w:r>
    </w:p>
    <w:p w14:paraId="54D10FC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Buhr, B., Volz, U., Donovan, C., Kling, G., Lo, Y. C., Murinde, V., &amp; Pullin, N. (2018). Climate change and the cost of capital in developing countries.</w:t>
      </w:r>
    </w:p>
    <w:p w14:paraId="7356480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Caby, J., Ziane, Y., &amp; Lamarque, E. (2022). The impact of climate change management on banks profitability. </w:t>
      </w:r>
      <w:r>
        <w:rPr>
          <w:rFonts w:ascii="Times New Roman Regular" w:hAnsi="Times New Roman Regular" w:cs="Times New Roman Regular"/>
          <w:i/>
          <w:iCs/>
          <w:sz w:val="24"/>
          <w:szCs w:val="24"/>
        </w:rPr>
        <w:t>Journal of Business Research</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142</w:t>
      </w:r>
      <w:r>
        <w:rPr>
          <w:rFonts w:ascii="Times New Roman Regular" w:hAnsi="Times New Roman Regular" w:cs="Times New Roman Regular"/>
          <w:sz w:val="24"/>
          <w:szCs w:val="24"/>
        </w:rPr>
        <w:t>, 412-422.</w:t>
      </w:r>
    </w:p>
    <w:p w14:paraId="50158BC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Cao, L. J., Chua, K. S., Chong, W. K., Lee, H. P., &amp; Gu, Q. M. (2003). A comparison of PCA, KPCA and ICA for dimensionality reduction in support vector machine. </w:t>
      </w:r>
      <w:r>
        <w:rPr>
          <w:rFonts w:ascii="Times New Roman Regular" w:hAnsi="Times New Roman Regular" w:cs="Times New Roman Regular"/>
          <w:i/>
          <w:iCs/>
          <w:sz w:val="24"/>
          <w:szCs w:val="24"/>
        </w:rPr>
        <w:t>Neurocomputing</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55</w:t>
      </w:r>
      <w:r>
        <w:rPr>
          <w:rFonts w:ascii="Times New Roman Regular" w:hAnsi="Times New Roman Regular" w:cs="Times New Roman Regular"/>
          <w:sz w:val="24"/>
          <w:szCs w:val="24"/>
        </w:rPr>
        <w:t>(1-2), 321-336.</w:t>
      </w:r>
    </w:p>
    <w:p w14:paraId="65A058B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Cavlak, H., Cebeci, Y., Güneş, N., &amp; Tan, Ö. F. (2021). Global climate risk index and firm performance: evidence from Turkish firms. </w:t>
      </w:r>
      <w:r>
        <w:rPr>
          <w:rFonts w:ascii="Times New Roman Regular" w:hAnsi="Times New Roman Regular" w:cs="Times New Roman Regular"/>
          <w:i/>
          <w:iCs/>
          <w:sz w:val="24"/>
          <w:szCs w:val="24"/>
        </w:rPr>
        <w:t>Ethics and Sustainability in Accounting and Finance, Volume III</w:t>
      </w:r>
      <w:r>
        <w:rPr>
          <w:rFonts w:ascii="Times New Roman Regular" w:hAnsi="Times New Roman Regular" w:cs="Times New Roman Regular"/>
          <w:sz w:val="24"/>
          <w:szCs w:val="24"/>
        </w:rPr>
        <w:t>, 245-279.</w:t>
      </w:r>
    </w:p>
    <w:p w14:paraId="53773A6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Clayton, J., Devaney, S., Sayce, S., &amp; Van de Wetering, J. (2021). Climate risk and real estate prices: what do we know?. </w:t>
      </w:r>
      <w:r>
        <w:rPr>
          <w:rFonts w:ascii="Times New Roman Regular" w:hAnsi="Times New Roman Regular" w:cs="Times New Roman Regular"/>
          <w:i/>
          <w:iCs/>
          <w:sz w:val="24"/>
          <w:szCs w:val="24"/>
        </w:rPr>
        <w:t>The Journal of Portfolio Management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47</w:t>
      </w:r>
      <w:r>
        <w:rPr>
          <w:rFonts w:ascii="Times New Roman Regular" w:hAnsi="Times New Roman Regular" w:cs="Times New Roman Regular"/>
          <w:sz w:val="24"/>
          <w:szCs w:val="24"/>
        </w:rPr>
        <w:t>(10), 75-90.</w:t>
      </w:r>
    </w:p>
    <w:p w14:paraId="2008021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Conway, D., &amp; Vincent, K. (2021). </w:t>
      </w:r>
      <w:r>
        <w:rPr>
          <w:rFonts w:ascii="Times New Roman Regular" w:hAnsi="Times New Roman Regular" w:cs="Times New Roman Regular"/>
          <w:i/>
          <w:iCs/>
          <w:sz w:val="24"/>
          <w:szCs w:val="24"/>
        </w:rPr>
        <w:t>Climate risk in Africa: adaptation and resilience</w:t>
      </w:r>
      <w:r>
        <w:rPr>
          <w:rFonts w:ascii="Times New Roman Regular" w:hAnsi="Times New Roman Regular" w:cs="Times New Roman Regular"/>
          <w:sz w:val="24"/>
          <w:szCs w:val="24"/>
        </w:rPr>
        <w:t xml:space="preserve"> (p. 168). Springer Nature.</w:t>
      </w:r>
    </w:p>
    <w:p w14:paraId="6CB1B3C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Dafermos, Y., Nikolaidi, M., &amp; Galanis, G. (2018). Climate change, financial stability and monetary policy. </w:t>
      </w:r>
      <w:r>
        <w:rPr>
          <w:rFonts w:ascii="Times New Roman Regular" w:hAnsi="Times New Roman Regular" w:cs="Times New Roman Regular"/>
          <w:i/>
          <w:iCs/>
          <w:sz w:val="24"/>
          <w:szCs w:val="24"/>
        </w:rPr>
        <w:t>Ecological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152</w:t>
      </w:r>
      <w:r>
        <w:rPr>
          <w:rFonts w:ascii="Times New Roman Regular" w:hAnsi="Times New Roman Regular" w:cs="Times New Roman Regular"/>
          <w:sz w:val="24"/>
          <w:szCs w:val="24"/>
        </w:rPr>
        <w:t>, 219-234.</w:t>
      </w:r>
    </w:p>
    <w:p w14:paraId="784BC2AB">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Dafermos, Y., Nikolaidi, M., &amp; Galanis, G. (2018). Climate change, financial stability and monetary policy. </w:t>
      </w:r>
      <w:r>
        <w:rPr>
          <w:rFonts w:ascii="Times New Roman Regular" w:hAnsi="Times New Roman Regular" w:cs="Times New Roman Regular"/>
          <w:i/>
          <w:iCs/>
          <w:sz w:val="24"/>
          <w:szCs w:val="24"/>
        </w:rPr>
        <w:t>Ecological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152</w:t>
      </w:r>
      <w:r>
        <w:rPr>
          <w:rFonts w:ascii="Times New Roman Regular" w:hAnsi="Times New Roman Regular" w:cs="Times New Roman Regular"/>
          <w:sz w:val="24"/>
          <w:szCs w:val="24"/>
        </w:rPr>
        <w:t>, 219-234.</w:t>
      </w:r>
    </w:p>
    <w:p w14:paraId="0D781C6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Dell, M., Jones, B. F., &amp; Olken, B. A. (2014). What do we learn from the weather? The new climate-economy literature. </w:t>
      </w:r>
      <w:r>
        <w:rPr>
          <w:rFonts w:ascii="Times New Roman Regular" w:hAnsi="Times New Roman Regular" w:cs="Times New Roman Regular"/>
          <w:i/>
          <w:iCs/>
          <w:sz w:val="24"/>
          <w:szCs w:val="24"/>
        </w:rPr>
        <w:t>Journal of Economic literature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52</w:t>
      </w:r>
      <w:r>
        <w:rPr>
          <w:rFonts w:ascii="Times New Roman Regular" w:hAnsi="Times New Roman Regular" w:cs="Times New Roman Regular"/>
          <w:sz w:val="24"/>
          <w:szCs w:val="24"/>
        </w:rPr>
        <w:t>(3), 740-798.</w:t>
      </w:r>
    </w:p>
    <w:p w14:paraId="53E7304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Ding, R., Liu, M., Wang, T., &amp; Wu, Z. (2021). The impact of climate risk on earnings management: International evidence. </w:t>
      </w:r>
      <w:r>
        <w:rPr>
          <w:rFonts w:ascii="Times New Roman Regular" w:hAnsi="Times New Roman Regular" w:cs="Times New Roman Regular"/>
          <w:i/>
          <w:iCs/>
          <w:sz w:val="24"/>
          <w:szCs w:val="24"/>
        </w:rPr>
        <w:t>Journal of Accounting and Public Policy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40</w:t>
      </w:r>
      <w:r>
        <w:rPr>
          <w:rFonts w:ascii="Times New Roman Regular" w:hAnsi="Times New Roman Regular" w:cs="Times New Roman Regular"/>
          <w:sz w:val="24"/>
          <w:szCs w:val="24"/>
        </w:rPr>
        <w:t>(2), 106818.</w:t>
      </w:r>
    </w:p>
    <w:p w14:paraId="6733F3D9">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Dowla, A. (2018). Climate change and microfinance. </w:t>
      </w:r>
      <w:r>
        <w:rPr>
          <w:rFonts w:ascii="Times New Roman Regular" w:hAnsi="Times New Roman Regular" w:cs="Times New Roman Regular"/>
          <w:i/>
          <w:iCs/>
          <w:sz w:val="24"/>
          <w:szCs w:val="24"/>
        </w:rPr>
        <w:t>Business Strategy &amp; Development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w:t>
      </w:r>
      <w:r>
        <w:rPr>
          <w:rFonts w:ascii="Times New Roman Regular" w:hAnsi="Times New Roman Regular" w:cs="Times New Roman Regular"/>
          <w:sz w:val="24"/>
          <w:szCs w:val="24"/>
        </w:rPr>
        <w:t>(2), 78-87.</w:t>
      </w:r>
    </w:p>
    <w:p w14:paraId="4F1EC6CA">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Dutta, A., Bouri, E., Rothovius, T., &amp; Uddin, G. S. (2023). Climate risk and green investments: New evidence. </w:t>
      </w:r>
      <w:r>
        <w:rPr>
          <w:rFonts w:ascii="Times New Roman Regular" w:hAnsi="Times New Roman Regular" w:cs="Times New Roman Regular"/>
          <w:i/>
          <w:iCs/>
          <w:sz w:val="24"/>
          <w:szCs w:val="24"/>
        </w:rPr>
        <w:t>Energy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265</w:t>
      </w:r>
      <w:r>
        <w:rPr>
          <w:rFonts w:ascii="Times New Roman Regular" w:hAnsi="Times New Roman Regular" w:cs="Times New Roman Regular"/>
          <w:sz w:val="24"/>
          <w:szCs w:val="24"/>
        </w:rPr>
        <w:t>, 126376.</w:t>
      </w:r>
    </w:p>
    <w:p w14:paraId="6ABD0FF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Eceiza, J., Harreis, H., Härtl, D., &amp; Viscardi, S. (2020). Banking imperatives for managing climate risk. </w:t>
      </w:r>
      <w:r>
        <w:rPr>
          <w:rFonts w:ascii="Times New Roman Regular" w:hAnsi="Times New Roman Regular" w:cs="Times New Roman Regular"/>
          <w:i/>
          <w:iCs/>
          <w:sz w:val="24"/>
          <w:szCs w:val="24"/>
        </w:rPr>
        <w:t>New York: McKinsey &amp; Company</w:t>
      </w:r>
      <w:r>
        <w:rPr>
          <w:rFonts w:ascii="Times New Roman Regular" w:hAnsi="Times New Roman Regular" w:cs="Times New Roman Regular"/>
          <w:sz w:val="24"/>
          <w:szCs w:val="24"/>
        </w:rPr>
        <w:t>.</w:t>
      </w:r>
    </w:p>
    <w:p w14:paraId="721B709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Eckstein, D., Hutfils, M. L., &amp; Winges, M. (2018). Global climate risk index 2019. </w:t>
      </w:r>
      <w:r>
        <w:rPr>
          <w:rFonts w:ascii="Times New Roman Regular" w:hAnsi="Times New Roman Regular" w:cs="Times New Roman Regular"/>
          <w:i/>
          <w:iCs/>
          <w:sz w:val="24"/>
          <w:szCs w:val="24"/>
        </w:rPr>
        <w:t>Who suffers most from extreme weather events</w:t>
      </w:r>
      <w:r>
        <w:rPr>
          <w:rFonts w:ascii="Times New Roman Regular" w:hAnsi="Times New Roman Regular" w:cs="Times New Roman Regular"/>
          <w:sz w:val="24"/>
          <w:szCs w:val="24"/>
        </w:rPr>
        <w:t>, 36.</w:t>
      </w:r>
    </w:p>
    <w:p w14:paraId="21BB519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Eckstein, D., Künzel, V., &amp; Schäfer, L. (2021). </w:t>
      </w:r>
      <w:r>
        <w:rPr>
          <w:rFonts w:ascii="Times New Roman Regular" w:hAnsi="Times New Roman Regular" w:cs="Times New Roman Regular"/>
          <w:i/>
          <w:iCs/>
          <w:sz w:val="24"/>
          <w:szCs w:val="24"/>
        </w:rPr>
        <w:t>The global climate risk index 2021</w:t>
      </w:r>
      <w:r>
        <w:rPr>
          <w:rFonts w:ascii="Times New Roman Regular" w:hAnsi="Times New Roman Regular" w:cs="Times New Roman Regular"/>
          <w:sz w:val="24"/>
          <w:szCs w:val="24"/>
        </w:rPr>
        <w:t>. Bonn: Germanwatch.</w:t>
      </w:r>
    </w:p>
    <w:p w14:paraId="2A359D5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lang w:val="de-DE"/>
        </w:rPr>
        <w:t xml:space="preserve">Eckstein, D., Künzel, V., &amp; Schäfer, L. (2021). </w:t>
      </w:r>
      <w:r>
        <w:rPr>
          <w:rFonts w:ascii="Times New Roman Regular" w:hAnsi="Times New Roman Regular" w:cs="Times New Roman Regular"/>
          <w:i/>
          <w:iCs/>
          <w:sz w:val="24"/>
          <w:szCs w:val="24"/>
        </w:rPr>
        <w:t>The global climate risk index 2021</w:t>
      </w:r>
      <w:r>
        <w:rPr>
          <w:rFonts w:ascii="Times New Roman Regular" w:hAnsi="Times New Roman Regular" w:cs="Times New Roman Regular"/>
          <w:sz w:val="24"/>
          <w:szCs w:val="24"/>
        </w:rPr>
        <w:t>. Bonn: Germanwatch.</w:t>
      </w:r>
    </w:p>
    <w:p w14:paraId="65E2E9A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Eckstein, D., Künzel, V., Schäfer, L., &amp; Winges, M. (20</w:t>
      </w:r>
      <w:r>
        <w:rPr>
          <w:rFonts w:ascii="Times New Roman Regular" w:hAnsi="Times New Roman Regular" w:cs="Times New Roman Regular"/>
          <w:sz w:val="24"/>
          <w:szCs w:val="24"/>
          <w:lang w:val="de-DE"/>
        </w:rPr>
        <w:t>21</w:t>
      </w:r>
      <w:r>
        <w:rPr>
          <w:rFonts w:ascii="Times New Roman Regular" w:hAnsi="Times New Roman Regular" w:cs="Times New Roman Regular"/>
          <w:sz w:val="24"/>
          <w:szCs w:val="24"/>
        </w:rPr>
        <w:t xml:space="preserve">). Global climate risk index 2021. </w:t>
      </w:r>
      <w:r>
        <w:rPr>
          <w:rFonts w:ascii="Times New Roman Regular" w:hAnsi="Times New Roman Regular" w:cs="Times New Roman Regular"/>
          <w:i/>
          <w:iCs/>
          <w:sz w:val="24"/>
          <w:szCs w:val="24"/>
        </w:rPr>
        <w:t>Bonn: Germanwatch</w:t>
      </w:r>
      <w:r>
        <w:rPr>
          <w:rFonts w:ascii="Times New Roman Regular" w:hAnsi="Times New Roman Regular" w:cs="Times New Roman Regular"/>
          <w:sz w:val="24"/>
          <w:szCs w:val="24"/>
        </w:rPr>
        <w:t>, 1-50.</w:t>
      </w:r>
    </w:p>
    <w:p w14:paraId="4D298E1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Esteban-Sanchez, P., de la Cuesta-Gonzalez, M., &amp; Paredes-Gazquez, J. D. (2017). Corporate social performance and its relation with corporate financial performance: International evidence in the banking industry. </w:t>
      </w:r>
      <w:r>
        <w:rPr>
          <w:rFonts w:ascii="Times New Roman Regular" w:hAnsi="Times New Roman Regular" w:cs="Times New Roman Regular"/>
          <w:i/>
          <w:iCs/>
          <w:sz w:val="24"/>
          <w:szCs w:val="24"/>
        </w:rPr>
        <w:t>Journal of cleaner production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162</w:t>
      </w:r>
      <w:r>
        <w:rPr>
          <w:rFonts w:ascii="Times New Roman Regular" w:hAnsi="Times New Roman Regular" w:cs="Times New Roman Regular"/>
          <w:sz w:val="24"/>
          <w:szCs w:val="24"/>
        </w:rPr>
        <w:t>, 1102-1110.</w:t>
      </w:r>
    </w:p>
    <w:p w14:paraId="4E3D08E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Fawzy, S., Osman, A. I., Doran, J., &amp; Rooney, D. W. (2020). Strategies for mitigation of climate change: a review. </w:t>
      </w:r>
      <w:r>
        <w:rPr>
          <w:rFonts w:ascii="Times New Roman Regular" w:hAnsi="Times New Roman Regular" w:cs="Times New Roman Regular"/>
          <w:i/>
          <w:iCs/>
          <w:sz w:val="24"/>
          <w:szCs w:val="24"/>
        </w:rPr>
        <w:t>Environmental Chemistry Letters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18</w:t>
      </w:r>
      <w:r>
        <w:rPr>
          <w:rFonts w:ascii="Times New Roman Regular" w:hAnsi="Times New Roman Regular" w:cs="Times New Roman Regular"/>
          <w:sz w:val="24"/>
          <w:szCs w:val="24"/>
        </w:rPr>
        <w:t>, 2069-2094.</w:t>
      </w:r>
    </w:p>
    <w:p w14:paraId="168C86FA">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Gerlak, A. K., Weston, J., McMahan, B., Murray, R. L., &amp; Mills-Novoa, M. (2018). Climate risk management and the electricity sector. </w:t>
      </w:r>
      <w:r>
        <w:rPr>
          <w:rFonts w:ascii="Times New Roman Regular" w:hAnsi="Times New Roman Regular" w:cs="Times New Roman Regular"/>
          <w:i/>
          <w:iCs/>
          <w:sz w:val="24"/>
          <w:szCs w:val="24"/>
        </w:rPr>
        <w:t>Climate risk management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19</w:t>
      </w:r>
      <w:r>
        <w:rPr>
          <w:rFonts w:ascii="Times New Roman Regular" w:hAnsi="Times New Roman Regular" w:cs="Times New Roman Regular"/>
          <w:sz w:val="24"/>
          <w:szCs w:val="24"/>
        </w:rPr>
        <w:t>, 12-22.</w:t>
      </w:r>
    </w:p>
    <w:p w14:paraId="2822E99B">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GIANG, N. T. H., HANH, T. M., HIEN, P. T., TRINH, N. T., HUYEN, N. T. K., &amp; TRANG, V. H. (2021, December). The Impacts of Climate Change Risks on Financial Performance: Evidence from Listed Manufacturing Firms in Vietnam. In </w:t>
      </w:r>
      <w:r>
        <w:rPr>
          <w:rFonts w:ascii="Times New Roman Regular" w:hAnsi="Times New Roman Regular" w:cs="Times New Roman Regular"/>
          <w:i/>
          <w:iCs/>
          <w:sz w:val="24"/>
          <w:szCs w:val="24"/>
        </w:rPr>
        <w:t>International Conference on Emerging Challenges: Business Transformation and Circular Economy (ICECH 2021)</w:t>
      </w:r>
      <w:r>
        <w:rPr>
          <w:rFonts w:ascii="Times New Roman Regular" w:hAnsi="Times New Roman Regular" w:cs="Times New Roman Regular"/>
          <w:sz w:val="24"/>
          <w:szCs w:val="24"/>
        </w:rPr>
        <w:t xml:space="preserve"> (pp. 581-595). Atlantis Press.</w:t>
      </w:r>
    </w:p>
    <w:p w14:paraId="5E68AF6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Gogtay, N. J., &amp; Thatte, U. M. (2017). Principles of correlation analysis. </w:t>
      </w:r>
      <w:r>
        <w:rPr>
          <w:rFonts w:ascii="Times New Roman Regular" w:hAnsi="Times New Roman Regular" w:cs="Times New Roman Regular"/>
          <w:i/>
          <w:iCs/>
          <w:sz w:val="24"/>
          <w:szCs w:val="24"/>
        </w:rPr>
        <w:t>Journal of the Association of Physicians of India</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65</w:t>
      </w:r>
      <w:r>
        <w:rPr>
          <w:rFonts w:ascii="Times New Roman Regular" w:hAnsi="Times New Roman Regular" w:cs="Times New Roman Regular"/>
          <w:sz w:val="24"/>
          <w:szCs w:val="24"/>
        </w:rPr>
        <w:t>(3), 78-81.</w:t>
      </w:r>
    </w:p>
    <w:p w14:paraId="711E0949">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Griffin, P., &amp; Jaffe, A. M. (2022). Challenges for a climate risk disclosure mandate. </w:t>
      </w:r>
      <w:r>
        <w:rPr>
          <w:rFonts w:ascii="Times New Roman Regular" w:hAnsi="Times New Roman Regular" w:cs="Times New Roman Regular"/>
          <w:i/>
          <w:iCs/>
          <w:sz w:val="24"/>
          <w:szCs w:val="24"/>
        </w:rPr>
        <w:t>Nature Energy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7</w:t>
      </w:r>
      <w:r>
        <w:rPr>
          <w:rFonts w:ascii="Times New Roman Regular" w:hAnsi="Times New Roman Regular" w:cs="Times New Roman Regular"/>
          <w:sz w:val="24"/>
          <w:szCs w:val="24"/>
        </w:rPr>
        <w:t>(1), 2-4.</w:t>
      </w:r>
    </w:p>
    <w:p w14:paraId="285733E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Gupta, N., &amp; Mahakud, J. (2020). Ownership, bank size, capitalization and bank performance: Evidence from India. </w:t>
      </w:r>
      <w:r>
        <w:rPr>
          <w:rFonts w:ascii="Times New Roman Regular" w:hAnsi="Times New Roman Regular" w:cs="Times New Roman Regular"/>
          <w:i/>
          <w:iCs/>
          <w:sz w:val="24"/>
          <w:szCs w:val="24"/>
        </w:rPr>
        <w:t>Cogent Economics &amp; Finance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w:t>
      </w:r>
      <w:r>
        <w:rPr>
          <w:rFonts w:ascii="Times New Roman Regular" w:hAnsi="Times New Roman Regular" w:cs="Times New Roman Regular"/>
          <w:sz w:val="24"/>
          <w:szCs w:val="24"/>
        </w:rPr>
        <w:t>(1), 1808282.</w:t>
      </w:r>
    </w:p>
    <w:p w14:paraId="75FCB91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Huang, H. H., Kerstein, J., &amp; Wang, C. (2018). The impact of climate risk on firm performance and financing choices: An international comparison. </w:t>
      </w:r>
      <w:r>
        <w:rPr>
          <w:rFonts w:ascii="Times New Roman Regular" w:hAnsi="Times New Roman Regular" w:cs="Times New Roman Regular"/>
          <w:i/>
          <w:iCs/>
          <w:sz w:val="24"/>
          <w:szCs w:val="24"/>
        </w:rPr>
        <w:t>Journal of International Business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49</w:t>
      </w:r>
      <w:r>
        <w:rPr>
          <w:rFonts w:ascii="Times New Roman Regular" w:hAnsi="Times New Roman Regular" w:cs="Times New Roman Regular"/>
          <w:sz w:val="24"/>
          <w:szCs w:val="24"/>
        </w:rPr>
        <w:t>, 633-656.</w:t>
      </w:r>
    </w:p>
    <w:p w14:paraId="7B551EE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Huang, H. H., Kerstein, J., &amp; Wang, C. (2018). The impact of climate risk on firm performance and financing choices: An international comparison. </w:t>
      </w:r>
      <w:r>
        <w:rPr>
          <w:rFonts w:ascii="Times New Roman Regular" w:hAnsi="Times New Roman Regular" w:cs="Times New Roman Regular"/>
          <w:i/>
          <w:iCs/>
          <w:sz w:val="24"/>
          <w:szCs w:val="24"/>
        </w:rPr>
        <w:t>Journal of International Business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49</w:t>
      </w:r>
      <w:r>
        <w:rPr>
          <w:rFonts w:ascii="Times New Roman Regular" w:hAnsi="Times New Roman Regular" w:cs="Times New Roman Regular"/>
          <w:sz w:val="24"/>
          <w:szCs w:val="24"/>
        </w:rPr>
        <w:t>, 633-656.</w:t>
      </w:r>
    </w:p>
    <w:p w14:paraId="0B8ED69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Huang, H. H., Kerstein, J., &amp; Wang, C. (2018). The impact of climate risk on firm performance and financing choices: An international comparison. </w:t>
      </w:r>
      <w:r>
        <w:rPr>
          <w:rFonts w:ascii="Times New Roman Regular" w:hAnsi="Times New Roman Regular" w:cs="Times New Roman Regular"/>
          <w:i/>
          <w:iCs/>
          <w:sz w:val="24"/>
          <w:szCs w:val="24"/>
        </w:rPr>
        <w:t>Journal of International Business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49</w:t>
      </w:r>
      <w:r>
        <w:rPr>
          <w:rFonts w:ascii="Times New Roman Regular" w:hAnsi="Times New Roman Regular" w:cs="Times New Roman Regular"/>
          <w:sz w:val="24"/>
          <w:szCs w:val="24"/>
        </w:rPr>
        <w:t>, 633-656.</w:t>
      </w:r>
    </w:p>
    <w:p w14:paraId="01CB168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Huang, Q., &amp; Lin, M. (2022). Do climate risk beliefs shape corporate social responsibility?. </w:t>
      </w:r>
      <w:r>
        <w:rPr>
          <w:rFonts w:ascii="Times New Roman Regular" w:hAnsi="Times New Roman Regular" w:cs="Times New Roman Regular"/>
          <w:i/>
          <w:iCs/>
          <w:sz w:val="24"/>
          <w:szCs w:val="24"/>
        </w:rPr>
        <w:t>Global Finance Journal</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53</w:t>
      </w:r>
      <w:r>
        <w:rPr>
          <w:rFonts w:ascii="Times New Roman Regular" w:hAnsi="Times New Roman Regular" w:cs="Times New Roman Regular"/>
          <w:sz w:val="24"/>
          <w:szCs w:val="24"/>
        </w:rPr>
        <w:t>, 100739.</w:t>
      </w:r>
    </w:p>
    <w:p w14:paraId="672C114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Hussen, M. S., &amp; Çokgezen, M. (2021). The impact of regional institutional quality on firm innovation: evidence from Africa. </w:t>
      </w:r>
      <w:r>
        <w:rPr>
          <w:rFonts w:ascii="Times New Roman Regular" w:hAnsi="Times New Roman Regular" w:cs="Times New Roman Regular"/>
          <w:i/>
          <w:iCs/>
          <w:sz w:val="24"/>
          <w:szCs w:val="24"/>
        </w:rPr>
        <w:t>Innovation and Development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11</w:t>
      </w:r>
      <w:r>
        <w:rPr>
          <w:rFonts w:ascii="Times New Roman Regular" w:hAnsi="Times New Roman Regular" w:cs="Times New Roman Regular"/>
          <w:sz w:val="24"/>
          <w:szCs w:val="24"/>
        </w:rPr>
        <w:t>(1), 69-90.</w:t>
      </w:r>
    </w:p>
    <w:p w14:paraId="20A0DC7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Iacobucci, E., &amp; Trebilcock, M. (2022). Existential threats: Climate change, pandemics and institutions. </w:t>
      </w:r>
      <w:r>
        <w:rPr>
          <w:rFonts w:ascii="Times New Roman Regular" w:hAnsi="Times New Roman Regular" w:cs="Times New Roman Regular"/>
          <w:i/>
          <w:iCs/>
          <w:sz w:val="24"/>
          <w:szCs w:val="24"/>
        </w:rPr>
        <w:t>Canadian Public Administration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65</w:t>
      </w:r>
      <w:r>
        <w:rPr>
          <w:rFonts w:ascii="Times New Roman Regular" w:hAnsi="Times New Roman Regular" w:cs="Times New Roman Regular"/>
          <w:sz w:val="24"/>
          <w:szCs w:val="24"/>
        </w:rPr>
        <w:t>(4), 608-619.</w:t>
      </w:r>
    </w:p>
    <w:p w14:paraId="5637A19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Iheonu, C., Ihedimma, G., &amp; Onwuanaku, C. (2017). Institutional quality and economic performance in West Africa.</w:t>
      </w:r>
    </w:p>
    <w:p w14:paraId="2F400E0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Ilhan, E., Krueger, P., Sautner, Z., &amp; Starks, L. T. (2023). Climate risk disclosure and institutional investors. </w:t>
      </w:r>
      <w:r>
        <w:rPr>
          <w:rFonts w:ascii="Times New Roman Regular" w:hAnsi="Times New Roman Regular" w:cs="Times New Roman Regular"/>
          <w:i/>
          <w:iCs/>
          <w:sz w:val="24"/>
          <w:szCs w:val="24"/>
        </w:rPr>
        <w:t>The Review of Financial Studies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36</w:t>
      </w:r>
      <w:r>
        <w:rPr>
          <w:rFonts w:ascii="Times New Roman Regular" w:hAnsi="Times New Roman Regular" w:cs="Times New Roman Regular"/>
          <w:sz w:val="24"/>
          <w:szCs w:val="24"/>
        </w:rPr>
        <w:t>(7), 2617-2650.</w:t>
      </w:r>
    </w:p>
    <w:p w14:paraId="4767F8E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Jack, C. D., Marsham, J., Rowell, D. P., &amp; Jones, R. G. (2021). Climate information: towards transparent distillation. </w:t>
      </w:r>
      <w:r>
        <w:rPr>
          <w:rFonts w:ascii="Times New Roman Regular" w:hAnsi="Times New Roman Regular" w:cs="Times New Roman Regular"/>
          <w:i/>
          <w:iCs/>
          <w:sz w:val="24"/>
          <w:szCs w:val="24"/>
        </w:rPr>
        <w:t>Climate Risk in Africa: Adaptation and Resilience</w:t>
      </w:r>
      <w:r>
        <w:rPr>
          <w:rFonts w:ascii="Times New Roman Regular" w:hAnsi="Times New Roman Regular" w:cs="Times New Roman Regular"/>
          <w:sz w:val="24"/>
          <w:szCs w:val="24"/>
        </w:rPr>
        <w:t>, 17-35.</w:t>
      </w:r>
    </w:p>
    <w:p w14:paraId="7AC4197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Jin, Y., Zhao, H., Bu, L., &amp; Zhang, D. (2023). Geopolitical risk, climate risk and energy markets: A dynamic spillover analysis. </w:t>
      </w:r>
      <w:r>
        <w:rPr>
          <w:rFonts w:ascii="Times New Roman Regular" w:hAnsi="Times New Roman Regular" w:cs="Times New Roman Regular"/>
          <w:i/>
          <w:iCs/>
          <w:sz w:val="24"/>
          <w:szCs w:val="24"/>
        </w:rPr>
        <w:t>International Review of Financial Analysis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87</w:t>
      </w:r>
      <w:r>
        <w:rPr>
          <w:rFonts w:ascii="Times New Roman Regular" w:hAnsi="Times New Roman Regular" w:cs="Times New Roman Regular"/>
          <w:sz w:val="24"/>
          <w:szCs w:val="24"/>
        </w:rPr>
        <w:t>, 102597.</w:t>
      </w:r>
    </w:p>
    <w:p w14:paraId="37BA84EA">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Juraev, E. S., &amp; G'Ofurjon, K. (2020). INFLATION RISK. </w:t>
      </w:r>
      <w:r>
        <w:rPr>
          <w:rFonts w:ascii="Times New Roman Regular" w:hAnsi="Times New Roman Regular" w:cs="Times New Roman Regular"/>
          <w:i/>
          <w:iCs/>
          <w:sz w:val="24"/>
          <w:szCs w:val="24"/>
        </w:rPr>
        <w:t>Мировая наука</w:t>
      </w:r>
      <w:r>
        <w:rPr>
          <w:rFonts w:ascii="Times New Roman Regular" w:hAnsi="Times New Roman Regular" w:cs="Times New Roman Regular"/>
          <w:sz w:val="24"/>
          <w:szCs w:val="24"/>
        </w:rPr>
        <w:t>, (1 (34)), 29-33.</w:t>
      </w:r>
    </w:p>
    <w:p w14:paraId="0989CA1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Jurgilevich, A., Räsänen, A., Groundstroem, F., &amp; Juhola, S. (2017). A systematic review of dynamics in climate risk and vulnerability assessments. </w:t>
      </w:r>
      <w:r>
        <w:rPr>
          <w:rFonts w:ascii="Times New Roman Regular" w:hAnsi="Times New Roman Regular" w:cs="Times New Roman Regular"/>
          <w:i/>
          <w:iCs/>
          <w:sz w:val="24"/>
          <w:szCs w:val="24"/>
        </w:rPr>
        <w:t>Environmental Research Letters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12</w:t>
      </w:r>
      <w:r>
        <w:rPr>
          <w:rFonts w:ascii="Times New Roman Regular" w:hAnsi="Times New Roman Regular" w:cs="Times New Roman Regular"/>
          <w:sz w:val="24"/>
          <w:szCs w:val="24"/>
        </w:rPr>
        <w:t>(1), 013002.</w:t>
      </w:r>
    </w:p>
    <w:p w14:paraId="061AC05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Kafouros, M., Aliyev, M., Piperopoulos, P., Au, A. K. M., Ho, J. W. Y., &amp; Wong, S. Y. N. (2023). The role of institutional quality and industry dynamism in explaining firm performance in emerging economies. </w:t>
      </w:r>
      <w:r>
        <w:rPr>
          <w:rFonts w:ascii="Times New Roman Regular" w:hAnsi="Times New Roman Regular" w:cs="Times New Roman Regular"/>
          <w:i/>
          <w:iCs/>
          <w:sz w:val="24"/>
          <w:szCs w:val="24"/>
        </w:rPr>
        <w:t>Global Strategy Journal</w:t>
      </w:r>
      <w:r>
        <w:rPr>
          <w:rFonts w:ascii="Times New Roman Regular" w:hAnsi="Times New Roman Regular" w:cs="Times New Roman Regular"/>
          <w:sz w:val="24"/>
          <w:szCs w:val="24"/>
        </w:rPr>
        <w:t>.</w:t>
      </w:r>
    </w:p>
    <w:p w14:paraId="4B51268A">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Kagecha, P. (2016). </w:t>
      </w:r>
      <w:r>
        <w:rPr>
          <w:rFonts w:ascii="Times New Roman Regular" w:hAnsi="Times New Roman Regular" w:cs="Times New Roman Regular"/>
          <w:i/>
          <w:iCs/>
          <w:sz w:val="24"/>
          <w:szCs w:val="24"/>
        </w:rPr>
        <w:t>Bank Performance: Does Bank Size Matter?</w:t>
      </w:r>
      <w:r>
        <w:rPr>
          <w:rFonts w:ascii="Times New Roman Regular" w:hAnsi="Times New Roman Regular" w:cs="Times New Roman Regular"/>
          <w:sz w:val="24"/>
          <w:szCs w:val="24"/>
        </w:rPr>
        <w:t xml:space="preserve"> (Doctoral dissertation, University of Nairobi).</w:t>
      </w:r>
    </w:p>
    <w:p w14:paraId="034055A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Kanagaretnam, K., Lobo, G., &amp; Zhang, L. (2022). Relationship between climate risk and physical and organizational capital. </w:t>
      </w:r>
      <w:r>
        <w:rPr>
          <w:rFonts w:ascii="Times New Roman Regular" w:hAnsi="Times New Roman Regular" w:cs="Times New Roman Regular"/>
          <w:i/>
          <w:iCs/>
          <w:sz w:val="24"/>
          <w:szCs w:val="24"/>
        </w:rPr>
        <w:t>Management International Review</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62</w:t>
      </w:r>
      <w:r>
        <w:rPr>
          <w:rFonts w:ascii="Times New Roman Regular" w:hAnsi="Times New Roman Regular" w:cs="Times New Roman Regular"/>
          <w:sz w:val="24"/>
          <w:szCs w:val="24"/>
        </w:rPr>
        <w:t>(2), 245-283.</w:t>
      </w:r>
    </w:p>
    <w:p w14:paraId="562383A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Khalfaoui, R., Mefteh-Wali, S., Viviani, J. L., Jabeur, S. B., Abedin, M. Z., &amp; Lucey, B. M. (2022). How do climate risk and clean energy spillovers, and uncertainty affect US stock markets?. </w:t>
      </w:r>
      <w:r>
        <w:rPr>
          <w:rFonts w:ascii="Times New Roman Regular" w:hAnsi="Times New Roman Regular" w:cs="Times New Roman Regular"/>
          <w:i/>
          <w:iCs/>
          <w:sz w:val="24"/>
          <w:szCs w:val="24"/>
        </w:rPr>
        <w:t>Technological Forecasting and Social Change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185</w:t>
      </w:r>
      <w:r>
        <w:rPr>
          <w:rFonts w:ascii="Times New Roman Regular" w:hAnsi="Times New Roman Regular" w:cs="Times New Roman Regular"/>
          <w:sz w:val="24"/>
          <w:szCs w:val="24"/>
        </w:rPr>
        <w:t>, 122083.</w:t>
      </w:r>
    </w:p>
    <w:p w14:paraId="2B7E3AD2">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Khalil, R., &amp; Khalil, M. A. (2017). Does bank size and operational efficiency matters? An impact of financial gearing and asset management on islamic bank’s performance in Pakistan. </w:t>
      </w:r>
      <w:r>
        <w:rPr>
          <w:rFonts w:ascii="Times New Roman Regular" w:hAnsi="Times New Roman Regular" w:cs="Times New Roman Regular"/>
          <w:i/>
          <w:iCs/>
          <w:sz w:val="24"/>
          <w:szCs w:val="24"/>
        </w:rPr>
        <w:t>Journal of Accounting and Finance in Emerging Economies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w:t>
      </w:r>
      <w:r>
        <w:rPr>
          <w:rFonts w:ascii="Times New Roman Regular" w:hAnsi="Times New Roman Regular" w:cs="Times New Roman Regular"/>
          <w:sz w:val="24"/>
          <w:szCs w:val="24"/>
        </w:rPr>
        <w:t>(1), 63-78.</w:t>
      </w:r>
    </w:p>
    <w:p w14:paraId="24A347A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Kouachi, S. (2006). Eigenvalues and eigenvectors of tridiagonal matrices. </w:t>
      </w:r>
      <w:r>
        <w:rPr>
          <w:rFonts w:ascii="Times New Roman Regular" w:hAnsi="Times New Roman Regular" w:cs="Times New Roman Regular"/>
          <w:i/>
          <w:iCs/>
          <w:sz w:val="24"/>
          <w:szCs w:val="24"/>
        </w:rPr>
        <w:t>The Electronic Journal of Linear Algebra</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15</w:t>
      </w:r>
      <w:r>
        <w:rPr>
          <w:rFonts w:ascii="Times New Roman Regular" w:hAnsi="Times New Roman Regular" w:cs="Times New Roman Regular"/>
          <w:sz w:val="24"/>
          <w:szCs w:val="24"/>
        </w:rPr>
        <w:t>, 115-133.</w:t>
      </w:r>
    </w:p>
    <w:p w14:paraId="2700C8C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Kouloukoui, D., Gomes, S. M. D. S., Marinho, M. M. D. O., Torres, E. A., Kiperstok, A., &amp; de Jong, P. (2018). Disclosure of climate risk information by the world’s largest companies. </w:t>
      </w:r>
      <w:r>
        <w:rPr>
          <w:rFonts w:ascii="Times New Roman Regular" w:hAnsi="Times New Roman Regular" w:cs="Times New Roman Regular"/>
          <w:i/>
          <w:iCs/>
          <w:sz w:val="24"/>
          <w:szCs w:val="24"/>
        </w:rPr>
        <w:t>Mitigation and adaptation strategies for global change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23</w:t>
      </w:r>
      <w:r>
        <w:rPr>
          <w:rFonts w:ascii="Times New Roman Regular" w:hAnsi="Times New Roman Regular" w:cs="Times New Roman Regular"/>
          <w:sz w:val="24"/>
          <w:szCs w:val="24"/>
        </w:rPr>
        <w:t>, 1251-1279.</w:t>
      </w:r>
    </w:p>
    <w:p w14:paraId="6183EB3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Lakshmikantham, V., &amp; Sen, S. K. (2005). </w:t>
      </w:r>
      <w:r>
        <w:rPr>
          <w:rFonts w:ascii="Times New Roman Regular" w:hAnsi="Times New Roman Regular" w:cs="Times New Roman Regular"/>
          <w:i/>
          <w:iCs/>
          <w:sz w:val="24"/>
          <w:szCs w:val="24"/>
        </w:rPr>
        <w:t>Computational Error and Complexity in Science and Engineering: Computational Error and Complexity</w:t>
      </w:r>
      <w:r>
        <w:rPr>
          <w:rFonts w:ascii="Times New Roman Regular" w:hAnsi="Times New Roman Regular" w:cs="Times New Roman Regular"/>
          <w:sz w:val="24"/>
          <w:szCs w:val="24"/>
        </w:rPr>
        <w:t>. Elsevier.</w:t>
      </w:r>
    </w:p>
    <w:p w14:paraId="1CE2A46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lang w:val="fr-FR"/>
        </w:rPr>
        <w:t xml:space="preserve">Lamperti, F., Bosetti, V., Roventini, A., Tavoni, M., &amp; Treibich, T. (2021). </w:t>
      </w:r>
      <w:r>
        <w:rPr>
          <w:rFonts w:ascii="Times New Roman Regular" w:hAnsi="Times New Roman Regular" w:cs="Times New Roman Regular"/>
          <w:sz w:val="24"/>
          <w:szCs w:val="24"/>
        </w:rPr>
        <w:t xml:space="preserve">Three green financial policies to address climate risks. </w:t>
      </w:r>
      <w:r>
        <w:rPr>
          <w:rFonts w:ascii="Times New Roman Regular" w:hAnsi="Times New Roman Regular" w:cs="Times New Roman Regular"/>
          <w:i/>
          <w:iCs/>
          <w:sz w:val="24"/>
          <w:szCs w:val="24"/>
        </w:rPr>
        <w:t>Journal of Financial Stability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54</w:t>
      </w:r>
      <w:r>
        <w:rPr>
          <w:rFonts w:ascii="Times New Roman Regular" w:hAnsi="Times New Roman Regular" w:cs="Times New Roman Regular"/>
          <w:sz w:val="24"/>
          <w:szCs w:val="24"/>
        </w:rPr>
        <w:t>, 100875.</w:t>
      </w:r>
    </w:p>
    <w:p w14:paraId="3DCA931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Lavell, A., Oppenheimer, M., Diop, C., Hess, J., Lempert, R., Li, J., ... &amp; Weber, E. (2012). Climate change: new dimensions in disaster risk, exposure, vulnerability, and resilience. In </w:t>
      </w:r>
      <w:r>
        <w:rPr>
          <w:rFonts w:ascii="Times New Roman Regular" w:hAnsi="Times New Roman Regular" w:cs="Times New Roman Regular"/>
          <w:i/>
          <w:iCs/>
          <w:sz w:val="24"/>
          <w:szCs w:val="24"/>
        </w:rPr>
        <w:t>Managing the risks of extreme events and disasters to advance climate change adaptation: Special report of the intergovernmental panel on climate change</w:t>
      </w:r>
      <w:r>
        <w:rPr>
          <w:rFonts w:ascii="Times New Roman Regular" w:hAnsi="Times New Roman Regular" w:cs="Times New Roman Regular"/>
          <w:sz w:val="24"/>
          <w:szCs w:val="24"/>
        </w:rPr>
        <w:t xml:space="preserve"> (pp. 25-64). Cambridge University Press.</w:t>
      </w:r>
    </w:p>
    <w:p w14:paraId="1F7A64C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Lee, C. C., Wang, C. W., Thinh, B. T., &amp; Xu, Z. T. (2022). Climate risk and bank liquidity creation: International evidence. </w:t>
      </w:r>
      <w:r>
        <w:rPr>
          <w:rFonts w:ascii="Times New Roman Regular" w:hAnsi="Times New Roman Regular" w:cs="Times New Roman Regular"/>
          <w:i/>
          <w:iCs/>
          <w:sz w:val="24"/>
          <w:szCs w:val="24"/>
        </w:rPr>
        <w:t>International Review of Financial Analysis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82</w:t>
      </w:r>
      <w:r>
        <w:rPr>
          <w:rFonts w:ascii="Times New Roman Regular" w:hAnsi="Times New Roman Regular" w:cs="Times New Roman Regular"/>
          <w:sz w:val="24"/>
          <w:szCs w:val="24"/>
        </w:rPr>
        <w:t>, 102198.</w:t>
      </w:r>
    </w:p>
    <w:p w14:paraId="3578E45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Lestari, H. S. (2021). Financial leverage and financial performance of conventional banks in Indonesia. </w:t>
      </w:r>
      <w:r>
        <w:rPr>
          <w:rFonts w:ascii="Times New Roman Regular" w:hAnsi="Times New Roman Regular" w:cs="Times New Roman Regular"/>
          <w:i/>
          <w:iCs/>
          <w:sz w:val="24"/>
          <w:szCs w:val="24"/>
        </w:rPr>
        <w:t>Journal of Hunan University Natural Sciences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48</w:t>
      </w:r>
      <w:r>
        <w:rPr>
          <w:rFonts w:ascii="Times New Roman Regular" w:hAnsi="Times New Roman Regular" w:cs="Times New Roman Regular"/>
          <w:sz w:val="24"/>
          <w:szCs w:val="24"/>
        </w:rPr>
        <w:t>(2).</w:t>
      </w:r>
    </w:p>
    <w:p w14:paraId="79DC7A0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Li, Q., Shan, H., Tang, Y., &amp; Yao, V. (2020). Corporate climate risk: Measurements and responses. </w:t>
      </w:r>
      <w:r>
        <w:rPr>
          <w:rFonts w:ascii="Times New Roman Regular" w:hAnsi="Times New Roman Regular" w:cs="Times New Roman Regular"/>
          <w:i/>
          <w:iCs/>
          <w:sz w:val="24"/>
          <w:szCs w:val="24"/>
        </w:rPr>
        <w:t>Available at SSRN 3508497</w:t>
      </w:r>
      <w:r>
        <w:rPr>
          <w:rFonts w:ascii="Times New Roman Regular" w:hAnsi="Times New Roman Regular" w:cs="Times New Roman Regular"/>
          <w:sz w:val="24"/>
          <w:szCs w:val="24"/>
        </w:rPr>
        <w:t>.</w:t>
      </w:r>
    </w:p>
    <w:p w14:paraId="1A414C2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Li, S. (2016). Does Diversification Affect Banking Systemic Risk?. </w:t>
      </w:r>
      <w:r>
        <w:rPr>
          <w:rFonts w:ascii="Times New Roman Regular" w:hAnsi="Times New Roman Regular" w:cs="Times New Roman Regular"/>
          <w:i/>
          <w:iCs/>
          <w:sz w:val="24"/>
          <w:szCs w:val="24"/>
        </w:rPr>
        <w:t>Discrete Dynamics in Nature and Society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2016</w:t>
      </w:r>
      <w:r>
        <w:rPr>
          <w:rFonts w:ascii="Times New Roman Regular" w:hAnsi="Times New Roman Regular" w:cs="Times New Roman Regular"/>
          <w:sz w:val="24"/>
          <w:szCs w:val="24"/>
        </w:rPr>
        <w:t>.</w:t>
      </w:r>
    </w:p>
    <w:p w14:paraId="5612913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Liddle, B. (2018). Warming and income growth in the United States: a heterogeneous, common factor dynamic panel analysis. </w:t>
      </w:r>
      <w:r>
        <w:rPr>
          <w:rFonts w:ascii="Times New Roman Regular" w:hAnsi="Times New Roman Regular" w:cs="Times New Roman Regular"/>
          <w:i/>
          <w:iCs/>
          <w:sz w:val="24"/>
          <w:szCs w:val="24"/>
        </w:rPr>
        <w:t>Climate Change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9</w:t>
      </w:r>
      <w:r>
        <w:rPr>
          <w:rFonts w:ascii="Times New Roman Regular" w:hAnsi="Times New Roman Regular" w:cs="Times New Roman Regular"/>
          <w:sz w:val="24"/>
          <w:szCs w:val="24"/>
        </w:rPr>
        <w:t>(04), 1850012.</w:t>
      </w:r>
    </w:p>
    <w:p w14:paraId="2158BA4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LiPuma, J. A., Newbert, S. L., &amp; Doh, J. P. (2013). The effect of institutional quality on firm export performance in emerging economies: a contingency model of firm age and size. </w:t>
      </w:r>
      <w:r>
        <w:rPr>
          <w:rFonts w:ascii="Times New Roman Regular" w:hAnsi="Times New Roman Regular" w:cs="Times New Roman Regular"/>
          <w:i/>
          <w:iCs/>
          <w:sz w:val="24"/>
          <w:szCs w:val="24"/>
        </w:rPr>
        <w:t>Small Business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40</w:t>
      </w:r>
      <w:r>
        <w:rPr>
          <w:rFonts w:ascii="Times New Roman Regular" w:hAnsi="Times New Roman Regular" w:cs="Times New Roman Regular"/>
          <w:sz w:val="24"/>
          <w:szCs w:val="24"/>
        </w:rPr>
        <w:t>, 817-841.</w:t>
      </w:r>
    </w:p>
    <w:p w14:paraId="5C71C27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Mavragani, A., Nikolaou, I. E., &amp; Tsagarakis, K. P. (2016). Open economy, institutional quality, and environmental performance: A macroeconomic approach. </w:t>
      </w:r>
      <w:r>
        <w:rPr>
          <w:rFonts w:ascii="Times New Roman Regular" w:hAnsi="Times New Roman Regular" w:cs="Times New Roman Regular"/>
          <w:i/>
          <w:iCs/>
          <w:sz w:val="24"/>
          <w:szCs w:val="24"/>
        </w:rPr>
        <w:t>Sustainability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w:t>
      </w:r>
      <w:r>
        <w:rPr>
          <w:rFonts w:ascii="Times New Roman Regular" w:hAnsi="Times New Roman Regular" w:cs="Times New Roman Regular"/>
          <w:sz w:val="24"/>
          <w:szCs w:val="24"/>
        </w:rPr>
        <w:t>(7), 601.</w:t>
      </w:r>
    </w:p>
    <w:p w14:paraId="133E08A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Mazmanian, D. A., Jurewitz, J. L., &amp; Nelson, H. T. (2020). State leadership in US climate change and energy policy: The California experience. </w:t>
      </w:r>
      <w:r>
        <w:rPr>
          <w:rFonts w:ascii="Times New Roman Regular" w:hAnsi="Times New Roman Regular" w:cs="Times New Roman Regular"/>
          <w:i/>
          <w:iCs/>
          <w:sz w:val="24"/>
          <w:szCs w:val="24"/>
        </w:rPr>
        <w:t>The Journal of Environment &amp; Development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29</w:t>
      </w:r>
      <w:r>
        <w:rPr>
          <w:rFonts w:ascii="Times New Roman Regular" w:hAnsi="Times New Roman Regular" w:cs="Times New Roman Regular"/>
          <w:sz w:val="24"/>
          <w:szCs w:val="24"/>
        </w:rPr>
        <w:t>(1), 51-74.</w:t>
      </w:r>
    </w:p>
    <w:p w14:paraId="4DDDC13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Mehmood, U. (2021). Renewable-nonrenewable energy: institutional quality and environment nexus in South Asian countries. </w:t>
      </w:r>
      <w:r>
        <w:rPr>
          <w:rFonts w:ascii="Times New Roman Regular" w:hAnsi="Times New Roman Regular" w:cs="Times New Roman Regular"/>
          <w:i/>
          <w:iCs/>
          <w:sz w:val="24"/>
          <w:szCs w:val="24"/>
        </w:rPr>
        <w:t>Environmental Science and Pollution Research</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28</w:t>
      </w:r>
      <w:r>
        <w:rPr>
          <w:rFonts w:ascii="Times New Roman Regular" w:hAnsi="Times New Roman Regular" w:cs="Times New Roman Regular"/>
          <w:sz w:val="24"/>
          <w:szCs w:val="24"/>
        </w:rPr>
        <w:t>(21), 26529-26536.</w:t>
      </w:r>
    </w:p>
    <w:p w14:paraId="4F49FB59">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Michalisin, M., &amp; Stinchfield, B. (2010). Climate change strategies and firm performance: an empirical investigation of the natural resource-based view of the firm. </w:t>
      </w:r>
      <w:r>
        <w:rPr>
          <w:rFonts w:ascii="Times New Roman Regular" w:hAnsi="Times New Roman Regular" w:cs="Times New Roman Regular"/>
          <w:i/>
          <w:iCs/>
          <w:sz w:val="24"/>
          <w:szCs w:val="24"/>
        </w:rPr>
        <w:t>Journal of Business Strategies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27</w:t>
      </w:r>
      <w:r>
        <w:rPr>
          <w:rFonts w:ascii="Times New Roman Regular" w:hAnsi="Times New Roman Regular" w:cs="Times New Roman Regular"/>
          <w:sz w:val="24"/>
          <w:szCs w:val="24"/>
        </w:rPr>
        <w:t>(2), 123-149.</w:t>
      </w:r>
    </w:p>
    <w:p w14:paraId="643C712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Mishra, S. P., Sarkar, U., Taraphder, S., Datta, S., Swain, D., Saikhom, R., ... &amp; Laishram, M. (2017). Multivariate statistical data analysis-principal component analysis (PCA). </w:t>
      </w:r>
      <w:r>
        <w:rPr>
          <w:rFonts w:ascii="Times New Roman Regular" w:hAnsi="Times New Roman Regular" w:cs="Times New Roman Regular"/>
          <w:i/>
          <w:iCs/>
          <w:sz w:val="24"/>
          <w:szCs w:val="24"/>
        </w:rPr>
        <w:t>International Journal of Livestock Research</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7</w:t>
      </w:r>
      <w:r>
        <w:rPr>
          <w:rFonts w:ascii="Times New Roman Regular" w:hAnsi="Times New Roman Regular" w:cs="Times New Roman Regular"/>
          <w:sz w:val="24"/>
          <w:szCs w:val="24"/>
        </w:rPr>
        <w:t>(5), 60-78.</w:t>
      </w:r>
    </w:p>
    <w:p w14:paraId="7DCDCD9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Muthmainnah, M. (2017). Effect of leverage ratios on profitability of companies in the automotive and component sub sector in the Indonesia stock exchange. </w:t>
      </w:r>
      <w:r>
        <w:rPr>
          <w:rFonts w:ascii="Times New Roman Regular" w:hAnsi="Times New Roman Regular" w:cs="Times New Roman Regular"/>
          <w:i/>
          <w:iCs/>
          <w:sz w:val="24"/>
          <w:szCs w:val="24"/>
        </w:rPr>
        <w:t>Jurnal Citra Ekonomi</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w:t>
      </w:r>
      <w:r>
        <w:rPr>
          <w:rFonts w:ascii="Times New Roman Regular" w:hAnsi="Times New Roman Regular" w:cs="Times New Roman Regular"/>
          <w:sz w:val="24"/>
          <w:szCs w:val="24"/>
        </w:rPr>
        <w:t>(6), 1-9.</w:t>
      </w:r>
    </w:p>
    <w:p w14:paraId="5B56082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Nieto, M. J. (2019). Banks, climate risk and financial stability. </w:t>
      </w:r>
      <w:r>
        <w:rPr>
          <w:rFonts w:ascii="Times New Roman Regular" w:hAnsi="Times New Roman Regular" w:cs="Times New Roman Regular"/>
          <w:i/>
          <w:iCs/>
          <w:sz w:val="24"/>
          <w:szCs w:val="24"/>
        </w:rPr>
        <w:t>Journal of Financial Regulation and Compliance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27</w:t>
      </w:r>
      <w:r>
        <w:rPr>
          <w:rFonts w:ascii="Times New Roman Regular" w:hAnsi="Times New Roman Regular" w:cs="Times New Roman Regular"/>
          <w:sz w:val="24"/>
          <w:szCs w:val="24"/>
        </w:rPr>
        <w:t>(2), 243-262.</w:t>
      </w:r>
    </w:p>
    <w:p w14:paraId="0E84A834">
      <w:pPr>
        <w:spacing w:line="360" w:lineRule="auto"/>
        <w:ind w:left="1080" w:hanging="1080"/>
        <w:contextualSpacing/>
        <w:jc w:val="both"/>
        <w:rPr>
          <w:rFonts w:ascii="Times New Roman Regular" w:hAnsi="Times New Roman Regular" w:cs="Times New Roman Regular"/>
          <w:sz w:val="24"/>
          <w:szCs w:val="24"/>
          <w:lang w:val="de-DE"/>
        </w:rPr>
      </w:pPr>
      <w:r>
        <w:rPr>
          <w:rFonts w:ascii="Times New Roman Regular" w:hAnsi="Times New Roman Regular" w:cs="Times New Roman Regular"/>
          <w:sz w:val="24"/>
          <w:szCs w:val="24"/>
        </w:rPr>
        <w:t xml:space="preserve">Nowiski, N. (2018). Rising above the storm: Climate risk disclosure and its current and future relevance to the energy sector. </w:t>
      </w:r>
      <w:r>
        <w:rPr>
          <w:rFonts w:ascii="Times New Roman Regular" w:hAnsi="Times New Roman Regular" w:cs="Times New Roman Regular"/>
          <w:i/>
          <w:iCs/>
          <w:sz w:val="24"/>
          <w:szCs w:val="24"/>
          <w:lang w:val="de-DE"/>
        </w:rPr>
        <w:t>Energy LJ</w:t>
      </w:r>
      <w:r>
        <w:rPr>
          <w:rFonts w:ascii="Times New Roman Regular" w:hAnsi="Times New Roman Regular" w:cs="Times New Roman Regular"/>
          <w:sz w:val="24"/>
          <w:szCs w:val="24"/>
          <w:lang w:val="de-DE"/>
        </w:rPr>
        <w:t xml:space="preserve">, </w:t>
      </w:r>
      <w:r>
        <w:rPr>
          <w:rFonts w:ascii="Times New Roman Regular" w:hAnsi="Times New Roman Regular" w:cs="Times New Roman Regular"/>
          <w:i/>
          <w:iCs/>
          <w:sz w:val="24"/>
          <w:szCs w:val="24"/>
          <w:lang w:val="de-DE"/>
        </w:rPr>
        <w:t>39</w:t>
      </w:r>
      <w:r>
        <w:rPr>
          <w:rFonts w:ascii="Times New Roman Regular" w:hAnsi="Times New Roman Regular" w:cs="Times New Roman Regular"/>
          <w:sz w:val="24"/>
          <w:szCs w:val="24"/>
          <w:lang w:val="de-DE"/>
        </w:rPr>
        <w:t>, 1.</w:t>
      </w:r>
    </w:p>
    <w:p w14:paraId="12357E0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Obobisa, E. S., Chen, H., &amp; Mensah, I. A. (2022). The impact of green technological innovation and institutional quality on CO2 emissions in African countries. </w:t>
      </w:r>
      <w:r>
        <w:rPr>
          <w:rFonts w:ascii="Times New Roman Regular" w:hAnsi="Times New Roman Regular" w:cs="Times New Roman Regular"/>
          <w:i/>
          <w:iCs/>
          <w:sz w:val="24"/>
          <w:szCs w:val="24"/>
        </w:rPr>
        <w:t>Technological Forecasting and Social Change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180</w:t>
      </w:r>
      <w:r>
        <w:rPr>
          <w:rFonts w:ascii="Times New Roman Regular" w:hAnsi="Times New Roman Regular" w:cs="Times New Roman Regular"/>
          <w:sz w:val="24"/>
          <w:szCs w:val="24"/>
        </w:rPr>
        <w:t>, 121670.</w:t>
      </w:r>
    </w:p>
    <w:p w14:paraId="6BA888D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Ozkan, A., Temiz, H., &amp; Yildiz, Y. (2023). Climate risk, corporate social responsibility, and firm performance. </w:t>
      </w:r>
      <w:r>
        <w:rPr>
          <w:rFonts w:ascii="Times New Roman Regular" w:hAnsi="Times New Roman Regular" w:cs="Times New Roman Regular"/>
          <w:i/>
          <w:iCs/>
          <w:sz w:val="24"/>
          <w:szCs w:val="24"/>
        </w:rPr>
        <w:t>British Journal of Management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34</w:t>
      </w:r>
      <w:r>
        <w:rPr>
          <w:rFonts w:ascii="Times New Roman Regular" w:hAnsi="Times New Roman Regular" w:cs="Times New Roman Regular"/>
          <w:sz w:val="24"/>
          <w:szCs w:val="24"/>
        </w:rPr>
        <w:t>(4), 1791-1810.</w:t>
      </w:r>
    </w:p>
    <w:p w14:paraId="3B9584E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Pan, X., &amp; Qiu, B. (2022). The impact of flooding on firm performance and economic growth. </w:t>
      </w:r>
      <w:r>
        <w:rPr>
          <w:rFonts w:ascii="Times New Roman Regular" w:hAnsi="Times New Roman Regular" w:cs="Times New Roman Regular"/>
          <w:i/>
          <w:iCs/>
          <w:sz w:val="24"/>
          <w:szCs w:val="24"/>
        </w:rPr>
        <w:t>PloS one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17</w:t>
      </w:r>
      <w:r>
        <w:rPr>
          <w:rFonts w:ascii="Times New Roman Regular" w:hAnsi="Times New Roman Regular" w:cs="Times New Roman Regular"/>
          <w:sz w:val="24"/>
          <w:szCs w:val="24"/>
        </w:rPr>
        <w:t>(7), e0271309.</w:t>
      </w:r>
    </w:p>
    <w:p w14:paraId="7219718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Petersen, M. A., &amp; Schoeman, I. (2008, July). Modeling of banking profit via return-on-assets and return-on-equity. In </w:t>
      </w:r>
      <w:r>
        <w:rPr>
          <w:rFonts w:ascii="Times New Roman Regular" w:hAnsi="Times New Roman Regular" w:cs="Times New Roman Regular"/>
          <w:i/>
          <w:iCs/>
          <w:sz w:val="24"/>
          <w:szCs w:val="24"/>
        </w:rPr>
        <w:t>Proceedings of the World Congress on Engineering</w:t>
      </w:r>
      <w:r>
        <w:rPr>
          <w:rFonts w:ascii="Times New Roman Regular" w:hAnsi="Times New Roman Regular" w:cs="Times New Roman Regular"/>
          <w:sz w:val="24"/>
          <w:szCs w:val="24"/>
        </w:rPr>
        <w:t xml:space="preserve"> (Vol. 2, No. 1, pp. 12-37).</w:t>
      </w:r>
    </w:p>
    <w:p w14:paraId="55263F4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Pinchot, A., Zhou, L., Christianson, G., McClamrock, J., &amp; Sato, I. (2021). Assessing physical risks from climate change: do companies and financial organizations have sufficient guidance. </w:t>
      </w:r>
      <w:r>
        <w:rPr>
          <w:rFonts w:ascii="Times New Roman Regular" w:hAnsi="Times New Roman Regular" w:cs="Times New Roman Regular"/>
          <w:i/>
          <w:iCs/>
          <w:sz w:val="24"/>
          <w:szCs w:val="24"/>
        </w:rPr>
        <w:t>World Resources Institute</w:t>
      </w:r>
      <w:r>
        <w:rPr>
          <w:rFonts w:ascii="Times New Roman Regular" w:hAnsi="Times New Roman Regular" w:cs="Times New Roman Regular"/>
          <w:sz w:val="24"/>
          <w:szCs w:val="24"/>
        </w:rPr>
        <w:t>.</w:t>
      </w:r>
    </w:p>
    <w:p w14:paraId="3756A02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Puspitasari, E., Sudiyatno, B., Hartoto, W. E., &amp; WIDATI, L. W. (2021). Net interest margin and return on assets: A Case Study in Indonesia. </w:t>
      </w:r>
      <w:r>
        <w:rPr>
          <w:rFonts w:ascii="Times New Roman Regular" w:hAnsi="Times New Roman Regular" w:cs="Times New Roman Regular"/>
          <w:i/>
          <w:iCs/>
          <w:sz w:val="24"/>
          <w:szCs w:val="24"/>
        </w:rPr>
        <w:t>The Journal of Asian Finance, Economics and Business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w:t>
      </w:r>
      <w:r>
        <w:rPr>
          <w:rFonts w:ascii="Times New Roman Regular" w:hAnsi="Times New Roman Regular" w:cs="Times New Roman Regular"/>
          <w:sz w:val="24"/>
          <w:szCs w:val="24"/>
        </w:rPr>
        <w:t>(4), 727-734.</w:t>
      </w:r>
    </w:p>
    <w:p w14:paraId="114B8AD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Ren, X., Li, Y., Shahbaz, M., Dong, K., &amp; Lu, Z. (2022). Climate risk and corporate environmental performance: Empirical evidence from China. </w:t>
      </w:r>
      <w:r>
        <w:rPr>
          <w:rFonts w:ascii="Times New Roman Regular" w:hAnsi="Times New Roman Regular" w:cs="Times New Roman Regular"/>
          <w:i/>
          <w:iCs/>
          <w:sz w:val="24"/>
          <w:szCs w:val="24"/>
        </w:rPr>
        <w:t>Sustainable Production and Consumption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30</w:t>
      </w:r>
      <w:r>
        <w:rPr>
          <w:rFonts w:ascii="Times New Roman Regular" w:hAnsi="Times New Roman Regular" w:cs="Times New Roman Regular"/>
          <w:sz w:val="24"/>
          <w:szCs w:val="24"/>
        </w:rPr>
        <w:t>, 467-477.</w:t>
      </w:r>
    </w:p>
    <w:p w14:paraId="1A1AC95B">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Roncoroni, A., Battiston, S., Escobar-Farfán, L. O., &amp; Martinez-Jaramillo, S. (2021). Climate risk and financial stability in the network of banks and investment funds. </w:t>
      </w:r>
      <w:r>
        <w:rPr>
          <w:rFonts w:ascii="Times New Roman Regular" w:hAnsi="Times New Roman Regular" w:cs="Times New Roman Regular"/>
          <w:i/>
          <w:iCs/>
          <w:sz w:val="24"/>
          <w:szCs w:val="24"/>
        </w:rPr>
        <w:t>Journal of Financial Stability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54</w:t>
      </w:r>
      <w:r>
        <w:rPr>
          <w:rFonts w:ascii="Times New Roman Regular" w:hAnsi="Times New Roman Regular" w:cs="Times New Roman Regular"/>
          <w:sz w:val="24"/>
          <w:szCs w:val="24"/>
        </w:rPr>
        <w:t>, 100870.</w:t>
      </w:r>
    </w:p>
    <w:p w14:paraId="10AB5AB7">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Sakhel, A. (2017). Corporate climate risk management: Are European companies prepared?. </w:t>
      </w:r>
      <w:r>
        <w:rPr>
          <w:rFonts w:ascii="Times New Roman Regular" w:hAnsi="Times New Roman Regular" w:cs="Times New Roman Regular"/>
          <w:i/>
          <w:iCs/>
          <w:sz w:val="24"/>
          <w:szCs w:val="24"/>
        </w:rPr>
        <w:t>Journal of Cleaner Production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165</w:t>
      </w:r>
      <w:r>
        <w:rPr>
          <w:rFonts w:ascii="Times New Roman Regular" w:hAnsi="Times New Roman Regular" w:cs="Times New Roman Regular"/>
          <w:sz w:val="24"/>
          <w:szCs w:val="24"/>
        </w:rPr>
        <w:t>, 103-118.</w:t>
      </w:r>
    </w:p>
    <w:p w14:paraId="18C3C9D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Salem, B. (2021). Principal Component Analysis (PCA). </w:t>
      </w:r>
      <w:r>
        <w:rPr>
          <w:rFonts w:ascii="Times New Roman Regular" w:hAnsi="Times New Roman Regular" w:cs="Times New Roman Regular"/>
          <w:i/>
          <w:iCs/>
          <w:sz w:val="24"/>
          <w:szCs w:val="24"/>
        </w:rPr>
        <w:t>La Tunisie Medicale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99</w:t>
      </w:r>
      <w:r>
        <w:rPr>
          <w:rFonts w:ascii="Times New Roman Regular" w:hAnsi="Times New Roman Regular" w:cs="Times New Roman Regular"/>
          <w:sz w:val="24"/>
          <w:szCs w:val="24"/>
        </w:rPr>
        <w:t>(4), 383-389.</w:t>
      </w:r>
    </w:p>
    <w:p w14:paraId="2A2403A5">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Salisu, A. A., Olaniran, A., &amp; Lasisi, L. (2023). Climate risk and gold. </w:t>
      </w:r>
      <w:r>
        <w:rPr>
          <w:rFonts w:ascii="Times New Roman Regular" w:hAnsi="Times New Roman Regular" w:cs="Times New Roman Regular"/>
          <w:i/>
          <w:iCs/>
          <w:sz w:val="24"/>
          <w:szCs w:val="24"/>
        </w:rPr>
        <w:t>Resources Policy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82</w:t>
      </w:r>
      <w:r>
        <w:rPr>
          <w:rFonts w:ascii="Times New Roman Regular" w:hAnsi="Times New Roman Regular" w:cs="Times New Roman Regular"/>
          <w:sz w:val="24"/>
          <w:szCs w:val="24"/>
        </w:rPr>
        <w:t>, 103494.</w:t>
      </w:r>
    </w:p>
    <w:p w14:paraId="42AC9B0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Salisu, A., &amp; Oloko, T. (2023). Climate risk measures: A review. </w:t>
      </w:r>
      <w:r>
        <w:rPr>
          <w:rFonts w:ascii="Times New Roman Regular" w:hAnsi="Times New Roman Regular" w:cs="Times New Roman Regular"/>
          <w:i/>
          <w:iCs/>
          <w:sz w:val="24"/>
          <w:szCs w:val="24"/>
        </w:rPr>
        <w:t>Asian Economics Letters</w:t>
      </w:r>
      <w:r>
        <w:rPr>
          <w:rFonts w:ascii="Times New Roman Regular" w:hAnsi="Times New Roman Regular" w:cs="Times New Roman Regular"/>
          <w:sz w:val="24"/>
          <w:szCs w:val="24"/>
        </w:rPr>
        <w:t xml:space="preserve">.Stiglitz, J. E. (2019). Addressing climate change through price and non-price interventions. </w:t>
      </w:r>
      <w:r>
        <w:rPr>
          <w:rFonts w:ascii="Times New Roman Regular" w:hAnsi="Times New Roman Regular" w:cs="Times New Roman Regular"/>
          <w:i/>
          <w:iCs/>
          <w:sz w:val="24"/>
          <w:szCs w:val="24"/>
        </w:rPr>
        <w:t>European Economic Review</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119</w:t>
      </w:r>
      <w:r>
        <w:rPr>
          <w:rFonts w:ascii="Times New Roman Regular" w:hAnsi="Times New Roman Regular" w:cs="Times New Roman Regular"/>
          <w:sz w:val="24"/>
          <w:szCs w:val="24"/>
        </w:rPr>
        <w:t>, 594-612.</w:t>
      </w:r>
    </w:p>
    <w:p w14:paraId="72C4E77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Salman, M., Long, X., Dauda, L., &amp; Mensah, C. N. (2019). The impact of institutional quality on economic growth and carbon emissions: Evidence from Indonesia, South Korea and Thailand. </w:t>
      </w:r>
      <w:r>
        <w:rPr>
          <w:rFonts w:ascii="Times New Roman Regular" w:hAnsi="Times New Roman Regular" w:cs="Times New Roman Regular"/>
          <w:i/>
          <w:iCs/>
          <w:sz w:val="24"/>
          <w:szCs w:val="24"/>
        </w:rPr>
        <w:t>Journal of Cleaner Production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241</w:t>
      </w:r>
      <w:r>
        <w:rPr>
          <w:rFonts w:ascii="Times New Roman Regular" w:hAnsi="Times New Roman Regular" w:cs="Times New Roman Regular"/>
          <w:sz w:val="24"/>
          <w:szCs w:val="24"/>
        </w:rPr>
        <w:t>, 118331.</w:t>
      </w:r>
    </w:p>
    <w:p w14:paraId="06F16ED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Samhan, H. M., &amp; Al-Khatib, A. Y. (2015). Determinants of financial performance of Jordan Islamic bank. </w:t>
      </w:r>
      <w:r>
        <w:rPr>
          <w:rFonts w:ascii="Times New Roman Regular" w:hAnsi="Times New Roman Regular" w:cs="Times New Roman Regular"/>
          <w:i/>
          <w:iCs/>
          <w:sz w:val="24"/>
          <w:szCs w:val="24"/>
        </w:rPr>
        <w:t>Research Journal of Finance and Accounting</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6</w:t>
      </w:r>
      <w:r>
        <w:rPr>
          <w:rFonts w:ascii="Times New Roman Regular" w:hAnsi="Times New Roman Regular" w:cs="Times New Roman Regular"/>
          <w:sz w:val="24"/>
          <w:szCs w:val="24"/>
        </w:rPr>
        <w:t>(8), 37-47.</w:t>
      </w:r>
    </w:p>
    <w:p w14:paraId="773706F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Sathyamoorthi, C. R., Mapharing, M., &amp; Dzimiri, M. (2020). Liquidity management and financial performance: Evidence from commercial banks in Botswana. </w:t>
      </w:r>
      <w:r>
        <w:rPr>
          <w:rFonts w:ascii="Times New Roman Regular" w:hAnsi="Times New Roman Regular" w:cs="Times New Roman Regular"/>
          <w:i/>
          <w:iCs/>
          <w:sz w:val="24"/>
          <w:szCs w:val="24"/>
        </w:rPr>
        <w:t>International Journal of Financial Research</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11</w:t>
      </w:r>
      <w:r>
        <w:rPr>
          <w:rFonts w:ascii="Times New Roman Regular" w:hAnsi="Times New Roman Regular" w:cs="Times New Roman Regular"/>
          <w:sz w:val="24"/>
          <w:szCs w:val="24"/>
        </w:rPr>
        <w:t>(5), 399-413.</w:t>
      </w:r>
    </w:p>
    <w:p w14:paraId="1514685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Scott, M., Van Huizen, J., &amp; Jung, C. (2017). The bank's response to climate change. </w:t>
      </w:r>
      <w:r>
        <w:rPr>
          <w:rFonts w:ascii="Times New Roman Regular" w:hAnsi="Times New Roman Regular" w:cs="Times New Roman Regular"/>
          <w:i/>
          <w:iCs/>
          <w:sz w:val="24"/>
          <w:szCs w:val="24"/>
        </w:rPr>
        <w:t>Bank of England Quarterly Bulletin</w:t>
      </w:r>
      <w:r>
        <w:rPr>
          <w:rFonts w:ascii="Times New Roman Regular" w:hAnsi="Times New Roman Regular" w:cs="Times New Roman Regular"/>
          <w:sz w:val="24"/>
          <w:szCs w:val="24"/>
        </w:rPr>
        <w:t>, Q2.</w:t>
      </w:r>
    </w:p>
    <w:p w14:paraId="4AF477D9">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Sheng, X., Gupta, R., &amp; Cepni, O. (2022). Persistence of state-level uncertainty of the United States: The role of climate risks. </w:t>
      </w:r>
      <w:r>
        <w:rPr>
          <w:rFonts w:ascii="Times New Roman Regular" w:hAnsi="Times New Roman Regular" w:cs="Times New Roman Regular"/>
          <w:i/>
          <w:iCs/>
          <w:sz w:val="24"/>
          <w:szCs w:val="24"/>
        </w:rPr>
        <w:t>Economics Letters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215</w:t>
      </w:r>
      <w:r>
        <w:rPr>
          <w:rFonts w:ascii="Times New Roman Regular" w:hAnsi="Times New Roman Regular" w:cs="Times New Roman Regular"/>
          <w:sz w:val="24"/>
          <w:szCs w:val="24"/>
        </w:rPr>
        <w:t>, 110500.</w:t>
      </w:r>
    </w:p>
    <w:p w14:paraId="1FA6A54A">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Singh, B. P., &amp; Pradhan, K. C. (2022). Institutional quality and economic performance in South Asia. </w:t>
      </w:r>
      <w:r>
        <w:rPr>
          <w:rFonts w:ascii="Times New Roman Regular" w:hAnsi="Times New Roman Regular" w:cs="Times New Roman Regular"/>
          <w:i/>
          <w:iCs/>
          <w:sz w:val="24"/>
          <w:szCs w:val="24"/>
        </w:rPr>
        <w:t>Journal of Public Affairs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22</w:t>
      </w:r>
      <w:r>
        <w:rPr>
          <w:rFonts w:ascii="Times New Roman Regular" w:hAnsi="Times New Roman Regular" w:cs="Times New Roman Regular"/>
          <w:sz w:val="24"/>
          <w:szCs w:val="24"/>
        </w:rPr>
        <w:t>(1), e2401.</w:t>
      </w:r>
    </w:p>
    <w:p w14:paraId="571FB91C">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Stigler, S. M. (2005). Correlation and causation: A comment. </w:t>
      </w:r>
      <w:r>
        <w:rPr>
          <w:rFonts w:ascii="Times New Roman Regular" w:hAnsi="Times New Roman Regular" w:cs="Times New Roman Regular"/>
          <w:i/>
          <w:iCs/>
          <w:sz w:val="24"/>
          <w:szCs w:val="24"/>
        </w:rPr>
        <w:t>Perspectives in Biology and Medicine</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48</w:t>
      </w:r>
      <w:r>
        <w:rPr>
          <w:rFonts w:ascii="Times New Roman Regular" w:hAnsi="Times New Roman Regular" w:cs="Times New Roman Regular"/>
          <w:sz w:val="24"/>
          <w:szCs w:val="24"/>
        </w:rPr>
        <w:t>(1), 88-S94.</w:t>
      </w:r>
    </w:p>
    <w:p w14:paraId="770D4DF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Stiglitz, J. E., Stern, N., Duan, M., Edenhofer, O., Giraud, G., Heal, G. M., ... &amp; Winkler, H. (2017). Report of the high-level commission on carbon prices.</w:t>
      </w:r>
    </w:p>
    <w:p w14:paraId="54752B6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Suharto, A. B., &amp; Hariadi, B. (2013). Influence The Growth Of Earning Assets And The Growth Of Third-Party Funds Against The Operational Bank Performance Listed On The Indonesia Stock Exchange. </w:t>
      </w:r>
      <w:r>
        <w:rPr>
          <w:rFonts w:ascii="Times New Roman Regular" w:hAnsi="Times New Roman Regular" w:cs="Times New Roman Regular"/>
          <w:i/>
          <w:iCs/>
          <w:sz w:val="24"/>
          <w:szCs w:val="24"/>
        </w:rPr>
        <w:t>Jurnal Ilmiah Mahasiswa FEB</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w:t>
      </w:r>
      <w:r>
        <w:rPr>
          <w:rFonts w:ascii="Times New Roman Regular" w:hAnsi="Times New Roman Regular" w:cs="Times New Roman Regular"/>
          <w:sz w:val="24"/>
          <w:szCs w:val="24"/>
        </w:rPr>
        <w:t>, 1-20.</w:t>
      </w:r>
    </w:p>
    <w:p w14:paraId="2E0E5E6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Sukmadewi, R. (2020). The Effect of Capital Adequacy Ratio, Loan to Deposit Ratio, Operating-Income Ratio, Non Performing Loans, Net Interest Margin on Banking Financial Performance. </w:t>
      </w:r>
      <w:r>
        <w:rPr>
          <w:rFonts w:ascii="Times New Roman Regular" w:hAnsi="Times New Roman Regular" w:cs="Times New Roman Regular"/>
          <w:i/>
          <w:iCs/>
          <w:sz w:val="24"/>
          <w:szCs w:val="24"/>
        </w:rPr>
        <w:t>eCo-Buss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w:t>
      </w:r>
      <w:r>
        <w:rPr>
          <w:rFonts w:ascii="Times New Roman Regular" w:hAnsi="Times New Roman Regular" w:cs="Times New Roman Regular"/>
          <w:sz w:val="24"/>
          <w:szCs w:val="24"/>
        </w:rPr>
        <w:t>(2), 1-10.</w:t>
      </w:r>
    </w:p>
    <w:p w14:paraId="7847EB9B">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Sun, H., Edziah, B. K., Sun, C., &amp; Kporsu, A. K. (2019). Institutional quality, green innovation and energy efficiency. </w:t>
      </w:r>
      <w:r>
        <w:rPr>
          <w:rFonts w:ascii="Times New Roman Regular" w:hAnsi="Times New Roman Regular" w:cs="Times New Roman Regular"/>
          <w:i/>
          <w:iCs/>
          <w:sz w:val="24"/>
          <w:szCs w:val="24"/>
        </w:rPr>
        <w:t>Energy policy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135</w:t>
      </w:r>
      <w:r>
        <w:rPr>
          <w:rFonts w:ascii="Times New Roman Regular" w:hAnsi="Times New Roman Regular" w:cs="Times New Roman Regular"/>
          <w:sz w:val="24"/>
          <w:szCs w:val="24"/>
        </w:rPr>
        <w:t>, 111002.</w:t>
      </w:r>
    </w:p>
    <w:p w14:paraId="7A268BD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Sun, Y., Yang, Y., Huang, N., &amp; Zou, X. (2020). The impacts of climate change risks on financial performance of mining industry: Evidence from listed companies in China. </w:t>
      </w:r>
      <w:r>
        <w:rPr>
          <w:rFonts w:ascii="Times New Roman Regular" w:hAnsi="Times New Roman Regular" w:cs="Times New Roman Regular"/>
          <w:i/>
          <w:iCs/>
          <w:sz w:val="24"/>
          <w:szCs w:val="24"/>
        </w:rPr>
        <w:t>Resources Policy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69</w:t>
      </w:r>
      <w:r>
        <w:rPr>
          <w:rFonts w:ascii="Times New Roman Regular" w:hAnsi="Times New Roman Regular" w:cs="Times New Roman Regular"/>
          <w:sz w:val="24"/>
          <w:szCs w:val="24"/>
        </w:rPr>
        <w:t>, 101828.</w:t>
      </w:r>
    </w:p>
    <w:p w14:paraId="33D0DFE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Sun, Z., Radhakrishnan, S., &amp; Jacob, V. (2023). Institutional Quality, Firm Performance, and the Role of Information Technology: A Cross-Country Examination. </w:t>
      </w:r>
      <w:r>
        <w:rPr>
          <w:rFonts w:ascii="Times New Roman Regular" w:hAnsi="Times New Roman Regular" w:cs="Times New Roman Regular"/>
          <w:i/>
          <w:iCs/>
          <w:sz w:val="24"/>
          <w:szCs w:val="24"/>
        </w:rPr>
        <w:t>Firm Performance, and the Role of Information Technology: A Cross-Country Examination (March 8, 2023)</w:t>
      </w:r>
      <w:r>
        <w:rPr>
          <w:rFonts w:ascii="Times New Roman Regular" w:hAnsi="Times New Roman Regular" w:cs="Times New Roman Regular"/>
          <w:sz w:val="24"/>
          <w:szCs w:val="24"/>
        </w:rPr>
        <w:t>.</w:t>
      </w:r>
    </w:p>
    <w:p w14:paraId="6F296392">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Suzulia, M. T., &amp; Saluy, A. B. (2020). The effect of capital structure, company growth, and inflation on firm value with profitability as intervening variable (study on manufacturing companies listed on bei period 2014-2018). </w:t>
      </w:r>
      <w:r>
        <w:rPr>
          <w:rFonts w:ascii="Times New Roman Regular" w:hAnsi="Times New Roman Regular" w:cs="Times New Roman Regular"/>
          <w:i/>
          <w:iCs/>
          <w:sz w:val="24"/>
          <w:szCs w:val="24"/>
        </w:rPr>
        <w:t>Dinasti International Journal of Economics, Finance &amp; Accounting</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w:t>
      </w:r>
      <w:r>
        <w:rPr>
          <w:rFonts w:ascii="Times New Roman Regular" w:hAnsi="Times New Roman Regular" w:cs="Times New Roman Regular"/>
          <w:sz w:val="24"/>
          <w:szCs w:val="24"/>
        </w:rPr>
        <w:t>(1), 95-109.</w:t>
      </w:r>
    </w:p>
    <w:p w14:paraId="56B4F495">
      <w:pPr>
        <w:spacing w:line="360" w:lineRule="auto"/>
        <w:ind w:left="1080" w:hanging="1080"/>
        <w:contextualSpacing/>
        <w:jc w:val="both"/>
        <w:rPr>
          <w:rFonts w:ascii="Times New Roman Regular" w:hAnsi="Times New Roman Regular" w:cs="Times New Roman Regular"/>
          <w:sz w:val="24"/>
          <w:szCs w:val="24"/>
        </w:rPr>
      </w:pPr>
      <w:bookmarkStart w:id="35" w:name="_GoBack"/>
      <w:bookmarkEnd w:id="35"/>
      <w:r>
        <w:rPr>
          <w:rFonts w:ascii="Times New Roman Regular" w:hAnsi="Times New Roman Regular" w:cs="Times New Roman Regular"/>
          <w:sz w:val="24"/>
          <w:szCs w:val="24"/>
        </w:rPr>
        <w:t xml:space="preserve">Toma, P., &amp; Stefanelli, V. (2022). What are the banks doing in managing climate risk? Empirical evidence from a position map. </w:t>
      </w:r>
      <w:r>
        <w:rPr>
          <w:rFonts w:ascii="Times New Roman Regular" w:hAnsi="Times New Roman Regular" w:cs="Times New Roman Regular"/>
          <w:i/>
          <w:iCs/>
          <w:sz w:val="24"/>
          <w:szCs w:val="24"/>
        </w:rPr>
        <w:t>Ecological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200</w:t>
      </w:r>
      <w:r>
        <w:rPr>
          <w:rFonts w:ascii="Times New Roman Regular" w:hAnsi="Times New Roman Regular" w:cs="Times New Roman Regular"/>
          <w:sz w:val="24"/>
          <w:szCs w:val="24"/>
        </w:rPr>
        <w:t>, 107530.</w:t>
      </w:r>
    </w:p>
    <w:p w14:paraId="7717DDE1">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Usman, N., Akpa, E. O., &amp; Umar, H. B. (2023). Persistence in Climate Risk Measures. </w:t>
      </w:r>
      <w:r>
        <w:rPr>
          <w:rFonts w:ascii="Times New Roman Regular" w:hAnsi="Times New Roman Regular" w:cs="Times New Roman Regular"/>
          <w:i/>
          <w:iCs/>
          <w:sz w:val="24"/>
          <w:szCs w:val="24"/>
        </w:rPr>
        <w:t>Energy RESEARCH LETTERS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4</w:t>
      </w:r>
      <w:r>
        <w:rPr>
          <w:rFonts w:ascii="Times New Roman Regular" w:hAnsi="Times New Roman Regular" w:cs="Times New Roman Regular"/>
          <w:sz w:val="24"/>
          <w:szCs w:val="24"/>
        </w:rPr>
        <w:t>(2).</w:t>
      </w:r>
    </w:p>
    <w:p w14:paraId="69A7F433">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Vargas, R., Cabrera, M., Cicowiez, M., Escobar, P., Hernández, V., Cabrera, J., &amp; Guzmán, V. (2018). Climate risk and food availability in Guatemala. </w:t>
      </w:r>
      <w:r>
        <w:rPr>
          <w:rFonts w:ascii="Times New Roman Regular" w:hAnsi="Times New Roman Regular" w:cs="Times New Roman Regular"/>
          <w:i/>
          <w:iCs/>
          <w:sz w:val="24"/>
          <w:szCs w:val="24"/>
        </w:rPr>
        <w:t>Environment and Development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23</w:t>
      </w:r>
      <w:r>
        <w:rPr>
          <w:rFonts w:ascii="Times New Roman Regular" w:hAnsi="Times New Roman Regular" w:cs="Times New Roman Regular"/>
          <w:sz w:val="24"/>
          <w:szCs w:val="24"/>
        </w:rPr>
        <w:t>(5), 558-579.</w:t>
      </w:r>
    </w:p>
    <w:p w14:paraId="6B50454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Vaze, P., Meng, A., &amp; Giuliani, D. (2019). Greening the financial system. </w:t>
      </w:r>
      <w:r>
        <w:rPr>
          <w:rFonts w:ascii="Times New Roman Regular" w:hAnsi="Times New Roman Regular" w:cs="Times New Roman Regular"/>
          <w:i/>
          <w:iCs/>
          <w:sz w:val="24"/>
          <w:szCs w:val="24"/>
        </w:rPr>
        <w:t>Climate Bonds Initiative: London, UK</w:t>
      </w:r>
      <w:r>
        <w:rPr>
          <w:rFonts w:ascii="Times New Roman Regular" w:hAnsi="Times New Roman Regular" w:cs="Times New Roman Regular"/>
          <w:sz w:val="24"/>
          <w:szCs w:val="24"/>
        </w:rPr>
        <w:t>.</w:t>
      </w:r>
    </w:p>
    <w:p w14:paraId="017EC58F">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Wabwile, E. S., Chitiavi, M. S., Alala, O. B., Douglas, M., Khoo, V., Obeid, M., &amp; Islam, M. (2014). Financial Leverage and performance variance among banks: evidence of tier 1 commercial banks listed on Nairobi Security Exchange Kenya. </w:t>
      </w:r>
      <w:r>
        <w:rPr>
          <w:rFonts w:ascii="Times New Roman Regular" w:hAnsi="Times New Roman Regular" w:cs="Times New Roman Regular"/>
          <w:i/>
          <w:iCs/>
          <w:sz w:val="24"/>
          <w:szCs w:val="24"/>
        </w:rPr>
        <w:t>International Journal of Business and Management Invention</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w:t>
      </w:r>
      <w:r>
        <w:rPr>
          <w:rFonts w:ascii="Times New Roman Regular" w:hAnsi="Times New Roman Regular" w:cs="Times New Roman Regular"/>
          <w:sz w:val="24"/>
          <w:szCs w:val="24"/>
        </w:rPr>
        <w:t>(4), 01-13.</w:t>
      </w:r>
    </w:p>
    <w:p w14:paraId="776DAFB9">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Wiklund, S. (2023). Evaluating physical climate risk for equity funds with quantitative modelling–how exposed are sustainable funds?. </w:t>
      </w:r>
      <w:r>
        <w:rPr>
          <w:rFonts w:ascii="Times New Roman Regular" w:hAnsi="Times New Roman Regular" w:cs="Times New Roman Regular"/>
          <w:i/>
          <w:iCs/>
          <w:sz w:val="24"/>
          <w:szCs w:val="24"/>
        </w:rPr>
        <w:t>Journal of Sustainable Finance &amp; Investment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13</w:t>
      </w:r>
      <w:r>
        <w:rPr>
          <w:rFonts w:ascii="Times New Roman Regular" w:hAnsi="Times New Roman Regular" w:cs="Times New Roman Regular"/>
          <w:sz w:val="24"/>
          <w:szCs w:val="24"/>
        </w:rPr>
        <w:t>(2), 893-918.</w:t>
      </w:r>
    </w:p>
    <w:p w14:paraId="45FB55ED">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Wooldridge, J. M. (2001). Applications of generalized method of moments estimation. </w:t>
      </w:r>
      <w:r>
        <w:rPr>
          <w:rFonts w:ascii="Times New Roman Regular" w:hAnsi="Times New Roman Regular" w:cs="Times New Roman Regular"/>
          <w:i/>
          <w:iCs/>
          <w:sz w:val="24"/>
          <w:szCs w:val="24"/>
        </w:rPr>
        <w:t>Journal of Economic perspectives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15</w:t>
      </w:r>
      <w:r>
        <w:rPr>
          <w:rFonts w:ascii="Times New Roman Regular" w:hAnsi="Times New Roman Regular" w:cs="Times New Roman Regular"/>
          <w:sz w:val="24"/>
          <w:szCs w:val="24"/>
        </w:rPr>
        <w:t>(4), 87-100.</w:t>
      </w:r>
    </w:p>
    <w:p w14:paraId="561C44EE">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Wu, W., Massart, D. L., &amp; De Jong, S. (1997). The kernel PCA algorithms for wide data. Part I: theory and algorithms. </w:t>
      </w:r>
      <w:r>
        <w:rPr>
          <w:rFonts w:ascii="Times New Roman Regular" w:hAnsi="Times New Roman Regular" w:cs="Times New Roman Regular"/>
          <w:i/>
          <w:iCs/>
          <w:sz w:val="24"/>
          <w:szCs w:val="24"/>
        </w:rPr>
        <w:t>Chemometrics and Intelligent Laboratory Systems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36</w:t>
      </w:r>
      <w:r>
        <w:rPr>
          <w:rFonts w:ascii="Times New Roman Regular" w:hAnsi="Times New Roman Regular" w:cs="Times New Roman Regular"/>
          <w:sz w:val="24"/>
          <w:szCs w:val="24"/>
        </w:rPr>
        <w:t>(2), 165-172.</w:t>
      </w:r>
    </w:p>
    <w:p w14:paraId="158D4484">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Wu, X., Bai, X., Qi, H., Lu, L., Yang, M., &amp; Taghizadeh-Hesary, F. (2023). The impact of climate change on banking systemic risk. </w:t>
      </w:r>
      <w:r>
        <w:rPr>
          <w:rFonts w:ascii="Times New Roman Regular" w:hAnsi="Times New Roman Regular" w:cs="Times New Roman Regular"/>
          <w:i/>
          <w:iCs/>
          <w:sz w:val="24"/>
          <w:szCs w:val="24"/>
        </w:rPr>
        <w:t>Economic Analysis and Policy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78</w:t>
      </w:r>
      <w:r>
        <w:rPr>
          <w:rFonts w:ascii="Times New Roman Regular" w:hAnsi="Times New Roman Regular" w:cs="Times New Roman Regular"/>
          <w:sz w:val="24"/>
          <w:szCs w:val="24"/>
        </w:rPr>
        <w:t>, 419-437.</w:t>
      </w:r>
    </w:p>
    <w:p w14:paraId="678A3E90">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Xie, J., Nozawa, W., Yagi, M., Fujii, H., &amp; Managi, S. (2019). Do environmental, social, and governance activities improve corporate financial performance?. </w:t>
      </w:r>
      <w:r>
        <w:rPr>
          <w:rFonts w:ascii="Times New Roman Regular" w:hAnsi="Times New Roman Regular" w:cs="Times New Roman Regular"/>
          <w:i/>
          <w:iCs/>
          <w:sz w:val="24"/>
          <w:szCs w:val="24"/>
        </w:rPr>
        <w:t>Business Strategy and the Environment</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28</w:t>
      </w:r>
      <w:r>
        <w:rPr>
          <w:rFonts w:ascii="Times New Roman Regular" w:hAnsi="Times New Roman Regular" w:cs="Times New Roman Regular"/>
          <w:sz w:val="24"/>
          <w:szCs w:val="24"/>
        </w:rPr>
        <w:t>(2), 286-300.</w:t>
      </w:r>
    </w:p>
    <w:p w14:paraId="3D8F0682">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Zhang, X., Fu, Q., Lu, L., Wang, Q., &amp; Zhang, S. (2021). Bank liquidity creation, network contagion and systemic risk: Evidence from Chinese listed banks. </w:t>
      </w:r>
      <w:r>
        <w:rPr>
          <w:rFonts w:ascii="Times New Roman Regular" w:hAnsi="Times New Roman Regular" w:cs="Times New Roman Regular"/>
          <w:i/>
          <w:iCs/>
          <w:sz w:val="24"/>
          <w:szCs w:val="24"/>
        </w:rPr>
        <w:t>Journal of Financial Stability</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53</w:t>
      </w:r>
      <w:r>
        <w:rPr>
          <w:rFonts w:ascii="Times New Roman Regular" w:hAnsi="Times New Roman Regular" w:cs="Times New Roman Regular"/>
          <w:sz w:val="24"/>
          <w:szCs w:val="24"/>
        </w:rPr>
        <w:t>, 100844.</w:t>
      </w:r>
    </w:p>
    <w:p w14:paraId="32F98E28">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Zhang, X., Zhang, S., &amp; Lu, L. (2022). The banking instability and climate change: Evidence from China. </w:t>
      </w:r>
      <w:r>
        <w:rPr>
          <w:rFonts w:ascii="Times New Roman Regular" w:hAnsi="Times New Roman Regular" w:cs="Times New Roman Regular"/>
          <w:i/>
          <w:iCs/>
          <w:sz w:val="24"/>
          <w:szCs w:val="24"/>
        </w:rPr>
        <w:t>Energy Economics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106</w:t>
      </w:r>
      <w:r>
        <w:rPr>
          <w:rFonts w:ascii="Times New Roman Regular" w:hAnsi="Times New Roman Regular" w:cs="Times New Roman Regular"/>
          <w:sz w:val="24"/>
          <w:szCs w:val="24"/>
        </w:rPr>
        <w:t>, 105787.</w:t>
      </w:r>
    </w:p>
    <w:p w14:paraId="2ACF61B6">
      <w:pPr>
        <w:spacing w:line="360" w:lineRule="auto"/>
        <w:ind w:left="1080" w:hanging="1080"/>
        <w:contextualSpacing/>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Zhu, C., &amp; Hua, G. (2020). The impact of China’s Internet Finance on the banking systemic risk–an empirical study based on the SCCA model and stepwise regression. </w:t>
      </w:r>
      <w:r>
        <w:rPr>
          <w:rFonts w:ascii="Times New Roman Regular" w:hAnsi="Times New Roman Regular" w:cs="Times New Roman Regular"/>
          <w:i/>
          <w:iCs/>
          <w:sz w:val="24"/>
          <w:szCs w:val="24"/>
        </w:rPr>
        <w:t>Applied Economics Letters</w:t>
      </w:r>
      <w:r>
        <w:rPr>
          <w:rFonts w:ascii="Times New Roman Regular" w:hAnsi="Times New Roman Regular" w:cs="Times New Roman Regular"/>
          <w:sz w:val="24"/>
          <w:szCs w:val="24"/>
        </w:rPr>
        <w:t xml:space="preserve">, </w:t>
      </w:r>
      <w:r>
        <w:rPr>
          <w:rFonts w:ascii="Times New Roman Regular" w:hAnsi="Times New Roman Regular" w:cs="Times New Roman Regular"/>
          <w:i/>
          <w:iCs/>
          <w:sz w:val="24"/>
          <w:szCs w:val="24"/>
        </w:rPr>
        <w:t>27</w:t>
      </w:r>
      <w:r>
        <w:rPr>
          <w:rFonts w:ascii="Times New Roman Regular" w:hAnsi="Times New Roman Regular" w:cs="Times New Roman Regular"/>
          <w:sz w:val="24"/>
          <w:szCs w:val="24"/>
        </w:rPr>
        <w:t>(4), 267-274.</w:t>
      </w:r>
    </w:p>
    <w:p w14:paraId="70E43A09">
      <w:pPr>
        <w:rPr>
          <w:rFonts w:ascii="Times New Roman Regular" w:hAnsi="Times New Roman Regular" w:cs="Times New Roman Regular"/>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Times New Roman Regular">
    <w:panose1 w:val="02020603050405020304"/>
    <w:charset w:val="00"/>
    <w:family w:val="auto"/>
    <w:pitch w:val="default"/>
    <w:sig w:usb0="E0002AEF" w:usb1="C0007841" w:usb2="00000009" w:usb3="00000000" w:csb0="400001FF" w:csb1="FFFF0000"/>
  </w:font>
  <w:font w:name="Times New Roman Italic">
    <w:panose1 w:val="02020603050405020304"/>
    <w:charset w:val="00"/>
    <w:family w:val="auto"/>
    <w:pitch w:val="default"/>
    <w:sig w:usb0="E0002AEF" w:usb1="C0007841"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Calibri">
    <w:altName w:val="Helvetica Neue"/>
    <w:panose1 w:val="020F0502020204030204"/>
    <w:charset w:val="86"/>
    <w:family w:val="swiss"/>
    <w:pitch w:val="default"/>
    <w:sig w:usb0="00000000" w:usb1="00000000"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4923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912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500B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026EB">
    <w:pPr>
      <w:pStyle w:val="6"/>
    </w:pPr>
    <w:r>
      <w:pict>
        <v:shape id="PowerPlusWaterMarkObject1405887814" o:spid="_x0000_s2051" o:spt="136" type="#_x0000_t136" style="position:absolute;left:0pt;height:92.45pt;width:493.0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A4C8">
    <w:pPr>
      <w:pStyle w:val="6"/>
    </w:pPr>
    <w:r>
      <w:pict>
        <v:shape id="PowerPlusWaterMarkObject1405887813" o:spid="_x0000_s2050" o:spt="136" type="#_x0000_t136" style="position:absolute;left:0pt;height:92.45pt;width:493.0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245A">
    <w:pPr>
      <w:pStyle w:val="6"/>
    </w:pPr>
    <w:r>
      <w:pict>
        <v:shape id="PowerPlusWaterMarkObject1405887812" o:spid="_x0000_s2049" o:spt="136" type="#_x0000_t136" style="position:absolute;left:0pt;height:92.45pt;width:493.0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D336E4"/>
    <w:multiLevelType w:val="multilevel"/>
    <w:tmpl w:val="34D336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AA271C5"/>
    <w:multiLevelType w:val="multilevel"/>
    <w:tmpl w:val="4AA271C5"/>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hdrShapeDefaults>
    <o:shapelayout v:ext="edit">
      <o:idmap v:ext="edit" data="2"/>
    </o:shapelayout>
  </w:hdrShapeDefault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F9C25"/>
    <w:rsid w:val="00196700"/>
    <w:rsid w:val="00215C82"/>
    <w:rsid w:val="004525FF"/>
    <w:rsid w:val="004867CC"/>
    <w:rsid w:val="0050538C"/>
    <w:rsid w:val="00685A50"/>
    <w:rsid w:val="00793022"/>
    <w:rsid w:val="00893482"/>
    <w:rsid w:val="00C40881"/>
    <w:rsid w:val="00D85C16"/>
    <w:rsid w:val="00D962DD"/>
    <w:rsid w:val="00E95081"/>
    <w:rsid w:val="00E960AE"/>
    <w:rsid w:val="00F5106F"/>
    <w:rsid w:val="2ED81F45"/>
    <w:rsid w:val="57DD73DF"/>
    <w:rsid w:val="67BCACE6"/>
    <w:rsid w:val="79F302CA"/>
    <w:rsid w:val="7EDF9C25"/>
    <w:rsid w:val="BCFB06BA"/>
    <w:rsid w:val="DCF97B10"/>
    <w:rsid w:val="DF75A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jc w:val="both"/>
      <w:outlineLvl w:val="0"/>
    </w:pPr>
    <w:rPr>
      <w:rFonts w:eastAsiaTheme="majorEastAsia" w:cstheme="majorBidi"/>
      <w:b/>
      <w:color w:val="000000" w:themeColor="text1"/>
      <w:szCs w:val="32"/>
      <w14:textFill>
        <w14:solidFill>
          <w14:schemeClr w14:val="tx1"/>
        </w14:solidFill>
      </w14:textFill>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4"/>
    <w:uiPriority w:val="0"/>
    <w:pPr>
      <w:tabs>
        <w:tab w:val="center" w:pos="4513"/>
        <w:tab w:val="right" w:pos="9026"/>
      </w:tabs>
    </w:pPr>
  </w:style>
  <w:style w:type="paragraph" w:styleId="6">
    <w:name w:val="header"/>
    <w:basedOn w:val="1"/>
    <w:link w:val="13"/>
    <w:uiPriority w:val="0"/>
    <w:pPr>
      <w:tabs>
        <w:tab w:val="center" w:pos="4513"/>
        <w:tab w:val="right" w:pos="9026"/>
      </w:tabs>
    </w:pPr>
  </w:style>
  <w:style w:type="character" w:styleId="7">
    <w:name w:val="Hyperlink"/>
    <w:basedOn w:val="3"/>
    <w:uiPriority w:val="0"/>
    <w:rPr>
      <w:color w:val="0563C1" w:themeColor="hyperlink"/>
      <w:u w:val="single"/>
      <w14:textFill>
        <w14:solidFill>
          <w14:schemeClr w14:val="hlink"/>
        </w14:solidFill>
      </w14:textFill>
    </w:rPr>
  </w:style>
  <w:style w:type="paragraph" w:styleId="8">
    <w:name w:val="List Paragraph"/>
    <w:basedOn w:val="1"/>
    <w:qFormat/>
    <w:uiPriority w:val="34"/>
    <w:pPr>
      <w:ind w:left="720"/>
      <w:contextualSpacing/>
    </w:pPr>
  </w:style>
  <w:style w:type="paragraph" w:styleId="9">
    <w:name w:val="No Spacing"/>
    <w:link w:val="11"/>
    <w:qFormat/>
    <w:uiPriority w:val="1"/>
    <w:pPr>
      <w:jc w:val="both"/>
    </w:pPr>
    <w:rPr>
      <w:rFonts w:ascii="Times New Roman" w:hAnsi="Times New Roman" w:eastAsia="Calibri" w:cs="Arial"/>
      <w:sz w:val="24"/>
      <w:szCs w:val="22"/>
      <w:lang w:val="en-GB" w:eastAsia="en-US" w:bidi="ar-SA"/>
    </w:rPr>
  </w:style>
  <w:style w:type="paragraph" w:customStyle="1" w:styleId="10">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11">
    <w:name w:val="No Spacing Char"/>
    <w:link w:val="9"/>
    <w:uiPriority w:val="1"/>
    <w:rPr>
      <w:rFonts w:ascii="Times New Roman" w:hAnsi="Times New Roman" w:eastAsia="Calibri" w:cs="Arial"/>
      <w:sz w:val="24"/>
      <w:szCs w:val="22"/>
      <w:lang w:val="en-GB" w:eastAsia="en-US" w:bidi="ar-SA"/>
    </w:rPr>
  </w:style>
  <w:style w:type="character" w:customStyle="1" w:styleId="12">
    <w:name w:val="Unresolved Mention"/>
    <w:basedOn w:val="3"/>
    <w:semiHidden/>
    <w:unhideWhenUsed/>
    <w:uiPriority w:val="99"/>
    <w:rPr>
      <w:color w:val="605E5C"/>
      <w:shd w:val="clear" w:color="auto" w:fill="E1DFDD"/>
    </w:rPr>
  </w:style>
  <w:style w:type="character" w:customStyle="1" w:styleId="13">
    <w:name w:val="Header Char"/>
    <w:basedOn w:val="3"/>
    <w:link w:val="6"/>
    <w:uiPriority w:val="0"/>
    <w:rPr>
      <w:lang w:val="en-US" w:eastAsia="zh-CN"/>
    </w:rPr>
  </w:style>
  <w:style w:type="character" w:customStyle="1" w:styleId="14">
    <w:name w:val="Footer Char"/>
    <w:basedOn w:val="3"/>
    <w:link w:val="5"/>
    <w:uiPriority w:val="0"/>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10541</Words>
  <Characters>60089</Characters>
  <Lines>500</Lines>
  <Paragraphs>140</Paragraphs>
  <TotalTime>3</TotalTime>
  <ScaleCrop>false</ScaleCrop>
  <LinksUpToDate>false</LinksUpToDate>
  <CharactersWithSpaces>70490</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2026-04-30T09:56:00Z</dcterms:created>
  <dc:creator>Nana Manso Frympon</dc:creator>
  <cp:lastModifiedBy>Nana Manso Frympon</cp:lastModifiedBy>
  <dcterms:modified xsi:type="dcterms:W3CDTF">2026-05-07T11:40:34Z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EFB1F0B9760C35A0327AFC6985FE7C87_43</vt:lpwstr>
  </property>
</Properties>
</file>