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CFDA1" w14:textId="77777777" w:rsidR="00A06DD2" w:rsidRPr="00F71FEA" w:rsidRDefault="006F6FE4" w:rsidP="0055338D">
      <w:pPr>
        <w:spacing w:line="480" w:lineRule="auto"/>
        <w:jc w:val="center"/>
        <w:rPr>
          <w:rFonts w:ascii="Times New Roman" w:eastAsia="Calibri" w:hAnsi="Times New Roman" w:cs="Times New Roman"/>
          <w:b/>
          <w:bCs/>
          <w:color w:val="3333FF"/>
          <w:kern w:val="0"/>
          <w14:ligatures w14:val="none"/>
        </w:rPr>
      </w:pPr>
      <w:bookmarkStart w:id="0" w:name="_Toc225233607"/>
      <w:r w:rsidRPr="00F71FEA">
        <w:rPr>
          <w:rFonts w:ascii="Times New Roman" w:hAnsi="Times New Roman" w:cs="Times New Roman"/>
          <w:b/>
          <w:bCs/>
          <w:color w:val="3333FF"/>
        </w:rPr>
        <w:t>SURFACE WATER CHARACTERISTICS AND TRACE METALS</w:t>
      </w:r>
      <w:r w:rsidRPr="00F71FEA">
        <w:rPr>
          <w:rFonts w:ascii="Times New Roman" w:eastAsia="Calibri" w:hAnsi="Times New Roman" w:cs="Times New Roman"/>
          <w:b/>
          <w:bCs/>
          <w:color w:val="3333FF"/>
          <w:kern w:val="0"/>
          <w14:ligatures w14:val="none"/>
        </w:rPr>
        <w:t xml:space="preserve"> </w:t>
      </w:r>
      <w:r w:rsidR="00755330" w:rsidRPr="00F71FEA">
        <w:rPr>
          <w:rFonts w:ascii="Times New Roman" w:eastAsia="Calibri" w:hAnsi="Times New Roman" w:cs="Times New Roman"/>
          <w:b/>
          <w:bCs/>
          <w:color w:val="3333FF"/>
          <w:kern w:val="0"/>
          <w14:ligatures w14:val="none"/>
        </w:rPr>
        <w:t>CONCENTRATION OF WOJI RIVER, PORT HARCOURT, RIVERS STATE, NIGERIA</w:t>
      </w:r>
    </w:p>
    <w:p w14:paraId="113AC85B" w14:textId="77777777" w:rsidR="003760C4" w:rsidRPr="00F71FEA" w:rsidRDefault="003760C4" w:rsidP="0055338D">
      <w:pPr>
        <w:spacing w:line="360" w:lineRule="auto"/>
        <w:jc w:val="center"/>
        <w:rPr>
          <w:rFonts w:ascii="Times New Roman" w:eastAsia="Calibri" w:hAnsi="Times New Roman" w:cs="Times New Roman"/>
          <w:kern w:val="0"/>
          <w14:ligatures w14:val="none"/>
        </w:rPr>
      </w:pPr>
    </w:p>
    <w:p w14:paraId="17250DBF" w14:textId="77777777" w:rsidR="0055338D" w:rsidRPr="00F71FEA" w:rsidRDefault="00DD2F11" w:rsidP="0055338D">
      <w:pPr>
        <w:spacing w:line="360" w:lineRule="auto"/>
        <w:jc w:val="center"/>
        <w:rPr>
          <w:rFonts w:ascii="Times New Roman" w:eastAsia="Calibri" w:hAnsi="Times New Roman" w:cs="Times New Roman"/>
          <w:b/>
          <w:bCs/>
          <w:sz w:val="22"/>
          <w:szCs w:val="22"/>
          <w14:ligatures w14:val="none"/>
        </w:rPr>
      </w:pPr>
      <w:r w:rsidRPr="00F71FEA">
        <w:rPr>
          <w:rFonts w:ascii="Times New Roman" w:eastAsia="Calibri" w:hAnsi="Times New Roman" w:cs="Times New Roman"/>
          <w:b/>
          <w:bCs/>
          <w:sz w:val="22"/>
          <w:szCs w:val="22"/>
          <w14:ligatures w14:val="none"/>
        </w:rPr>
        <w:t xml:space="preserve"> </w:t>
      </w:r>
    </w:p>
    <w:p w14:paraId="038D2531" w14:textId="77777777" w:rsidR="00401C22" w:rsidRPr="00F71FEA" w:rsidRDefault="00401C22" w:rsidP="00401C22">
      <w:pPr>
        <w:pStyle w:val="NormalWeb"/>
      </w:pPr>
      <w:bookmarkStart w:id="1" w:name="_Toc226959979"/>
      <w:r w:rsidRPr="00F71FEA">
        <w:rPr>
          <w:rStyle w:val="Strong"/>
        </w:rPr>
        <w:t>Abstract</w:t>
      </w:r>
    </w:p>
    <w:p w14:paraId="58D8833E" w14:textId="77777777" w:rsidR="0055338D" w:rsidRPr="00F71FEA" w:rsidRDefault="00401C22" w:rsidP="00E617E5">
      <w:pPr>
        <w:pStyle w:val="NormalWeb"/>
        <w:jc w:val="both"/>
      </w:pPr>
      <w:r w:rsidRPr="00F71FEA">
        <w:t xml:space="preserve">Surface water quality in the </w:t>
      </w:r>
      <w:proofErr w:type="spellStart"/>
      <w:r w:rsidRPr="00F71FEA">
        <w:t>Woji</w:t>
      </w:r>
      <w:proofErr w:type="spellEnd"/>
      <w:r w:rsidRPr="00F71FEA">
        <w:t xml:space="preserve"> River, Port Harcourt, Rivers State, Nigeria, was assessed using selected physicochemical parameters and trace metals. Six surface water samples were collected from different points along the river and analysed using standard laboratory procedures. The measured physicochemical parameters showed spatial variation across the sampling points. The pH ranged from 4.0 to 4.8, indicating acidic conditions. Electrical conductivity ranged from 210.1 to 2817 µS/cm, while salinity varied from 3.5 to 5.1%. Alkalinity ranged from 350 to 403 mg/L, chloride from 385.8 to 458 mg/L, nitrate from 2.5 to 3.5 mg/L, phosphate from 0.7 to 1.5 mg/L, and hardness from 208.6 to 320.3 mg/L. Total organic matter ranged from 18.5 to 26.0%, total organic carbon from 10.7 to 15.0%, nitrogen from 2.1 to 3.2%, and oil and grease from 7.671 to 20.43 mg/L. Trace metal concentrations varied among sampling points, with copper ranging from 0.005 to 0.012 ppm, cadmium from 0.035 to 0.057 ppm, iron from 0.088 to 0.120 ppm, lead from 0.065 to 0.080 ppm, chromium from 0.015 to 0.031 ppm, cobalt from 0.175 to 0.219 ppm, vanadium from 0.081 to 0.112 ppm, potassium from 35.561 to 56.988 ppm, and nickel from 0.010 to 0.100 ppm. The pH, electrical conductivity, chloride, oil and grease, cadmium, lead, cobalt, vanadium, and nickel values were above the WHO regulatory limits in some of the analysed water samples. The findings indicate that </w:t>
      </w:r>
      <w:proofErr w:type="spellStart"/>
      <w:r w:rsidRPr="00F71FEA">
        <w:t>Woji</w:t>
      </w:r>
      <w:proofErr w:type="spellEnd"/>
      <w:r w:rsidRPr="00F71FEA">
        <w:t xml:space="preserve"> River is affected by anthropogenic inputs and requires regular monitoring to support environmental management.</w:t>
      </w:r>
    </w:p>
    <w:p w14:paraId="052FD571" w14:textId="4B378FFA" w:rsidR="00E617E5" w:rsidRPr="00F71FEA" w:rsidRDefault="00E617E5" w:rsidP="00E617E5">
      <w:pPr>
        <w:pStyle w:val="NormalWeb"/>
        <w:jc w:val="both"/>
        <w:rPr>
          <w:color w:val="0000FF"/>
        </w:rPr>
      </w:pPr>
      <w:r w:rsidRPr="00F71FEA">
        <w:rPr>
          <w:color w:val="0000FF"/>
        </w:rPr>
        <w:t xml:space="preserve">Keywords: </w:t>
      </w:r>
      <w:proofErr w:type="spellStart"/>
      <w:r w:rsidR="007660F9" w:rsidRPr="00F71FEA">
        <w:rPr>
          <w:color w:val="0000FF"/>
        </w:rPr>
        <w:t>Woji</w:t>
      </w:r>
      <w:proofErr w:type="spellEnd"/>
      <w:r w:rsidR="007660F9" w:rsidRPr="00F71FEA">
        <w:rPr>
          <w:color w:val="0000FF"/>
        </w:rPr>
        <w:t xml:space="preserve"> River; surface water quality; trace metals; physicochemical parameters; cadmium; lead; oil and grease; Port Harcourt; anthropogenic pollution; Niger Delta; environmental monitoring; WHO/FEPA standards</w:t>
      </w:r>
    </w:p>
    <w:p w14:paraId="171C0374" w14:textId="77777777" w:rsidR="00E617E5" w:rsidRPr="00F71FEA" w:rsidRDefault="00E617E5" w:rsidP="00E617E5">
      <w:pPr>
        <w:pStyle w:val="NormalWeb"/>
        <w:jc w:val="both"/>
        <w:rPr>
          <w:color w:val="0000FF"/>
        </w:rPr>
      </w:pPr>
    </w:p>
    <w:p w14:paraId="28BD43D9" w14:textId="77777777" w:rsidR="00E617E5" w:rsidRPr="00F71FEA" w:rsidRDefault="00E617E5" w:rsidP="00E617E5">
      <w:pPr>
        <w:pStyle w:val="NormalWeb"/>
        <w:jc w:val="both"/>
        <w:rPr>
          <w:color w:val="0000FF"/>
        </w:rPr>
      </w:pPr>
    </w:p>
    <w:p w14:paraId="7FE092FA" w14:textId="77777777" w:rsidR="00E617E5" w:rsidRPr="00F71FEA" w:rsidRDefault="00E617E5" w:rsidP="00E617E5">
      <w:pPr>
        <w:pStyle w:val="NormalWeb"/>
        <w:jc w:val="both"/>
        <w:rPr>
          <w:rFonts w:eastAsia="Calibri"/>
          <w:b/>
          <w:bCs/>
          <w:color w:val="0000FF"/>
          <w:sz w:val="22"/>
          <w:szCs w:val="22"/>
        </w:rPr>
      </w:pPr>
    </w:p>
    <w:p w14:paraId="65737508" w14:textId="77777777" w:rsidR="00E32DFA" w:rsidRPr="00F71FEA" w:rsidRDefault="00E32DFA" w:rsidP="002A4414">
      <w:pPr>
        <w:spacing w:line="360" w:lineRule="auto"/>
        <w:jc w:val="both"/>
        <w:outlineLvl w:val="0"/>
        <w:rPr>
          <w:rFonts w:ascii="Times New Roman" w:eastAsia="Calibri" w:hAnsi="Times New Roman" w:cs="Times New Roman"/>
          <w:b/>
          <w:bCs/>
          <w:kern w:val="0"/>
          <w:sz w:val="22"/>
          <w:szCs w:val="22"/>
          <w14:ligatures w14:val="none"/>
        </w:rPr>
      </w:pPr>
      <w:bookmarkStart w:id="2" w:name="_Toc225233608"/>
      <w:bookmarkStart w:id="3" w:name="_Toc226959980"/>
      <w:bookmarkEnd w:id="0"/>
      <w:bookmarkEnd w:id="1"/>
    </w:p>
    <w:p w14:paraId="195DA99F" w14:textId="77777777" w:rsidR="00E32DFA" w:rsidRPr="00F71FEA" w:rsidRDefault="00E32DFA" w:rsidP="002A4414">
      <w:pPr>
        <w:spacing w:line="360" w:lineRule="auto"/>
        <w:jc w:val="both"/>
        <w:outlineLvl w:val="0"/>
        <w:rPr>
          <w:rFonts w:ascii="Times New Roman" w:eastAsia="Calibri" w:hAnsi="Times New Roman" w:cs="Times New Roman"/>
          <w:b/>
          <w:bCs/>
          <w:kern w:val="0"/>
          <w:sz w:val="22"/>
          <w:szCs w:val="22"/>
          <w14:ligatures w14:val="none"/>
        </w:rPr>
      </w:pPr>
    </w:p>
    <w:p w14:paraId="3940F9F3" w14:textId="77777777" w:rsidR="00E32DFA" w:rsidRPr="00F71FEA" w:rsidRDefault="00E32DFA" w:rsidP="002A4414">
      <w:pPr>
        <w:spacing w:line="360" w:lineRule="auto"/>
        <w:jc w:val="both"/>
        <w:outlineLvl w:val="0"/>
        <w:rPr>
          <w:rFonts w:ascii="Times New Roman" w:eastAsia="Calibri" w:hAnsi="Times New Roman" w:cs="Times New Roman"/>
          <w:b/>
          <w:bCs/>
          <w:kern w:val="0"/>
          <w:sz w:val="22"/>
          <w:szCs w:val="22"/>
          <w14:ligatures w14:val="none"/>
        </w:rPr>
      </w:pPr>
    </w:p>
    <w:p w14:paraId="0CC1BA2B" w14:textId="77777777" w:rsidR="00E32DFA" w:rsidRPr="00F71FEA" w:rsidRDefault="00E32DFA" w:rsidP="002A4414">
      <w:pPr>
        <w:spacing w:line="360" w:lineRule="auto"/>
        <w:jc w:val="both"/>
        <w:outlineLvl w:val="0"/>
        <w:rPr>
          <w:rFonts w:ascii="Times New Roman" w:eastAsia="Calibri" w:hAnsi="Times New Roman" w:cs="Times New Roman"/>
          <w:b/>
          <w:bCs/>
          <w:kern w:val="0"/>
          <w:sz w:val="22"/>
          <w:szCs w:val="22"/>
          <w14:ligatures w14:val="none"/>
        </w:rPr>
      </w:pPr>
    </w:p>
    <w:p w14:paraId="7F0FC3C2" w14:textId="77777777" w:rsidR="00E32DFA" w:rsidRPr="00F71FEA" w:rsidRDefault="00E32DFA" w:rsidP="002A4414">
      <w:pPr>
        <w:spacing w:line="360" w:lineRule="auto"/>
        <w:jc w:val="both"/>
        <w:outlineLvl w:val="0"/>
        <w:rPr>
          <w:rFonts w:ascii="Times New Roman" w:eastAsia="Calibri" w:hAnsi="Times New Roman" w:cs="Times New Roman"/>
          <w:b/>
          <w:bCs/>
          <w:kern w:val="0"/>
          <w:sz w:val="22"/>
          <w:szCs w:val="22"/>
          <w14:ligatures w14:val="none"/>
        </w:rPr>
      </w:pPr>
    </w:p>
    <w:p w14:paraId="1AD5D5E7" w14:textId="77777777" w:rsidR="00E32DFA" w:rsidRPr="00F71FEA" w:rsidRDefault="00E32DFA" w:rsidP="002A4414">
      <w:pPr>
        <w:spacing w:line="360" w:lineRule="auto"/>
        <w:jc w:val="both"/>
        <w:outlineLvl w:val="0"/>
        <w:rPr>
          <w:rFonts w:ascii="Times New Roman" w:eastAsia="Calibri" w:hAnsi="Times New Roman" w:cs="Times New Roman"/>
          <w:b/>
          <w:bCs/>
          <w:kern w:val="0"/>
          <w:sz w:val="22"/>
          <w:szCs w:val="22"/>
          <w14:ligatures w14:val="none"/>
        </w:rPr>
      </w:pPr>
    </w:p>
    <w:p w14:paraId="187BAC1A" w14:textId="77777777" w:rsidR="0055338D" w:rsidRPr="00F71FEA" w:rsidRDefault="0055338D" w:rsidP="00E32DFA">
      <w:pPr>
        <w:pStyle w:val="ListParagraph"/>
        <w:numPr>
          <w:ilvl w:val="0"/>
          <w:numId w:val="8"/>
        </w:numPr>
        <w:spacing w:line="360" w:lineRule="auto"/>
        <w:jc w:val="both"/>
        <w:outlineLvl w:val="0"/>
        <w:rPr>
          <w:rFonts w:ascii="Times New Roman" w:eastAsia="Calibri" w:hAnsi="Times New Roman" w:cs="Times New Roman"/>
          <w:b/>
          <w:bCs/>
          <w:kern w:val="0"/>
          <w:sz w:val="22"/>
          <w:szCs w:val="22"/>
          <w14:ligatures w14:val="none"/>
        </w:rPr>
      </w:pPr>
      <w:r w:rsidRPr="00F71FEA">
        <w:rPr>
          <w:rFonts w:ascii="Times New Roman" w:eastAsia="Calibri" w:hAnsi="Times New Roman" w:cs="Times New Roman"/>
          <w:b/>
          <w:bCs/>
          <w:kern w:val="0"/>
          <w:sz w:val="22"/>
          <w:szCs w:val="22"/>
          <w14:ligatures w14:val="none"/>
        </w:rPr>
        <w:t>INTRODUCTION</w:t>
      </w:r>
      <w:bookmarkEnd w:id="2"/>
      <w:bookmarkEnd w:id="3"/>
    </w:p>
    <w:p w14:paraId="5B86293A" w14:textId="4BD55D8A" w:rsidR="00123D72" w:rsidRPr="00F71FEA" w:rsidRDefault="0055338D" w:rsidP="0055338D">
      <w:pPr>
        <w:spacing w:line="360" w:lineRule="auto"/>
        <w:jc w:val="both"/>
        <w:rPr>
          <w:rFonts w:ascii="Times New Roman" w:eastAsia="Calibri" w:hAnsi="Times New Roman" w:cs="Times New Roman"/>
          <w:color w:val="0000FF"/>
          <w:kern w:val="0"/>
          <w:sz w:val="22"/>
          <w:szCs w:val="22"/>
          <w14:ligatures w14:val="none"/>
        </w:rPr>
      </w:pPr>
      <w:r w:rsidRPr="00F71FEA">
        <w:rPr>
          <w:rFonts w:ascii="Times New Roman" w:hAnsi="Times New Roman"/>
          <w:sz w:val="22"/>
        </w:rPr>
        <w:t xml:space="preserve">Water is one of the essential natural resources. Poor waste management and illegal dumping of municipal and industrial waste into water bodies, alongside other human activities in many developing countries, increase pollutant loads in rivers. These inputs affect physicochemical properties, increase sedimentation and pollutant loads, contribute to species loss within and along urban and peri-urban rivers, and make such waters unsuitable for household and industrial use (Nubi </w:t>
      </w:r>
      <w:r w:rsidRPr="00F71FEA">
        <w:rPr>
          <w:rFonts w:ascii="Times New Roman" w:hAnsi="Times New Roman"/>
          <w:i/>
          <w:sz w:val="22"/>
        </w:rPr>
        <w:t>et al.</w:t>
      </w:r>
      <w:r w:rsidRPr="00F71FEA">
        <w:rPr>
          <w:rFonts w:ascii="Times New Roman" w:hAnsi="Times New Roman"/>
          <w:sz w:val="22"/>
        </w:rPr>
        <w:t xml:space="preserve">, 2024; Ndubuisi </w:t>
      </w:r>
      <w:r w:rsidRPr="00F71FEA">
        <w:rPr>
          <w:rFonts w:ascii="Times New Roman" w:hAnsi="Times New Roman"/>
          <w:i/>
          <w:sz w:val="22"/>
        </w:rPr>
        <w:t>et al.</w:t>
      </w:r>
      <w:r w:rsidRPr="00F71FEA">
        <w:rPr>
          <w:rFonts w:ascii="Times New Roman" w:hAnsi="Times New Roman"/>
          <w:sz w:val="22"/>
        </w:rPr>
        <w:t xml:space="preserve">, 2025). The coastal waters of the Niger Delta have suffered considerable environmental degradation and water pollution owing to human activities, such as oil and gas operations, manufacturing, and municipal waste discharges. </w:t>
      </w:r>
      <w:proofErr w:type="spellStart"/>
      <w:r w:rsidRPr="00F71FEA">
        <w:rPr>
          <w:rFonts w:ascii="Times New Roman" w:hAnsi="Times New Roman"/>
          <w:sz w:val="22"/>
        </w:rPr>
        <w:t>Urbanisation</w:t>
      </w:r>
      <w:proofErr w:type="spellEnd"/>
      <w:r w:rsidRPr="00F71FEA">
        <w:rPr>
          <w:rFonts w:ascii="Times New Roman" w:hAnsi="Times New Roman"/>
          <w:sz w:val="22"/>
        </w:rPr>
        <w:t xml:space="preserve"> and municipal activities have also increased the quantity of wastes, including solid, liquid and gaseous emissions, and heavy metals deposited in the environment, thereby contributing to the contamination of water bodies (</w:t>
      </w:r>
      <w:proofErr w:type="spellStart"/>
      <w:r w:rsidRPr="00F71FEA">
        <w:rPr>
          <w:rFonts w:ascii="Times New Roman" w:hAnsi="Times New Roman"/>
          <w:sz w:val="22"/>
        </w:rPr>
        <w:t>Onojake</w:t>
      </w:r>
      <w:proofErr w:type="spellEnd"/>
      <w:r w:rsidRPr="00F71FEA">
        <w:rPr>
          <w:rFonts w:ascii="Times New Roman" w:hAnsi="Times New Roman"/>
          <w:sz w:val="22"/>
        </w:rPr>
        <w:t xml:space="preserve"> </w:t>
      </w:r>
      <w:r w:rsidRPr="00F71FEA">
        <w:rPr>
          <w:rFonts w:ascii="Times New Roman" w:hAnsi="Times New Roman"/>
          <w:i/>
          <w:sz w:val="22"/>
        </w:rPr>
        <w:t>et al.</w:t>
      </w:r>
      <w:r w:rsidRPr="00F71FEA">
        <w:rPr>
          <w:rFonts w:ascii="Times New Roman" w:hAnsi="Times New Roman"/>
          <w:sz w:val="22"/>
        </w:rPr>
        <w:t>, 201</w:t>
      </w:r>
      <w:r w:rsidR="003E72EA">
        <w:rPr>
          <w:rFonts w:ascii="Times New Roman" w:hAnsi="Times New Roman"/>
          <w:sz w:val="22"/>
        </w:rPr>
        <w:t>7</w:t>
      </w:r>
      <w:r w:rsidRPr="00F71FEA">
        <w:rPr>
          <w:rFonts w:ascii="Times New Roman" w:hAnsi="Times New Roman"/>
          <w:sz w:val="22"/>
        </w:rPr>
        <w:t>).</w:t>
      </w:r>
    </w:p>
    <w:p w14:paraId="44E8705C" w14:textId="77777777" w:rsidR="00A01686" w:rsidRPr="00F71FEA" w:rsidRDefault="00000000">
      <w:pPr>
        <w:jc w:val="both"/>
      </w:pPr>
      <w:r w:rsidRPr="00F71FEA">
        <w:rPr>
          <w:b/>
        </w:rPr>
        <w:t xml:space="preserve">Recent assessments of Nigerian surface-water systems have similarly reported spatial differences in physicochemical parameters and heavy-metal concentrations under anthropogenic influence, supporting the need for routine monitoring of impacted rivers and creeks (Okeh et al., 2026; </w:t>
      </w:r>
      <w:proofErr w:type="spellStart"/>
      <w:r w:rsidRPr="00F71FEA">
        <w:rPr>
          <w:b/>
        </w:rPr>
        <w:t>Jolaosho</w:t>
      </w:r>
      <w:proofErr w:type="spellEnd"/>
      <w:r w:rsidRPr="00F71FEA">
        <w:rPr>
          <w:b/>
        </w:rPr>
        <w:t xml:space="preserve"> et al., 2025).</w:t>
      </w:r>
    </w:p>
    <w:p w14:paraId="242B4E8B" w14:textId="4005F06B" w:rsidR="0055338D" w:rsidRPr="00F71FEA" w:rsidRDefault="002F7707"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color w:val="0000FF"/>
          <w:sz w:val="22"/>
        </w:rPr>
        <w:t xml:space="preserve">Natural water is important for agriculture, industry, households, transportation, and aquatic species. Water supports socio-economic development through its roles in sustainable development processes, climate stability, living environments, livelihoods, farming, moisture balance, and urban climate budgets (Uwa-Samuel, 2024). Natural water composition varies depending on geology and climate; however, population growth, rapid </w:t>
      </w:r>
      <w:proofErr w:type="spellStart"/>
      <w:r w:rsidRPr="00F71FEA">
        <w:rPr>
          <w:rFonts w:ascii="Times New Roman" w:hAnsi="Times New Roman"/>
          <w:color w:val="0000FF"/>
          <w:sz w:val="22"/>
        </w:rPr>
        <w:t>industrialisation</w:t>
      </w:r>
      <w:proofErr w:type="spellEnd"/>
      <w:r w:rsidRPr="00F71FEA">
        <w:rPr>
          <w:rFonts w:ascii="Times New Roman" w:hAnsi="Times New Roman"/>
          <w:color w:val="0000FF"/>
          <w:sz w:val="22"/>
        </w:rPr>
        <w:t>, and increased waste generation are contributing to the global deterioration of water quality (</w:t>
      </w:r>
      <w:proofErr w:type="spellStart"/>
      <w:r w:rsidRPr="00F71FEA">
        <w:rPr>
          <w:rFonts w:ascii="Times New Roman" w:hAnsi="Times New Roman"/>
          <w:color w:val="0000FF"/>
          <w:sz w:val="22"/>
        </w:rPr>
        <w:t>Chashoo</w:t>
      </w:r>
      <w:proofErr w:type="spellEnd"/>
      <w:r w:rsidRPr="00F71FEA">
        <w:rPr>
          <w:rFonts w:ascii="Times New Roman" w:hAnsi="Times New Roman"/>
          <w:color w:val="0000FF"/>
          <w:sz w:val="22"/>
        </w:rPr>
        <w:t xml:space="preserve"> </w:t>
      </w:r>
      <w:r w:rsidRPr="00F71FEA">
        <w:rPr>
          <w:rFonts w:ascii="Times New Roman" w:hAnsi="Times New Roman"/>
          <w:i/>
          <w:color w:val="0000FF"/>
          <w:sz w:val="22"/>
        </w:rPr>
        <w:t>et al.</w:t>
      </w:r>
      <w:r w:rsidRPr="00F71FEA">
        <w:rPr>
          <w:rFonts w:ascii="Times New Roman" w:hAnsi="Times New Roman"/>
          <w:color w:val="0000FF"/>
          <w:sz w:val="22"/>
        </w:rPr>
        <w:t xml:space="preserve">, 2024). Rivers transport pollutants and therefore reflect the condition of their watershed environments (Singh </w:t>
      </w:r>
      <w:r w:rsidRPr="00F71FEA">
        <w:rPr>
          <w:rFonts w:ascii="Times New Roman" w:hAnsi="Times New Roman"/>
          <w:i/>
          <w:color w:val="0000FF"/>
          <w:sz w:val="22"/>
        </w:rPr>
        <w:t>et al.</w:t>
      </w:r>
      <w:r w:rsidRPr="00F71FEA">
        <w:rPr>
          <w:rFonts w:ascii="Times New Roman" w:hAnsi="Times New Roman"/>
          <w:color w:val="0000FF"/>
          <w:sz w:val="22"/>
        </w:rPr>
        <w:t xml:space="preserve">, 2024). Owing to high population density, inadequate waste disposal, and less regulated industrial activities, waters in developing countries are often significantly polluted and may become unsuitable for consumption (Nubi </w:t>
      </w:r>
      <w:r w:rsidRPr="00F71FEA">
        <w:rPr>
          <w:rFonts w:ascii="Times New Roman" w:hAnsi="Times New Roman"/>
          <w:i/>
          <w:color w:val="0000FF"/>
          <w:sz w:val="22"/>
        </w:rPr>
        <w:t>et al.</w:t>
      </w:r>
      <w:r w:rsidRPr="00F71FEA">
        <w:rPr>
          <w:rFonts w:ascii="Times New Roman" w:hAnsi="Times New Roman"/>
          <w:color w:val="0000FF"/>
          <w:sz w:val="22"/>
        </w:rPr>
        <w:t xml:space="preserve">, 2024; Ndubuisi </w:t>
      </w:r>
      <w:r w:rsidRPr="00F71FEA">
        <w:rPr>
          <w:rFonts w:ascii="Times New Roman" w:hAnsi="Times New Roman"/>
          <w:i/>
          <w:color w:val="0000FF"/>
          <w:sz w:val="22"/>
        </w:rPr>
        <w:t>et al.</w:t>
      </w:r>
      <w:r w:rsidRPr="00F71FEA">
        <w:rPr>
          <w:rFonts w:ascii="Times New Roman" w:hAnsi="Times New Roman"/>
          <w:color w:val="0000FF"/>
          <w:sz w:val="22"/>
        </w:rPr>
        <w:t xml:space="preserve">, 2025). Some pollutants originate from point sources, such as industrial effluents, whereas others are derived from non-point sources, such as agronomic wastes (Hou </w:t>
      </w:r>
      <w:r w:rsidRPr="00F71FEA">
        <w:rPr>
          <w:rFonts w:ascii="Times New Roman" w:hAnsi="Times New Roman"/>
          <w:i/>
          <w:color w:val="0000FF"/>
          <w:sz w:val="22"/>
        </w:rPr>
        <w:t>et al.</w:t>
      </w:r>
      <w:r w:rsidRPr="00F71FEA">
        <w:rPr>
          <w:rFonts w:ascii="Times New Roman" w:hAnsi="Times New Roman"/>
          <w:color w:val="0000FF"/>
          <w:sz w:val="22"/>
        </w:rPr>
        <w:t xml:space="preserve">, 2022; </w:t>
      </w:r>
      <w:proofErr w:type="spellStart"/>
      <w:r w:rsidR="003E72EA" w:rsidRPr="003E72EA">
        <w:rPr>
          <w:rFonts w:ascii="Times New Roman" w:hAnsi="Times New Roman"/>
          <w:color w:val="0000FF"/>
          <w:sz w:val="22"/>
        </w:rPr>
        <w:t>Ojekunle</w:t>
      </w:r>
      <w:proofErr w:type="spellEnd"/>
      <w:r w:rsidRPr="00F71FEA">
        <w:rPr>
          <w:rFonts w:ascii="Times New Roman" w:hAnsi="Times New Roman"/>
          <w:color w:val="0000FF"/>
          <w:sz w:val="22"/>
        </w:rPr>
        <w:t xml:space="preserve"> </w:t>
      </w:r>
      <w:r w:rsidRPr="00F71FEA">
        <w:rPr>
          <w:rFonts w:ascii="Times New Roman" w:hAnsi="Times New Roman"/>
          <w:i/>
          <w:color w:val="0000FF"/>
          <w:sz w:val="22"/>
        </w:rPr>
        <w:t>et al.</w:t>
      </w:r>
      <w:r w:rsidRPr="00F71FEA">
        <w:rPr>
          <w:rFonts w:ascii="Times New Roman" w:hAnsi="Times New Roman"/>
          <w:color w:val="0000FF"/>
          <w:sz w:val="22"/>
        </w:rPr>
        <w:t>, 202</w:t>
      </w:r>
      <w:r w:rsidR="003E72EA">
        <w:rPr>
          <w:rFonts w:ascii="Times New Roman" w:hAnsi="Times New Roman"/>
          <w:color w:val="0000FF"/>
          <w:sz w:val="22"/>
        </w:rPr>
        <w:t>3</w:t>
      </w:r>
      <w:r w:rsidRPr="00F71FEA">
        <w:rPr>
          <w:rFonts w:ascii="Times New Roman" w:hAnsi="Times New Roman"/>
          <w:color w:val="0000FF"/>
          <w:sz w:val="22"/>
        </w:rPr>
        <w:t>). Lead and cadmium are among the important toxic heavy-metal pollutants in water bodies.</w:t>
      </w:r>
    </w:p>
    <w:p w14:paraId="2C70EB29" w14:textId="7A59C1E1"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sz w:val="22"/>
        </w:rPr>
        <w:t>The Niger Delta is the industrial heartland of Nigeria and suffers significant environmental pollution as a result of the rapid development of oil exploration and refining industries, as well as numerous other activities, such as manufacturing and slaughterhouse operations. The expansion of these sectors, together with urban waste, has resulted in increased pollutant loads in the aquatic environment around Port Harcourt and surrounding areas (</w:t>
      </w:r>
      <w:r w:rsidR="003E72EA" w:rsidRPr="003E72EA">
        <w:rPr>
          <w:rFonts w:ascii="Times New Roman" w:hAnsi="Times New Roman"/>
          <w:sz w:val="22"/>
        </w:rPr>
        <w:t>Ibanga</w:t>
      </w:r>
      <w:r w:rsidRPr="00F71FEA">
        <w:rPr>
          <w:rFonts w:ascii="Times New Roman" w:hAnsi="Times New Roman"/>
          <w:sz w:val="22"/>
        </w:rPr>
        <w:t xml:space="preserve"> </w:t>
      </w:r>
      <w:r w:rsidRPr="00F71FEA">
        <w:rPr>
          <w:rFonts w:ascii="Times New Roman" w:hAnsi="Times New Roman"/>
          <w:i/>
          <w:sz w:val="22"/>
        </w:rPr>
        <w:t>et al.</w:t>
      </w:r>
      <w:r w:rsidRPr="00F71FEA">
        <w:rPr>
          <w:rFonts w:ascii="Times New Roman" w:hAnsi="Times New Roman"/>
          <w:sz w:val="22"/>
        </w:rPr>
        <w:t xml:space="preserve">, 2019; </w:t>
      </w:r>
      <w:proofErr w:type="spellStart"/>
      <w:r w:rsidRPr="00F71FEA">
        <w:rPr>
          <w:rFonts w:ascii="Times New Roman" w:hAnsi="Times New Roman"/>
          <w:sz w:val="22"/>
        </w:rPr>
        <w:t>Onyena</w:t>
      </w:r>
      <w:proofErr w:type="spellEnd"/>
      <w:r w:rsidRPr="00F71FEA">
        <w:rPr>
          <w:rFonts w:ascii="Times New Roman" w:hAnsi="Times New Roman"/>
          <w:sz w:val="22"/>
        </w:rPr>
        <w:t xml:space="preserve"> </w:t>
      </w:r>
      <w:r w:rsidRPr="00F71FEA">
        <w:rPr>
          <w:rFonts w:ascii="Times New Roman" w:hAnsi="Times New Roman"/>
          <w:i/>
          <w:sz w:val="22"/>
        </w:rPr>
        <w:t>et al.</w:t>
      </w:r>
      <w:r w:rsidRPr="00F71FEA">
        <w:rPr>
          <w:rFonts w:ascii="Times New Roman" w:hAnsi="Times New Roman"/>
          <w:sz w:val="22"/>
        </w:rPr>
        <w:t xml:space="preserve">, 2024). Substantial quantities of waste oil and untreated industrial and domestic effluents, including heavy metals, are discharged into nearby rivers and </w:t>
      </w:r>
      <w:r w:rsidRPr="00F71FEA">
        <w:rPr>
          <w:rFonts w:ascii="Times New Roman" w:hAnsi="Times New Roman"/>
          <w:sz w:val="22"/>
        </w:rPr>
        <w:lastRenderedPageBreak/>
        <w:t xml:space="preserve">creeks (Ola </w:t>
      </w:r>
      <w:r w:rsidRPr="00F71FEA">
        <w:rPr>
          <w:rFonts w:ascii="Times New Roman" w:hAnsi="Times New Roman"/>
          <w:i/>
          <w:sz w:val="22"/>
        </w:rPr>
        <w:t>et al.</w:t>
      </w:r>
      <w:r w:rsidRPr="00F71FEA">
        <w:rPr>
          <w:rFonts w:ascii="Times New Roman" w:hAnsi="Times New Roman"/>
          <w:sz w:val="22"/>
        </w:rPr>
        <w:t xml:space="preserve">, 2024; Felagha </w:t>
      </w:r>
      <w:r w:rsidRPr="00F71FEA">
        <w:rPr>
          <w:rFonts w:ascii="Times New Roman" w:hAnsi="Times New Roman"/>
          <w:i/>
          <w:sz w:val="22"/>
        </w:rPr>
        <w:t>et al.</w:t>
      </w:r>
      <w:r w:rsidRPr="00F71FEA">
        <w:rPr>
          <w:rFonts w:ascii="Times New Roman" w:hAnsi="Times New Roman"/>
          <w:sz w:val="22"/>
        </w:rPr>
        <w:t>, 2025). Such pollutants reduce water quality and facilitate the bioaccumulation of toxins in aquatic organisms, leading to a range of ecotoxicological effects and human health implications. Heavy metals, in particular, are known for their non-biodegradable nature and tendency to transfer through food chains, thereby causing long-term effects (</w:t>
      </w:r>
      <w:proofErr w:type="spellStart"/>
      <w:r w:rsidRPr="00F71FEA">
        <w:rPr>
          <w:rFonts w:ascii="Times New Roman" w:hAnsi="Times New Roman"/>
          <w:sz w:val="22"/>
        </w:rPr>
        <w:t>Oseji</w:t>
      </w:r>
      <w:proofErr w:type="spellEnd"/>
      <w:r w:rsidRPr="00F71FEA">
        <w:rPr>
          <w:rFonts w:ascii="Times New Roman" w:hAnsi="Times New Roman"/>
          <w:sz w:val="22"/>
        </w:rPr>
        <w:t xml:space="preserve"> </w:t>
      </w:r>
      <w:r w:rsidRPr="00F71FEA">
        <w:rPr>
          <w:rFonts w:ascii="Times New Roman" w:hAnsi="Times New Roman"/>
          <w:i/>
          <w:sz w:val="22"/>
        </w:rPr>
        <w:t>et al.</w:t>
      </w:r>
      <w:r w:rsidRPr="00F71FEA">
        <w:rPr>
          <w:rFonts w:ascii="Times New Roman" w:hAnsi="Times New Roman"/>
          <w:sz w:val="22"/>
        </w:rPr>
        <w:t>, 2024).</w:t>
      </w:r>
    </w:p>
    <w:p w14:paraId="02FA545F" w14:textId="77777777" w:rsidR="00A01686" w:rsidRPr="00F71FEA" w:rsidRDefault="00000000">
      <w:pPr>
        <w:jc w:val="both"/>
      </w:pPr>
      <w:r w:rsidRPr="00F71FEA">
        <w:rPr>
          <w:b/>
        </w:rPr>
        <w:t xml:space="preserve">A recent assessment of South-Eastern Nigerian aquatic ecosystems also identified oil exploration, </w:t>
      </w:r>
      <w:proofErr w:type="spellStart"/>
      <w:r w:rsidRPr="00F71FEA">
        <w:rPr>
          <w:b/>
        </w:rPr>
        <w:t>urbanisation</w:t>
      </w:r>
      <w:proofErr w:type="spellEnd"/>
      <w:r w:rsidRPr="00F71FEA">
        <w:rPr>
          <w:b/>
        </w:rPr>
        <w:t xml:space="preserve">, and untreated effluent inputs as relevant pressures on water quality and ecological integrity (Christopher </w:t>
      </w:r>
      <w:r w:rsidRPr="00F71FEA">
        <w:rPr>
          <w:b/>
          <w:i/>
        </w:rPr>
        <w:t>et al.</w:t>
      </w:r>
      <w:r w:rsidRPr="00F71FEA">
        <w:rPr>
          <w:b/>
        </w:rPr>
        <w:t>, 2025).</w:t>
      </w:r>
    </w:p>
    <w:p w14:paraId="58837722" w14:textId="77777777" w:rsidR="00A01686" w:rsidRPr="00F71FEA" w:rsidRDefault="00000000">
      <w:pPr>
        <w:jc w:val="both"/>
      </w:pPr>
      <w:r w:rsidRPr="00F71FEA">
        <w:rPr>
          <w:b/>
        </w:rPr>
        <w:t>Comparable river studies have also shown that evaluating metals in both water and associated sediments can improve interpretation of contamination patterns in river systems (</w:t>
      </w:r>
      <w:proofErr w:type="spellStart"/>
      <w:r w:rsidRPr="00F71FEA">
        <w:rPr>
          <w:b/>
        </w:rPr>
        <w:t>Vunain</w:t>
      </w:r>
      <w:proofErr w:type="spellEnd"/>
      <w:r w:rsidRPr="00F71FEA">
        <w:rPr>
          <w:b/>
        </w:rPr>
        <w:t xml:space="preserve"> et al., 2024).</w:t>
      </w:r>
    </w:p>
    <w:p w14:paraId="467E3D27" w14:textId="77777777" w:rsidR="002A4414" w:rsidRPr="00F71FEA" w:rsidRDefault="0055338D" w:rsidP="00467017">
      <w:pPr>
        <w:spacing w:line="360" w:lineRule="auto"/>
        <w:jc w:val="both"/>
        <w:rPr>
          <w:rFonts w:ascii="Times New Roman" w:eastAsia="Calibri" w:hAnsi="Times New Roman" w:cs="Times New Roman"/>
          <w:kern w:val="0"/>
          <w:sz w:val="22"/>
          <w:szCs w:val="22"/>
          <w14:ligatures w14:val="none"/>
        </w:rPr>
      </w:pPr>
      <w:proofErr w:type="spellStart"/>
      <w:r w:rsidRPr="00F71FEA">
        <w:rPr>
          <w:rFonts w:ascii="Times New Roman" w:hAnsi="Times New Roman"/>
          <w:sz w:val="22"/>
        </w:rPr>
        <w:t>Woji</w:t>
      </w:r>
      <w:proofErr w:type="spellEnd"/>
      <w:r w:rsidRPr="00F71FEA">
        <w:rPr>
          <w:rFonts w:ascii="Times New Roman" w:hAnsi="Times New Roman"/>
          <w:sz w:val="22"/>
        </w:rPr>
        <w:t xml:space="preserve"> River serves as a major receiving body for urban and industrial waste. The creek passes through industrial areas of Port Harcourt and receives pollution from domestic sewage, slaughterhouse waste, industrial effluents, and oil contamination, affecting both water and sediment quality (</w:t>
      </w:r>
      <w:proofErr w:type="spellStart"/>
      <w:r w:rsidRPr="00F71FEA">
        <w:rPr>
          <w:rFonts w:ascii="Times New Roman" w:hAnsi="Times New Roman"/>
          <w:sz w:val="22"/>
        </w:rPr>
        <w:t>Iyama</w:t>
      </w:r>
      <w:proofErr w:type="spellEnd"/>
      <w:r w:rsidRPr="00F71FEA">
        <w:rPr>
          <w:rFonts w:ascii="Times New Roman" w:hAnsi="Times New Roman"/>
          <w:sz w:val="22"/>
        </w:rPr>
        <w:t>, 2020). As a result, heavy metals, including lead, cadmium, copper, iron, and chromium, may pose ecological risks.</w:t>
      </w:r>
    </w:p>
    <w:p w14:paraId="73FCDDED" w14:textId="77777777" w:rsidR="00A01686" w:rsidRPr="00F71FEA" w:rsidRDefault="00000000">
      <w:pPr>
        <w:jc w:val="both"/>
      </w:pPr>
      <w:r w:rsidRPr="00F71FEA">
        <w:rPr>
          <w:b/>
        </w:rPr>
        <w:t xml:space="preserve">However, site-specific information on the physicochemical characteristics and trace-metal profile of </w:t>
      </w:r>
      <w:proofErr w:type="spellStart"/>
      <w:r w:rsidRPr="00F71FEA">
        <w:rPr>
          <w:b/>
        </w:rPr>
        <w:t>Woji</w:t>
      </w:r>
      <w:proofErr w:type="spellEnd"/>
      <w:r w:rsidRPr="00F71FEA">
        <w:rPr>
          <w:b/>
        </w:rPr>
        <w:t xml:space="preserve"> River remains necessary to clarify the current pollution status at the selected sampling points and to support local environmental monitoring.</w:t>
      </w:r>
    </w:p>
    <w:p w14:paraId="46DAC85B" w14:textId="77777777" w:rsidR="00A01686" w:rsidRPr="00F71FEA" w:rsidRDefault="00000000">
      <w:pPr>
        <w:jc w:val="both"/>
      </w:pPr>
      <w:r w:rsidRPr="00F71FEA">
        <w:t xml:space="preserve">Therefore, this study aimed to investigate the pollution status of surface water in </w:t>
      </w:r>
      <w:proofErr w:type="spellStart"/>
      <w:r w:rsidRPr="00F71FEA">
        <w:t>Woji</w:t>
      </w:r>
      <w:proofErr w:type="spellEnd"/>
      <w:r w:rsidRPr="00F71FEA">
        <w:t xml:space="preserve"> River, Port Harcourt.</w:t>
      </w:r>
    </w:p>
    <w:p w14:paraId="52451D41" w14:textId="77777777" w:rsidR="0055338D" w:rsidRPr="00F71FEA" w:rsidRDefault="00527D80" w:rsidP="0055338D">
      <w:pPr>
        <w:spacing w:line="360" w:lineRule="auto"/>
        <w:outlineLvl w:val="0"/>
        <w:rPr>
          <w:rFonts w:ascii="Times New Roman" w:eastAsia="Calibri" w:hAnsi="Times New Roman" w:cs="Times New Roman"/>
          <w:b/>
          <w:bCs/>
          <w:kern w:val="0"/>
          <w:sz w:val="22"/>
          <w:szCs w:val="22"/>
          <w:lang w:val="en-GB"/>
          <w14:ligatures w14:val="none"/>
        </w:rPr>
      </w:pPr>
      <w:r w:rsidRPr="00F71FEA">
        <w:rPr>
          <w:rFonts w:ascii="Times New Roman" w:eastAsia="Calibri" w:hAnsi="Times New Roman" w:cs="Times New Roman"/>
          <w:b/>
          <w:bCs/>
          <w:kern w:val="0"/>
          <w:sz w:val="22"/>
          <w:szCs w:val="22"/>
          <w14:ligatures w14:val="none"/>
        </w:rPr>
        <w:t xml:space="preserve">2. </w:t>
      </w:r>
      <w:r w:rsidR="006A6955" w:rsidRPr="00F71FEA">
        <w:rPr>
          <w:rFonts w:ascii="Times New Roman" w:eastAsia="Calibri" w:hAnsi="Times New Roman" w:cs="Times New Roman"/>
          <w:b/>
          <w:bCs/>
          <w:kern w:val="0"/>
          <w:sz w:val="22"/>
          <w:szCs w:val="22"/>
          <w14:ligatures w14:val="none"/>
        </w:rPr>
        <w:t xml:space="preserve"> </w:t>
      </w:r>
      <w:r w:rsidR="0055338D" w:rsidRPr="00F71FEA">
        <w:rPr>
          <w:rFonts w:ascii="Times New Roman" w:eastAsia="Calibri" w:hAnsi="Times New Roman" w:cs="Times New Roman"/>
          <w:b/>
          <w:bCs/>
          <w:kern w:val="0"/>
          <w:sz w:val="22"/>
          <w:szCs w:val="22"/>
          <w14:ligatures w14:val="none"/>
        </w:rPr>
        <w:t>MATERIALS AND METHODS</w:t>
      </w:r>
    </w:p>
    <w:p w14:paraId="40802A6B" w14:textId="77777777" w:rsidR="0055338D" w:rsidRPr="00F71FEA" w:rsidRDefault="00527D80" w:rsidP="0055338D">
      <w:pPr>
        <w:spacing w:line="360" w:lineRule="auto"/>
        <w:jc w:val="both"/>
        <w:outlineLvl w:val="0"/>
        <w:rPr>
          <w:rFonts w:ascii="Times New Roman" w:eastAsia="Calibri" w:hAnsi="Times New Roman" w:cs="Times New Roman"/>
          <w:b/>
          <w:bCs/>
          <w:kern w:val="0"/>
          <w:sz w:val="22"/>
          <w:szCs w:val="22"/>
          <w14:ligatures w14:val="none"/>
        </w:rPr>
      </w:pPr>
      <w:bookmarkStart w:id="4" w:name="_Toc225233634"/>
      <w:bookmarkStart w:id="5" w:name="_Toc226960022"/>
      <w:r w:rsidRPr="00F71FEA">
        <w:rPr>
          <w:rFonts w:ascii="Times New Roman" w:eastAsia="Calibri" w:hAnsi="Times New Roman" w:cs="Times New Roman"/>
          <w:b/>
          <w:bCs/>
          <w:color w:val="0033CC"/>
          <w:kern w:val="0"/>
          <w:sz w:val="22"/>
          <w:szCs w:val="22"/>
          <w14:ligatures w14:val="none"/>
        </w:rPr>
        <w:t>2</w:t>
      </w:r>
      <w:r w:rsidR="0055338D" w:rsidRPr="00F71FEA">
        <w:rPr>
          <w:rFonts w:ascii="Times New Roman" w:eastAsia="Calibri" w:hAnsi="Times New Roman" w:cs="Times New Roman"/>
          <w:b/>
          <w:bCs/>
          <w:color w:val="0033CC"/>
          <w:kern w:val="0"/>
          <w:sz w:val="22"/>
          <w:szCs w:val="22"/>
          <w14:ligatures w14:val="none"/>
        </w:rPr>
        <w:t xml:space="preserve">.1 </w:t>
      </w:r>
      <w:r w:rsidR="0055338D" w:rsidRPr="00F71FEA">
        <w:rPr>
          <w:rFonts w:ascii="Times New Roman" w:eastAsia="Calibri" w:hAnsi="Times New Roman" w:cs="Times New Roman"/>
          <w:b/>
          <w:bCs/>
          <w:color w:val="0000FF"/>
          <w:kern w:val="0"/>
          <w:sz w:val="22"/>
          <w:szCs w:val="22"/>
          <w14:ligatures w14:val="none"/>
        </w:rPr>
        <w:t xml:space="preserve">Study </w:t>
      </w:r>
      <w:bookmarkEnd w:id="4"/>
      <w:bookmarkEnd w:id="5"/>
      <w:r w:rsidR="006A3D34" w:rsidRPr="00F71FEA">
        <w:rPr>
          <w:rFonts w:ascii="Times New Roman" w:eastAsia="Calibri" w:hAnsi="Times New Roman" w:cs="Times New Roman"/>
          <w:b/>
          <w:bCs/>
          <w:color w:val="0000FF"/>
          <w:kern w:val="0"/>
          <w:sz w:val="22"/>
          <w:szCs w:val="22"/>
          <w14:ligatures w14:val="none"/>
        </w:rPr>
        <w:t>area</w:t>
      </w:r>
      <w:r w:rsidRPr="00F71FEA">
        <w:rPr>
          <w:rFonts w:ascii="Times New Roman" w:eastAsia="Calibri" w:hAnsi="Times New Roman" w:cs="Times New Roman"/>
          <w:b/>
          <w:bCs/>
          <w:kern w:val="0"/>
          <w:sz w:val="22"/>
          <w:szCs w:val="22"/>
          <w14:ligatures w14:val="none"/>
        </w:rPr>
        <w:t>, Sample Collection</w:t>
      </w:r>
      <w:r w:rsidR="002A4414" w:rsidRPr="00F71FEA">
        <w:rPr>
          <w:rFonts w:ascii="Times New Roman" w:eastAsia="Calibri" w:hAnsi="Times New Roman" w:cs="Times New Roman"/>
          <w:b/>
          <w:bCs/>
          <w:kern w:val="0"/>
          <w:sz w:val="22"/>
          <w:szCs w:val="22"/>
          <w14:ligatures w14:val="none"/>
        </w:rPr>
        <w:t xml:space="preserve"> and Analysis</w:t>
      </w:r>
    </w:p>
    <w:p w14:paraId="0FE8229E"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color w:val="0000FF"/>
          <w:sz w:val="22"/>
        </w:rPr>
        <w:t xml:space="preserve">The study area was the </w:t>
      </w:r>
      <w:proofErr w:type="spellStart"/>
      <w:r w:rsidRPr="00F71FEA">
        <w:rPr>
          <w:rFonts w:ascii="Times New Roman" w:hAnsi="Times New Roman"/>
          <w:color w:val="0000FF"/>
          <w:sz w:val="22"/>
        </w:rPr>
        <w:t>Woji</w:t>
      </w:r>
      <w:proofErr w:type="spellEnd"/>
      <w:r w:rsidRPr="00F71FEA">
        <w:rPr>
          <w:rFonts w:ascii="Times New Roman" w:hAnsi="Times New Roman"/>
          <w:color w:val="0000FF"/>
          <w:sz w:val="22"/>
        </w:rPr>
        <w:t xml:space="preserve"> River in Port Harcourt, Rivers State, Nigeria. Sampling was conducted on 17 December 2025 during the dry season. This river is a tidal freshwater system that flows through heavily populated and industrial areas before joining the larger Bonny River system. </w:t>
      </w:r>
      <w:proofErr w:type="spellStart"/>
      <w:r w:rsidRPr="00F71FEA">
        <w:rPr>
          <w:rFonts w:ascii="Times New Roman" w:hAnsi="Times New Roman"/>
          <w:color w:val="0000FF"/>
          <w:sz w:val="22"/>
        </w:rPr>
        <w:t>Woji</w:t>
      </w:r>
      <w:proofErr w:type="spellEnd"/>
      <w:r w:rsidRPr="00F71FEA">
        <w:rPr>
          <w:rFonts w:ascii="Times New Roman" w:hAnsi="Times New Roman"/>
          <w:color w:val="0000FF"/>
          <w:sz w:val="22"/>
        </w:rPr>
        <w:t xml:space="preserve"> River is located roughly between latitudes 4°48′N and 4°52′N and longitudes 7°00′E and 7°05′E. It is influenced by the humid tropical climate typical of the Niger Delta region. The area experiences high rainfall, averaging between 2,000 and 2,500 mm each year. There is a long wet season from March to November and a short dry season from December to February. Average annual temperatures range from 26°C to 32°C, and relative humidity often exceeds 80%. These climatic conditions promote heavy surface runoff, which carries contaminants from surrounding areas into the river.</w:t>
      </w:r>
    </w:p>
    <w:p w14:paraId="5784AF69"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sz w:val="22"/>
        </w:rPr>
        <w:t xml:space="preserve">A total of six (6) samples were collected from the </w:t>
      </w:r>
      <w:proofErr w:type="spellStart"/>
      <w:r w:rsidRPr="00F71FEA">
        <w:rPr>
          <w:rFonts w:ascii="Times New Roman" w:hAnsi="Times New Roman"/>
          <w:sz w:val="22"/>
        </w:rPr>
        <w:t>Woji</w:t>
      </w:r>
      <w:proofErr w:type="spellEnd"/>
      <w:r w:rsidRPr="00F71FEA">
        <w:rPr>
          <w:rFonts w:ascii="Times New Roman" w:hAnsi="Times New Roman"/>
          <w:sz w:val="22"/>
        </w:rPr>
        <w:t xml:space="preserve"> River. Surface water samples were collected at a depth of 0-100 cm using pre-cleaned polyethylene bottles (Figure 1). All samples were labelled with </w:t>
      </w:r>
      <w:r w:rsidRPr="00F71FEA">
        <w:rPr>
          <w:rFonts w:ascii="Times New Roman" w:hAnsi="Times New Roman"/>
          <w:sz w:val="22"/>
        </w:rPr>
        <w:lastRenderedPageBreak/>
        <w:t>sampling codes (S1, S2, S3, S4, S5, and S6), location, date, and time of collection. They were then transported to the laboratory and stored under appropriate conditions before analysis.</w:t>
      </w:r>
    </w:p>
    <w:p w14:paraId="184A28D6" w14:textId="77777777" w:rsidR="00D168C4" w:rsidRPr="00F71FEA" w:rsidRDefault="00D168C4" w:rsidP="0055338D">
      <w:pPr>
        <w:spacing w:line="360" w:lineRule="auto"/>
        <w:jc w:val="both"/>
        <w:rPr>
          <w:rFonts w:ascii="Times New Roman" w:eastAsia="Calibri" w:hAnsi="Times New Roman" w:cs="Times New Roman"/>
          <w:kern w:val="0"/>
          <w:sz w:val="22"/>
          <w:szCs w:val="22"/>
          <w14:ligatures w14:val="none"/>
        </w:rPr>
      </w:pPr>
    </w:p>
    <w:p w14:paraId="700D5D7A" w14:textId="77777777" w:rsidR="00E32DFA" w:rsidRPr="00F71FEA" w:rsidRDefault="0055338D" w:rsidP="00E32DFA">
      <w:r w:rsidRPr="00F71FEA">
        <w:rPr>
          <w:rFonts w:ascii="Times New Roman" w:eastAsia="Calibri" w:hAnsi="Times New Roman" w:cs="Times New Roman"/>
          <w:noProof/>
          <w:kern w:val="0"/>
          <w:sz w:val="22"/>
          <w:szCs w:val="22"/>
          <w14:ligatures w14:val="none"/>
        </w:rPr>
        <w:drawing>
          <wp:inline distT="0" distB="0" distL="0" distR="0" wp14:anchorId="520BFF0D" wp14:editId="573E7176">
            <wp:extent cx="5924550" cy="3505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8231" cy="3513294"/>
                    </a:xfrm>
                    <a:prstGeom prst="rect">
                      <a:avLst/>
                    </a:prstGeom>
                    <a:noFill/>
                  </pic:spPr>
                </pic:pic>
              </a:graphicData>
            </a:graphic>
          </wp:inline>
        </w:drawing>
      </w:r>
    </w:p>
    <w:p w14:paraId="4BC7F2F4" w14:textId="77777777" w:rsidR="0055338D" w:rsidRPr="00F71FEA" w:rsidRDefault="006A6955" w:rsidP="006A6955">
      <w:pPr>
        <w:spacing w:line="360" w:lineRule="auto"/>
        <w:jc w:val="both"/>
        <w:rPr>
          <w:rFonts w:ascii="Times New Roman" w:eastAsia="Calibri" w:hAnsi="Times New Roman" w:cs="Times New Roman"/>
          <w:b/>
          <w:bCs/>
          <w:color w:val="0000FF"/>
          <w:kern w:val="0"/>
          <w:sz w:val="22"/>
          <w:szCs w:val="22"/>
          <w14:ligatures w14:val="none"/>
        </w:rPr>
        <w:sectPr w:rsidR="0055338D" w:rsidRPr="00F71FEA" w:rsidSect="0055338D">
          <w:headerReference w:type="even" r:id="rId8"/>
          <w:headerReference w:type="default" r:id="rId9"/>
          <w:footerReference w:type="even" r:id="rId10"/>
          <w:footerReference w:type="default" r:id="rId11"/>
          <w:headerReference w:type="first" r:id="rId12"/>
          <w:footerReference w:type="first" r:id="rId13"/>
          <w:pgSz w:w="12240" w:h="15840"/>
          <w:pgMar w:top="990" w:right="1440" w:bottom="1350" w:left="1440" w:header="720" w:footer="720" w:gutter="0"/>
          <w:cols w:space="720"/>
          <w:docGrid w:linePitch="360"/>
        </w:sectPr>
      </w:pPr>
      <w:r w:rsidRPr="00F71FEA">
        <w:rPr>
          <w:rFonts w:ascii="Times New Roman" w:eastAsia="Calibri" w:hAnsi="Times New Roman" w:cs="Times New Roman"/>
          <w:b/>
          <w:bCs/>
          <w:kern w:val="0"/>
          <w:sz w:val="22"/>
          <w:szCs w:val="22"/>
          <w14:ligatures w14:val="none"/>
        </w:rPr>
        <w:t xml:space="preserve">      </w:t>
      </w:r>
      <w:r w:rsidR="0055338D" w:rsidRPr="00F71FEA">
        <w:rPr>
          <w:rFonts w:ascii="Times New Roman" w:eastAsia="Calibri" w:hAnsi="Times New Roman" w:cs="Times New Roman"/>
          <w:b/>
          <w:bCs/>
          <w:color w:val="0000FF"/>
          <w:kern w:val="0"/>
          <w:sz w:val="22"/>
          <w:szCs w:val="22"/>
          <w14:ligatures w14:val="none"/>
        </w:rPr>
        <w:t xml:space="preserve">Figure 1: Map showing </w:t>
      </w:r>
      <w:proofErr w:type="spellStart"/>
      <w:r w:rsidR="0055338D" w:rsidRPr="00F71FEA">
        <w:rPr>
          <w:rFonts w:ascii="Times New Roman" w:eastAsia="Calibri" w:hAnsi="Times New Roman" w:cs="Times New Roman"/>
          <w:b/>
          <w:bCs/>
          <w:color w:val="0000FF"/>
          <w:kern w:val="0"/>
          <w:sz w:val="22"/>
          <w:szCs w:val="22"/>
          <w14:ligatures w14:val="none"/>
        </w:rPr>
        <w:t>Woji</w:t>
      </w:r>
      <w:proofErr w:type="spellEnd"/>
      <w:r w:rsidR="0055338D" w:rsidRPr="00F71FEA">
        <w:rPr>
          <w:rFonts w:ascii="Times New Roman" w:eastAsia="Calibri" w:hAnsi="Times New Roman" w:cs="Times New Roman"/>
          <w:b/>
          <w:bCs/>
          <w:color w:val="0000FF"/>
          <w:kern w:val="0"/>
          <w:sz w:val="22"/>
          <w:szCs w:val="22"/>
          <w14:ligatures w14:val="none"/>
        </w:rPr>
        <w:t xml:space="preserve"> River</w:t>
      </w:r>
      <w:r w:rsidRPr="00F71FEA">
        <w:rPr>
          <w:rFonts w:ascii="Times New Roman" w:eastAsia="Calibri" w:hAnsi="Times New Roman" w:cs="Times New Roman"/>
          <w:b/>
          <w:bCs/>
          <w:color w:val="0000FF"/>
          <w:kern w:val="0"/>
          <w:sz w:val="22"/>
          <w:szCs w:val="22"/>
          <w14:ligatures w14:val="none"/>
        </w:rPr>
        <w:t xml:space="preserve"> and sample collection  points</w:t>
      </w:r>
    </w:p>
    <w:p w14:paraId="50C04831" w14:textId="77777777" w:rsidR="0055338D" w:rsidRPr="00F71FEA" w:rsidRDefault="006A6955" w:rsidP="0055338D">
      <w:pPr>
        <w:spacing w:line="360" w:lineRule="auto"/>
        <w:jc w:val="both"/>
        <w:outlineLvl w:val="1"/>
        <w:rPr>
          <w:rFonts w:ascii="Times New Roman" w:eastAsia="Calibri" w:hAnsi="Times New Roman" w:cs="Times New Roman"/>
          <w:b/>
          <w:color w:val="0000FF"/>
          <w:kern w:val="0"/>
          <w:sz w:val="22"/>
          <w:szCs w:val="22"/>
          <w14:ligatures w14:val="none"/>
        </w:rPr>
      </w:pPr>
      <w:r w:rsidRPr="00F71FEA">
        <w:rPr>
          <w:rFonts w:ascii="Times New Roman" w:hAnsi="Times New Roman"/>
          <w:b/>
          <w:color w:val="0000FF"/>
          <w:sz w:val="22"/>
        </w:rPr>
        <w:lastRenderedPageBreak/>
        <w:t>2.2 Determination of Physicochemical Properties</w:t>
      </w:r>
    </w:p>
    <w:p w14:paraId="7B9E5990"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Temperature: The temperature of each water sample was measured using a calibrated thermometer. A portion of the sample was placed in a clean container, and the thermometer was inserted without touching the sides. The reading was recorded in degrees Celsius (°C).</w:t>
      </w:r>
    </w:p>
    <w:p w14:paraId="04DEDA62"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 xml:space="preserve">pH: The pH of the samples was measured using a calibrated bench-top pH meter </w:t>
      </w:r>
      <w:proofErr w:type="spellStart"/>
      <w:r w:rsidRPr="00F71FEA">
        <w:rPr>
          <w:rFonts w:ascii="Times New Roman" w:hAnsi="Times New Roman"/>
          <w:b/>
          <w:sz w:val="22"/>
        </w:rPr>
        <w:t>standardised</w:t>
      </w:r>
      <w:proofErr w:type="spellEnd"/>
      <w:r w:rsidRPr="00F71FEA">
        <w:rPr>
          <w:rFonts w:ascii="Times New Roman" w:hAnsi="Times New Roman"/>
          <w:b/>
          <w:sz w:val="22"/>
        </w:rPr>
        <w:t xml:space="preserve"> with buffer solutions (pH 4.0, 7.0, and 9.0). A 100 mL sample was </w:t>
      </w:r>
      <w:proofErr w:type="spellStart"/>
      <w:r w:rsidRPr="00F71FEA">
        <w:rPr>
          <w:rFonts w:ascii="Times New Roman" w:hAnsi="Times New Roman"/>
          <w:b/>
          <w:sz w:val="22"/>
        </w:rPr>
        <w:t>analysed</w:t>
      </w:r>
      <w:proofErr w:type="spellEnd"/>
      <w:r w:rsidRPr="00F71FEA">
        <w:rPr>
          <w:rFonts w:ascii="Times New Roman" w:hAnsi="Times New Roman"/>
          <w:b/>
          <w:sz w:val="22"/>
        </w:rPr>
        <w:t xml:space="preserve"> after rinsing the electrode. Readings were taken and recorded.</w:t>
      </w:r>
    </w:p>
    <w:p w14:paraId="746C98D2"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 xml:space="preserve">Total alkalinity: This was determined by titrating a measured volume of sample with standard sulfuric acid using </w:t>
      </w:r>
      <w:proofErr w:type="spellStart"/>
      <w:r w:rsidRPr="00F71FEA">
        <w:rPr>
          <w:rFonts w:ascii="Times New Roman" w:hAnsi="Times New Roman"/>
          <w:b/>
          <w:sz w:val="22"/>
        </w:rPr>
        <w:t>bromcresol</w:t>
      </w:r>
      <w:proofErr w:type="spellEnd"/>
      <w:r w:rsidRPr="00F71FEA">
        <w:rPr>
          <w:rFonts w:ascii="Times New Roman" w:hAnsi="Times New Roman"/>
          <w:b/>
          <w:sz w:val="22"/>
        </w:rPr>
        <w:t xml:space="preserve"> green indicator until the </w:t>
      </w:r>
      <w:proofErr w:type="spellStart"/>
      <w:r w:rsidRPr="00F71FEA">
        <w:rPr>
          <w:rFonts w:ascii="Times New Roman" w:hAnsi="Times New Roman"/>
          <w:b/>
          <w:sz w:val="22"/>
        </w:rPr>
        <w:t>colour</w:t>
      </w:r>
      <w:proofErr w:type="spellEnd"/>
      <w:r w:rsidRPr="00F71FEA">
        <w:rPr>
          <w:rFonts w:ascii="Times New Roman" w:hAnsi="Times New Roman"/>
          <w:b/>
          <w:sz w:val="22"/>
        </w:rPr>
        <w:t xml:space="preserve"> changed from blue to yellow (pH 4.5). The endpoint was observed with a pH meter for turbid samples.</w:t>
      </w:r>
    </w:p>
    <w:p w14:paraId="052FAB7A"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 xml:space="preserve">Chloride: Chloride concentration was determined using the Mohr argentometric method. The samples were titrated against standard silver nitrate solution with potassium chromate indicator until a pinkish-yellow </w:t>
      </w:r>
      <w:proofErr w:type="spellStart"/>
      <w:r w:rsidRPr="00F71FEA">
        <w:rPr>
          <w:rFonts w:ascii="Times New Roman" w:hAnsi="Times New Roman"/>
          <w:b/>
          <w:sz w:val="22"/>
        </w:rPr>
        <w:t>colour</w:t>
      </w:r>
      <w:proofErr w:type="spellEnd"/>
      <w:r w:rsidRPr="00F71FEA">
        <w:rPr>
          <w:rFonts w:ascii="Times New Roman" w:hAnsi="Times New Roman"/>
          <w:b/>
          <w:sz w:val="22"/>
        </w:rPr>
        <w:t xml:space="preserve"> was obtained. The same titration was carried out for the blank sample.</w:t>
      </w:r>
    </w:p>
    <w:p w14:paraId="10D20C1D"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 xml:space="preserve">Total hardness: Total hardness was determined using the EDTA titrimetric method. The sample was titrated at pH 10 with Eriochrome Black T indicator, and the </w:t>
      </w:r>
      <w:proofErr w:type="spellStart"/>
      <w:r w:rsidRPr="00F71FEA">
        <w:rPr>
          <w:rFonts w:ascii="Times New Roman" w:hAnsi="Times New Roman"/>
          <w:b/>
          <w:sz w:val="22"/>
        </w:rPr>
        <w:t>colour</w:t>
      </w:r>
      <w:proofErr w:type="spellEnd"/>
      <w:r w:rsidRPr="00F71FEA">
        <w:rPr>
          <w:rFonts w:ascii="Times New Roman" w:hAnsi="Times New Roman"/>
          <w:b/>
          <w:sz w:val="22"/>
        </w:rPr>
        <w:t xml:space="preserve"> change from wine red to blue was recorded as the endpoint.</w:t>
      </w:r>
    </w:p>
    <w:p w14:paraId="65276F21"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 xml:space="preserve">Electrical conductivity (EC): This was determined using a conductivity meter calibrated with standard solutions. The electrode was inserted into a 100 mL sample. Readings were taken and recorded in </w:t>
      </w:r>
      <w:proofErr w:type="spellStart"/>
      <w:r w:rsidRPr="00F71FEA">
        <w:rPr>
          <w:rFonts w:ascii="Times New Roman" w:hAnsi="Times New Roman"/>
          <w:b/>
          <w:sz w:val="22"/>
        </w:rPr>
        <w:t>μS</w:t>
      </w:r>
      <w:proofErr w:type="spellEnd"/>
      <w:r w:rsidRPr="00F71FEA">
        <w:rPr>
          <w:rFonts w:ascii="Times New Roman" w:hAnsi="Times New Roman"/>
          <w:b/>
          <w:sz w:val="22"/>
        </w:rPr>
        <w:t>/cm.</w:t>
      </w:r>
    </w:p>
    <w:p w14:paraId="34DF207A"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Salinity: The gravimetric evaporation method was used. The container was weighed, approximately 10 mL of sample was added, and the container was reweighed. After evaporation in an oven and cooling in a desiccator, the weight of the residue was determined from the difference between the final and initial container weights.</w:t>
      </w:r>
    </w:p>
    <w:p w14:paraId="6EEDB9D7"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 xml:space="preserve">Phosphate: The ascorbic acid </w:t>
      </w:r>
      <w:proofErr w:type="spellStart"/>
      <w:r w:rsidRPr="00F71FEA">
        <w:rPr>
          <w:rFonts w:ascii="Times New Roman" w:hAnsi="Times New Roman"/>
          <w:b/>
          <w:sz w:val="22"/>
        </w:rPr>
        <w:t>colourimetric</w:t>
      </w:r>
      <w:proofErr w:type="spellEnd"/>
      <w:r w:rsidRPr="00F71FEA">
        <w:rPr>
          <w:rFonts w:ascii="Times New Roman" w:hAnsi="Times New Roman"/>
          <w:b/>
          <w:sz w:val="22"/>
        </w:rPr>
        <w:t xml:space="preserve"> method (IS 3025 [Part 31]:1988) was used. Standards were prepared to obtain a calibration curve. Samples were mixed with a combined reagent to develop a blue </w:t>
      </w:r>
      <w:proofErr w:type="spellStart"/>
      <w:r w:rsidRPr="00F71FEA">
        <w:rPr>
          <w:rFonts w:ascii="Times New Roman" w:hAnsi="Times New Roman"/>
          <w:b/>
          <w:sz w:val="22"/>
        </w:rPr>
        <w:t>colour</w:t>
      </w:r>
      <w:proofErr w:type="spellEnd"/>
      <w:r w:rsidRPr="00F71FEA">
        <w:rPr>
          <w:rFonts w:ascii="Times New Roman" w:hAnsi="Times New Roman"/>
          <w:b/>
          <w:sz w:val="22"/>
        </w:rPr>
        <w:t>. Absorbance was then measured at 880 nm using a spectrophotometer, and concentrations were determined from the calibration curve.</w:t>
      </w:r>
    </w:p>
    <w:p w14:paraId="30FF5EEC"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Nitrate: The brucine-</w:t>
      </w:r>
      <w:proofErr w:type="spellStart"/>
      <w:r w:rsidRPr="00F71FEA">
        <w:rPr>
          <w:rFonts w:ascii="Times New Roman" w:hAnsi="Times New Roman"/>
          <w:b/>
          <w:sz w:val="22"/>
        </w:rPr>
        <w:t>sulfanilic</w:t>
      </w:r>
      <w:proofErr w:type="spellEnd"/>
      <w:r w:rsidRPr="00F71FEA">
        <w:rPr>
          <w:rFonts w:ascii="Times New Roman" w:hAnsi="Times New Roman"/>
          <w:b/>
          <w:sz w:val="22"/>
        </w:rPr>
        <w:t xml:space="preserve"> acid method (Method 352.1) was used. The samples were </w:t>
      </w:r>
      <w:proofErr w:type="spellStart"/>
      <w:r w:rsidRPr="00F71FEA">
        <w:rPr>
          <w:rFonts w:ascii="Times New Roman" w:hAnsi="Times New Roman"/>
          <w:b/>
          <w:sz w:val="22"/>
        </w:rPr>
        <w:t>neutralised</w:t>
      </w:r>
      <w:proofErr w:type="spellEnd"/>
      <w:r w:rsidRPr="00F71FEA">
        <w:rPr>
          <w:rFonts w:ascii="Times New Roman" w:hAnsi="Times New Roman"/>
          <w:b/>
          <w:sz w:val="22"/>
        </w:rPr>
        <w:t xml:space="preserve">, mixed with sulfuric acid and brucine reagent, and then heated. After cooling and </w:t>
      </w:r>
      <w:proofErr w:type="spellStart"/>
      <w:r w:rsidRPr="00F71FEA">
        <w:rPr>
          <w:rFonts w:ascii="Times New Roman" w:hAnsi="Times New Roman"/>
          <w:b/>
          <w:sz w:val="22"/>
        </w:rPr>
        <w:t>colour</w:t>
      </w:r>
      <w:proofErr w:type="spellEnd"/>
      <w:r w:rsidRPr="00F71FEA">
        <w:rPr>
          <w:rFonts w:ascii="Times New Roman" w:hAnsi="Times New Roman"/>
          <w:b/>
          <w:sz w:val="22"/>
        </w:rPr>
        <w:t xml:space="preserve"> development, </w:t>
      </w:r>
      <w:r w:rsidRPr="00F71FEA">
        <w:rPr>
          <w:rFonts w:ascii="Times New Roman" w:hAnsi="Times New Roman"/>
          <w:b/>
          <w:sz w:val="22"/>
        </w:rPr>
        <w:lastRenderedPageBreak/>
        <w:t>the absorbance was measured at 410 nm, and the concentration was determined using calibration standards.</w:t>
      </w:r>
    </w:p>
    <w:p w14:paraId="4FE95A47" w14:textId="77777777" w:rsidR="0055338D" w:rsidRPr="00F71FEA" w:rsidRDefault="0055338D" w:rsidP="0055338D">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 xml:space="preserve">Total Organic Carbon (TOC): The Walkley-Black wet oxidation method was used. Organic matter was </w:t>
      </w:r>
      <w:proofErr w:type="spellStart"/>
      <w:r w:rsidRPr="00F71FEA">
        <w:rPr>
          <w:rFonts w:ascii="Times New Roman" w:hAnsi="Times New Roman"/>
          <w:b/>
          <w:sz w:val="22"/>
        </w:rPr>
        <w:t>oxidised</w:t>
      </w:r>
      <w:proofErr w:type="spellEnd"/>
      <w:r w:rsidRPr="00F71FEA">
        <w:rPr>
          <w:rFonts w:ascii="Times New Roman" w:hAnsi="Times New Roman"/>
          <w:b/>
          <w:sz w:val="22"/>
        </w:rPr>
        <w:t xml:space="preserve"> using potassium dichromate and sulfuric acid. The excess dichromate was then titrated with ferrous ammonium sulfate using ferroin indicator.</w:t>
      </w:r>
    </w:p>
    <w:p w14:paraId="463927C4" w14:textId="77777777" w:rsidR="009F3B09" w:rsidRPr="00F71FEA" w:rsidRDefault="0055338D" w:rsidP="00A85C27">
      <w:pPr>
        <w:spacing w:line="360" w:lineRule="auto"/>
        <w:jc w:val="both"/>
        <w:rPr>
          <w:rFonts w:ascii="Times New Roman" w:eastAsia="Calibri" w:hAnsi="Times New Roman" w:cs="Times New Roman"/>
          <w:kern w:val="0"/>
          <w:sz w:val="22"/>
          <w:szCs w:val="22"/>
          <w14:ligatures w14:val="none"/>
        </w:rPr>
      </w:pPr>
      <w:r w:rsidRPr="00F71FEA">
        <w:rPr>
          <w:rFonts w:ascii="Times New Roman" w:hAnsi="Times New Roman"/>
          <w:b/>
          <w:sz w:val="22"/>
        </w:rPr>
        <w:t>Heavy metals (K, Ni, Co, Cr, Cd, Fe, Pb, Cr, V): Atomic absorption spectrophotometry (AAS) was used following APHA methods for water samples (APHA, AWWA, &amp; WEF, 2022). Calibration curves, blanks, and standards were used to ensure that the results were accurate and were reported in mg/L.</w:t>
      </w:r>
    </w:p>
    <w:p w14:paraId="19B7591B" w14:textId="77777777" w:rsidR="00A85C27" w:rsidRPr="00F71FEA" w:rsidRDefault="00A85C27" w:rsidP="00A85C27">
      <w:pPr>
        <w:spacing w:line="360" w:lineRule="auto"/>
        <w:jc w:val="both"/>
        <w:outlineLvl w:val="0"/>
        <w:rPr>
          <w:rFonts w:ascii="Times New Roman" w:eastAsia="Calibri" w:hAnsi="Times New Roman" w:cs="Times New Roman"/>
          <w:b/>
          <w:bCs/>
          <w:kern w:val="0"/>
          <w:sz w:val="22"/>
          <w:szCs w:val="22"/>
          <w14:ligatures w14:val="none"/>
        </w:rPr>
      </w:pPr>
      <w:bookmarkStart w:id="6" w:name="_Toc225233660"/>
      <w:bookmarkStart w:id="7" w:name="_Toc226960048"/>
      <w:r w:rsidRPr="00F71FEA">
        <w:rPr>
          <w:rFonts w:ascii="Times New Roman" w:eastAsia="Calibri" w:hAnsi="Times New Roman" w:cs="Times New Roman"/>
          <w:b/>
          <w:bCs/>
          <w:kern w:val="0"/>
          <w:sz w:val="22"/>
          <w:szCs w:val="22"/>
          <w14:ligatures w14:val="none"/>
        </w:rPr>
        <w:t>Data Analysis</w:t>
      </w:r>
      <w:bookmarkEnd w:id="6"/>
      <w:bookmarkEnd w:id="7"/>
    </w:p>
    <w:p w14:paraId="29E21E8D" w14:textId="77777777" w:rsidR="003B205C" w:rsidRPr="00F71FEA" w:rsidRDefault="00A85C27" w:rsidP="002B6AB3">
      <w:pPr>
        <w:spacing w:line="360" w:lineRule="auto"/>
        <w:jc w:val="both"/>
        <w:rPr>
          <w:rFonts w:ascii="Times New Roman" w:eastAsia="Calibri" w:hAnsi="Times New Roman" w:cs="Times New Roman"/>
          <w:color w:val="0000FF"/>
          <w:kern w:val="0"/>
          <w:sz w:val="22"/>
          <w:szCs w:val="22"/>
          <w14:ligatures w14:val="none"/>
        </w:rPr>
      </w:pPr>
      <w:r w:rsidRPr="00F71FEA">
        <w:rPr>
          <w:rFonts w:ascii="Times New Roman" w:hAnsi="Times New Roman"/>
          <w:sz w:val="22"/>
        </w:rPr>
        <w:t>All experimental data were subjected to descriptive statistical analysis. Mean concentrations of the results were calculated and presented in Tables 1 and 2.</w:t>
      </w:r>
    </w:p>
    <w:p w14:paraId="62BAD479" w14:textId="77777777" w:rsidR="00A85C27" w:rsidRPr="00F71FEA" w:rsidRDefault="003B205C" w:rsidP="00A85C27">
      <w:pPr>
        <w:spacing w:line="240" w:lineRule="auto"/>
        <w:jc w:val="both"/>
        <w:outlineLvl w:val="0"/>
        <w:rPr>
          <w:rFonts w:ascii="Times New Roman" w:eastAsia="Calibri" w:hAnsi="Times New Roman" w:cs="Times New Roman"/>
          <w:b/>
          <w:bCs/>
          <w:kern w:val="0"/>
          <w:sz w:val="22"/>
          <w:szCs w:val="22"/>
          <w14:ligatures w14:val="none"/>
        </w:rPr>
      </w:pPr>
      <w:bookmarkStart w:id="8" w:name="_Toc225233663"/>
      <w:bookmarkStart w:id="9" w:name="_Toc226960051"/>
      <w:r w:rsidRPr="00F71FEA">
        <w:rPr>
          <w:rFonts w:ascii="Times New Roman" w:hAnsi="Times New Roman" w:cs="Times New Roman"/>
          <w:b/>
          <w:bCs/>
          <w:sz w:val="22"/>
          <w:szCs w:val="22"/>
        </w:rPr>
        <w:t>3</w:t>
      </w:r>
      <w:r w:rsidR="00A85C27" w:rsidRPr="00F71FEA">
        <w:rPr>
          <w:rFonts w:ascii="Times New Roman" w:eastAsia="Calibri" w:hAnsi="Times New Roman" w:cs="Times New Roman"/>
          <w:b/>
          <w:bCs/>
          <w:kern w:val="0"/>
          <w:sz w:val="22"/>
          <w:szCs w:val="22"/>
          <w14:ligatures w14:val="none"/>
        </w:rPr>
        <w:t>. Results</w:t>
      </w:r>
      <w:bookmarkEnd w:id="8"/>
      <w:bookmarkEnd w:id="9"/>
      <w:r w:rsidRPr="00F71FEA">
        <w:rPr>
          <w:rFonts w:ascii="Times New Roman" w:eastAsia="Calibri" w:hAnsi="Times New Roman" w:cs="Times New Roman"/>
          <w:b/>
          <w:bCs/>
          <w:kern w:val="0"/>
          <w:sz w:val="22"/>
          <w:szCs w:val="22"/>
          <w14:ligatures w14:val="none"/>
        </w:rPr>
        <w:t xml:space="preserve"> and discussion</w:t>
      </w:r>
    </w:p>
    <w:p w14:paraId="34760A36" w14:textId="77777777" w:rsidR="00A85C27" w:rsidRPr="00F71FEA" w:rsidRDefault="00A85C27" w:rsidP="00A85C27">
      <w:pPr>
        <w:spacing w:after="0" w:line="240" w:lineRule="auto"/>
        <w:jc w:val="both"/>
        <w:rPr>
          <w:rFonts w:ascii="Times New Roman" w:eastAsia="Calibri" w:hAnsi="Times New Roman" w:cs="Times New Roman"/>
          <w:color w:val="0000FF"/>
          <w:kern w:val="0"/>
          <w14:ligatures w14:val="none"/>
        </w:rPr>
      </w:pPr>
      <w:r w:rsidRPr="00F71FEA">
        <w:rPr>
          <w:rFonts w:ascii="Times New Roman" w:eastAsia="Calibri" w:hAnsi="Times New Roman" w:cs="Times New Roman"/>
          <w:color w:val="0000FF"/>
          <w:kern w:val="0"/>
          <w14:ligatures w14:val="none"/>
        </w:rPr>
        <w:t xml:space="preserve">Table 1: The physiochemical properties of water samples from </w:t>
      </w:r>
      <w:proofErr w:type="spellStart"/>
      <w:r w:rsidRPr="00F71FEA">
        <w:rPr>
          <w:rFonts w:ascii="Times New Roman" w:eastAsia="Calibri" w:hAnsi="Times New Roman" w:cs="Times New Roman"/>
          <w:color w:val="0000FF"/>
          <w:kern w:val="0"/>
          <w14:ligatures w14:val="none"/>
        </w:rPr>
        <w:t>Woji</w:t>
      </w:r>
      <w:proofErr w:type="spellEnd"/>
      <w:r w:rsidRPr="00F71FEA">
        <w:rPr>
          <w:rFonts w:ascii="Times New Roman" w:eastAsia="Calibri" w:hAnsi="Times New Roman" w:cs="Times New Roman"/>
          <w:color w:val="0000FF"/>
          <w:kern w:val="0"/>
          <w14:ligatures w14:val="none"/>
        </w:rPr>
        <w:t xml:space="preserve"> River</w:t>
      </w:r>
    </w:p>
    <w:p w14:paraId="2F7294CE" w14:textId="77777777" w:rsidR="00E617E5" w:rsidRPr="00F71FEA" w:rsidRDefault="00E617E5" w:rsidP="00A85C27">
      <w:pPr>
        <w:spacing w:after="0" w:line="240" w:lineRule="auto"/>
        <w:jc w:val="both"/>
        <w:rPr>
          <w:rFonts w:ascii="Times New Roman" w:eastAsia="Calibri" w:hAnsi="Times New Roman" w:cs="Times New Roman"/>
          <w:color w:val="0000FF"/>
          <w:kern w:val="0"/>
          <w14:ligatures w14:val="none"/>
        </w:rPr>
      </w:pPr>
    </w:p>
    <w:tbl>
      <w:tblPr>
        <w:tblStyle w:val="TableGrid"/>
        <w:tblW w:w="9792"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2"/>
        <w:gridCol w:w="770"/>
        <w:gridCol w:w="850"/>
        <w:gridCol w:w="810"/>
        <w:gridCol w:w="810"/>
        <w:gridCol w:w="810"/>
        <w:gridCol w:w="810"/>
        <w:gridCol w:w="1980"/>
        <w:gridCol w:w="1260"/>
      </w:tblGrid>
      <w:tr w:rsidR="00A85C27" w:rsidRPr="00F71FEA" w14:paraId="09FA6724" w14:textId="77777777" w:rsidTr="002A4414">
        <w:trPr>
          <w:cantSplit/>
          <w:trHeight w:val="80"/>
        </w:trPr>
        <w:tc>
          <w:tcPr>
            <w:tcW w:w="1692" w:type="dxa"/>
            <w:tcBorders>
              <w:top w:val="single" w:sz="4" w:space="0" w:color="auto"/>
              <w:bottom w:val="single" w:sz="4" w:space="0" w:color="auto"/>
            </w:tcBorders>
            <w:noWrap/>
            <w:hideMark/>
          </w:tcPr>
          <w:p w14:paraId="59C37ED9" w14:textId="77777777" w:rsidR="00A85C27" w:rsidRPr="00F71FEA" w:rsidRDefault="00A85C27" w:rsidP="002A4414">
            <w:pPr>
              <w:spacing w:line="240" w:lineRule="auto"/>
              <w:jc w:val="both"/>
              <w:rPr>
                <w:rFonts w:ascii="Times New Roman" w:hAnsi="Times New Roman" w:cs="Times New Roman"/>
                <w:b/>
                <w:bCs/>
                <w:sz w:val="22"/>
                <w:szCs w:val="22"/>
              </w:rPr>
            </w:pPr>
            <w:r w:rsidRPr="00F71FEA">
              <w:rPr>
                <w:rFonts w:ascii="Times New Roman" w:hAnsi="Times New Roman" w:cs="Times New Roman"/>
                <w:b/>
                <w:bCs/>
                <w:sz w:val="22"/>
                <w:szCs w:val="22"/>
              </w:rPr>
              <w:t>Parameters</w:t>
            </w:r>
          </w:p>
        </w:tc>
        <w:tc>
          <w:tcPr>
            <w:tcW w:w="770" w:type="dxa"/>
            <w:tcBorders>
              <w:top w:val="single" w:sz="4" w:space="0" w:color="auto"/>
              <w:bottom w:val="single" w:sz="4" w:space="0" w:color="auto"/>
            </w:tcBorders>
            <w:noWrap/>
            <w:hideMark/>
          </w:tcPr>
          <w:p w14:paraId="3BE626C5" w14:textId="77777777" w:rsidR="00A85C27" w:rsidRPr="00F71FEA" w:rsidRDefault="00A85C27" w:rsidP="002A4414">
            <w:pPr>
              <w:spacing w:line="240" w:lineRule="auto"/>
              <w:jc w:val="center"/>
              <w:rPr>
                <w:rFonts w:ascii="Times New Roman" w:hAnsi="Times New Roman" w:cs="Times New Roman"/>
                <w:b/>
                <w:bCs/>
                <w:sz w:val="22"/>
                <w:szCs w:val="22"/>
              </w:rPr>
            </w:pPr>
            <w:r w:rsidRPr="00F71FEA">
              <w:rPr>
                <w:rFonts w:ascii="Times New Roman" w:hAnsi="Times New Roman" w:cs="Times New Roman"/>
                <w:b/>
                <w:bCs/>
                <w:sz w:val="22"/>
                <w:szCs w:val="22"/>
              </w:rPr>
              <w:t>Point 1</w:t>
            </w:r>
          </w:p>
        </w:tc>
        <w:tc>
          <w:tcPr>
            <w:tcW w:w="850" w:type="dxa"/>
            <w:tcBorders>
              <w:top w:val="single" w:sz="4" w:space="0" w:color="auto"/>
              <w:bottom w:val="single" w:sz="4" w:space="0" w:color="auto"/>
            </w:tcBorders>
            <w:noWrap/>
            <w:hideMark/>
          </w:tcPr>
          <w:p w14:paraId="076A288A" w14:textId="77777777" w:rsidR="00A85C27" w:rsidRPr="00F71FEA" w:rsidRDefault="00A85C27" w:rsidP="002A4414">
            <w:pPr>
              <w:spacing w:line="240" w:lineRule="auto"/>
              <w:jc w:val="center"/>
              <w:rPr>
                <w:rFonts w:ascii="Times New Roman" w:hAnsi="Times New Roman" w:cs="Times New Roman"/>
                <w:b/>
                <w:bCs/>
                <w:sz w:val="22"/>
                <w:szCs w:val="22"/>
              </w:rPr>
            </w:pPr>
            <w:r w:rsidRPr="00F71FEA">
              <w:rPr>
                <w:rFonts w:ascii="Times New Roman" w:hAnsi="Times New Roman" w:cs="Times New Roman"/>
                <w:b/>
                <w:bCs/>
                <w:sz w:val="22"/>
                <w:szCs w:val="22"/>
              </w:rPr>
              <w:t>Point 2</w:t>
            </w:r>
          </w:p>
        </w:tc>
        <w:tc>
          <w:tcPr>
            <w:tcW w:w="810" w:type="dxa"/>
            <w:tcBorders>
              <w:top w:val="single" w:sz="4" w:space="0" w:color="auto"/>
              <w:bottom w:val="single" w:sz="4" w:space="0" w:color="auto"/>
            </w:tcBorders>
            <w:noWrap/>
            <w:hideMark/>
          </w:tcPr>
          <w:p w14:paraId="0EA1E8DD" w14:textId="77777777" w:rsidR="00A85C27" w:rsidRPr="00F71FEA" w:rsidRDefault="00A85C27" w:rsidP="002A4414">
            <w:pPr>
              <w:spacing w:line="240" w:lineRule="auto"/>
              <w:jc w:val="center"/>
              <w:rPr>
                <w:rFonts w:ascii="Times New Roman" w:hAnsi="Times New Roman" w:cs="Times New Roman"/>
                <w:b/>
                <w:bCs/>
                <w:sz w:val="22"/>
                <w:szCs w:val="22"/>
              </w:rPr>
            </w:pPr>
            <w:r w:rsidRPr="00F71FEA">
              <w:rPr>
                <w:rFonts w:ascii="Times New Roman" w:hAnsi="Times New Roman" w:cs="Times New Roman"/>
                <w:b/>
                <w:bCs/>
                <w:sz w:val="22"/>
                <w:szCs w:val="22"/>
              </w:rPr>
              <w:t>Point 3</w:t>
            </w:r>
          </w:p>
        </w:tc>
        <w:tc>
          <w:tcPr>
            <w:tcW w:w="810" w:type="dxa"/>
            <w:tcBorders>
              <w:top w:val="single" w:sz="4" w:space="0" w:color="auto"/>
              <w:bottom w:val="single" w:sz="4" w:space="0" w:color="auto"/>
            </w:tcBorders>
            <w:noWrap/>
            <w:hideMark/>
          </w:tcPr>
          <w:p w14:paraId="746F18A2" w14:textId="77777777" w:rsidR="00A85C27" w:rsidRPr="00F71FEA" w:rsidRDefault="00A85C27" w:rsidP="002A4414">
            <w:pPr>
              <w:spacing w:line="240" w:lineRule="auto"/>
              <w:jc w:val="center"/>
              <w:rPr>
                <w:rFonts w:ascii="Times New Roman" w:hAnsi="Times New Roman" w:cs="Times New Roman"/>
                <w:b/>
                <w:bCs/>
                <w:sz w:val="22"/>
                <w:szCs w:val="22"/>
              </w:rPr>
            </w:pPr>
            <w:r w:rsidRPr="00F71FEA">
              <w:rPr>
                <w:rFonts w:ascii="Times New Roman" w:hAnsi="Times New Roman" w:cs="Times New Roman"/>
                <w:b/>
                <w:bCs/>
                <w:sz w:val="22"/>
                <w:szCs w:val="22"/>
              </w:rPr>
              <w:t>Point 4</w:t>
            </w:r>
          </w:p>
        </w:tc>
        <w:tc>
          <w:tcPr>
            <w:tcW w:w="810" w:type="dxa"/>
            <w:tcBorders>
              <w:top w:val="single" w:sz="4" w:space="0" w:color="auto"/>
              <w:bottom w:val="single" w:sz="4" w:space="0" w:color="auto"/>
            </w:tcBorders>
            <w:noWrap/>
            <w:hideMark/>
          </w:tcPr>
          <w:p w14:paraId="65110173" w14:textId="77777777" w:rsidR="00A85C27" w:rsidRPr="00F71FEA" w:rsidRDefault="00A85C27" w:rsidP="002A4414">
            <w:pPr>
              <w:spacing w:line="240" w:lineRule="auto"/>
              <w:jc w:val="center"/>
              <w:rPr>
                <w:rFonts w:ascii="Times New Roman" w:hAnsi="Times New Roman" w:cs="Times New Roman"/>
                <w:b/>
                <w:bCs/>
                <w:sz w:val="22"/>
                <w:szCs w:val="22"/>
              </w:rPr>
            </w:pPr>
            <w:r w:rsidRPr="00F71FEA">
              <w:rPr>
                <w:rFonts w:ascii="Times New Roman" w:hAnsi="Times New Roman" w:cs="Times New Roman"/>
                <w:b/>
                <w:bCs/>
                <w:sz w:val="22"/>
                <w:szCs w:val="22"/>
              </w:rPr>
              <w:t>Point 5</w:t>
            </w:r>
          </w:p>
        </w:tc>
        <w:tc>
          <w:tcPr>
            <w:tcW w:w="810" w:type="dxa"/>
            <w:tcBorders>
              <w:top w:val="single" w:sz="4" w:space="0" w:color="auto"/>
              <w:bottom w:val="single" w:sz="4" w:space="0" w:color="auto"/>
            </w:tcBorders>
            <w:noWrap/>
            <w:hideMark/>
          </w:tcPr>
          <w:p w14:paraId="587189B1" w14:textId="77777777" w:rsidR="00A85C27" w:rsidRPr="00F71FEA" w:rsidRDefault="00A85C27" w:rsidP="002A4414">
            <w:pPr>
              <w:spacing w:line="240" w:lineRule="auto"/>
              <w:jc w:val="center"/>
              <w:rPr>
                <w:rFonts w:ascii="Times New Roman" w:hAnsi="Times New Roman" w:cs="Times New Roman"/>
                <w:b/>
                <w:bCs/>
                <w:sz w:val="22"/>
                <w:szCs w:val="22"/>
              </w:rPr>
            </w:pPr>
            <w:r w:rsidRPr="00F71FEA">
              <w:rPr>
                <w:rFonts w:ascii="Times New Roman" w:hAnsi="Times New Roman" w:cs="Times New Roman"/>
                <w:b/>
                <w:bCs/>
                <w:sz w:val="22"/>
                <w:szCs w:val="22"/>
              </w:rPr>
              <w:t>Point 6</w:t>
            </w:r>
          </w:p>
        </w:tc>
        <w:tc>
          <w:tcPr>
            <w:tcW w:w="1980" w:type="dxa"/>
            <w:tcBorders>
              <w:top w:val="single" w:sz="4" w:space="0" w:color="auto"/>
              <w:bottom w:val="single" w:sz="4" w:space="0" w:color="auto"/>
            </w:tcBorders>
            <w:noWrap/>
            <w:hideMark/>
          </w:tcPr>
          <w:p w14:paraId="16BC413E" w14:textId="77777777" w:rsidR="00A85C27" w:rsidRPr="00F71FEA" w:rsidRDefault="00A85C27" w:rsidP="002A4414">
            <w:pPr>
              <w:spacing w:line="240" w:lineRule="auto"/>
              <w:rPr>
                <w:rFonts w:ascii="Times New Roman" w:hAnsi="Times New Roman" w:cs="Times New Roman"/>
                <w:b/>
                <w:bCs/>
                <w:sz w:val="22"/>
                <w:szCs w:val="22"/>
              </w:rPr>
            </w:pPr>
            <w:r w:rsidRPr="00F71FEA">
              <w:rPr>
                <w:rFonts w:ascii="Times New Roman" w:hAnsi="Times New Roman" w:cs="Times New Roman"/>
                <w:b/>
                <w:bCs/>
                <w:color w:val="0000FF"/>
                <w:sz w:val="22"/>
                <w:szCs w:val="22"/>
              </w:rPr>
              <w:t xml:space="preserve">Mean </w:t>
            </w:r>
            <w:r w:rsidRPr="00F71FEA">
              <w:rPr>
                <w:rFonts w:ascii="Times New Roman" w:hAnsi="Times New Roman" w:cs="Times New Roman"/>
                <w:color w:val="0000FF"/>
                <w:sz w:val="22"/>
                <w:szCs w:val="22"/>
              </w:rPr>
              <w:t xml:space="preserve">± </w:t>
            </w:r>
            <w:r w:rsidRPr="00F71FEA">
              <w:rPr>
                <w:rFonts w:ascii="Times New Roman" w:hAnsi="Times New Roman" w:cs="Times New Roman"/>
                <w:b/>
                <w:bCs/>
                <w:color w:val="0000FF"/>
                <w:sz w:val="22"/>
                <w:szCs w:val="22"/>
              </w:rPr>
              <w:t>SD</w:t>
            </w:r>
          </w:p>
        </w:tc>
        <w:tc>
          <w:tcPr>
            <w:tcW w:w="1260" w:type="dxa"/>
            <w:tcBorders>
              <w:top w:val="single" w:sz="4" w:space="0" w:color="auto"/>
              <w:bottom w:val="single" w:sz="4" w:space="0" w:color="auto"/>
            </w:tcBorders>
            <w:noWrap/>
            <w:hideMark/>
          </w:tcPr>
          <w:p w14:paraId="4F1F9741" w14:textId="77777777" w:rsidR="00A85C27" w:rsidRPr="00F71FEA" w:rsidRDefault="00A85C27" w:rsidP="002A4414">
            <w:pPr>
              <w:spacing w:line="240" w:lineRule="auto"/>
              <w:jc w:val="center"/>
              <w:rPr>
                <w:rFonts w:ascii="Times New Roman" w:hAnsi="Times New Roman" w:cs="Times New Roman"/>
                <w:b/>
                <w:bCs/>
                <w:sz w:val="22"/>
                <w:szCs w:val="22"/>
              </w:rPr>
            </w:pPr>
            <w:r w:rsidRPr="00F71FEA">
              <w:rPr>
                <w:rFonts w:ascii="Times New Roman" w:hAnsi="Times New Roman" w:cs="Times New Roman"/>
                <w:b/>
                <w:bCs/>
                <w:sz w:val="22"/>
                <w:szCs w:val="22"/>
              </w:rPr>
              <w:t>WHO / FEPA Standard</w:t>
            </w:r>
          </w:p>
        </w:tc>
      </w:tr>
      <w:tr w:rsidR="00A85C27" w:rsidRPr="00F71FEA" w14:paraId="5EE02252" w14:textId="77777777" w:rsidTr="002A4414">
        <w:trPr>
          <w:cantSplit/>
          <w:trHeight w:val="323"/>
        </w:trPr>
        <w:tc>
          <w:tcPr>
            <w:tcW w:w="1692" w:type="dxa"/>
            <w:tcBorders>
              <w:top w:val="single" w:sz="4" w:space="0" w:color="auto"/>
            </w:tcBorders>
            <w:noWrap/>
            <w:hideMark/>
          </w:tcPr>
          <w:p w14:paraId="66539157" w14:textId="77777777" w:rsidR="00A85C27" w:rsidRPr="00F71FEA" w:rsidRDefault="002C4A5A"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pH</w:t>
            </w:r>
          </w:p>
        </w:tc>
        <w:tc>
          <w:tcPr>
            <w:tcW w:w="770" w:type="dxa"/>
            <w:tcBorders>
              <w:top w:val="single" w:sz="4" w:space="0" w:color="auto"/>
            </w:tcBorders>
            <w:noWrap/>
            <w:hideMark/>
          </w:tcPr>
          <w:p w14:paraId="2EFB987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4.0</w:t>
            </w:r>
          </w:p>
        </w:tc>
        <w:tc>
          <w:tcPr>
            <w:tcW w:w="850" w:type="dxa"/>
            <w:tcBorders>
              <w:top w:val="single" w:sz="4" w:space="0" w:color="auto"/>
            </w:tcBorders>
            <w:noWrap/>
            <w:hideMark/>
          </w:tcPr>
          <w:p w14:paraId="0514C94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4.2</w:t>
            </w:r>
          </w:p>
        </w:tc>
        <w:tc>
          <w:tcPr>
            <w:tcW w:w="810" w:type="dxa"/>
            <w:tcBorders>
              <w:top w:val="single" w:sz="4" w:space="0" w:color="auto"/>
            </w:tcBorders>
            <w:noWrap/>
            <w:hideMark/>
          </w:tcPr>
          <w:p w14:paraId="097962B0"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4.4</w:t>
            </w:r>
          </w:p>
        </w:tc>
        <w:tc>
          <w:tcPr>
            <w:tcW w:w="810" w:type="dxa"/>
            <w:tcBorders>
              <w:top w:val="single" w:sz="4" w:space="0" w:color="auto"/>
            </w:tcBorders>
            <w:noWrap/>
            <w:hideMark/>
          </w:tcPr>
          <w:p w14:paraId="10CBA38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4.8</w:t>
            </w:r>
          </w:p>
        </w:tc>
        <w:tc>
          <w:tcPr>
            <w:tcW w:w="810" w:type="dxa"/>
            <w:tcBorders>
              <w:top w:val="single" w:sz="4" w:space="0" w:color="auto"/>
            </w:tcBorders>
            <w:noWrap/>
            <w:hideMark/>
          </w:tcPr>
          <w:p w14:paraId="6F4D1E40"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4.6</w:t>
            </w:r>
          </w:p>
        </w:tc>
        <w:tc>
          <w:tcPr>
            <w:tcW w:w="810" w:type="dxa"/>
            <w:tcBorders>
              <w:top w:val="single" w:sz="4" w:space="0" w:color="auto"/>
            </w:tcBorders>
            <w:noWrap/>
            <w:hideMark/>
          </w:tcPr>
          <w:p w14:paraId="7C8E5D88"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4.5</w:t>
            </w:r>
          </w:p>
        </w:tc>
        <w:tc>
          <w:tcPr>
            <w:tcW w:w="1980" w:type="dxa"/>
            <w:tcBorders>
              <w:top w:val="single" w:sz="4" w:space="0" w:color="auto"/>
            </w:tcBorders>
            <w:noWrap/>
            <w:hideMark/>
          </w:tcPr>
          <w:p w14:paraId="7CA713FA"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4.42 ± 0.29</w:t>
            </w:r>
          </w:p>
        </w:tc>
        <w:tc>
          <w:tcPr>
            <w:tcW w:w="1260" w:type="dxa"/>
            <w:tcBorders>
              <w:top w:val="single" w:sz="4" w:space="0" w:color="auto"/>
            </w:tcBorders>
            <w:noWrap/>
            <w:hideMark/>
          </w:tcPr>
          <w:p w14:paraId="30B65B7A"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6.5 – 8.5</w:t>
            </w:r>
          </w:p>
        </w:tc>
      </w:tr>
      <w:tr w:rsidR="00A85C27" w:rsidRPr="00F71FEA" w14:paraId="42E28870" w14:textId="77777777" w:rsidTr="002A4414">
        <w:trPr>
          <w:cantSplit/>
          <w:trHeight w:val="342"/>
        </w:trPr>
        <w:tc>
          <w:tcPr>
            <w:tcW w:w="1692" w:type="dxa"/>
            <w:noWrap/>
            <w:hideMark/>
          </w:tcPr>
          <w:p w14:paraId="57919D2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Temperature (°C)</w:t>
            </w:r>
          </w:p>
        </w:tc>
        <w:tc>
          <w:tcPr>
            <w:tcW w:w="770" w:type="dxa"/>
            <w:noWrap/>
            <w:hideMark/>
          </w:tcPr>
          <w:p w14:paraId="084784B8"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28.0</w:t>
            </w:r>
          </w:p>
        </w:tc>
        <w:tc>
          <w:tcPr>
            <w:tcW w:w="850" w:type="dxa"/>
            <w:noWrap/>
            <w:hideMark/>
          </w:tcPr>
          <w:p w14:paraId="3ABB314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27.5</w:t>
            </w:r>
          </w:p>
        </w:tc>
        <w:tc>
          <w:tcPr>
            <w:tcW w:w="810" w:type="dxa"/>
            <w:noWrap/>
            <w:hideMark/>
          </w:tcPr>
          <w:p w14:paraId="3A5D5D1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28.0</w:t>
            </w:r>
          </w:p>
        </w:tc>
        <w:tc>
          <w:tcPr>
            <w:tcW w:w="810" w:type="dxa"/>
            <w:noWrap/>
            <w:hideMark/>
          </w:tcPr>
          <w:p w14:paraId="2AC9D47D"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28.5</w:t>
            </w:r>
          </w:p>
        </w:tc>
        <w:tc>
          <w:tcPr>
            <w:tcW w:w="810" w:type="dxa"/>
            <w:noWrap/>
            <w:hideMark/>
          </w:tcPr>
          <w:p w14:paraId="1BE986A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28.0</w:t>
            </w:r>
          </w:p>
        </w:tc>
        <w:tc>
          <w:tcPr>
            <w:tcW w:w="810" w:type="dxa"/>
            <w:noWrap/>
            <w:hideMark/>
          </w:tcPr>
          <w:p w14:paraId="68E01DF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27.0</w:t>
            </w:r>
          </w:p>
        </w:tc>
        <w:tc>
          <w:tcPr>
            <w:tcW w:w="1980" w:type="dxa"/>
            <w:noWrap/>
            <w:hideMark/>
          </w:tcPr>
          <w:p w14:paraId="78EB8B3C"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27.83 ± 0.52</w:t>
            </w:r>
          </w:p>
        </w:tc>
        <w:tc>
          <w:tcPr>
            <w:tcW w:w="1260" w:type="dxa"/>
            <w:noWrap/>
            <w:hideMark/>
          </w:tcPr>
          <w:p w14:paraId="7F49878F"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NS</w:t>
            </w:r>
          </w:p>
        </w:tc>
      </w:tr>
      <w:tr w:rsidR="00A85C27" w:rsidRPr="00F71FEA" w14:paraId="7575BA8F" w14:textId="77777777" w:rsidTr="002A4414">
        <w:trPr>
          <w:cantSplit/>
          <w:trHeight w:val="288"/>
        </w:trPr>
        <w:tc>
          <w:tcPr>
            <w:tcW w:w="1692" w:type="dxa"/>
            <w:noWrap/>
            <w:hideMark/>
          </w:tcPr>
          <w:p w14:paraId="07990489"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 xml:space="preserve">E.C </w:t>
            </w:r>
            <w:r w:rsidRPr="00F71FEA">
              <w:rPr>
                <w:rFonts w:ascii="Times New Roman" w:hAnsi="Times New Roman" w:cs="Times New Roman"/>
                <w:color w:val="0000FF"/>
                <w:sz w:val="22"/>
                <w:szCs w:val="22"/>
              </w:rPr>
              <w:t>(µS/</w:t>
            </w:r>
            <w:r w:rsidR="008D259D" w:rsidRPr="00F71FEA">
              <w:rPr>
                <w:rFonts w:ascii="Times New Roman" w:hAnsi="Times New Roman" w:cs="Times New Roman"/>
                <w:color w:val="0000FF"/>
                <w:sz w:val="22"/>
                <w:szCs w:val="22"/>
              </w:rPr>
              <w:t>cm</w:t>
            </w:r>
            <w:r w:rsidRPr="00F71FEA">
              <w:rPr>
                <w:rFonts w:ascii="Times New Roman" w:hAnsi="Times New Roman" w:cs="Times New Roman"/>
                <w:sz w:val="22"/>
                <w:szCs w:val="22"/>
              </w:rPr>
              <w:t>)</w:t>
            </w:r>
          </w:p>
        </w:tc>
        <w:tc>
          <w:tcPr>
            <w:tcW w:w="770" w:type="dxa"/>
            <w:noWrap/>
            <w:hideMark/>
          </w:tcPr>
          <w:p w14:paraId="144FB910"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2817</w:t>
            </w:r>
          </w:p>
        </w:tc>
        <w:tc>
          <w:tcPr>
            <w:tcW w:w="850" w:type="dxa"/>
            <w:noWrap/>
            <w:hideMark/>
          </w:tcPr>
          <w:p w14:paraId="517B649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2508</w:t>
            </w:r>
          </w:p>
        </w:tc>
        <w:tc>
          <w:tcPr>
            <w:tcW w:w="810" w:type="dxa"/>
            <w:noWrap/>
            <w:hideMark/>
          </w:tcPr>
          <w:p w14:paraId="05CFD805"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210.1</w:t>
            </w:r>
          </w:p>
        </w:tc>
        <w:tc>
          <w:tcPr>
            <w:tcW w:w="810" w:type="dxa"/>
            <w:noWrap/>
            <w:hideMark/>
          </w:tcPr>
          <w:p w14:paraId="119EEA65"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2021</w:t>
            </w:r>
          </w:p>
        </w:tc>
        <w:tc>
          <w:tcPr>
            <w:tcW w:w="810" w:type="dxa"/>
            <w:noWrap/>
            <w:hideMark/>
          </w:tcPr>
          <w:p w14:paraId="1892EF79"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1985</w:t>
            </w:r>
          </w:p>
        </w:tc>
        <w:tc>
          <w:tcPr>
            <w:tcW w:w="810" w:type="dxa"/>
            <w:noWrap/>
            <w:hideMark/>
          </w:tcPr>
          <w:p w14:paraId="57F9B31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1901</w:t>
            </w:r>
          </w:p>
        </w:tc>
        <w:tc>
          <w:tcPr>
            <w:tcW w:w="1980" w:type="dxa"/>
            <w:noWrap/>
            <w:hideMark/>
          </w:tcPr>
          <w:p w14:paraId="2157A9A2"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1907.02 ± 904.20</w:t>
            </w:r>
          </w:p>
        </w:tc>
        <w:tc>
          <w:tcPr>
            <w:tcW w:w="1260" w:type="dxa"/>
            <w:noWrap/>
            <w:hideMark/>
          </w:tcPr>
          <w:p w14:paraId="3B137B80"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 1000</w:t>
            </w:r>
          </w:p>
        </w:tc>
      </w:tr>
      <w:tr w:rsidR="00A85C27" w:rsidRPr="00F71FEA" w14:paraId="04E43BDD" w14:textId="77777777" w:rsidTr="002A4414">
        <w:trPr>
          <w:cantSplit/>
          <w:trHeight w:val="297"/>
        </w:trPr>
        <w:tc>
          <w:tcPr>
            <w:tcW w:w="1692" w:type="dxa"/>
            <w:noWrap/>
            <w:hideMark/>
          </w:tcPr>
          <w:p w14:paraId="4082F0B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Salinity (%)</w:t>
            </w:r>
          </w:p>
        </w:tc>
        <w:tc>
          <w:tcPr>
            <w:tcW w:w="770" w:type="dxa"/>
            <w:noWrap/>
            <w:hideMark/>
          </w:tcPr>
          <w:p w14:paraId="7A59848D"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5.1</w:t>
            </w:r>
          </w:p>
        </w:tc>
        <w:tc>
          <w:tcPr>
            <w:tcW w:w="850" w:type="dxa"/>
            <w:noWrap/>
            <w:hideMark/>
          </w:tcPr>
          <w:p w14:paraId="573F20E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4.5</w:t>
            </w:r>
          </w:p>
        </w:tc>
        <w:tc>
          <w:tcPr>
            <w:tcW w:w="810" w:type="dxa"/>
            <w:noWrap/>
            <w:hideMark/>
          </w:tcPr>
          <w:p w14:paraId="2BDD947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4.0</w:t>
            </w:r>
          </w:p>
        </w:tc>
        <w:tc>
          <w:tcPr>
            <w:tcW w:w="810" w:type="dxa"/>
            <w:noWrap/>
            <w:hideMark/>
          </w:tcPr>
          <w:p w14:paraId="6E9621B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3.5</w:t>
            </w:r>
          </w:p>
        </w:tc>
        <w:tc>
          <w:tcPr>
            <w:tcW w:w="810" w:type="dxa"/>
            <w:noWrap/>
            <w:hideMark/>
          </w:tcPr>
          <w:p w14:paraId="1098BDC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4.0</w:t>
            </w:r>
          </w:p>
        </w:tc>
        <w:tc>
          <w:tcPr>
            <w:tcW w:w="810" w:type="dxa"/>
            <w:noWrap/>
            <w:hideMark/>
          </w:tcPr>
          <w:p w14:paraId="4EB45F3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3.8</w:t>
            </w:r>
          </w:p>
        </w:tc>
        <w:tc>
          <w:tcPr>
            <w:tcW w:w="1980" w:type="dxa"/>
            <w:noWrap/>
            <w:hideMark/>
          </w:tcPr>
          <w:p w14:paraId="78B5B378"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4.15 ± 0.57</w:t>
            </w:r>
          </w:p>
        </w:tc>
        <w:tc>
          <w:tcPr>
            <w:tcW w:w="1260" w:type="dxa"/>
            <w:noWrap/>
            <w:hideMark/>
          </w:tcPr>
          <w:p w14:paraId="6DB2F169"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NS</w:t>
            </w:r>
          </w:p>
        </w:tc>
      </w:tr>
      <w:tr w:rsidR="00A85C27" w:rsidRPr="00F71FEA" w14:paraId="440240F6" w14:textId="77777777" w:rsidTr="002A4414">
        <w:trPr>
          <w:cantSplit/>
          <w:trHeight w:val="423"/>
        </w:trPr>
        <w:tc>
          <w:tcPr>
            <w:tcW w:w="1692" w:type="dxa"/>
            <w:noWrap/>
            <w:hideMark/>
          </w:tcPr>
          <w:p w14:paraId="42D9445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Alkalinity (mg/L)</w:t>
            </w:r>
          </w:p>
        </w:tc>
        <w:tc>
          <w:tcPr>
            <w:tcW w:w="770" w:type="dxa"/>
            <w:noWrap/>
            <w:hideMark/>
          </w:tcPr>
          <w:p w14:paraId="2420444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350</w:t>
            </w:r>
            <w:r w:rsidR="00317F35" w:rsidRPr="00F71FEA">
              <w:rPr>
                <w:rFonts w:ascii="Times New Roman" w:hAnsi="Times New Roman" w:cs="Times New Roman"/>
                <w:sz w:val="22"/>
                <w:szCs w:val="22"/>
              </w:rPr>
              <w:t>.</w:t>
            </w:r>
            <w:r w:rsidR="00317F35" w:rsidRPr="00F71FEA">
              <w:rPr>
                <w:rFonts w:ascii="Times New Roman" w:hAnsi="Times New Roman" w:cs="Times New Roman"/>
                <w:color w:val="0033CC"/>
                <w:sz w:val="22"/>
                <w:szCs w:val="22"/>
              </w:rPr>
              <w:t>0</w:t>
            </w:r>
          </w:p>
        </w:tc>
        <w:tc>
          <w:tcPr>
            <w:tcW w:w="850" w:type="dxa"/>
            <w:noWrap/>
            <w:hideMark/>
          </w:tcPr>
          <w:p w14:paraId="04E937B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361.3</w:t>
            </w:r>
          </w:p>
        </w:tc>
        <w:tc>
          <w:tcPr>
            <w:tcW w:w="810" w:type="dxa"/>
            <w:noWrap/>
            <w:hideMark/>
          </w:tcPr>
          <w:p w14:paraId="020BE125"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370.5</w:t>
            </w:r>
          </w:p>
        </w:tc>
        <w:tc>
          <w:tcPr>
            <w:tcW w:w="810" w:type="dxa"/>
            <w:noWrap/>
            <w:hideMark/>
          </w:tcPr>
          <w:p w14:paraId="1CC9049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403</w:t>
            </w:r>
            <w:r w:rsidR="00317F35" w:rsidRPr="00F71FEA">
              <w:rPr>
                <w:rFonts w:ascii="Times New Roman" w:hAnsi="Times New Roman" w:cs="Times New Roman"/>
                <w:sz w:val="22"/>
                <w:szCs w:val="22"/>
              </w:rPr>
              <w:t>.</w:t>
            </w:r>
            <w:r w:rsidR="00317F35" w:rsidRPr="00F71FEA">
              <w:rPr>
                <w:rFonts w:ascii="Times New Roman" w:hAnsi="Times New Roman" w:cs="Times New Roman"/>
                <w:color w:val="0033CC"/>
                <w:sz w:val="22"/>
                <w:szCs w:val="22"/>
              </w:rPr>
              <w:t>0</w:t>
            </w:r>
          </w:p>
        </w:tc>
        <w:tc>
          <w:tcPr>
            <w:tcW w:w="810" w:type="dxa"/>
            <w:noWrap/>
            <w:hideMark/>
          </w:tcPr>
          <w:p w14:paraId="66C2A90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380.1</w:t>
            </w:r>
          </w:p>
        </w:tc>
        <w:tc>
          <w:tcPr>
            <w:tcW w:w="810" w:type="dxa"/>
            <w:noWrap/>
            <w:hideMark/>
          </w:tcPr>
          <w:p w14:paraId="54DBE9B4"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375</w:t>
            </w:r>
            <w:r w:rsidR="00317F35" w:rsidRPr="00F71FEA">
              <w:rPr>
                <w:rFonts w:ascii="Times New Roman" w:hAnsi="Times New Roman" w:cs="Times New Roman"/>
                <w:sz w:val="22"/>
                <w:szCs w:val="22"/>
              </w:rPr>
              <w:t>.</w:t>
            </w:r>
            <w:r w:rsidR="00317F35" w:rsidRPr="00F71FEA">
              <w:rPr>
                <w:rFonts w:ascii="Times New Roman" w:hAnsi="Times New Roman" w:cs="Times New Roman"/>
                <w:color w:val="0033CC"/>
                <w:sz w:val="22"/>
                <w:szCs w:val="22"/>
              </w:rPr>
              <w:t>0</w:t>
            </w:r>
          </w:p>
        </w:tc>
        <w:tc>
          <w:tcPr>
            <w:tcW w:w="1980" w:type="dxa"/>
            <w:noWrap/>
            <w:hideMark/>
          </w:tcPr>
          <w:p w14:paraId="13A18F03"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373.32 ± 18.03</w:t>
            </w:r>
          </w:p>
        </w:tc>
        <w:tc>
          <w:tcPr>
            <w:tcW w:w="1260" w:type="dxa"/>
            <w:noWrap/>
            <w:hideMark/>
          </w:tcPr>
          <w:p w14:paraId="37F819CB"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 500</w:t>
            </w:r>
          </w:p>
        </w:tc>
      </w:tr>
      <w:tr w:rsidR="00A85C27" w:rsidRPr="00F71FEA" w14:paraId="255A3C77" w14:textId="77777777" w:rsidTr="002A4414">
        <w:trPr>
          <w:cantSplit/>
          <w:trHeight w:val="423"/>
        </w:trPr>
        <w:tc>
          <w:tcPr>
            <w:tcW w:w="1692" w:type="dxa"/>
            <w:noWrap/>
            <w:hideMark/>
          </w:tcPr>
          <w:p w14:paraId="2582EA65"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Chloride (mg/L)</w:t>
            </w:r>
          </w:p>
        </w:tc>
        <w:tc>
          <w:tcPr>
            <w:tcW w:w="770" w:type="dxa"/>
            <w:noWrap/>
            <w:hideMark/>
          </w:tcPr>
          <w:p w14:paraId="2A66F40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458</w:t>
            </w:r>
            <w:r w:rsidR="00317F35" w:rsidRPr="00F71FEA">
              <w:rPr>
                <w:rFonts w:ascii="Times New Roman" w:hAnsi="Times New Roman" w:cs="Times New Roman"/>
                <w:sz w:val="22"/>
                <w:szCs w:val="22"/>
              </w:rPr>
              <w:t>.</w:t>
            </w:r>
            <w:r w:rsidR="00317F35" w:rsidRPr="00F71FEA">
              <w:rPr>
                <w:rFonts w:ascii="Times New Roman" w:hAnsi="Times New Roman" w:cs="Times New Roman"/>
                <w:color w:val="0033CC"/>
                <w:sz w:val="22"/>
                <w:szCs w:val="22"/>
              </w:rPr>
              <w:t>0</w:t>
            </w:r>
          </w:p>
        </w:tc>
        <w:tc>
          <w:tcPr>
            <w:tcW w:w="850" w:type="dxa"/>
            <w:noWrap/>
            <w:hideMark/>
          </w:tcPr>
          <w:p w14:paraId="4AAD0B2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420.5</w:t>
            </w:r>
          </w:p>
        </w:tc>
        <w:tc>
          <w:tcPr>
            <w:tcW w:w="810" w:type="dxa"/>
            <w:noWrap/>
            <w:hideMark/>
          </w:tcPr>
          <w:p w14:paraId="6B92E4F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385.8</w:t>
            </w:r>
          </w:p>
        </w:tc>
        <w:tc>
          <w:tcPr>
            <w:tcW w:w="810" w:type="dxa"/>
            <w:noWrap/>
            <w:hideMark/>
          </w:tcPr>
          <w:p w14:paraId="7D6697D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450</w:t>
            </w:r>
            <w:r w:rsidR="00317F35" w:rsidRPr="00F71FEA">
              <w:rPr>
                <w:rFonts w:ascii="Times New Roman" w:hAnsi="Times New Roman" w:cs="Times New Roman"/>
                <w:sz w:val="22"/>
                <w:szCs w:val="22"/>
              </w:rPr>
              <w:t>.</w:t>
            </w:r>
            <w:r w:rsidR="00317F35" w:rsidRPr="00F71FEA">
              <w:rPr>
                <w:rFonts w:ascii="Times New Roman" w:hAnsi="Times New Roman" w:cs="Times New Roman"/>
                <w:color w:val="0033CC"/>
                <w:sz w:val="22"/>
                <w:szCs w:val="22"/>
              </w:rPr>
              <w:t>0</w:t>
            </w:r>
          </w:p>
        </w:tc>
        <w:tc>
          <w:tcPr>
            <w:tcW w:w="810" w:type="dxa"/>
            <w:noWrap/>
            <w:hideMark/>
          </w:tcPr>
          <w:p w14:paraId="63DD0C1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400.1</w:t>
            </w:r>
          </w:p>
        </w:tc>
        <w:tc>
          <w:tcPr>
            <w:tcW w:w="810" w:type="dxa"/>
            <w:noWrap/>
            <w:hideMark/>
          </w:tcPr>
          <w:p w14:paraId="3224E21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420.5</w:t>
            </w:r>
          </w:p>
        </w:tc>
        <w:tc>
          <w:tcPr>
            <w:tcW w:w="1980" w:type="dxa"/>
            <w:noWrap/>
            <w:hideMark/>
          </w:tcPr>
          <w:p w14:paraId="4C022DC6"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422.48 ± 27.83</w:t>
            </w:r>
          </w:p>
        </w:tc>
        <w:tc>
          <w:tcPr>
            <w:tcW w:w="1260" w:type="dxa"/>
            <w:noWrap/>
            <w:hideMark/>
          </w:tcPr>
          <w:p w14:paraId="0AA2DF39"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 250</w:t>
            </w:r>
          </w:p>
        </w:tc>
      </w:tr>
      <w:tr w:rsidR="00A85C27" w:rsidRPr="00F71FEA" w14:paraId="086D941A" w14:textId="77777777" w:rsidTr="002A4414">
        <w:trPr>
          <w:cantSplit/>
          <w:trHeight w:val="360"/>
        </w:trPr>
        <w:tc>
          <w:tcPr>
            <w:tcW w:w="1692" w:type="dxa"/>
            <w:noWrap/>
            <w:hideMark/>
          </w:tcPr>
          <w:p w14:paraId="11CE61E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Nitrate (mg/L)</w:t>
            </w:r>
          </w:p>
        </w:tc>
        <w:tc>
          <w:tcPr>
            <w:tcW w:w="770" w:type="dxa"/>
            <w:noWrap/>
            <w:hideMark/>
          </w:tcPr>
          <w:p w14:paraId="358E5EA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3.1</w:t>
            </w:r>
          </w:p>
        </w:tc>
        <w:tc>
          <w:tcPr>
            <w:tcW w:w="850" w:type="dxa"/>
            <w:noWrap/>
            <w:hideMark/>
          </w:tcPr>
          <w:p w14:paraId="31D27CB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w:t>
            </w:r>
          </w:p>
        </w:tc>
        <w:tc>
          <w:tcPr>
            <w:tcW w:w="810" w:type="dxa"/>
            <w:noWrap/>
            <w:hideMark/>
          </w:tcPr>
          <w:p w14:paraId="73086ED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2.5</w:t>
            </w:r>
          </w:p>
        </w:tc>
        <w:tc>
          <w:tcPr>
            <w:tcW w:w="810" w:type="dxa"/>
            <w:noWrap/>
            <w:hideMark/>
          </w:tcPr>
          <w:p w14:paraId="25905A6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3.0</w:t>
            </w:r>
          </w:p>
        </w:tc>
        <w:tc>
          <w:tcPr>
            <w:tcW w:w="810" w:type="dxa"/>
            <w:noWrap/>
            <w:hideMark/>
          </w:tcPr>
          <w:p w14:paraId="2DE94C2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w:t>
            </w:r>
          </w:p>
        </w:tc>
        <w:tc>
          <w:tcPr>
            <w:tcW w:w="810" w:type="dxa"/>
            <w:noWrap/>
            <w:hideMark/>
          </w:tcPr>
          <w:p w14:paraId="6A1C58F9"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3.5</w:t>
            </w:r>
          </w:p>
        </w:tc>
        <w:tc>
          <w:tcPr>
            <w:tcW w:w="1980" w:type="dxa"/>
            <w:noWrap/>
            <w:hideMark/>
          </w:tcPr>
          <w:p w14:paraId="5C8E479C"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2.95 ± 0.34</w:t>
            </w:r>
          </w:p>
        </w:tc>
        <w:tc>
          <w:tcPr>
            <w:tcW w:w="1260" w:type="dxa"/>
            <w:noWrap/>
            <w:hideMark/>
          </w:tcPr>
          <w:p w14:paraId="595E0EE0"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 50</w:t>
            </w:r>
          </w:p>
        </w:tc>
      </w:tr>
      <w:tr w:rsidR="00A85C27" w:rsidRPr="00F71FEA" w14:paraId="68B9E11A" w14:textId="77777777" w:rsidTr="002A4414">
        <w:trPr>
          <w:cantSplit/>
          <w:trHeight w:val="297"/>
        </w:trPr>
        <w:tc>
          <w:tcPr>
            <w:tcW w:w="1692" w:type="dxa"/>
            <w:noWrap/>
            <w:hideMark/>
          </w:tcPr>
          <w:p w14:paraId="6ED74C0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Phosphate (mg/L)</w:t>
            </w:r>
          </w:p>
        </w:tc>
        <w:tc>
          <w:tcPr>
            <w:tcW w:w="770" w:type="dxa"/>
            <w:noWrap/>
            <w:hideMark/>
          </w:tcPr>
          <w:p w14:paraId="548DD88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0.9</w:t>
            </w:r>
          </w:p>
        </w:tc>
        <w:tc>
          <w:tcPr>
            <w:tcW w:w="850" w:type="dxa"/>
            <w:noWrap/>
            <w:hideMark/>
          </w:tcPr>
          <w:p w14:paraId="60B7ACD8"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1.0</w:t>
            </w:r>
          </w:p>
        </w:tc>
        <w:tc>
          <w:tcPr>
            <w:tcW w:w="810" w:type="dxa"/>
            <w:noWrap/>
            <w:hideMark/>
          </w:tcPr>
          <w:p w14:paraId="016ECE7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0.8</w:t>
            </w:r>
          </w:p>
        </w:tc>
        <w:tc>
          <w:tcPr>
            <w:tcW w:w="810" w:type="dxa"/>
            <w:noWrap/>
            <w:hideMark/>
          </w:tcPr>
          <w:p w14:paraId="12F33F3D"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0.7</w:t>
            </w:r>
          </w:p>
        </w:tc>
        <w:tc>
          <w:tcPr>
            <w:tcW w:w="810" w:type="dxa"/>
            <w:noWrap/>
            <w:hideMark/>
          </w:tcPr>
          <w:p w14:paraId="18CDCDB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1.2</w:t>
            </w:r>
          </w:p>
        </w:tc>
        <w:tc>
          <w:tcPr>
            <w:tcW w:w="810" w:type="dxa"/>
            <w:noWrap/>
            <w:hideMark/>
          </w:tcPr>
          <w:p w14:paraId="2A5ADB69"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1.5</w:t>
            </w:r>
          </w:p>
        </w:tc>
        <w:tc>
          <w:tcPr>
            <w:tcW w:w="1980" w:type="dxa"/>
            <w:noWrap/>
            <w:hideMark/>
          </w:tcPr>
          <w:p w14:paraId="7AA0241E"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1.02 ± 0.29</w:t>
            </w:r>
          </w:p>
        </w:tc>
        <w:tc>
          <w:tcPr>
            <w:tcW w:w="1260" w:type="dxa"/>
            <w:noWrap/>
            <w:hideMark/>
          </w:tcPr>
          <w:p w14:paraId="6C969AB4"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 5.0</w:t>
            </w:r>
          </w:p>
        </w:tc>
      </w:tr>
      <w:tr w:rsidR="00A85C27" w:rsidRPr="00F71FEA" w14:paraId="47FE5061" w14:textId="77777777" w:rsidTr="002A4414">
        <w:trPr>
          <w:cantSplit/>
          <w:trHeight w:val="342"/>
        </w:trPr>
        <w:tc>
          <w:tcPr>
            <w:tcW w:w="1692" w:type="dxa"/>
            <w:noWrap/>
            <w:hideMark/>
          </w:tcPr>
          <w:p w14:paraId="3DFD8A1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TOM (%)</w:t>
            </w:r>
          </w:p>
        </w:tc>
        <w:tc>
          <w:tcPr>
            <w:tcW w:w="770" w:type="dxa"/>
            <w:noWrap/>
            <w:hideMark/>
          </w:tcPr>
          <w:p w14:paraId="42A6B665"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26.0</w:t>
            </w:r>
          </w:p>
        </w:tc>
        <w:tc>
          <w:tcPr>
            <w:tcW w:w="850" w:type="dxa"/>
            <w:noWrap/>
            <w:hideMark/>
          </w:tcPr>
          <w:p w14:paraId="10B0231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23.4</w:t>
            </w:r>
          </w:p>
        </w:tc>
        <w:tc>
          <w:tcPr>
            <w:tcW w:w="810" w:type="dxa"/>
            <w:noWrap/>
            <w:hideMark/>
          </w:tcPr>
          <w:p w14:paraId="503E565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19.0</w:t>
            </w:r>
          </w:p>
        </w:tc>
        <w:tc>
          <w:tcPr>
            <w:tcW w:w="810" w:type="dxa"/>
            <w:noWrap/>
            <w:hideMark/>
          </w:tcPr>
          <w:p w14:paraId="0282F13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18.5</w:t>
            </w:r>
          </w:p>
        </w:tc>
        <w:tc>
          <w:tcPr>
            <w:tcW w:w="810" w:type="dxa"/>
            <w:noWrap/>
            <w:hideMark/>
          </w:tcPr>
          <w:p w14:paraId="746BB75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21.6</w:t>
            </w:r>
          </w:p>
        </w:tc>
        <w:tc>
          <w:tcPr>
            <w:tcW w:w="810" w:type="dxa"/>
            <w:noWrap/>
            <w:hideMark/>
          </w:tcPr>
          <w:p w14:paraId="636697C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20.7</w:t>
            </w:r>
          </w:p>
        </w:tc>
        <w:tc>
          <w:tcPr>
            <w:tcW w:w="1980" w:type="dxa"/>
            <w:noWrap/>
            <w:hideMark/>
          </w:tcPr>
          <w:p w14:paraId="71DA473F"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21.53 ± 2.82</w:t>
            </w:r>
          </w:p>
        </w:tc>
        <w:tc>
          <w:tcPr>
            <w:tcW w:w="1260" w:type="dxa"/>
            <w:noWrap/>
            <w:hideMark/>
          </w:tcPr>
          <w:p w14:paraId="5DEC296E"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NS</w:t>
            </w:r>
          </w:p>
        </w:tc>
      </w:tr>
      <w:tr w:rsidR="00A85C27" w:rsidRPr="00F71FEA" w14:paraId="592D5142" w14:textId="77777777" w:rsidTr="002A4414">
        <w:trPr>
          <w:cantSplit/>
          <w:trHeight w:val="360"/>
        </w:trPr>
        <w:tc>
          <w:tcPr>
            <w:tcW w:w="1692" w:type="dxa"/>
            <w:noWrap/>
            <w:hideMark/>
          </w:tcPr>
          <w:p w14:paraId="025E76E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TOC (%)</w:t>
            </w:r>
          </w:p>
        </w:tc>
        <w:tc>
          <w:tcPr>
            <w:tcW w:w="770" w:type="dxa"/>
            <w:noWrap/>
            <w:hideMark/>
          </w:tcPr>
          <w:p w14:paraId="7D04315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15.0</w:t>
            </w:r>
          </w:p>
        </w:tc>
        <w:tc>
          <w:tcPr>
            <w:tcW w:w="850" w:type="dxa"/>
            <w:noWrap/>
            <w:hideMark/>
          </w:tcPr>
          <w:p w14:paraId="24E5C40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13.5</w:t>
            </w:r>
          </w:p>
        </w:tc>
        <w:tc>
          <w:tcPr>
            <w:tcW w:w="810" w:type="dxa"/>
            <w:noWrap/>
            <w:hideMark/>
          </w:tcPr>
          <w:p w14:paraId="1D9D2C6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11.0</w:t>
            </w:r>
          </w:p>
        </w:tc>
        <w:tc>
          <w:tcPr>
            <w:tcW w:w="810" w:type="dxa"/>
            <w:noWrap/>
            <w:hideMark/>
          </w:tcPr>
          <w:p w14:paraId="31BD8E0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10.7</w:t>
            </w:r>
          </w:p>
        </w:tc>
        <w:tc>
          <w:tcPr>
            <w:tcW w:w="810" w:type="dxa"/>
            <w:noWrap/>
            <w:hideMark/>
          </w:tcPr>
          <w:p w14:paraId="4FFDE91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12.5</w:t>
            </w:r>
          </w:p>
        </w:tc>
        <w:tc>
          <w:tcPr>
            <w:tcW w:w="810" w:type="dxa"/>
            <w:noWrap/>
            <w:hideMark/>
          </w:tcPr>
          <w:p w14:paraId="5AE34B8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12.0</w:t>
            </w:r>
          </w:p>
        </w:tc>
        <w:tc>
          <w:tcPr>
            <w:tcW w:w="1980" w:type="dxa"/>
            <w:noWrap/>
            <w:hideMark/>
          </w:tcPr>
          <w:p w14:paraId="5CD55AC6"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12.45 ± 1.61</w:t>
            </w:r>
          </w:p>
        </w:tc>
        <w:tc>
          <w:tcPr>
            <w:tcW w:w="1260" w:type="dxa"/>
            <w:noWrap/>
            <w:hideMark/>
          </w:tcPr>
          <w:p w14:paraId="00084AE1"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NS</w:t>
            </w:r>
          </w:p>
        </w:tc>
      </w:tr>
      <w:tr w:rsidR="00A85C27" w:rsidRPr="00F71FEA" w14:paraId="310B50EF" w14:textId="77777777" w:rsidTr="002A4414">
        <w:trPr>
          <w:cantSplit/>
          <w:trHeight w:val="342"/>
        </w:trPr>
        <w:tc>
          <w:tcPr>
            <w:tcW w:w="1692" w:type="dxa"/>
            <w:noWrap/>
            <w:hideMark/>
          </w:tcPr>
          <w:p w14:paraId="3A9341A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Hardness (mg/L)</w:t>
            </w:r>
          </w:p>
        </w:tc>
        <w:tc>
          <w:tcPr>
            <w:tcW w:w="770" w:type="dxa"/>
            <w:noWrap/>
            <w:hideMark/>
          </w:tcPr>
          <w:p w14:paraId="3E4B2BC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320.3</w:t>
            </w:r>
          </w:p>
        </w:tc>
        <w:tc>
          <w:tcPr>
            <w:tcW w:w="850" w:type="dxa"/>
            <w:noWrap/>
            <w:hideMark/>
          </w:tcPr>
          <w:p w14:paraId="64DBC91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280</w:t>
            </w:r>
            <w:r w:rsidR="00317F35" w:rsidRPr="00F71FEA">
              <w:rPr>
                <w:rFonts w:ascii="Times New Roman" w:hAnsi="Times New Roman" w:cs="Times New Roman"/>
                <w:sz w:val="22"/>
                <w:szCs w:val="22"/>
              </w:rPr>
              <w:t>.</w:t>
            </w:r>
            <w:r w:rsidR="00317F35" w:rsidRPr="00F71FEA">
              <w:rPr>
                <w:rFonts w:ascii="Times New Roman" w:hAnsi="Times New Roman" w:cs="Times New Roman"/>
                <w:color w:val="0033CC"/>
                <w:sz w:val="22"/>
                <w:szCs w:val="22"/>
              </w:rPr>
              <w:t>0</w:t>
            </w:r>
          </w:p>
        </w:tc>
        <w:tc>
          <w:tcPr>
            <w:tcW w:w="810" w:type="dxa"/>
            <w:noWrap/>
            <w:hideMark/>
          </w:tcPr>
          <w:p w14:paraId="5EBE2FA0"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310.5</w:t>
            </w:r>
          </w:p>
        </w:tc>
        <w:tc>
          <w:tcPr>
            <w:tcW w:w="810" w:type="dxa"/>
            <w:noWrap/>
            <w:hideMark/>
          </w:tcPr>
          <w:p w14:paraId="4135F6C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250.1</w:t>
            </w:r>
          </w:p>
        </w:tc>
        <w:tc>
          <w:tcPr>
            <w:tcW w:w="810" w:type="dxa"/>
            <w:noWrap/>
            <w:hideMark/>
          </w:tcPr>
          <w:p w14:paraId="4E48E81D"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285.8</w:t>
            </w:r>
          </w:p>
        </w:tc>
        <w:tc>
          <w:tcPr>
            <w:tcW w:w="810" w:type="dxa"/>
            <w:noWrap/>
            <w:hideMark/>
          </w:tcPr>
          <w:p w14:paraId="5DFD86B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208.6</w:t>
            </w:r>
          </w:p>
        </w:tc>
        <w:tc>
          <w:tcPr>
            <w:tcW w:w="1980" w:type="dxa"/>
            <w:noWrap/>
            <w:hideMark/>
          </w:tcPr>
          <w:p w14:paraId="6226D135"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275.88 ± 41.18</w:t>
            </w:r>
          </w:p>
        </w:tc>
        <w:tc>
          <w:tcPr>
            <w:tcW w:w="1260" w:type="dxa"/>
            <w:noWrap/>
            <w:hideMark/>
          </w:tcPr>
          <w:p w14:paraId="0634C236"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 500</w:t>
            </w:r>
          </w:p>
        </w:tc>
      </w:tr>
      <w:tr w:rsidR="00A85C27" w:rsidRPr="00F71FEA" w14:paraId="0CC958A7" w14:textId="77777777" w:rsidTr="002A4414">
        <w:trPr>
          <w:cantSplit/>
          <w:trHeight w:val="360"/>
        </w:trPr>
        <w:tc>
          <w:tcPr>
            <w:tcW w:w="1692" w:type="dxa"/>
            <w:noWrap/>
            <w:hideMark/>
          </w:tcPr>
          <w:p w14:paraId="1A2CA6F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Nitrogen (%)</w:t>
            </w:r>
          </w:p>
        </w:tc>
        <w:tc>
          <w:tcPr>
            <w:tcW w:w="770" w:type="dxa"/>
            <w:noWrap/>
            <w:hideMark/>
          </w:tcPr>
          <w:p w14:paraId="3E0DDF7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3.2</w:t>
            </w:r>
          </w:p>
        </w:tc>
        <w:tc>
          <w:tcPr>
            <w:tcW w:w="850" w:type="dxa"/>
            <w:noWrap/>
            <w:hideMark/>
          </w:tcPr>
          <w:p w14:paraId="3541D51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2.5</w:t>
            </w:r>
          </w:p>
        </w:tc>
        <w:tc>
          <w:tcPr>
            <w:tcW w:w="810" w:type="dxa"/>
            <w:noWrap/>
            <w:hideMark/>
          </w:tcPr>
          <w:p w14:paraId="39994B98"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2.8</w:t>
            </w:r>
          </w:p>
        </w:tc>
        <w:tc>
          <w:tcPr>
            <w:tcW w:w="810" w:type="dxa"/>
            <w:noWrap/>
            <w:hideMark/>
          </w:tcPr>
          <w:p w14:paraId="48F5D77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2.2</w:t>
            </w:r>
          </w:p>
        </w:tc>
        <w:tc>
          <w:tcPr>
            <w:tcW w:w="810" w:type="dxa"/>
            <w:noWrap/>
            <w:hideMark/>
          </w:tcPr>
          <w:p w14:paraId="1A56DFF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2.5</w:t>
            </w:r>
          </w:p>
        </w:tc>
        <w:tc>
          <w:tcPr>
            <w:tcW w:w="810" w:type="dxa"/>
            <w:noWrap/>
            <w:hideMark/>
          </w:tcPr>
          <w:p w14:paraId="11DBFA3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2.1</w:t>
            </w:r>
          </w:p>
        </w:tc>
        <w:tc>
          <w:tcPr>
            <w:tcW w:w="1980" w:type="dxa"/>
            <w:noWrap/>
            <w:hideMark/>
          </w:tcPr>
          <w:p w14:paraId="3F1B4C93"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2.55 ± 0.40</w:t>
            </w:r>
          </w:p>
        </w:tc>
        <w:tc>
          <w:tcPr>
            <w:tcW w:w="1260" w:type="dxa"/>
            <w:noWrap/>
            <w:hideMark/>
          </w:tcPr>
          <w:p w14:paraId="15558483"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NS</w:t>
            </w:r>
          </w:p>
        </w:tc>
      </w:tr>
      <w:tr w:rsidR="00A85C27" w:rsidRPr="00F71FEA" w14:paraId="0E5DB717" w14:textId="77777777" w:rsidTr="002A4414">
        <w:trPr>
          <w:cantSplit/>
          <w:trHeight w:val="405"/>
        </w:trPr>
        <w:tc>
          <w:tcPr>
            <w:tcW w:w="1692" w:type="dxa"/>
            <w:tcBorders>
              <w:bottom w:val="single" w:sz="4" w:space="0" w:color="auto"/>
            </w:tcBorders>
            <w:noWrap/>
            <w:hideMark/>
          </w:tcPr>
          <w:p w14:paraId="235AC7F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Oil &amp; Grease (mg/L)</w:t>
            </w:r>
          </w:p>
        </w:tc>
        <w:tc>
          <w:tcPr>
            <w:tcW w:w="770" w:type="dxa"/>
            <w:tcBorders>
              <w:bottom w:val="single" w:sz="4" w:space="0" w:color="auto"/>
            </w:tcBorders>
            <w:noWrap/>
            <w:hideMark/>
          </w:tcPr>
          <w:p w14:paraId="6CB5817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20.43</w:t>
            </w:r>
          </w:p>
        </w:tc>
        <w:tc>
          <w:tcPr>
            <w:tcW w:w="850" w:type="dxa"/>
            <w:tcBorders>
              <w:bottom w:val="single" w:sz="4" w:space="0" w:color="auto"/>
            </w:tcBorders>
            <w:noWrap/>
            <w:hideMark/>
          </w:tcPr>
          <w:p w14:paraId="0A351B1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12.45</w:t>
            </w:r>
          </w:p>
        </w:tc>
        <w:tc>
          <w:tcPr>
            <w:tcW w:w="810" w:type="dxa"/>
            <w:tcBorders>
              <w:bottom w:val="single" w:sz="4" w:space="0" w:color="auto"/>
            </w:tcBorders>
            <w:noWrap/>
            <w:hideMark/>
          </w:tcPr>
          <w:p w14:paraId="325DC954"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10.34</w:t>
            </w:r>
          </w:p>
        </w:tc>
        <w:tc>
          <w:tcPr>
            <w:tcW w:w="810" w:type="dxa"/>
            <w:tcBorders>
              <w:bottom w:val="single" w:sz="4" w:space="0" w:color="auto"/>
            </w:tcBorders>
            <w:noWrap/>
            <w:hideMark/>
          </w:tcPr>
          <w:p w14:paraId="53017248"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7.671</w:t>
            </w:r>
          </w:p>
        </w:tc>
        <w:tc>
          <w:tcPr>
            <w:tcW w:w="810" w:type="dxa"/>
            <w:tcBorders>
              <w:bottom w:val="single" w:sz="4" w:space="0" w:color="auto"/>
            </w:tcBorders>
            <w:noWrap/>
            <w:hideMark/>
          </w:tcPr>
          <w:p w14:paraId="798A1B08"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15.34</w:t>
            </w:r>
          </w:p>
        </w:tc>
        <w:tc>
          <w:tcPr>
            <w:tcW w:w="810" w:type="dxa"/>
            <w:tcBorders>
              <w:bottom w:val="single" w:sz="4" w:space="0" w:color="auto"/>
            </w:tcBorders>
            <w:noWrap/>
            <w:hideMark/>
          </w:tcPr>
          <w:p w14:paraId="423BEAC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18.32</w:t>
            </w:r>
          </w:p>
        </w:tc>
        <w:tc>
          <w:tcPr>
            <w:tcW w:w="1980" w:type="dxa"/>
            <w:tcBorders>
              <w:bottom w:val="single" w:sz="4" w:space="0" w:color="auto"/>
            </w:tcBorders>
            <w:noWrap/>
            <w:hideMark/>
          </w:tcPr>
          <w:p w14:paraId="0FABC611"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14.09 ± 4.85</w:t>
            </w:r>
          </w:p>
        </w:tc>
        <w:tc>
          <w:tcPr>
            <w:tcW w:w="1260" w:type="dxa"/>
            <w:tcBorders>
              <w:bottom w:val="single" w:sz="4" w:space="0" w:color="auto"/>
            </w:tcBorders>
            <w:noWrap/>
            <w:hideMark/>
          </w:tcPr>
          <w:p w14:paraId="4BDA3CDD" w14:textId="77777777" w:rsidR="00A85C27" w:rsidRPr="00F71FEA" w:rsidRDefault="00A85C27" w:rsidP="002A4414">
            <w:pPr>
              <w:spacing w:line="240" w:lineRule="auto"/>
              <w:jc w:val="center"/>
              <w:rPr>
                <w:rFonts w:ascii="Times New Roman" w:hAnsi="Times New Roman" w:cs="Times New Roman"/>
                <w:sz w:val="22"/>
                <w:szCs w:val="22"/>
              </w:rPr>
            </w:pPr>
            <w:r w:rsidRPr="00F71FEA">
              <w:rPr>
                <w:rFonts w:ascii="Times New Roman" w:hAnsi="Times New Roman" w:cs="Times New Roman"/>
                <w:sz w:val="22"/>
                <w:szCs w:val="22"/>
              </w:rPr>
              <w:t>≤ 10</w:t>
            </w:r>
          </w:p>
        </w:tc>
      </w:tr>
    </w:tbl>
    <w:p w14:paraId="3C45A7CD" w14:textId="77777777" w:rsidR="00A85C27" w:rsidRPr="00F71FEA" w:rsidRDefault="00A85C27" w:rsidP="00A85C27">
      <w:pPr>
        <w:spacing w:line="240" w:lineRule="auto"/>
        <w:jc w:val="both"/>
        <w:rPr>
          <w:rFonts w:ascii="Times New Roman" w:eastAsia="Calibri" w:hAnsi="Times New Roman" w:cs="Times New Roman"/>
          <w:kern w:val="0"/>
          <w:sz w:val="22"/>
          <w:szCs w:val="22"/>
          <w14:ligatures w14:val="none"/>
        </w:rPr>
      </w:pPr>
      <w:r w:rsidRPr="00F71FEA">
        <w:rPr>
          <w:rFonts w:ascii="Times New Roman" w:eastAsia="Calibri" w:hAnsi="Times New Roman" w:cs="Times New Roman"/>
          <w:kern w:val="0"/>
          <w:sz w:val="22"/>
          <w:szCs w:val="22"/>
          <w14:ligatures w14:val="none"/>
        </w:rPr>
        <w:t>Values are presented in Mean ± SD; NS - Not specified.</w:t>
      </w:r>
    </w:p>
    <w:p w14:paraId="57433106" w14:textId="77777777" w:rsidR="00A85C27" w:rsidRPr="00F71FEA" w:rsidRDefault="00A85C27" w:rsidP="00A85C27">
      <w:pPr>
        <w:spacing w:line="240" w:lineRule="auto"/>
        <w:jc w:val="both"/>
        <w:rPr>
          <w:rFonts w:ascii="Times New Roman" w:eastAsia="Calibri" w:hAnsi="Times New Roman" w:cs="Times New Roman"/>
          <w:b/>
          <w:bCs/>
          <w:kern w:val="0"/>
          <w:sz w:val="22"/>
          <w:szCs w:val="22"/>
          <w14:ligatures w14:val="none"/>
        </w:rPr>
      </w:pPr>
    </w:p>
    <w:p w14:paraId="47BC8CF2" w14:textId="77777777" w:rsidR="00A70BE5" w:rsidRPr="00F71FEA" w:rsidRDefault="00A70BE5" w:rsidP="00A85C27">
      <w:pPr>
        <w:spacing w:line="240" w:lineRule="auto"/>
        <w:jc w:val="both"/>
        <w:rPr>
          <w:rFonts w:ascii="Times New Roman" w:eastAsia="Calibri" w:hAnsi="Times New Roman" w:cs="Times New Roman"/>
          <w:b/>
          <w:bCs/>
          <w:kern w:val="0"/>
          <w:sz w:val="22"/>
          <w:szCs w:val="22"/>
          <w14:ligatures w14:val="none"/>
        </w:rPr>
      </w:pPr>
    </w:p>
    <w:p w14:paraId="2777EA9F" w14:textId="77777777" w:rsidR="00A70BE5" w:rsidRPr="00F71FEA" w:rsidRDefault="00A70BE5" w:rsidP="00A85C27">
      <w:pPr>
        <w:spacing w:line="240" w:lineRule="auto"/>
        <w:jc w:val="both"/>
        <w:rPr>
          <w:rFonts w:ascii="Times New Roman" w:eastAsia="Calibri" w:hAnsi="Times New Roman" w:cs="Times New Roman"/>
          <w:b/>
          <w:bCs/>
          <w:kern w:val="0"/>
          <w:sz w:val="22"/>
          <w:szCs w:val="22"/>
          <w14:ligatures w14:val="none"/>
        </w:rPr>
      </w:pPr>
    </w:p>
    <w:p w14:paraId="3E708CE9" w14:textId="77777777" w:rsidR="006E47C1" w:rsidRPr="00F71FEA" w:rsidRDefault="006E47C1" w:rsidP="00A85C27">
      <w:pPr>
        <w:spacing w:line="240" w:lineRule="auto"/>
        <w:jc w:val="both"/>
        <w:rPr>
          <w:rFonts w:ascii="Times New Roman" w:eastAsia="Calibri" w:hAnsi="Times New Roman" w:cs="Times New Roman"/>
          <w:b/>
          <w:bCs/>
          <w:kern w:val="0"/>
          <w:sz w:val="22"/>
          <w:szCs w:val="22"/>
          <w14:ligatures w14:val="none"/>
        </w:rPr>
      </w:pPr>
    </w:p>
    <w:p w14:paraId="7EDA947E" w14:textId="77777777" w:rsidR="006E47C1" w:rsidRPr="00F71FEA" w:rsidRDefault="006E47C1" w:rsidP="00A85C27">
      <w:pPr>
        <w:spacing w:line="240" w:lineRule="auto"/>
        <w:jc w:val="both"/>
        <w:rPr>
          <w:rFonts w:ascii="Times New Roman" w:eastAsia="Calibri" w:hAnsi="Times New Roman" w:cs="Times New Roman"/>
          <w:b/>
          <w:bCs/>
          <w:kern w:val="0"/>
          <w:sz w:val="22"/>
          <w:szCs w:val="22"/>
          <w14:ligatures w14:val="none"/>
        </w:rPr>
      </w:pPr>
    </w:p>
    <w:p w14:paraId="227F9B6A" w14:textId="77777777" w:rsidR="006E47C1" w:rsidRPr="00F71FEA" w:rsidRDefault="006E47C1" w:rsidP="00A85C27">
      <w:pPr>
        <w:spacing w:line="240" w:lineRule="auto"/>
        <w:jc w:val="both"/>
        <w:rPr>
          <w:rFonts w:ascii="Times New Roman" w:eastAsia="Calibri" w:hAnsi="Times New Roman" w:cs="Times New Roman"/>
          <w:b/>
          <w:bCs/>
          <w:kern w:val="0"/>
          <w:sz w:val="22"/>
          <w:szCs w:val="22"/>
          <w14:ligatures w14:val="none"/>
        </w:rPr>
      </w:pPr>
    </w:p>
    <w:p w14:paraId="1479EBE1" w14:textId="77777777" w:rsidR="00A70BE5" w:rsidRPr="00F71FEA" w:rsidRDefault="00A70BE5" w:rsidP="00A85C27">
      <w:pPr>
        <w:spacing w:line="240" w:lineRule="auto"/>
        <w:jc w:val="both"/>
        <w:rPr>
          <w:rFonts w:ascii="Times New Roman" w:eastAsia="Calibri" w:hAnsi="Times New Roman" w:cs="Times New Roman"/>
          <w:b/>
          <w:bCs/>
          <w:kern w:val="0"/>
          <w:sz w:val="22"/>
          <w:szCs w:val="22"/>
          <w14:ligatures w14:val="none"/>
        </w:rPr>
      </w:pPr>
    </w:p>
    <w:p w14:paraId="245ADD53" w14:textId="77777777" w:rsidR="00A85C27" w:rsidRPr="00F71FEA" w:rsidRDefault="00A85C27" w:rsidP="00A85C27">
      <w:pPr>
        <w:spacing w:after="0" w:line="240" w:lineRule="auto"/>
        <w:jc w:val="both"/>
        <w:rPr>
          <w:rFonts w:ascii="Times New Roman" w:eastAsia="Calibri" w:hAnsi="Times New Roman" w:cs="Times New Roman"/>
          <w:color w:val="0000FF"/>
          <w:kern w:val="0"/>
          <w14:ligatures w14:val="none"/>
        </w:rPr>
      </w:pPr>
      <w:r w:rsidRPr="00F71FEA">
        <w:rPr>
          <w:rFonts w:ascii="Times New Roman" w:eastAsia="Calibri" w:hAnsi="Times New Roman" w:cs="Times New Roman"/>
          <w:color w:val="0000FF"/>
          <w:kern w:val="0"/>
          <w14:ligatures w14:val="none"/>
        </w:rPr>
        <w:t>Table.</w:t>
      </w:r>
      <w:r w:rsidR="00A70BE5" w:rsidRPr="00F71FEA">
        <w:rPr>
          <w:rFonts w:ascii="Times New Roman" w:eastAsia="Calibri" w:hAnsi="Times New Roman" w:cs="Times New Roman"/>
          <w:color w:val="0000FF"/>
          <w:kern w:val="0"/>
          <w14:ligatures w14:val="none"/>
        </w:rPr>
        <w:t>2</w:t>
      </w:r>
      <w:r w:rsidRPr="00F71FEA">
        <w:rPr>
          <w:rFonts w:ascii="Times New Roman" w:eastAsia="Calibri" w:hAnsi="Times New Roman" w:cs="Times New Roman"/>
          <w:color w:val="0000FF"/>
          <w:kern w:val="0"/>
          <w14:ligatures w14:val="none"/>
        </w:rPr>
        <w:t xml:space="preserve">: </w:t>
      </w:r>
      <w:r w:rsidR="00C67140" w:rsidRPr="00F71FEA">
        <w:rPr>
          <w:rFonts w:ascii="Times New Roman" w:eastAsia="Calibri" w:hAnsi="Times New Roman" w:cs="Times New Roman"/>
          <w:color w:val="0000FF"/>
          <w:kern w:val="0"/>
          <w14:ligatures w14:val="none"/>
        </w:rPr>
        <w:t>Trace</w:t>
      </w:r>
      <w:r w:rsidRPr="00F71FEA">
        <w:rPr>
          <w:rFonts w:ascii="Times New Roman" w:eastAsia="Calibri" w:hAnsi="Times New Roman" w:cs="Times New Roman"/>
          <w:color w:val="0000FF"/>
          <w:kern w:val="0"/>
          <w14:ligatures w14:val="none"/>
        </w:rPr>
        <w:t xml:space="preserve"> metal</w:t>
      </w:r>
      <w:r w:rsidR="00C67140" w:rsidRPr="00F71FEA">
        <w:rPr>
          <w:rFonts w:ascii="Times New Roman" w:eastAsia="Calibri" w:hAnsi="Times New Roman" w:cs="Times New Roman"/>
          <w:color w:val="0000FF"/>
          <w:kern w:val="0"/>
          <w14:ligatures w14:val="none"/>
        </w:rPr>
        <w:t>s</w:t>
      </w:r>
      <w:r w:rsidRPr="00F71FEA">
        <w:rPr>
          <w:rFonts w:ascii="Times New Roman" w:eastAsia="Calibri" w:hAnsi="Times New Roman" w:cs="Times New Roman"/>
          <w:color w:val="0000FF"/>
          <w:kern w:val="0"/>
          <w14:ligatures w14:val="none"/>
        </w:rPr>
        <w:t xml:space="preserve"> concentration in water samples from </w:t>
      </w:r>
      <w:proofErr w:type="spellStart"/>
      <w:r w:rsidRPr="00F71FEA">
        <w:rPr>
          <w:rFonts w:ascii="Times New Roman" w:eastAsia="Calibri" w:hAnsi="Times New Roman" w:cs="Times New Roman"/>
          <w:color w:val="0000FF"/>
          <w:kern w:val="0"/>
          <w14:ligatures w14:val="none"/>
        </w:rPr>
        <w:t>Woji</w:t>
      </w:r>
      <w:proofErr w:type="spellEnd"/>
      <w:r w:rsidRPr="00F71FEA">
        <w:rPr>
          <w:rFonts w:ascii="Times New Roman" w:eastAsia="Calibri" w:hAnsi="Times New Roman" w:cs="Times New Roman"/>
          <w:color w:val="0000FF"/>
          <w:kern w:val="0"/>
          <w14:ligatures w14:val="none"/>
        </w:rPr>
        <w:t xml:space="preserve"> River</w:t>
      </w:r>
    </w:p>
    <w:p w14:paraId="4CE970AC" w14:textId="77777777" w:rsidR="007B0D4F" w:rsidRPr="00F71FEA" w:rsidRDefault="007B0D4F" w:rsidP="00A85C27">
      <w:pPr>
        <w:spacing w:after="0" w:line="240" w:lineRule="auto"/>
        <w:jc w:val="both"/>
        <w:rPr>
          <w:rFonts w:ascii="Times New Roman" w:eastAsia="Calibri" w:hAnsi="Times New Roman" w:cs="Times New Roman"/>
          <w:color w:val="0000FF"/>
          <w:kern w:val="0"/>
          <w14:ligatures w14:val="none"/>
        </w:rPr>
      </w:pPr>
    </w:p>
    <w:tbl>
      <w:tblPr>
        <w:tblStyle w:val="TableGrid"/>
        <w:tblW w:w="1053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876"/>
        <w:gridCol w:w="894"/>
        <w:gridCol w:w="871"/>
        <w:gridCol w:w="852"/>
        <w:gridCol w:w="900"/>
        <w:gridCol w:w="900"/>
        <w:gridCol w:w="1620"/>
        <w:gridCol w:w="1710"/>
      </w:tblGrid>
      <w:tr w:rsidR="00A85C27" w:rsidRPr="00F71FEA" w14:paraId="2F254EE3" w14:textId="77777777" w:rsidTr="002A4414">
        <w:trPr>
          <w:cantSplit/>
          <w:trHeight w:val="665"/>
        </w:trPr>
        <w:tc>
          <w:tcPr>
            <w:tcW w:w="1907" w:type="dxa"/>
            <w:tcBorders>
              <w:top w:val="single" w:sz="4" w:space="0" w:color="auto"/>
              <w:bottom w:val="single" w:sz="4" w:space="0" w:color="auto"/>
            </w:tcBorders>
            <w:noWrap/>
            <w:hideMark/>
          </w:tcPr>
          <w:p w14:paraId="3294672D" w14:textId="77777777" w:rsidR="00A85C27" w:rsidRPr="00F71FEA" w:rsidRDefault="00A85C27" w:rsidP="002A4414">
            <w:pPr>
              <w:spacing w:line="240" w:lineRule="auto"/>
              <w:jc w:val="both"/>
              <w:rPr>
                <w:rFonts w:ascii="Times New Roman" w:hAnsi="Times New Roman" w:cs="Times New Roman"/>
                <w:b/>
                <w:bCs/>
                <w:sz w:val="22"/>
                <w:szCs w:val="22"/>
              </w:rPr>
            </w:pPr>
            <w:r w:rsidRPr="00F71FEA">
              <w:rPr>
                <w:rFonts w:ascii="Times New Roman" w:hAnsi="Times New Roman" w:cs="Times New Roman"/>
                <w:b/>
                <w:bCs/>
                <w:sz w:val="22"/>
                <w:szCs w:val="22"/>
              </w:rPr>
              <w:t>Parameters</w:t>
            </w:r>
          </w:p>
        </w:tc>
        <w:tc>
          <w:tcPr>
            <w:tcW w:w="876" w:type="dxa"/>
            <w:tcBorders>
              <w:top w:val="single" w:sz="4" w:space="0" w:color="auto"/>
              <w:bottom w:val="single" w:sz="4" w:space="0" w:color="auto"/>
            </w:tcBorders>
            <w:noWrap/>
            <w:hideMark/>
          </w:tcPr>
          <w:p w14:paraId="02470A62" w14:textId="77777777" w:rsidR="00A85C27" w:rsidRPr="00F71FEA" w:rsidRDefault="00A85C27" w:rsidP="002A4414">
            <w:pPr>
              <w:spacing w:line="240" w:lineRule="auto"/>
              <w:jc w:val="both"/>
              <w:rPr>
                <w:rFonts w:ascii="Times New Roman" w:hAnsi="Times New Roman" w:cs="Times New Roman"/>
                <w:b/>
                <w:bCs/>
                <w:sz w:val="22"/>
                <w:szCs w:val="22"/>
              </w:rPr>
            </w:pPr>
            <w:r w:rsidRPr="00F71FEA">
              <w:rPr>
                <w:rFonts w:ascii="Times New Roman" w:hAnsi="Times New Roman" w:cs="Times New Roman"/>
                <w:b/>
                <w:bCs/>
                <w:sz w:val="22"/>
                <w:szCs w:val="22"/>
              </w:rPr>
              <w:t>Point 1</w:t>
            </w:r>
          </w:p>
        </w:tc>
        <w:tc>
          <w:tcPr>
            <w:tcW w:w="894" w:type="dxa"/>
            <w:tcBorders>
              <w:top w:val="single" w:sz="4" w:space="0" w:color="auto"/>
              <w:bottom w:val="single" w:sz="4" w:space="0" w:color="auto"/>
            </w:tcBorders>
            <w:noWrap/>
            <w:hideMark/>
          </w:tcPr>
          <w:p w14:paraId="7A660DB1" w14:textId="77777777" w:rsidR="00A85C27" w:rsidRPr="00F71FEA" w:rsidRDefault="00A85C27" w:rsidP="002A4414">
            <w:pPr>
              <w:spacing w:line="240" w:lineRule="auto"/>
              <w:jc w:val="both"/>
              <w:rPr>
                <w:rFonts w:ascii="Times New Roman" w:hAnsi="Times New Roman" w:cs="Times New Roman"/>
                <w:b/>
                <w:bCs/>
                <w:sz w:val="22"/>
                <w:szCs w:val="22"/>
              </w:rPr>
            </w:pPr>
            <w:r w:rsidRPr="00F71FEA">
              <w:rPr>
                <w:rFonts w:ascii="Times New Roman" w:hAnsi="Times New Roman" w:cs="Times New Roman"/>
                <w:b/>
                <w:bCs/>
                <w:sz w:val="22"/>
                <w:szCs w:val="22"/>
              </w:rPr>
              <w:t>Point 2</w:t>
            </w:r>
          </w:p>
        </w:tc>
        <w:tc>
          <w:tcPr>
            <w:tcW w:w="871" w:type="dxa"/>
            <w:tcBorders>
              <w:top w:val="single" w:sz="4" w:space="0" w:color="auto"/>
              <w:bottom w:val="single" w:sz="4" w:space="0" w:color="auto"/>
            </w:tcBorders>
            <w:noWrap/>
            <w:hideMark/>
          </w:tcPr>
          <w:p w14:paraId="38283311" w14:textId="77777777" w:rsidR="00A85C27" w:rsidRPr="00F71FEA" w:rsidRDefault="00A85C27" w:rsidP="002A4414">
            <w:pPr>
              <w:spacing w:line="240" w:lineRule="auto"/>
              <w:jc w:val="both"/>
              <w:rPr>
                <w:rFonts w:ascii="Times New Roman" w:hAnsi="Times New Roman" w:cs="Times New Roman"/>
                <w:b/>
                <w:bCs/>
                <w:sz w:val="22"/>
                <w:szCs w:val="22"/>
              </w:rPr>
            </w:pPr>
            <w:r w:rsidRPr="00F71FEA">
              <w:rPr>
                <w:rFonts w:ascii="Times New Roman" w:hAnsi="Times New Roman" w:cs="Times New Roman"/>
                <w:b/>
                <w:bCs/>
                <w:sz w:val="22"/>
                <w:szCs w:val="22"/>
              </w:rPr>
              <w:t>Point 3</w:t>
            </w:r>
          </w:p>
        </w:tc>
        <w:tc>
          <w:tcPr>
            <w:tcW w:w="852" w:type="dxa"/>
            <w:tcBorders>
              <w:top w:val="single" w:sz="4" w:space="0" w:color="auto"/>
              <w:bottom w:val="single" w:sz="4" w:space="0" w:color="auto"/>
            </w:tcBorders>
            <w:noWrap/>
            <w:hideMark/>
          </w:tcPr>
          <w:p w14:paraId="793BF601" w14:textId="77777777" w:rsidR="00A85C27" w:rsidRPr="00F71FEA" w:rsidRDefault="00A85C27" w:rsidP="007B0D4F">
            <w:pPr>
              <w:spacing w:line="240" w:lineRule="auto"/>
              <w:ind w:right="-153"/>
              <w:jc w:val="both"/>
              <w:rPr>
                <w:rFonts w:ascii="Times New Roman" w:hAnsi="Times New Roman" w:cs="Times New Roman"/>
                <w:b/>
                <w:bCs/>
                <w:sz w:val="22"/>
                <w:szCs w:val="22"/>
              </w:rPr>
            </w:pPr>
            <w:r w:rsidRPr="00F71FEA">
              <w:rPr>
                <w:rFonts w:ascii="Times New Roman" w:hAnsi="Times New Roman" w:cs="Times New Roman"/>
                <w:b/>
                <w:bCs/>
                <w:sz w:val="22"/>
                <w:szCs w:val="22"/>
              </w:rPr>
              <w:t>Point</w:t>
            </w:r>
            <w:r w:rsidR="007B0D4F" w:rsidRPr="00F71FEA">
              <w:rPr>
                <w:rFonts w:ascii="Times New Roman" w:hAnsi="Times New Roman" w:cs="Times New Roman"/>
                <w:b/>
                <w:bCs/>
                <w:sz w:val="22"/>
                <w:szCs w:val="22"/>
              </w:rPr>
              <w:t xml:space="preserve"> </w:t>
            </w:r>
            <w:r w:rsidRPr="00F71FEA">
              <w:rPr>
                <w:rFonts w:ascii="Times New Roman" w:hAnsi="Times New Roman" w:cs="Times New Roman"/>
                <w:b/>
                <w:bCs/>
                <w:sz w:val="22"/>
                <w:szCs w:val="22"/>
              </w:rPr>
              <w:t>4</w:t>
            </w:r>
          </w:p>
        </w:tc>
        <w:tc>
          <w:tcPr>
            <w:tcW w:w="900" w:type="dxa"/>
            <w:tcBorders>
              <w:top w:val="single" w:sz="4" w:space="0" w:color="auto"/>
              <w:bottom w:val="single" w:sz="4" w:space="0" w:color="auto"/>
            </w:tcBorders>
            <w:noWrap/>
            <w:hideMark/>
          </w:tcPr>
          <w:p w14:paraId="0C59749C" w14:textId="77777777" w:rsidR="00A85C27" w:rsidRPr="00F71FEA" w:rsidRDefault="00A85C27" w:rsidP="002A4414">
            <w:pPr>
              <w:spacing w:line="240" w:lineRule="auto"/>
              <w:jc w:val="both"/>
              <w:rPr>
                <w:rFonts w:ascii="Times New Roman" w:hAnsi="Times New Roman" w:cs="Times New Roman"/>
                <w:b/>
                <w:bCs/>
                <w:sz w:val="22"/>
                <w:szCs w:val="22"/>
              </w:rPr>
            </w:pPr>
            <w:r w:rsidRPr="00F71FEA">
              <w:rPr>
                <w:rFonts w:ascii="Times New Roman" w:hAnsi="Times New Roman" w:cs="Times New Roman"/>
                <w:b/>
                <w:bCs/>
                <w:sz w:val="22"/>
                <w:szCs w:val="22"/>
              </w:rPr>
              <w:t>Point 5</w:t>
            </w:r>
          </w:p>
        </w:tc>
        <w:tc>
          <w:tcPr>
            <w:tcW w:w="900" w:type="dxa"/>
            <w:tcBorders>
              <w:top w:val="single" w:sz="4" w:space="0" w:color="auto"/>
              <w:bottom w:val="single" w:sz="4" w:space="0" w:color="auto"/>
            </w:tcBorders>
            <w:noWrap/>
            <w:hideMark/>
          </w:tcPr>
          <w:p w14:paraId="5EDB3C0B" w14:textId="77777777" w:rsidR="00A85C27" w:rsidRPr="00F71FEA" w:rsidRDefault="00A85C27" w:rsidP="002A4414">
            <w:pPr>
              <w:spacing w:line="240" w:lineRule="auto"/>
              <w:jc w:val="both"/>
              <w:rPr>
                <w:rFonts w:ascii="Times New Roman" w:hAnsi="Times New Roman" w:cs="Times New Roman"/>
                <w:b/>
                <w:bCs/>
                <w:sz w:val="22"/>
                <w:szCs w:val="22"/>
              </w:rPr>
            </w:pPr>
            <w:r w:rsidRPr="00F71FEA">
              <w:rPr>
                <w:rFonts w:ascii="Times New Roman" w:hAnsi="Times New Roman" w:cs="Times New Roman"/>
                <w:b/>
                <w:bCs/>
                <w:sz w:val="22"/>
                <w:szCs w:val="22"/>
              </w:rPr>
              <w:t>Point 6</w:t>
            </w:r>
          </w:p>
        </w:tc>
        <w:tc>
          <w:tcPr>
            <w:tcW w:w="1620" w:type="dxa"/>
            <w:tcBorders>
              <w:top w:val="single" w:sz="4" w:space="0" w:color="auto"/>
              <w:bottom w:val="single" w:sz="4" w:space="0" w:color="auto"/>
            </w:tcBorders>
            <w:noWrap/>
            <w:hideMark/>
          </w:tcPr>
          <w:p w14:paraId="1B9B54C1" w14:textId="77777777" w:rsidR="00A85C27" w:rsidRPr="00F71FEA" w:rsidRDefault="00A85C27" w:rsidP="002A4414">
            <w:pPr>
              <w:spacing w:line="240" w:lineRule="auto"/>
              <w:rPr>
                <w:rFonts w:ascii="Times New Roman" w:hAnsi="Times New Roman" w:cs="Times New Roman"/>
                <w:b/>
                <w:bCs/>
                <w:sz w:val="22"/>
                <w:szCs w:val="22"/>
              </w:rPr>
            </w:pPr>
            <w:r w:rsidRPr="00F71FEA">
              <w:rPr>
                <w:rFonts w:ascii="Times New Roman" w:hAnsi="Times New Roman" w:cs="Times New Roman"/>
                <w:b/>
                <w:bCs/>
                <w:sz w:val="22"/>
                <w:szCs w:val="22"/>
              </w:rPr>
              <w:t>Mean ± SD</w:t>
            </w:r>
          </w:p>
        </w:tc>
        <w:tc>
          <w:tcPr>
            <w:tcW w:w="1710" w:type="dxa"/>
            <w:tcBorders>
              <w:top w:val="single" w:sz="4" w:space="0" w:color="auto"/>
              <w:bottom w:val="single" w:sz="4" w:space="0" w:color="auto"/>
            </w:tcBorders>
          </w:tcPr>
          <w:p w14:paraId="310F3307" w14:textId="77777777" w:rsidR="00A85C27" w:rsidRPr="00F71FEA" w:rsidRDefault="00A85C27" w:rsidP="002A4414">
            <w:pPr>
              <w:spacing w:line="240" w:lineRule="auto"/>
              <w:rPr>
                <w:rFonts w:ascii="Times New Roman" w:hAnsi="Times New Roman" w:cs="Times New Roman"/>
                <w:b/>
                <w:bCs/>
                <w:sz w:val="22"/>
                <w:szCs w:val="22"/>
              </w:rPr>
            </w:pPr>
            <w:r w:rsidRPr="00F71FEA">
              <w:rPr>
                <w:rFonts w:ascii="Times New Roman" w:hAnsi="Times New Roman" w:cs="Times New Roman"/>
                <w:b/>
                <w:bCs/>
                <w:sz w:val="22"/>
                <w:szCs w:val="22"/>
              </w:rPr>
              <w:t>WHO / FEPA Standard</w:t>
            </w:r>
          </w:p>
        </w:tc>
      </w:tr>
      <w:tr w:rsidR="00A85C27" w:rsidRPr="00F71FEA" w14:paraId="06396EAA" w14:textId="77777777" w:rsidTr="002A4414">
        <w:trPr>
          <w:cantSplit/>
          <w:trHeight w:val="440"/>
        </w:trPr>
        <w:tc>
          <w:tcPr>
            <w:tcW w:w="1907" w:type="dxa"/>
            <w:tcBorders>
              <w:top w:val="single" w:sz="4" w:space="0" w:color="auto"/>
            </w:tcBorders>
            <w:noWrap/>
            <w:hideMark/>
          </w:tcPr>
          <w:p w14:paraId="45502EE9"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Copper (ppm)</w:t>
            </w:r>
          </w:p>
        </w:tc>
        <w:tc>
          <w:tcPr>
            <w:tcW w:w="876" w:type="dxa"/>
            <w:tcBorders>
              <w:top w:val="single" w:sz="4" w:space="0" w:color="auto"/>
            </w:tcBorders>
            <w:noWrap/>
            <w:hideMark/>
          </w:tcPr>
          <w:p w14:paraId="30246F5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0.012</w:t>
            </w:r>
          </w:p>
        </w:tc>
        <w:tc>
          <w:tcPr>
            <w:tcW w:w="894" w:type="dxa"/>
            <w:tcBorders>
              <w:top w:val="single" w:sz="4" w:space="0" w:color="auto"/>
            </w:tcBorders>
            <w:noWrap/>
            <w:hideMark/>
          </w:tcPr>
          <w:p w14:paraId="00CF6BF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0.008</w:t>
            </w:r>
          </w:p>
        </w:tc>
        <w:tc>
          <w:tcPr>
            <w:tcW w:w="871" w:type="dxa"/>
            <w:tcBorders>
              <w:top w:val="single" w:sz="4" w:space="0" w:color="auto"/>
            </w:tcBorders>
            <w:noWrap/>
            <w:hideMark/>
          </w:tcPr>
          <w:p w14:paraId="306EA28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0.005</w:t>
            </w:r>
          </w:p>
        </w:tc>
        <w:tc>
          <w:tcPr>
            <w:tcW w:w="852" w:type="dxa"/>
            <w:tcBorders>
              <w:top w:val="single" w:sz="4" w:space="0" w:color="auto"/>
            </w:tcBorders>
            <w:noWrap/>
            <w:hideMark/>
          </w:tcPr>
          <w:p w14:paraId="1F5DD1D0"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0.006</w:t>
            </w:r>
          </w:p>
        </w:tc>
        <w:tc>
          <w:tcPr>
            <w:tcW w:w="900" w:type="dxa"/>
            <w:tcBorders>
              <w:top w:val="single" w:sz="4" w:space="0" w:color="auto"/>
            </w:tcBorders>
            <w:noWrap/>
            <w:hideMark/>
          </w:tcPr>
          <w:p w14:paraId="6D46E37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0.007</w:t>
            </w:r>
          </w:p>
        </w:tc>
        <w:tc>
          <w:tcPr>
            <w:tcW w:w="900" w:type="dxa"/>
            <w:tcBorders>
              <w:top w:val="single" w:sz="4" w:space="0" w:color="auto"/>
            </w:tcBorders>
            <w:noWrap/>
            <w:hideMark/>
          </w:tcPr>
          <w:p w14:paraId="5390B4E4"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0.009</w:t>
            </w:r>
          </w:p>
        </w:tc>
        <w:tc>
          <w:tcPr>
            <w:tcW w:w="1620" w:type="dxa"/>
            <w:tcBorders>
              <w:top w:val="single" w:sz="4" w:space="0" w:color="auto"/>
            </w:tcBorders>
            <w:noWrap/>
            <w:hideMark/>
          </w:tcPr>
          <w:p w14:paraId="717865AB"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0.008 ± 0.002</w:t>
            </w:r>
          </w:p>
        </w:tc>
        <w:tc>
          <w:tcPr>
            <w:tcW w:w="1710" w:type="dxa"/>
            <w:tcBorders>
              <w:top w:val="single" w:sz="4" w:space="0" w:color="auto"/>
            </w:tcBorders>
          </w:tcPr>
          <w:p w14:paraId="32E13EF8"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 2.0 mg/L</w:t>
            </w:r>
          </w:p>
        </w:tc>
      </w:tr>
      <w:tr w:rsidR="00A85C27" w:rsidRPr="00F71FEA" w14:paraId="0A102CA2" w14:textId="77777777" w:rsidTr="002A4414">
        <w:trPr>
          <w:cantSplit/>
          <w:trHeight w:val="387"/>
        </w:trPr>
        <w:tc>
          <w:tcPr>
            <w:tcW w:w="1907" w:type="dxa"/>
            <w:noWrap/>
            <w:hideMark/>
          </w:tcPr>
          <w:p w14:paraId="6457169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Cadmium (ppm)</w:t>
            </w:r>
          </w:p>
        </w:tc>
        <w:tc>
          <w:tcPr>
            <w:tcW w:w="876" w:type="dxa"/>
            <w:noWrap/>
            <w:hideMark/>
          </w:tcPr>
          <w:p w14:paraId="7C09BC5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0.057</w:t>
            </w:r>
          </w:p>
        </w:tc>
        <w:tc>
          <w:tcPr>
            <w:tcW w:w="894" w:type="dxa"/>
            <w:noWrap/>
            <w:hideMark/>
          </w:tcPr>
          <w:p w14:paraId="1C8A9B7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0.05</w:t>
            </w:r>
          </w:p>
        </w:tc>
        <w:tc>
          <w:tcPr>
            <w:tcW w:w="871" w:type="dxa"/>
            <w:noWrap/>
            <w:hideMark/>
          </w:tcPr>
          <w:p w14:paraId="0C7AD98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0.045</w:t>
            </w:r>
          </w:p>
        </w:tc>
        <w:tc>
          <w:tcPr>
            <w:tcW w:w="852" w:type="dxa"/>
            <w:noWrap/>
            <w:hideMark/>
          </w:tcPr>
          <w:p w14:paraId="5FF7095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0.04</w:t>
            </w:r>
          </w:p>
        </w:tc>
        <w:tc>
          <w:tcPr>
            <w:tcW w:w="900" w:type="dxa"/>
            <w:noWrap/>
            <w:hideMark/>
          </w:tcPr>
          <w:p w14:paraId="232D785D"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0.035</w:t>
            </w:r>
          </w:p>
        </w:tc>
        <w:tc>
          <w:tcPr>
            <w:tcW w:w="900" w:type="dxa"/>
            <w:noWrap/>
            <w:hideMark/>
          </w:tcPr>
          <w:p w14:paraId="226F5F0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0.048</w:t>
            </w:r>
          </w:p>
        </w:tc>
        <w:tc>
          <w:tcPr>
            <w:tcW w:w="1620" w:type="dxa"/>
            <w:noWrap/>
            <w:hideMark/>
          </w:tcPr>
          <w:p w14:paraId="259C6D53"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0.046 ± 0.008</w:t>
            </w:r>
          </w:p>
        </w:tc>
        <w:tc>
          <w:tcPr>
            <w:tcW w:w="1710" w:type="dxa"/>
          </w:tcPr>
          <w:p w14:paraId="7D1AD95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 0.003 mg/L</w:t>
            </w:r>
          </w:p>
        </w:tc>
      </w:tr>
      <w:tr w:rsidR="00A85C27" w:rsidRPr="00F71FEA" w14:paraId="45D82E9D" w14:textId="77777777" w:rsidTr="002A4414">
        <w:trPr>
          <w:cantSplit/>
          <w:trHeight w:val="360"/>
        </w:trPr>
        <w:tc>
          <w:tcPr>
            <w:tcW w:w="1907" w:type="dxa"/>
            <w:noWrap/>
            <w:hideMark/>
          </w:tcPr>
          <w:p w14:paraId="298CF07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Iron (ppm)</w:t>
            </w:r>
          </w:p>
        </w:tc>
        <w:tc>
          <w:tcPr>
            <w:tcW w:w="876" w:type="dxa"/>
            <w:noWrap/>
            <w:hideMark/>
          </w:tcPr>
          <w:p w14:paraId="1EF2904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0.103</w:t>
            </w:r>
          </w:p>
        </w:tc>
        <w:tc>
          <w:tcPr>
            <w:tcW w:w="894" w:type="dxa"/>
            <w:noWrap/>
            <w:hideMark/>
          </w:tcPr>
          <w:p w14:paraId="5A95B55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0.12</w:t>
            </w:r>
            <w:r w:rsidR="009C2A0C" w:rsidRPr="00F71FEA">
              <w:rPr>
                <w:rFonts w:ascii="Times New Roman" w:hAnsi="Times New Roman" w:cs="Times New Roman"/>
                <w:color w:val="0033CC"/>
                <w:sz w:val="22"/>
                <w:szCs w:val="22"/>
              </w:rPr>
              <w:t>0</w:t>
            </w:r>
          </w:p>
        </w:tc>
        <w:tc>
          <w:tcPr>
            <w:tcW w:w="871" w:type="dxa"/>
            <w:noWrap/>
            <w:hideMark/>
          </w:tcPr>
          <w:p w14:paraId="3C5B3B6D"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0.11</w:t>
            </w:r>
            <w:r w:rsidR="009C2A0C" w:rsidRPr="00F71FEA">
              <w:rPr>
                <w:rFonts w:ascii="Times New Roman" w:hAnsi="Times New Roman" w:cs="Times New Roman"/>
                <w:color w:val="0033CC"/>
                <w:sz w:val="22"/>
                <w:szCs w:val="22"/>
              </w:rPr>
              <w:t>0</w:t>
            </w:r>
          </w:p>
        </w:tc>
        <w:tc>
          <w:tcPr>
            <w:tcW w:w="852" w:type="dxa"/>
            <w:noWrap/>
            <w:hideMark/>
          </w:tcPr>
          <w:p w14:paraId="1303967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0.095</w:t>
            </w:r>
          </w:p>
        </w:tc>
        <w:tc>
          <w:tcPr>
            <w:tcW w:w="900" w:type="dxa"/>
            <w:noWrap/>
            <w:hideMark/>
          </w:tcPr>
          <w:p w14:paraId="0BB14E1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0.088</w:t>
            </w:r>
          </w:p>
        </w:tc>
        <w:tc>
          <w:tcPr>
            <w:tcW w:w="900" w:type="dxa"/>
            <w:noWrap/>
            <w:hideMark/>
          </w:tcPr>
          <w:p w14:paraId="2C0CCA6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0.09</w:t>
            </w:r>
            <w:r w:rsidR="009C2A0C" w:rsidRPr="00F71FEA">
              <w:rPr>
                <w:rFonts w:ascii="Times New Roman" w:hAnsi="Times New Roman" w:cs="Times New Roman"/>
                <w:color w:val="0033CC"/>
                <w:sz w:val="22"/>
                <w:szCs w:val="22"/>
              </w:rPr>
              <w:t>0</w:t>
            </w:r>
          </w:p>
        </w:tc>
        <w:tc>
          <w:tcPr>
            <w:tcW w:w="1620" w:type="dxa"/>
            <w:noWrap/>
            <w:hideMark/>
          </w:tcPr>
          <w:p w14:paraId="01BD9E4C"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0.10 ± 0.01</w:t>
            </w:r>
          </w:p>
        </w:tc>
        <w:tc>
          <w:tcPr>
            <w:tcW w:w="1710" w:type="dxa"/>
          </w:tcPr>
          <w:p w14:paraId="626E8B05"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 0.3 mg/L</w:t>
            </w:r>
          </w:p>
        </w:tc>
      </w:tr>
      <w:tr w:rsidR="00A85C27" w:rsidRPr="00F71FEA" w14:paraId="2D5AC596" w14:textId="77777777" w:rsidTr="002A4414">
        <w:trPr>
          <w:cantSplit/>
          <w:trHeight w:val="432"/>
        </w:trPr>
        <w:tc>
          <w:tcPr>
            <w:tcW w:w="1907" w:type="dxa"/>
            <w:noWrap/>
            <w:hideMark/>
          </w:tcPr>
          <w:p w14:paraId="118107D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Lead (ppm)</w:t>
            </w:r>
          </w:p>
        </w:tc>
        <w:tc>
          <w:tcPr>
            <w:tcW w:w="876" w:type="dxa"/>
            <w:noWrap/>
            <w:hideMark/>
          </w:tcPr>
          <w:p w14:paraId="1E159B0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0.077</w:t>
            </w:r>
          </w:p>
        </w:tc>
        <w:tc>
          <w:tcPr>
            <w:tcW w:w="894" w:type="dxa"/>
            <w:noWrap/>
            <w:hideMark/>
          </w:tcPr>
          <w:p w14:paraId="3DE9BEB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0.071</w:t>
            </w:r>
          </w:p>
        </w:tc>
        <w:tc>
          <w:tcPr>
            <w:tcW w:w="871" w:type="dxa"/>
            <w:noWrap/>
            <w:hideMark/>
          </w:tcPr>
          <w:p w14:paraId="4B46B538"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0.07</w:t>
            </w:r>
            <w:r w:rsidR="009C2A0C" w:rsidRPr="00F71FEA">
              <w:rPr>
                <w:rFonts w:ascii="Times New Roman" w:hAnsi="Times New Roman" w:cs="Times New Roman"/>
                <w:color w:val="0033CC"/>
                <w:sz w:val="22"/>
                <w:szCs w:val="22"/>
              </w:rPr>
              <w:t>0</w:t>
            </w:r>
          </w:p>
        </w:tc>
        <w:tc>
          <w:tcPr>
            <w:tcW w:w="852" w:type="dxa"/>
            <w:noWrap/>
            <w:hideMark/>
          </w:tcPr>
          <w:p w14:paraId="72A3026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0.075</w:t>
            </w:r>
          </w:p>
        </w:tc>
        <w:tc>
          <w:tcPr>
            <w:tcW w:w="900" w:type="dxa"/>
            <w:noWrap/>
            <w:hideMark/>
          </w:tcPr>
          <w:p w14:paraId="72A01A2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0.065</w:t>
            </w:r>
          </w:p>
        </w:tc>
        <w:tc>
          <w:tcPr>
            <w:tcW w:w="900" w:type="dxa"/>
            <w:noWrap/>
            <w:hideMark/>
          </w:tcPr>
          <w:p w14:paraId="0319652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0.08</w:t>
            </w:r>
            <w:r w:rsidR="009C2A0C" w:rsidRPr="00F71FEA">
              <w:rPr>
                <w:rFonts w:ascii="Times New Roman" w:hAnsi="Times New Roman" w:cs="Times New Roman"/>
                <w:color w:val="0033CC"/>
                <w:sz w:val="22"/>
                <w:szCs w:val="22"/>
              </w:rPr>
              <w:t>0</w:t>
            </w:r>
          </w:p>
        </w:tc>
        <w:tc>
          <w:tcPr>
            <w:tcW w:w="1620" w:type="dxa"/>
            <w:noWrap/>
            <w:hideMark/>
          </w:tcPr>
          <w:p w14:paraId="004A4830"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0.073 ± 0.005</w:t>
            </w:r>
          </w:p>
        </w:tc>
        <w:tc>
          <w:tcPr>
            <w:tcW w:w="1710" w:type="dxa"/>
          </w:tcPr>
          <w:p w14:paraId="3CC003B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 0.01 mg/L</w:t>
            </w:r>
          </w:p>
        </w:tc>
      </w:tr>
      <w:tr w:rsidR="00A85C27" w:rsidRPr="00F71FEA" w14:paraId="054D1376" w14:textId="77777777" w:rsidTr="002A4414">
        <w:trPr>
          <w:cantSplit/>
          <w:trHeight w:val="378"/>
        </w:trPr>
        <w:tc>
          <w:tcPr>
            <w:tcW w:w="1907" w:type="dxa"/>
            <w:noWrap/>
            <w:hideMark/>
          </w:tcPr>
          <w:p w14:paraId="0E5AD3B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Chromium (ppm)</w:t>
            </w:r>
          </w:p>
        </w:tc>
        <w:tc>
          <w:tcPr>
            <w:tcW w:w="876" w:type="dxa"/>
            <w:noWrap/>
            <w:hideMark/>
          </w:tcPr>
          <w:p w14:paraId="4D793DF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0.031</w:t>
            </w:r>
          </w:p>
        </w:tc>
        <w:tc>
          <w:tcPr>
            <w:tcW w:w="894" w:type="dxa"/>
            <w:noWrap/>
            <w:hideMark/>
          </w:tcPr>
          <w:p w14:paraId="3F4A294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0.028</w:t>
            </w:r>
          </w:p>
        </w:tc>
        <w:tc>
          <w:tcPr>
            <w:tcW w:w="871" w:type="dxa"/>
            <w:noWrap/>
            <w:hideMark/>
          </w:tcPr>
          <w:p w14:paraId="1B1F7E9D"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0.02</w:t>
            </w:r>
            <w:r w:rsidR="009C2A0C" w:rsidRPr="00F71FEA">
              <w:rPr>
                <w:rFonts w:ascii="Times New Roman" w:hAnsi="Times New Roman" w:cs="Times New Roman"/>
                <w:color w:val="0033CC"/>
                <w:sz w:val="22"/>
                <w:szCs w:val="22"/>
              </w:rPr>
              <w:t>0</w:t>
            </w:r>
          </w:p>
        </w:tc>
        <w:tc>
          <w:tcPr>
            <w:tcW w:w="852" w:type="dxa"/>
            <w:noWrap/>
            <w:hideMark/>
          </w:tcPr>
          <w:p w14:paraId="2249086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0.015</w:t>
            </w:r>
          </w:p>
        </w:tc>
        <w:tc>
          <w:tcPr>
            <w:tcW w:w="900" w:type="dxa"/>
            <w:noWrap/>
            <w:hideMark/>
          </w:tcPr>
          <w:p w14:paraId="66D345AE"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0.025</w:t>
            </w:r>
          </w:p>
        </w:tc>
        <w:tc>
          <w:tcPr>
            <w:tcW w:w="900" w:type="dxa"/>
            <w:noWrap/>
            <w:hideMark/>
          </w:tcPr>
          <w:p w14:paraId="52251940"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0.02</w:t>
            </w:r>
            <w:r w:rsidR="009C2A0C" w:rsidRPr="00F71FEA">
              <w:rPr>
                <w:rFonts w:ascii="Times New Roman" w:hAnsi="Times New Roman" w:cs="Times New Roman"/>
                <w:color w:val="0033CC"/>
                <w:sz w:val="22"/>
                <w:szCs w:val="22"/>
              </w:rPr>
              <w:t>0</w:t>
            </w:r>
          </w:p>
        </w:tc>
        <w:tc>
          <w:tcPr>
            <w:tcW w:w="1620" w:type="dxa"/>
            <w:noWrap/>
            <w:hideMark/>
          </w:tcPr>
          <w:p w14:paraId="74467B72"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0.023 ± 0.006</w:t>
            </w:r>
          </w:p>
        </w:tc>
        <w:tc>
          <w:tcPr>
            <w:tcW w:w="1710" w:type="dxa"/>
          </w:tcPr>
          <w:p w14:paraId="4EFAC464"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 0.05 mg/L</w:t>
            </w:r>
          </w:p>
        </w:tc>
      </w:tr>
      <w:tr w:rsidR="00A85C27" w:rsidRPr="00F71FEA" w14:paraId="26A07B0D" w14:textId="77777777" w:rsidTr="002A4414">
        <w:trPr>
          <w:cantSplit/>
          <w:trHeight w:val="450"/>
        </w:trPr>
        <w:tc>
          <w:tcPr>
            <w:tcW w:w="1907" w:type="dxa"/>
            <w:noWrap/>
            <w:hideMark/>
          </w:tcPr>
          <w:p w14:paraId="78F0554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Cobalt (ppm)</w:t>
            </w:r>
          </w:p>
        </w:tc>
        <w:tc>
          <w:tcPr>
            <w:tcW w:w="876" w:type="dxa"/>
            <w:noWrap/>
            <w:hideMark/>
          </w:tcPr>
          <w:p w14:paraId="37039214"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0.219</w:t>
            </w:r>
          </w:p>
        </w:tc>
        <w:tc>
          <w:tcPr>
            <w:tcW w:w="894" w:type="dxa"/>
            <w:noWrap/>
            <w:hideMark/>
          </w:tcPr>
          <w:p w14:paraId="1F07DFA9"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0.201</w:t>
            </w:r>
          </w:p>
        </w:tc>
        <w:tc>
          <w:tcPr>
            <w:tcW w:w="871" w:type="dxa"/>
            <w:noWrap/>
            <w:hideMark/>
          </w:tcPr>
          <w:p w14:paraId="0C1C1A6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0.21</w:t>
            </w:r>
            <w:r w:rsidR="009C2A0C" w:rsidRPr="00F71FEA">
              <w:rPr>
                <w:rFonts w:ascii="Times New Roman" w:hAnsi="Times New Roman" w:cs="Times New Roman"/>
                <w:color w:val="0033CC"/>
                <w:sz w:val="22"/>
                <w:szCs w:val="22"/>
              </w:rPr>
              <w:t>0</w:t>
            </w:r>
          </w:p>
        </w:tc>
        <w:tc>
          <w:tcPr>
            <w:tcW w:w="852" w:type="dxa"/>
            <w:noWrap/>
            <w:hideMark/>
          </w:tcPr>
          <w:p w14:paraId="2D2EC51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0.18</w:t>
            </w:r>
            <w:r w:rsidR="009C2A0C" w:rsidRPr="00F71FEA">
              <w:rPr>
                <w:rFonts w:ascii="Times New Roman" w:hAnsi="Times New Roman" w:cs="Times New Roman"/>
                <w:color w:val="0033CC"/>
                <w:sz w:val="22"/>
                <w:szCs w:val="22"/>
              </w:rPr>
              <w:t>0</w:t>
            </w:r>
          </w:p>
        </w:tc>
        <w:tc>
          <w:tcPr>
            <w:tcW w:w="900" w:type="dxa"/>
            <w:noWrap/>
            <w:hideMark/>
          </w:tcPr>
          <w:p w14:paraId="764C59C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0.175</w:t>
            </w:r>
          </w:p>
        </w:tc>
        <w:tc>
          <w:tcPr>
            <w:tcW w:w="900" w:type="dxa"/>
            <w:noWrap/>
            <w:hideMark/>
          </w:tcPr>
          <w:p w14:paraId="6A1DE1C4"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0.185</w:t>
            </w:r>
          </w:p>
        </w:tc>
        <w:tc>
          <w:tcPr>
            <w:tcW w:w="1620" w:type="dxa"/>
            <w:noWrap/>
            <w:hideMark/>
          </w:tcPr>
          <w:p w14:paraId="176B0362"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0.195 ± 0.018</w:t>
            </w:r>
          </w:p>
        </w:tc>
        <w:tc>
          <w:tcPr>
            <w:tcW w:w="1710" w:type="dxa"/>
          </w:tcPr>
          <w:p w14:paraId="7F6D7EA5"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 0.05 mg/L</w:t>
            </w:r>
          </w:p>
        </w:tc>
      </w:tr>
      <w:tr w:rsidR="00A85C27" w:rsidRPr="00F71FEA" w14:paraId="676A7AEA" w14:textId="77777777" w:rsidTr="002A4414">
        <w:trPr>
          <w:cantSplit/>
          <w:trHeight w:val="360"/>
        </w:trPr>
        <w:tc>
          <w:tcPr>
            <w:tcW w:w="1907" w:type="dxa"/>
            <w:noWrap/>
            <w:hideMark/>
          </w:tcPr>
          <w:p w14:paraId="759D65F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Vanadium (ppm)</w:t>
            </w:r>
          </w:p>
        </w:tc>
        <w:tc>
          <w:tcPr>
            <w:tcW w:w="876" w:type="dxa"/>
            <w:noWrap/>
            <w:hideMark/>
          </w:tcPr>
          <w:p w14:paraId="325E3A3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0.112</w:t>
            </w:r>
          </w:p>
        </w:tc>
        <w:tc>
          <w:tcPr>
            <w:tcW w:w="894" w:type="dxa"/>
            <w:noWrap/>
            <w:hideMark/>
          </w:tcPr>
          <w:p w14:paraId="63ECC09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0.101</w:t>
            </w:r>
          </w:p>
        </w:tc>
        <w:tc>
          <w:tcPr>
            <w:tcW w:w="871" w:type="dxa"/>
            <w:noWrap/>
            <w:hideMark/>
          </w:tcPr>
          <w:p w14:paraId="0CA4AAC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0.093</w:t>
            </w:r>
          </w:p>
        </w:tc>
        <w:tc>
          <w:tcPr>
            <w:tcW w:w="852" w:type="dxa"/>
            <w:noWrap/>
            <w:hideMark/>
          </w:tcPr>
          <w:p w14:paraId="2437A8C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0.087</w:t>
            </w:r>
          </w:p>
        </w:tc>
        <w:tc>
          <w:tcPr>
            <w:tcW w:w="900" w:type="dxa"/>
            <w:noWrap/>
            <w:hideMark/>
          </w:tcPr>
          <w:p w14:paraId="065274A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0.081</w:t>
            </w:r>
          </w:p>
        </w:tc>
        <w:tc>
          <w:tcPr>
            <w:tcW w:w="900" w:type="dxa"/>
            <w:noWrap/>
            <w:hideMark/>
          </w:tcPr>
          <w:p w14:paraId="24529B90"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0.09</w:t>
            </w:r>
            <w:r w:rsidR="009C2A0C" w:rsidRPr="00F71FEA">
              <w:rPr>
                <w:rFonts w:ascii="Times New Roman" w:hAnsi="Times New Roman" w:cs="Times New Roman"/>
                <w:color w:val="0033CC"/>
                <w:sz w:val="22"/>
                <w:szCs w:val="22"/>
              </w:rPr>
              <w:t>0</w:t>
            </w:r>
          </w:p>
        </w:tc>
        <w:tc>
          <w:tcPr>
            <w:tcW w:w="1620" w:type="dxa"/>
            <w:noWrap/>
            <w:hideMark/>
          </w:tcPr>
          <w:p w14:paraId="1026BC2E"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0.094 ± 0.011</w:t>
            </w:r>
          </w:p>
        </w:tc>
        <w:tc>
          <w:tcPr>
            <w:tcW w:w="1710" w:type="dxa"/>
          </w:tcPr>
          <w:p w14:paraId="390DF486"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 0.05 mg/L</w:t>
            </w:r>
          </w:p>
        </w:tc>
      </w:tr>
      <w:tr w:rsidR="00A85C27" w:rsidRPr="00F71FEA" w14:paraId="2DC9CA7D" w14:textId="77777777" w:rsidTr="002A4414">
        <w:trPr>
          <w:cantSplit/>
          <w:trHeight w:val="360"/>
        </w:trPr>
        <w:tc>
          <w:tcPr>
            <w:tcW w:w="1907" w:type="dxa"/>
            <w:noWrap/>
            <w:hideMark/>
          </w:tcPr>
          <w:p w14:paraId="7AFA52B9"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Potassium (ppm)</w:t>
            </w:r>
          </w:p>
        </w:tc>
        <w:tc>
          <w:tcPr>
            <w:tcW w:w="876" w:type="dxa"/>
            <w:noWrap/>
            <w:hideMark/>
          </w:tcPr>
          <w:p w14:paraId="70447CBD"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56.9</w:t>
            </w:r>
            <w:r w:rsidR="004607E8" w:rsidRPr="00F71FEA">
              <w:rPr>
                <w:rFonts w:ascii="Times New Roman" w:hAnsi="Times New Roman" w:cs="Times New Roman"/>
                <w:sz w:val="22"/>
                <w:szCs w:val="22"/>
              </w:rPr>
              <w:t>9</w:t>
            </w:r>
          </w:p>
        </w:tc>
        <w:tc>
          <w:tcPr>
            <w:tcW w:w="894" w:type="dxa"/>
            <w:noWrap/>
            <w:hideMark/>
          </w:tcPr>
          <w:p w14:paraId="0E72507B"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50.52</w:t>
            </w:r>
          </w:p>
        </w:tc>
        <w:tc>
          <w:tcPr>
            <w:tcW w:w="871" w:type="dxa"/>
            <w:noWrap/>
            <w:hideMark/>
          </w:tcPr>
          <w:p w14:paraId="52862EDD"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45.1</w:t>
            </w:r>
            <w:r w:rsidR="004607E8" w:rsidRPr="00F71FEA">
              <w:rPr>
                <w:rFonts w:ascii="Times New Roman" w:hAnsi="Times New Roman" w:cs="Times New Roman"/>
                <w:color w:val="0033CC"/>
                <w:sz w:val="22"/>
                <w:szCs w:val="22"/>
              </w:rPr>
              <w:t>0</w:t>
            </w:r>
          </w:p>
        </w:tc>
        <w:tc>
          <w:tcPr>
            <w:tcW w:w="852" w:type="dxa"/>
            <w:noWrap/>
            <w:hideMark/>
          </w:tcPr>
          <w:p w14:paraId="00C0A64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40.3</w:t>
            </w:r>
            <w:r w:rsidR="004607E8" w:rsidRPr="00F71FEA">
              <w:rPr>
                <w:rFonts w:ascii="Times New Roman" w:hAnsi="Times New Roman" w:cs="Times New Roman"/>
                <w:color w:val="0033CC"/>
                <w:sz w:val="22"/>
                <w:szCs w:val="22"/>
              </w:rPr>
              <w:t>0</w:t>
            </w:r>
          </w:p>
        </w:tc>
        <w:tc>
          <w:tcPr>
            <w:tcW w:w="900" w:type="dxa"/>
            <w:noWrap/>
            <w:hideMark/>
          </w:tcPr>
          <w:p w14:paraId="79B700D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43.52</w:t>
            </w:r>
          </w:p>
        </w:tc>
        <w:tc>
          <w:tcPr>
            <w:tcW w:w="900" w:type="dxa"/>
            <w:noWrap/>
            <w:hideMark/>
          </w:tcPr>
          <w:p w14:paraId="7CA9757A"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35.56</w:t>
            </w:r>
          </w:p>
        </w:tc>
        <w:tc>
          <w:tcPr>
            <w:tcW w:w="1620" w:type="dxa"/>
            <w:noWrap/>
            <w:hideMark/>
          </w:tcPr>
          <w:p w14:paraId="0C0CC87A"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45.33 ± 7.58</w:t>
            </w:r>
          </w:p>
        </w:tc>
        <w:tc>
          <w:tcPr>
            <w:tcW w:w="1710" w:type="dxa"/>
          </w:tcPr>
          <w:p w14:paraId="6173AD3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NS</w:t>
            </w:r>
          </w:p>
        </w:tc>
      </w:tr>
      <w:tr w:rsidR="00A85C27" w:rsidRPr="00F71FEA" w14:paraId="510269CF" w14:textId="77777777" w:rsidTr="002A4414">
        <w:trPr>
          <w:cantSplit/>
          <w:trHeight w:val="252"/>
        </w:trPr>
        <w:tc>
          <w:tcPr>
            <w:tcW w:w="1907" w:type="dxa"/>
            <w:tcBorders>
              <w:bottom w:val="single" w:sz="4" w:space="0" w:color="auto"/>
            </w:tcBorders>
            <w:noWrap/>
            <w:hideMark/>
          </w:tcPr>
          <w:p w14:paraId="3169E245"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Nickel (ppm)</w:t>
            </w:r>
          </w:p>
        </w:tc>
        <w:tc>
          <w:tcPr>
            <w:tcW w:w="876" w:type="dxa"/>
            <w:tcBorders>
              <w:bottom w:val="single" w:sz="4" w:space="0" w:color="auto"/>
            </w:tcBorders>
            <w:noWrap/>
            <w:hideMark/>
          </w:tcPr>
          <w:p w14:paraId="461A4822"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0.015</w:t>
            </w:r>
          </w:p>
        </w:tc>
        <w:tc>
          <w:tcPr>
            <w:tcW w:w="894" w:type="dxa"/>
            <w:tcBorders>
              <w:bottom w:val="single" w:sz="4" w:space="0" w:color="auto"/>
            </w:tcBorders>
            <w:noWrap/>
            <w:hideMark/>
          </w:tcPr>
          <w:p w14:paraId="794E1CBC"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0.01</w:t>
            </w:r>
            <w:r w:rsidR="009C2A0C" w:rsidRPr="00F71FEA">
              <w:rPr>
                <w:rFonts w:ascii="Times New Roman" w:hAnsi="Times New Roman" w:cs="Times New Roman"/>
                <w:color w:val="0033CC"/>
                <w:sz w:val="22"/>
                <w:szCs w:val="22"/>
              </w:rPr>
              <w:t>0</w:t>
            </w:r>
          </w:p>
        </w:tc>
        <w:tc>
          <w:tcPr>
            <w:tcW w:w="871" w:type="dxa"/>
            <w:tcBorders>
              <w:bottom w:val="single" w:sz="4" w:space="0" w:color="auto"/>
            </w:tcBorders>
            <w:noWrap/>
            <w:hideMark/>
          </w:tcPr>
          <w:p w14:paraId="44B15713"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0.017</w:t>
            </w:r>
          </w:p>
        </w:tc>
        <w:tc>
          <w:tcPr>
            <w:tcW w:w="852" w:type="dxa"/>
            <w:tcBorders>
              <w:bottom w:val="single" w:sz="4" w:space="0" w:color="auto"/>
            </w:tcBorders>
            <w:noWrap/>
            <w:hideMark/>
          </w:tcPr>
          <w:p w14:paraId="62665AA1"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0.011</w:t>
            </w:r>
          </w:p>
        </w:tc>
        <w:tc>
          <w:tcPr>
            <w:tcW w:w="900" w:type="dxa"/>
            <w:tcBorders>
              <w:bottom w:val="single" w:sz="4" w:space="0" w:color="auto"/>
            </w:tcBorders>
            <w:noWrap/>
            <w:hideMark/>
          </w:tcPr>
          <w:p w14:paraId="0BAFAD74"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0.012</w:t>
            </w:r>
          </w:p>
        </w:tc>
        <w:tc>
          <w:tcPr>
            <w:tcW w:w="900" w:type="dxa"/>
            <w:tcBorders>
              <w:bottom w:val="single" w:sz="4" w:space="0" w:color="auto"/>
            </w:tcBorders>
            <w:noWrap/>
            <w:hideMark/>
          </w:tcPr>
          <w:p w14:paraId="6D9E023F"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0.1</w:t>
            </w:r>
            <w:r w:rsidR="009C2A0C" w:rsidRPr="00F71FEA">
              <w:rPr>
                <w:rFonts w:ascii="Times New Roman" w:hAnsi="Times New Roman" w:cs="Times New Roman"/>
                <w:color w:val="0033CC"/>
                <w:sz w:val="22"/>
                <w:szCs w:val="22"/>
              </w:rPr>
              <w:t>00</w:t>
            </w:r>
          </w:p>
        </w:tc>
        <w:tc>
          <w:tcPr>
            <w:tcW w:w="1620" w:type="dxa"/>
            <w:tcBorders>
              <w:bottom w:val="single" w:sz="4" w:space="0" w:color="auto"/>
            </w:tcBorders>
            <w:noWrap/>
            <w:hideMark/>
          </w:tcPr>
          <w:p w14:paraId="61C9132F" w14:textId="77777777" w:rsidR="00A85C27" w:rsidRPr="00F71FEA" w:rsidRDefault="00A85C27" w:rsidP="002A4414">
            <w:pPr>
              <w:spacing w:line="240" w:lineRule="auto"/>
              <w:rPr>
                <w:rFonts w:ascii="Times New Roman" w:hAnsi="Times New Roman" w:cs="Times New Roman"/>
                <w:color w:val="0000FF"/>
                <w:sz w:val="22"/>
                <w:szCs w:val="22"/>
              </w:rPr>
            </w:pPr>
            <w:r w:rsidRPr="00F71FEA">
              <w:rPr>
                <w:rFonts w:ascii="Times New Roman" w:hAnsi="Times New Roman" w:cs="Times New Roman"/>
                <w:color w:val="0000FF"/>
                <w:sz w:val="22"/>
                <w:szCs w:val="22"/>
              </w:rPr>
              <w:t>0.028 ± 0.036</w:t>
            </w:r>
          </w:p>
        </w:tc>
        <w:tc>
          <w:tcPr>
            <w:tcW w:w="1710" w:type="dxa"/>
            <w:tcBorders>
              <w:bottom w:val="single" w:sz="4" w:space="0" w:color="auto"/>
            </w:tcBorders>
          </w:tcPr>
          <w:p w14:paraId="79F1EC47" w14:textId="77777777" w:rsidR="00A85C27" w:rsidRPr="00F71FEA" w:rsidRDefault="00A85C27" w:rsidP="002A4414">
            <w:pPr>
              <w:spacing w:line="240" w:lineRule="auto"/>
              <w:rPr>
                <w:rFonts w:ascii="Times New Roman" w:hAnsi="Times New Roman" w:cs="Times New Roman"/>
                <w:sz w:val="22"/>
                <w:szCs w:val="22"/>
              </w:rPr>
            </w:pPr>
            <w:r w:rsidRPr="00F71FEA">
              <w:rPr>
                <w:rFonts w:ascii="Times New Roman" w:hAnsi="Times New Roman" w:cs="Times New Roman"/>
                <w:sz w:val="22"/>
                <w:szCs w:val="22"/>
              </w:rPr>
              <w:t>≤ 0.02 mg/L</w:t>
            </w:r>
          </w:p>
        </w:tc>
      </w:tr>
    </w:tbl>
    <w:p w14:paraId="64A21A84" w14:textId="77777777" w:rsidR="00C22394" w:rsidRPr="00F71FEA" w:rsidRDefault="00A85C27" w:rsidP="002B6AB3">
      <w:pPr>
        <w:spacing w:line="240" w:lineRule="auto"/>
        <w:jc w:val="both"/>
        <w:rPr>
          <w:rFonts w:ascii="Times New Roman" w:eastAsia="Calibri" w:hAnsi="Times New Roman" w:cs="Times New Roman"/>
          <w:color w:val="0000FF"/>
          <w:kern w:val="0"/>
          <w:sz w:val="22"/>
          <w:szCs w:val="22"/>
          <w14:ligatures w14:val="none"/>
        </w:rPr>
      </w:pPr>
      <w:r w:rsidRPr="00F71FEA">
        <w:rPr>
          <w:rFonts w:ascii="Times New Roman" w:eastAsia="Calibri" w:hAnsi="Times New Roman" w:cs="Times New Roman"/>
          <w:color w:val="0000FF"/>
          <w:kern w:val="0"/>
          <w:sz w:val="22"/>
          <w:szCs w:val="22"/>
          <w14:ligatures w14:val="none"/>
        </w:rPr>
        <w:t xml:space="preserve">Values are presented in Mean ± SD; NS </w:t>
      </w:r>
      <w:r w:rsidR="007B0D4F" w:rsidRPr="00F71FEA">
        <w:rPr>
          <w:rFonts w:ascii="Times New Roman" w:eastAsia="Calibri" w:hAnsi="Times New Roman" w:cs="Times New Roman"/>
          <w:color w:val="0000FF"/>
          <w:kern w:val="0"/>
          <w:sz w:val="22"/>
          <w:szCs w:val="22"/>
          <w14:ligatures w14:val="none"/>
        </w:rPr>
        <w:t>–</w:t>
      </w:r>
      <w:r w:rsidRPr="00F71FEA">
        <w:rPr>
          <w:rFonts w:ascii="Times New Roman" w:eastAsia="Calibri" w:hAnsi="Times New Roman" w:cs="Times New Roman"/>
          <w:color w:val="0000FF"/>
          <w:kern w:val="0"/>
          <w:sz w:val="22"/>
          <w:szCs w:val="22"/>
          <w14:ligatures w14:val="none"/>
        </w:rPr>
        <w:t xml:space="preserve"> Not specified.</w:t>
      </w:r>
      <w:bookmarkStart w:id="10" w:name="_Toc225233664"/>
    </w:p>
    <w:p w14:paraId="39E01E82" w14:textId="77777777" w:rsidR="007B0D4F" w:rsidRPr="00F71FEA" w:rsidRDefault="007B0D4F" w:rsidP="00C22394">
      <w:pPr>
        <w:spacing w:after="0" w:line="360" w:lineRule="auto"/>
        <w:rPr>
          <w:rFonts w:ascii="Times New Roman" w:hAnsi="Times New Roman" w:cs="Times New Roman"/>
          <w:b/>
          <w:bCs/>
          <w:sz w:val="22"/>
          <w:szCs w:val="22"/>
        </w:rPr>
      </w:pPr>
      <w:bookmarkStart w:id="11" w:name="_Toc226960052"/>
    </w:p>
    <w:p w14:paraId="65FF31EC" w14:textId="77777777" w:rsidR="00C22394" w:rsidRPr="00F71FEA" w:rsidRDefault="00D6201B" w:rsidP="00C22394">
      <w:pPr>
        <w:spacing w:after="0" w:line="360" w:lineRule="auto"/>
        <w:rPr>
          <w:rFonts w:ascii="Times New Roman" w:eastAsia="Calibri" w:hAnsi="Times New Roman" w:cs="Times New Roman"/>
          <w:b/>
          <w:bCs/>
          <w:color w:val="0000FF"/>
          <w:kern w:val="0"/>
          <w14:ligatures w14:val="none"/>
        </w:rPr>
      </w:pPr>
      <w:r w:rsidRPr="00F71FEA">
        <w:rPr>
          <w:rFonts w:ascii="Times New Roman" w:hAnsi="Times New Roman" w:cs="Times New Roman"/>
          <w:b/>
          <w:bCs/>
          <w:color w:val="0000FF"/>
          <w:sz w:val="22"/>
          <w:szCs w:val="22"/>
        </w:rPr>
        <w:t>3</w:t>
      </w:r>
      <w:r w:rsidR="00C22394" w:rsidRPr="00F71FEA">
        <w:rPr>
          <w:rFonts w:ascii="Times New Roman" w:eastAsia="Calibri" w:hAnsi="Times New Roman" w:cs="Times New Roman"/>
          <w:b/>
          <w:bCs/>
          <w:color w:val="0000FF"/>
          <w:kern w:val="0"/>
          <w14:ligatures w14:val="none"/>
        </w:rPr>
        <w:t>.2 Discussion</w:t>
      </w:r>
      <w:bookmarkEnd w:id="10"/>
      <w:bookmarkEnd w:id="11"/>
    </w:p>
    <w:p w14:paraId="0A2B1CA1" w14:textId="77777777" w:rsidR="00C22394" w:rsidRPr="00F71FEA" w:rsidRDefault="00C22394" w:rsidP="00E32DFA">
      <w:pPr>
        <w:spacing w:after="0" w:line="480" w:lineRule="auto"/>
        <w:jc w:val="both"/>
        <w:rPr>
          <w:rFonts w:ascii="Times New Roman" w:eastAsia="Calibri" w:hAnsi="Times New Roman" w:cs="Times New Roman"/>
          <w:kern w:val="0"/>
          <w14:ligatures w14:val="none"/>
        </w:rPr>
      </w:pPr>
      <w:r w:rsidRPr="00F71FEA">
        <w:rPr>
          <w:rFonts w:ascii="Times New Roman" w:hAnsi="Times New Roman"/>
        </w:rPr>
        <w:t xml:space="preserve">This study assessed the pollution status of water in </w:t>
      </w:r>
      <w:proofErr w:type="spellStart"/>
      <w:r w:rsidRPr="00F71FEA">
        <w:rPr>
          <w:rFonts w:ascii="Times New Roman" w:hAnsi="Times New Roman"/>
        </w:rPr>
        <w:t>Woji</w:t>
      </w:r>
      <w:proofErr w:type="spellEnd"/>
      <w:r w:rsidRPr="00F71FEA">
        <w:rPr>
          <w:rFonts w:ascii="Times New Roman" w:hAnsi="Times New Roman"/>
        </w:rPr>
        <w:t xml:space="preserve"> River, Port Harcourt. The findings provide information on the environmental quality of the river system and the extent of anthropogenic influence, particularly in relation to </w:t>
      </w:r>
      <w:proofErr w:type="spellStart"/>
      <w:r w:rsidRPr="00F71FEA">
        <w:rPr>
          <w:rFonts w:ascii="Times New Roman" w:hAnsi="Times New Roman"/>
        </w:rPr>
        <w:t>industrialisation</w:t>
      </w:r>
      <w:proofErr w:type="spellEnd"/>
      <w:r w:rsidRPr="00F71FEA">
        <w:rPr>
          <w:rFonts w:ascii="Times New Roman" w:hAnsi="Times New Roman"/>
        </w:rPr>
        <w:t>, urban runoff, and petroleum-related activities typical of the Niger Delta region.</w:t>
      </w:r>
    </w:p>
    <w:p w14:paraId="32F60390" w14:textId="77777777" w:rsidR="00C22394" w:rsidRPr="00F71FEA" w:rsidRDefault="00D6201B" w:rsidP="00E32DFA">
      <w:pPr>
        <w:spacing w:after="0" w:line="480" w:lineRule="auto"/>
        <w:jc w:val="both"/>
        <w:outlineLvl w:val="1"/>
        <w:rPr>
          <w:rFonts w:ascii="Times New Roman" w:eastAsia="Calibri" w:hAnsi="Times New Roman" w:cs="Times New Roman"/>
          <w:b/>
          <w:kern w:val="0"/>
          <w14:ligatures w14:val="none"/>
        </w:rPr>
      </w:pPr>
      <w:r w:rsidRPr="00F71FEA">
        <w:rPr>
          <w:rFonts w:ascii="Times New Roman" w:hAnsi="Times New Roman"/>
          <w:b/>
        </w:rPr>
        <w:t>3.2.1 Physicochemical Characteristics of Water Samples</w:t>
      </w:r>
    </w:p>
    <w:p w14:paraId="22F37232" w14:textId="5D327723" w:rsidR="00C22394" w:rsidRPr="00F71FEA" w:rsidRDefault="00C22394" w:rsidP="00E32DFA">
      <w:pPr>
        <w:spacing w:after="0" w:line="480" w:lineRule="auto"/>
        <w:jc w:val="both"/>
        <w:rPr>
          <w:rFonts w:ascii="Times New Roman" w:eastAsia="Calibri" w:hAnsi="Times New Roman" w:cs="Times New Roman"/>
          <w:kern w:val="0"/>
          <w14:ligatures w14:val="none"/>
        </w:rPr>
      </w:pPr>
      <w:r w:rsidRPr="00F71FEA">
        <w:rPr>
          <w:rFonts w:ascii="Times New Roman" w:hAnsi="Times New Roman"/>
        </w:rPr>
        <w:t>The standard limit for pH in surface waters, as adopted from the World Health Organization (WHO, 202</w:t>
      </w:r>
      <w:r w:rsidR="003E72EA">
        <w:rPr>
          <w:rFonts w:ascii="Times New Roman" w:hAnsi="Times New Roman"/>
        </w:rPr>
        <w:t>2</w:t>
      </w:r>
      <w:r w:rsidRPr="00F71FEA">
        <w:rPr>
          <w:rFonts w:ascii="Times New Roman" w:hAnsi="Times New Roman"/>
        </w:rPr>
        <w:t xml:space="preserve">) and the Federal Environmental Protection Agency (FEPA, 1991), is 6.5-8.5. The recorded pH values ranged from 4.0 to 4.8 (Table 1), indicating acidic conditions. Acidic surface </w:t>
      </w:r>
      <w:r w:rsidRPr="00F71FEA">
        <w:rPr>
          <w:rFonts w:ascii="Times New Roman" w:hAnsi="Times New Roman"/>
        </w:rPr>
        <w:lastRenderedPageBreak/>
        <w:t>water may result from industrial effluent discharge, acid rain, petroleum hydrocarbon decomposition, and decomposition of organic matter (</w:t>
      </w:r>
      <w:proofErr w:type="spellStart"/>
      <w:r w:rsidRPr="00F71FEA">
        <w:rPr>
          <w:rFonts w:ascii="Times New Roman" w:hAnsi="Times New Roman"/>
        </w:rPr>
        <w:t>Akinpelumi</w:t>
      </w:r>
      <w:proofErr w:type="spellEnd"/>
      <w:r w:rsidRPr="00F71FEA">
        <w:rPr>
          <w:rFonts w:ascii="Times New Roman" w:hAnsi="Times New Roman"/>
        </w:rPr>
        <w:t xml:space="preserve"> </w:t>
      </w:r>
      <w:r w:rsidRPr="00F71FEA">
        <w:rPr>
          <w:rFonts w:ascii="Times New Roman" w:hAnsi="Times New Roman"/>
          <w:i/>
        </w:rPr>
        <w:t>et al.</w:t>
      </w:r>
      <w:r w:rsidRPr="00F71FEA">
        <w:rPr>
          <w:rFonts w:ascii="Times New Roman" w:hAnsi="Times New Roman"/>
        </w:rPr>
        <w:t xml:space="preserve">, 2025). Similar low pH values were recorded by </w:t>
      </w:r>
      <w:proofErr w:type="spellStart"/>
      <w:r w:rsidRPr="00F71FEA">
        <w:rPr>
          <w:rFonts w:ascii="Times New Roman" w:hAnsi="Times New Roman"/>
        </w:rPr>
        <w:t>Dibofori</w:t>
      </w:r>
      <w:proofErr w:type="spellEnd"/>
      <w:r w:rsidRPr="00F71FEA">
        <w:rPr>
          <w:rFonts w:ascii="Times New Roman" w:hAnsi="Times New Roman"/>
        </w:rPr>
        <w:t xml:space="preserve">-Orji </w:t>
      </w:r>
      <w:r w:rsidRPr="00F71FEA">
        <w:rPr>
          <w:rFonts w:ascii="Times New Roman" w:hAnsi="Times New Roman"/>
          <w:i/>
        </w:rPr>
        <w:t>et al.</w:t>
      </w:r>
      <w:r w:rsidRPr="00F71FEA">
        <w:rPr>
          <w:rFonts w:ascii="Times New Roman" w:hAnsi="Times New Roman"/>
        </w:rPr>
        <w:t xml:space="preserve"> (2019) for </w:t>
      </w:r>
      <w:proofErr w:type="spellStart"/>
      <w:r w:rsidRPr="00F71FEA">
        <w:rPr>
          <w:rFonts w:ascii="Times New Roman" w:hAnsi="Times New Roman"/>
        </w:rPr>
        <w:t>Woji</w:t>
      </w:r>
      <w:proofErr w:type="spellEnd"/>
      <w:r w:rsidRPr="00F71FEA">
        <w:rPr>
          <w:rFonts w:ascii="Times New Roman" w:hAnsi="Times New Roman"/>
        </w:rPr>
        <w:t xml:space="preserve"> Creek and by </w:t>
      </w:r>
      <w:proofErr w:type="spellStart"/>
      <w:r w:rsidRPr="00F71FEA">
        <w:rPr>
          <w:rFonts w:ascii="Times New Roman" w:hAnsi="Times New Roman"/>
        </w:rPr>
        <w:t>Wogu</w:t>
      </w:r>
      <w:proofErr w:type="spellEnd"/>
      <w:r w:rsidRPr="00F71FEA">
        <w:rPr>
          <w:rFonts w:ascii="Times New Roman" w:hAnsi="Times New Roman"/>
        </w:rPr>
        <w:t xml:space="preserve"> and Goodhead (2025) for other Nigerian Niger Delta rivers receiving industrial effluents.</w:t>
      </w:r>
    </w:p>
    <w:p w14:paraId="7070BB8E" w14:textId="77777777" w:rsidR="00C22394" w:rsidRPr="00F71FEA" w:rsidRDefault="00C22394" w:rsidP="00E32DFA">
      <w:pPr>
        <w:spacing w:after="0" w:line="480" w:lineRule="auto"/>
        <w:jc w:val="both"/>
        <w:rPr>
          <w:rFonts w:ascii="Times New Roman" w:eastAsia="Calibri" w:hAnsi="Times New Roman" w:cs="Times New Roman"/>
          <w:kern w:val="0"/>
          <w14:ligatures w14:val="none"/>
        </w:rPr>
      </w:pPr>
      <w:r w:rsidRPr="00F71FEA">
        <w:rPr>
          <w:rFonts w:ascii="Times New Roman" w:hAnsi="Times New Roman"/>
        </w:rPr>
        <w:t>The WHO and FEPA do not set any specific recommended value limit for temperature in surface waters, although temperature changes should not be large enough to cause significant deviation from the natural receiving water. The recorded water temperatures (27.0-28.5°C; Table 1) were consistent with values typically recorded within the normal range for tropical aquatic ecosystems and agreed with values reported in studies of southern Nigerian rivers (</w:t>
      </w:r>
      <w:proofErr w:type="spellStart"/>
      <w:r w:rsidRPr="00F71FEA">
        <w:rPr>
          <w:rFonts w:ascii="Times New Roman" w:hAnsi="Times New Roman"/>
        </w:rPr>
        <w:t>Akankali</w:t>
      </w:r>
      <w:proofErr w:type="spellEnd"/>
      <w:r w:rsidRPr="00F71FEA">
        <w:rPr>
          <w:rFonts w:ascii="Times New Roman" w:hAnsi="Times New Roman"/>
        </w:rPr>
        <w:t xml:space="preserve"> </w:t>
      </w:r>
      <w:r w:rsidRPr="00F71FEA">
        <w:rPr>
          <w:rFonts w:ascii="Times New Roman" w:hAnsi="Times New Roman"/>
          <w:i/>
        </w:rPr>
        <w:t>et al.</w:t>
      </w:r>
      <w:r w:rsidRPr="00F71FEA">
        <w:rPr>
          <w:rFonts w:ascii="Times New Roman" w:hAnsi="Times New Roman"/>
        </w:rPr>
        <w:t>, 2022). Although no specific limit is recommended, temperature can affect dissolved oxygen and the metabolic rate of aquatic organisms. The values indicate little thermal pollution at the study location.</w:t>
      </w:r>
    </w:p>
    <w:p w14:paraId="2FD83D29" w14:textId="77777777" w:rsidR="00C22394" w:rsidRPr="00F71FEA" w:rsidRDefault="00C22394" w:rsidP="00C22394">
      <w:pPr>
        <w:spacing w:after="0" w:line="360" w:lineRule="auto"/>
        <w:jc w:val="both"/>
        <w:rPr>
          <w:rFonts w:ascii="Times New Roman" w:eastAsia="Calibri" w:hAnsi="Times New Roman" w:cs="Times New Roman"/>
          <w:kern w:val="0"/>
          <w14:ligatures w14:val="none"/>
        </w:rPr>
      </w:pPr>
      <w:r w:rsidRPr="00F71FEA">
        <w:rPr>
          <w:rFonts w:ascii="Times New Roman" w:hAnsi="Times New Roman"/>
        </w:rPr>
        <w:t>The WHO guideline value recommended for the electrical conductivity of drinking water is 1000 µS/cm, and FEPA similarly recommends that surface-water electrical conductivity should be below this value. The electrical conductivity values ranged from 210.1 to 2817 µS/cm. Most recorded values were higher than the WHO guideline value of 1000 µS/cm for drinking water, indicating high ionic content in the water body; however, the sample at Point 3 was within the guideline. Electrical conductivity is usually attributed to urban runoff, industrial discharge, and salinity intrusion from brackish or saline water, especially in estuarine systems (Mohammed &amp; Scholz, 2018). The high salinity values (3.5 to 5.1%; Table 1) indicate the influence of tidal influx and anthropogenic factors at the study location, as reported for other Niger Delta rivers (</w:t>
      </w:r>
      <w:proofErr w:type="spellStart"/>
      <w:r w:rsidRPr="00F71FEA">
        <w:rPr>
          <w:rFonts w:ascii="Times New Roman" w:hAnsi="Times New Roman"/>
        </w:rPr>
        <w:t>Numbere</w:t>
      </w:r>
      <w:proofErr w:type="spellEnd"/>
      <w:r w:rsidRPr="00F71FEA">
        <w:rPr>
          <w:rFonts w:ascii="Times New Roman" w:hAnsi="Times New Roman"/>
        </w:rPr>
        <w:t xml:space="preserve"> </w:t>
      </w:r>
      <w:r w:rsidRPr="00F71FEA">
        <w:rPr>
          <w:rFonts w:ascii="Times New Roman" w:hAnsi="Times New Roman"/>
          <w:i/>
        </w:rPr>
        <w:t>et al.</w:t>
      </w:r>
      <w:r w:rsidRPr="00F71FEA">
        <w:rPr>
          <w:rFonts w:ascii="Times New Roman" w:hAnsi="Times New Roman"/>
        </w:rPr>
        <w:t>, 2023).</w:t>
      </w:r>
    </w:p>
    <w:p w14:paraId="15AF0A11" w14:textId="77777777" w:rsidR="00C22394" w:rsidRPr="00F71FEA" w:rsidRDefault="00C22394" w:rsidP="00C22394">
      <w:pPr>
        <w:spacing w:after="0" w:line="360" w:lineRule="auto"/>
        <w:jc w:val="both"/>
        <w:rPr>
          <w:rFonts w:ascii="Times New Roman" w:eastAsia="Calibri" w:hAnsi="Times New Roman" w:cs="Times New Roman"/>
          <w:kern w:val="0"/>
          <w14:ligatures w14:val="none"/>
        </w:rPr>
      </w:pPr>
      <w:r w:rsidRPr="00F71FEA">
        <w:rPr>
          <w:rFonts w:ascii="Times New Roman" w:hAnsi="Times New Roman"/>
        </w:rPr>
        <w:t xml:space="preserve">Total alkalinity, as recommended by WHO and FEPA for surface water, should not exceed 500 mg/L. The recorded values ranged from 350 to 403 mg/L (Table 1) and were within the accepted range. This indicates that the buffering capacity of the water may cope with rapid pH fluctuations. The WHO guideline value for chloride in drinking water is 250 mg/L, which is the same standard used by FEPA for surface-water quality assessment. Chloride concentrations ranged from 385.8 to </w:t>
      </w:r>
      <w:r w:rsidRPr="00F71FEA">
        <w:rPr>
          <w:rFonts w:ascii="Times New Roman" w:hAnsi="Times New Roman"/>
        </w:rPr>
        <w:lastRenderedPageBreak/>
        <w:t xml:space="preserve">458 mg/L. The recorded values were above the WHO guideline value of 250 mg/L, suggesting possible inputs from industrial wastes, sewage discharge, and saline waters (Monira </w:t>
      </w:r>
      <w:r w:rsidRPr="00F71FEA">
        <w:rPr>
          <w:rFonts w:ascii="Times New Roman" w:hAnsi="Times New Roman"/>
          <w:i/>
        </w:rPr>
        <w:t>et al.</w:t>
      </w:r>
      <w:r w:rsidRPr="00F71FEA">
        <w:rPr>
          <w:rFonts w:ascii="Times New Roman" w:hAnsi="Times New Roman"/>
        </w:rPr>
        <w:t>, 2024).</w:t>
      </w:r>
    </w:p>
    <w:p w14:paraId="7721DC2E" w14:textId="77777777" w:rsidR="00C22394" w:rsidRPr="00F71FEA" w:rsidRDefault="00C22394" w:rsidP="00C22394">
      <w:pPr>
        <w:spacing w:after="0" w:line="360" w:lineRule="auto"/>
        <w:jc w:val="both"/>
        <w:rPr>
          <w:rFonts w:ascii="Times New Roman" w:eastAsia="Calibri" w:hAnsi="Times New Roman" w:cs="Times New Roman"/>
          <w:kern w:val="0"/>
          <w14:ligatures w14:val="none"/>
        </w:rPr>
      </w:pPr>
      <w:r w:rsidRPr="00F71FEA">
        <w:rPr>
          <w:rFonts w:ascii="Times New Roman" w:hAnsi="Times New Roman"/>
        </w:rPr>
        <w:t xml:space="preserve">The WHO guideline value for chloride in drinking water is 250 mg/L, while phosphate is generally expected to be below 5 mg/L to limit eutrophication in surface waters. The nitrate (2.5 to 3.5 mg/L) and phosphate (0.7 to 1.5 mg/L) values were within the stated limit values, indicating minimal nutrient pollution and a low risk of eutrophication. This contrasts with reports of nutrient loading in agricultural regions with dense farming activities (Ahmed </w:t>
      </w:r>
      <w:r w:rsidRPr="00F71FEA">
        <w:rPr>
          <w:rFonts w:ascii="Times New Roman" w:hAnsi="Times New Roman"/>
          <w:i/>
        </w:rPr>
        <w:t>et al.</w:t>
      </w:r>
      <w:r w:rsidRPr="00F71FEA">
        <w:rPr>
          <w:rFonts w:ascii="Times New Roman" w:hAnsi="Times New Roman"/>
        </w:rPr>
        <w:t xml:space="preserve">, 2024). The FEPA guideline for oil and grease in surface-water quality is 10 mg/L. The observed oil and grease values ranged from 7.671 to 20.43 mg/L (Table 1) and were above the FEPA limit at several sampling points. This indicates hydrocarbon contamination of surface waters and is typical of oil-producing regions such as the Niger Delta (Oyebamiji, 2024). The presence of oil and grease can also </w:t>
      </w:r>
      <w:proofErr w:type="spellStart"/>
      <w:r w:rsidRPr="00F71FEA">
        <w:rPr>
          <w:rFonts w:ascii="Times New Roman" w:hAnsi="Times New Roman"/>
        </w:rPr>
        <w:t>minimise</w:t>
      </w:r>
      <w:proofErr w:type="spellEnd"/>
      <w:r w:rsidRPr="00F71FEA">
        <w:rPr>
          <w:rFonts w:ascii="Times New Roman" w:hAnsi="Times New Roman"/>
        </w:rPr>
        <w:t xml:space="preserve"> oxygen transfer at the air-water interface.</w:t>
      </w:r>
    </w:p>
    <w:p w14:paraId="6908BEC7" w14:textId="77777777" w:rsidR="004B5412" w:rsidRPr="00F71FEA" w:rsidRDefault="004B5412" w:rsidP="00C22394">
      <w:pPr>
        <w:spacing w:after="0" w:line="360" w:lineRule="auto"/>
        <w:jc w:val="both"/>
        <w:rPr>
          <w:rFonts w:ascii="Times New Roman" w:eastAsia="Calibri" w:hAnsi="Times New Roman" w:cs="Times New Roman"/>
          <w:kern w:val="0"/>
          <w14:ligatures w14:val="none"/>
        </w:rPr>
      </w:pPr>
    </w:p>
    <w:p w14:paraId="0F8BD20E" w14:textId="77777777" w:rsidR="004B5412" w:rsidRPr="00F71FEA" w:rsidRDefault="004B5412" w:rsidP="00C22394">
      <w:pPr>
        <w:spacing w:after="0" w:line="360" w:lineRule="auto"/>
        <w:jc w:val="both"/>
        <w:rPr>
          <w:rFonts w:ascii="Times New Roman" w:eastAsia="Calibri" w:hAnsi="Times New Roman" w:cs="Times New Roman"/>
          <w:kern w:val="0"/>
          <w14:ligatures w14:val="none"/>
        </w:rPr>
      </w:pPr>
    </w:p>
    <w:p w14:paraId="02061CEF" w14:textId="77777777" w:rsidR="004B5412" w:rsidRPr="00F71FEA" w:rsidRDefault="004B5412" w:rsidP="00C22394">
      <w:pPr>
        <w:spacing w:after="0" w:line="360" w:lineRule="auto"/>
        <w:jc w:val="both"/>
        <w:rPr>
          <w:rFonts w:ascii="Times New Roman" w:eastAsia="Calibri" w:hAnsi="Times New Roman" w:cs="Times New Roman"/>
          <w:kern w:val="0"/>
          <w14:ligatures w14:val="none"/>
        </w:rPr>
      </w:pPr>
    </w:p>
    <w:p w14:paraId="3F90B8FE" w14:textId="77777777" w:rsidR="00C22394" w:rsidRPr="00F71FEA" w:rsidRDefault="00D6201B" w:rsidP="00C22394">
      <w:pPr>
        <w:spacing w:after="0" w:line="360" w:lineRule="auto"/>
        <w:jc w:val="both"/>
        <w:outlineLvl w:val="1"/>
        <w:rPr>
          <w:rFonts w:ascii="Times New Roman" w:eastAsia="Calibri" w:hAnsi="Times New Roman" w:cs="Times New Roman"/>
          <w:b/>
          <w:kern w:val="0"/>
          <w14:ligatures w14:val="none"/>
        </w:rPr>
      </w:pPr>
      <w:bookmarkStart w:id="12" w:name="_Toc225233667"/>
      <w:bookmarkStart w:id="13" w:name="_Toc226960055"/>
      <w:r w:rsidRPr="00F71FEA">
        <w:rPr>
          <w:rFonts w:ascii="Times New Roman" w:hAnsi="Times New Roman" w:cs="Times New Roman"/>
          <w:b/>
          <w:bCs/>
          <w:sz w:val="22"/>
          <w:szCs w:val="22"/>
        </w:rPr>
        <w:t>3</w:t>
      </w:r>
      <w:r w:rsidR="00C22394" w:rsidRPr="00F71FEA">
        <w:rPr>
          <w:rFonts w:ascii="Times New Roman" w:eastAsia="Calibri" w:hAnsi="Times New Roman" w:cs="Times New Roman"/>
          <w:b/>
          <w:kern w:val="0"/>
          <w14:ligatures w14:val="none"/>
        </w:rPr>
        <w:t>.2.</w:t>
      </w:r>
      <w:r w:rsidR="002B6AB3" w:rsidRPr="00F71FEA">
        <w:rPr>
          <w:rFonts w:ascii="Times New Roman" w:eastAsia="Calibri" w:hAnsi="Times New Roman" w:cs="Times New Roman"/>
          <w:b/>
          <w:kern w:val="0"/>
          <w14:ligatures w14:val="none"/>
        </w:rPr>
        <w:t>2</w:t>
      </w:r>
      <w:r w:rsidR="00C22394" w:rsidRPr="00F71FEA">
        <w:rPr>
          <w:rFonts w:ascii="Times New Roman" w:eastAsia="Calibri" w:hAnsi="Times New Roman" w:cs="Times New Roman"/>
          <w:b/>
          <w:kern w:val="0"/>
          <w14:ligatures w14:val="none"/>
        </w:rPr>
        <w:t xml:space="preserve"> </w:t>
      </w:r>
      <w:r w:rsidR="00BB3374" w:rsidRPr="00F71FEA">
        <w:rPr>
          <w:rFonts w:ascii="Times New Roman" w:eastAsia="Calibri" w:hAnsi="Times New Roman" w:cs="Times New Roman"/>
          <w:b/>
          <w:color w:val="0000FF"/>
          <w:kern w:val="0"/>
          <w14:ligatures w14:val="none"/>
        </w:rPr>
        <w:t>Trace</w:t>
      </w:r>
      <w:r w:rsidR="00C22394" w:rsidRPr="00F71FEA">
        <w:rPr>
          <w:rFonts w:ascii="Times New Roman" w:eastAsia="Calibri" w:hAnsi="Times New Roman" w:cs="Times New Roman"/>
          <w:b/>
          <w:color w:val="0000FF"/>
          <w:kern w:val="0"/>
          <w14:ligatures w14:val="none"/>
        </w:rPr>
        <w:t xml:space="preserve"> </w:t>
      </w:r>
      <w:r w:rsidR="00BB3374" w:rsidRPr="00F71FEA">
        <w:rPr>
          <w:rFonts w:ascii="Times New Roman" w:eastAsia="Calibri" w:hAnsi="Times New Roman" w:cs="Times New Roman"/>
          <w:b/>
          <w:color w:val="0000FF"/>
          <w:kern w:val="0"/>
          <w14:ligatures w14:val="none"/>
        </w:rPr>
        <w:t>m</w:t>
      </w:r>
      <w:r w:rsidR="00C22394" w:rsidRPr="00F71FEA">
        <w:rPr>
          <w:rFonts w:ascii="Times New Roman" w:eastAsia="Calibri" w:hAnsi="Times New Roman" w:cs="Times New Roman"/>
          <w:b/>
          <w:color w:val="0000FF"/>
          <w:kern w:val="0"/>
          <w14:ligatures w14:val="none"/>
        </w:rPr>
        <w:t>etals</w:t>
      </w:r>
      <w:r w:rsidR="00BB3374" w:rsidRPr="00F71FEA">
        <w:rPr>
          <w:rFonts w:ascii="Times New Roman" w:eastAsia="Calibri" w:hAnsi="Times New Roman" w:cs="Times New Roman"/>
          <w:b/>
          <w:color w:val="0000FF"/>
          <w:kern w:val="0"/>
          <w14:ligatures w14:val="none"/>
        </w:rPr>
        <w:t xml:space="preserve"> concentration</w:t>
      </w:r>
      <w:r w:rsidR="00C22394" w:rsidRPr="00F71FEA">
        <w:rPr>
          <w:rFonts w:ascii="Times New Roman" w:eastAsia="Calibri" w:hAnsi="Times New Roman" w:cs="Times New Roman"/>
          <w:b/>
          <w:color w:val="0000FF"/>
          <w:kern w:val="0"/>
          <w14:ligatures w14:val="none"/>
        </w:rPr>
        <w:t xml:space="preserve"> in </w:t>
      </w:r>
      <w:r w:rsidR="00BB3374" w:rsidRPr="00F71FEA">
        <w:rPr>
          <w:rFonts w:ascii="Times New Roman" w:eastAsia="Calibri" w:hAnsi="Times New Roman" w:cs="Times New Roman"/>
          <w:b/>
          <w:color w:val="0000FF"/>
          <w:kern w:val="0"/>
          <w14:ligatures w14:val="none"/>
        </w:rPr>
        <w:t>surface w</w:t>
      </w:r>
      <w:r w:rsidR="00C22394" w:rsidRPr="00F71FEA">
        <w:rPr>
          <w:rFonts w:ascii="Times New Roman" w:eastAsia="Calibri" w:hAnsi="Times New Roman" w:cs="Times New Roman"/>
          <w:b/>
          <w:color w:val="0000FF"/>
          <w:kern w:val="0"/>
          <w14:ligatures w14:val="none"/>
        </w:rPr>
        <w:t>ater</w:t>
      </w:r>
      <w:bookmarkEnd w:id="12"/>
      <w:bookmarkEnd w:id="13"/>
      <w:r w:rsidR="00BB3374" w:rsidRPr="00F71FEA">
        <w:rPr>
          <w:rFonts w:ascii="Times New Roman" w:eastAsia="Calibri" w:hAnsi="Times New Roman" w:cs="Times New Roman"/>
          <w:b/>
          <w:color w:val="0000FF"/>
          <w:kern w:val="0"/>
          <w14:ligatures w14:val="none"/>
        </w:rPr>
        <w:t xml:space="preserve"> samples</w:t>
      </w:r>
    </w:p>
    <w:p w14:paraId="2E15BCA5" w14:textId="0B849CF7" w:rsidR="00C22394" w:rsidRPr="00F71FEA" w:rsidRDefault="00C22394" w:rsidP="00C22394">
      <w:pPr>
        <w:spacing w:after="0" w:line="360" w:lineRule="auto"/>
        <w:jc w:val="both"/>
        <w:rPr>
          <w:rFonts w:ascii="Times New Roman" w:eastAsia="Calibri" w:hAnsi="Times New Roman" w:cs="Times New Roman"/>
          <w:kern w:val="0"/>
          <w14:ligatures w14:val="none"/>
        </w:rPr>
      </w:pPr>
      <w:r w:rsidRPr="00F71FEA">
        <w:rPr>
          <w:rFonts w:ascii="Times New Roman" w:hAnsi="Times New Roman"/>
        </w:rPr>
        <w:t xml:space="preserve">The concentrations of trace metals in the </w:t>
      </w:r>
      <w:proofErr w:type="spellStart"/>
      <w:r w:rsidRPr="00F71FEA">
        <w:rPr>
          <w:rFonts w:ascii="Times New Roman" w:hAnsi="Times New Roman"/>
        </w:rPr>
        <w:t>Woji</w:t>
      </w:r>
      <w:proofErr w:type="spellEnd"/>
      <w:r w:rsidRPr="00F71FEA">
        <w:rPr>
          <w:rFonts w:ascii="Times New Roman" w:hAnsi="Times New Roman"/>
        </w:rPr>
        <w:t xml:space="preserve"> River samples are shown in Table 2. Several recorded values exceeded WHO/FEPA standards, indicating that some contaminants have impacted the river. Analysis of the </w:t>
      </w:r>
      <w:proofErr w:type="spellStart"/>
      <w:r w:rsidRPr="00F71FEA">
        <w:rPr>
          <w:rFonts w:ascii="Times New Roman" w:hAnsi="Times New Roman"/>
        </w:rPr>
        <w:t>Woji</w:t>
      </w:r>
      <w:proofErr w:type="spellEnd"/>
      <w:r w:rsidRPr="00F71FEA">
        <w:rPr>
          <w:rFonts w:ascii="Times New Roman" w:hAnsi="Times New Roman"/>
        </w:rPr>
        <w:t xml:space="preserve"> River samples showed that copper varied from 0.005 to 0.012 ppm. These values were below the WHO permissible limit (2.0 mg/L), indicating that copper was not a major pollution concern in the river water. Lower copper concentrations have also been recorded in surface waters of urban rivers in the Niger Delta, where factors such as limited industrial inputs and the dilution capacity of river water may be relevant (</w:t>
      </w:r>
      <w:proofErr w:type="spellStart"/>
      <w:r w:rsidR="003E72EA" w:rsidRPr="003E72EA">
        <w:rPr>
          <w:rFonts w:ascii="Times New Roman" w:hAnsi="Times New Roman"/>
        </w:rPr>
        <w:t>Umeoguaju</w:t>
      </w:r>
      <w:proofErr w:type="spellEnd"/>
      <w:r w:rsidR="003E72EA">
        <w:rPr>
          <w:rFonts w:ascii="Times New Roman" w:hAnsi="Times New Roman"/>
        </w:rPr>
        <w:t xml:space="preserve"> et al.</w:t>
      </w:r>
      <w:r w:rsidRPr="00F71FEA">
        <w:rPr>
          <w:rFonts w:ascii="Times New Roman" w:hAnsi="Times New Roman"/>
        </w:rPr>
        <w:t>, 202</w:t>
      </w:r>
      <w:r w:rsidR="003E72EA">
        <w:rPr>
          <w:rFonts w:ascii="Times New Roman" w:hAnsi="Times New Roman"/>
        </w:rPr>
        <w:t>2</w:t>
      </w:r>
      <w:r w:rsidRPr="00F71FEA">
        <w:rPr>
          <w:rFonts w:ascii="Times New Roman" w:hAnsi="Times New Roman"/>
        </w:rPr>
        <w:t xml:space="preserve">; </w:t>
      </w:r>
      <w:proofErr w:type="spellStart"/>
      <w:r w:rsidRPr="00F71FEA">
        <w:rPr>
          <w:rFonts w:ascii="Times New Roman" w:hAnsi="Times New Roman"/>
        </w:rPr>
        <w:t>Akinpelumi</w:t>
      </w:r>
      <w:proofErr w:type="spellEnd"/>
      <w:r w:rsidRPr="00F71FEA">
        <w:rPr>
          <w:rFonts w:ascii="Times New Roman" w:hAnsi="Times New Roman"/>
        </w:rPr>
        <w:t xml:space="preserve"> </w:t>
      </w:r>
      <w:r w:rsidRPr="00F71FEA">
        <w:rPr>
          <w:rFonts w:ascii="Times New Roman" w:hAnsi="Times New Roman"/>
          <w:i/>
        </w:rPr>
        <w:t>et al.</w:t>
      </w:r>
      <w:r w:rsidRPr="00F71FEA">
        <w:rPr>
          <w:rFonts w:ascii="Times New Roman" w:hAnsi="Times New Roman"/>
        </w:rPr>
        <w:t xml:space="preserve">, 2025). In contrast, cadmium concentrations ranged from 0.035 to 0.057 ppm. The recorded values were higher than the WHO/FEPA value (0.003 mg/L). Cadmium is a toxic non-essential metal commonly associated with sources such as industrial effluents, petroleum refining, used batteries, and urban runoff (Edo </w:t>
      </w:r>
      <w:r w:rsidRPr="00F71FEA">
        <w:rPr>
          <w:rFonts w:ascii="Times New Roman" w:hAnsi="Times New Roman"/>
          <w:i/>
        </w:rPr>
        <w:t>et al.</w:t>
      </w:r>
      <w:r w:rsidRPr="00F71FEA">
        <w:rPr>
          <w:rFonts w:ascii="Times New Roman" w:hAnsi="Times New Roman"/>
        </w:rPr>
        <w:t xml:space="preserve">, 2024; Ali </w:t>
      </w:r>
      <w:r w:rsidRPr="00F71FEA">
        <w:rPr>
          <w:rFonts w:ascii="Times New Roman" w:hAnsi="Times New Roman"/>
          <w:i/>
        </w:rPr>
        <w:t>et al.</w:t>
      </w:r>
      <w:r w:rsidRPr="00F71FEA">
        <w:rPr>
          <w:rFonts w:ascii="Times New Roman" w:hAnsi="Times New Roman"/>
        </w:rPr>
        <w:t xml:space="preserve">, 2019). Higher Cd concentrations have been reported in the surface waters of Rivers State and other oil-bearing states in Nigeria (Ameh </w:t>
      </w:r>
      <w:r w:rsidRPr="00F71FEA">
        <w:rPr>
          <w:rFonts w:ascii="Times New Roman" w:hAnsi="Times New Roman"/>
          <w:i/>
        </w:rPr>
        <w:t>et al.</w:t>
      </w:r>
      <w:r w:rsidRPr="00F71FEA">
        <w:rPr>
          <w:rFonts w:ascii="Times New Roman" w:hAnsi="Times New Roman"/>
        </w:rPr>
        <w:t xml:space="preserve">, 2023; </w:t>
      </w:r>
      <w:proofErr w:type="spellStart"/>
      <w:r w:rsidRPr="00F71FEA">
        <w:rPr>
          <w:rFonts w:ascii="Times New Roman" w:hAnsi="Times New Roman"/>
        </w:rPr>
        <w:t>Ojekunle</w:t>
      </w:r>
      <w:proofErr w:type="spellEnd"/>
      <w:r w:rsidRPr="00F71FEA">
        <w:rPr>
          <w:rFonts w:ascii="Times New Roman" w:hAnsi="Times New Roman"/>
        </w:rPr>
        <w:t xml:space="preserve"> </w:t>
      </w:r>
      <w:r w:rsidRPr="00F71FEA">
        <w:rPr>
          <w:rFonts w:ascii="Times New Roman" w:hAnsi="Times New Roman"/>
          <w:i/>
        </w:rPr>
        <w:t>et al.</w:t>
      </w:r>
      <w:r w:rsidRPr="00F71FEA">
        <w:rPr>
          <w:rFonts w:ascii="Times New Roman" w:hAnsi="Times New Roman"/>
        </w:rPr>
        <w:t>, 2023), and these may pose health concerns for aquatic life and humans because of bioaccumulation.</w:t>
      </w:r>
    </w:p>
    <w:p w14:paraId="12F2E4A7" w14:textId="62E9DA04" w:rsidR="00C22394" w:rsidRPr="00F71FEA" w:rsidRDefault="00C22394" w:rsidP="00C22394">
      <w:pPr>
        <w:spacing w:after="0" w:line="360" w:lineRule="auto"/>
        <w:jc w:val="both"/>
        <w:rPr>
          <w:rFonts w:ascii="Times New Roman" w:hAnsi="Times New Roman" w:cs="Times New Roman"/>
        </w:rPr>
      </w:pPr>
      <w:r w:rsidRPr="00F71FEA">
        <w:rPr>
          <w:rFonts w:ascii="Times New Roman" w:hAnsi="Times New Roman"/>
          <w:color w:val="0000FF"/>
        </w:rPr>
        <w:lastRenderedPageBreak/>
        <w:t>The Fe concentration, which ranged from 0.088 to 0.120 ppm, was below the WHO permissible limit of 0.3 mg/L. This suggests that the source of Fe in the river may be geogenic and is unlikely to be strongly influenced by human activity. Similar values were recorded for other rivers in southern Nigeria (</w:t>
      </w:r>
      <w:proofErr w:type="spellStart"/>
      <w:r w:rsidRPr="00F71FEA">
        <w:rPr>
          <w:rFonts w:ascii="Times New Roman" w:hAnsi="Times New Roman"/>
          <w:color w:val="0000FF"/>
        </w:rPr>
        <w:t>Edegbene</w:t>
      </w:r>
      <w:proofErr w:type="spellEnd"/>
      <w:r w:rsidRPr="00F71FEA">
        <w:rPr>
          <w:rFonts w:ascii="Times New Roman" w:hAnsi="Times New Roman"/>
          <w:color w:val="0000FF"/>
        </w:rPr>
        <w:t xml:space="preserve"> </w:t>
      </w:r>
      <w:r w:rsidRPr="00F71FEA">
        <w:rPr>
          <w:rFonts w:ascii="Times New Roman" w:hAnsi="Times New Roman"/>
          <w:i/>
          <w:color w:val="0000FF"/>
        </w:rPr>
        <w:t>et al.</w:t>
      </w:r>
      <w:r w:rsidRPr="00F71FEA">
        <w:rPr>
          <w:rFonts w:ascii="Times New Roman" w:hAnsi="Times New Roman"/>
          <w:color w:val="0000FF"/>
        </w:rPr>
        <w:t>, 202</w:t>
      </w:r>
      <w:r w:rsidR="003E72EA">
        <w:rPr>
          <w:rFonts w:ascii="Times New Roman" w:hAnsi="Times New Roman"/>
          <w:color w:val="0000FF"/>
        </w:rPr>
        <w:t>5</w:t>
      </w:r>
      <w:r w:rsidRPr="00F71FEA">
        <w:rPr>
          <w:rFonts w:ascii="Times New Roman" w:hAnsi="Times New Roman"/>
          <w:color w:val="0000FF"/>
        </w:rPr>
        <w:t>). The Pb concentration (0.065 to 0.080 ppm) exceeded the WHO recommended limit. Pb concentrations in surface waters have been attributed to automotive emissions, waste disposal, industrial wastewater, and oil and gas activities (</w:t>
      </w:r>
      <w:proofErr w:type="spellStart"/>
      <w:r w:rsidRPr="00F71FEA">
        <w:rPr>
          <w:rFonts w:ascii="Times New Roman" w:hAnsi="Times New Roman"/>
          <w:color w:val="0000FF"/>
        </w:rPr>
        <w:t>Onojake</w:t>
      </w:r>
      <w:proofErr w:type="spellEnd"/>
      <w:r w:rsidRPr="00F71FEA">
        <w:rPr>
          <w:rFonts w:ascii="Times New Roman" w:hAnsi="Times New Roman"/>
          <w:color w:val="0000FF"/>
        </w:rPr>
        <w:t xml:space="preserve"> </w:t>
      </w:r>
      <w:r w:rsidRPr="00F71FEA">
        <w:rPr>
          <w:rFonts w:ascii="Times New Roman" w:hAnsi="Times New Roman"/>
          <w:i/>
          <w:color w:val="0000FF"/>
        </w:rPr>
        <w:t>et al.</w:t>
      </w:r>
      <w:r w:rsidRPr="00F71FEA">
        <w:rPr>
          <w:rFonts w:ascii="Times New Roman" w:hAnsi="Times New Roman"/>
          <w:color w:val="0000FF"/>
        </w:rPr>
        <w:t>, 201</w:t>
      </w:r>
      <w:r w:rsidR="003E72EA">
        <w:rPr>
          <w:rFonts w:ascii="Times New Roman" w:hAnsi="Times New Roman"/>
          <w:color w:val="0000FF"/>
        </w:rPr>
        <w:t>7</w:t>
      </w:r>
      <w:r w:rsidRPr="00F71FEA">
        <w:rPr>
          <w:rFonts w:ascii="Times New Roman" w:hAnsi="Times New Roman"/>
          <w:color w:val="0000FF"/>
        </w:rPr>
        <w:t xml:space="preserve">; </w:t>
      </w:r>
      <w:proofErr w:type="spellStart"/>
      <w:r w:rsidR="003E72EA" w:rsidRPr="003E72EA">
        <w:rPr>
          <w:rFonts w:ascii="Times New Roman" w:hAnsi="Times New Roman"/>
          <w:color w:val="0000FF"/>
        </w:rPr>
        <w:t>Laniyan</w:t>
      </w:r>
      <w:proofErr w:type="spellEnd"/>
      <w:r w:rsidR="003E72EA" w:rsidRPr="003E72EA">
        <w:rPr>
          <w:rFonts w:ascii="Times New Roman" w:hAnsi="Times New Roman"/>
          <w:color w:val="0000FF"/>
        </w:rPr>
        <w:t xml:space="preserve"> &amp; Adewumi</w:t>
      </w:r>
      <w:r w:rsidRPr="00F71FEA">
        <w:rPr>
          <w:rFonts w:ascii="Times New Roman" w:hAnsi="Times New Roman"/>
          <w:color w:val="0000FF"/>
        </w:rPr>
        <w:t>, 2020). Elevated Pb concentrations have been recorded in recently reported Niger Delta rivers when compared with WHO standard limits, and they may pose potential chronic exposure risks through drinking water and fish consumption (</w:t>
      </w:r>
      <w:proofErr w:type="spellStart"/>
      <w:r w:rsidR="003E72EA" w:rsidRPr="003E72EA">
        <w:rPr>
          <w:rFonts w:ascii="Times New Roman" w:hAnsi="Times New Roman"/>
          <w:color w:val="0000FF"/>
        </w:rPr>
        <w:t>Umeoguaju</w:t>
      </w:r>
      <w:proofErr w:type="spellEnd"/>
      <w:r w:rsidRPr="00F71FEA">
        <w:rPr>
          <w:rFonts w:ascii="Times New Roman" w:hAnsi="Times New Roman"/>
          <w:color w:val="0000FF"/>
        </w:rPr>
        <w:t xml:space="preserve"> </w:t>
      </w:r>
      <w:r w:rsidRPr="00F71FEA">
        <w:rPr>
          <w:rFonts w:ascii="Times New Roman" w:hAnsi="Times New Roman"/>
          <w:i/>
          <w:color w:val="0000FF"/>
        </w:rPr>
        <w:t>et al.</w:t>
      </w:r>
      <w:r w:rsidRPr="00F71FEA">
        <w:rPr>
          <w:rFonts w:ascii="Times New Roman" w:hAnsi="Times New Roman"/>
          <w:color w:val="0000FF"/>
        </w:rPr>
        <w:t>, 202</w:t>
      </w:r>
      <w:r w:rsidR="003E72EA">
        <w:rPr>
          <w:rFonts w:ascii="Times New Roman" w:hAnsi="Times New Roman"/>
          <w:color w:val="0000FF"/>
        </w:rPr>
        <w:t>2</w:t>
      </w:r>
      <w:r w:rsidRPr="00F71FEA">
        <w:rPr>
          <w:rFonts w:ascii="Times New Roman" w:hAnsi="Times New Roman"/>
          <w:color w:val="0000FF"/>
        </w:rPr>
        <w:t>). The Cr values ranged from 0.015 to 0.031 ppm and were below the WHO limit (0.05 mg/L). Recent coastal river analyses from southern Nigeria show a similar trend of relatively low Cr concentration, possibly because chromium use in this region is limited (</w:t>
      </w:r>
      <w:proofErr w:type="spellStart"/>
      <w:r w:rsidRPr="00F71FEA">
        <w:rPr>
          <w:rFonts w:ascii="Times New Roman" w:hAnsi="Times New Roman"/>
          <w:color w:val="0000FF"/>
        </w:rPr>
        <w:t>Onojake</w:t>
      </w:r>
      <w:proofErr w:type="spellEnd"/>
      <w:r w:rsidRPr="00F71FEA">
        <w:rPr>
          <w:rFonts w:ascii="Times New Roman" w:hAnsi="Times New Roman"/>
          <w:color w:val="0000FF"/>
        </w:rPr>
        <w:t xml:space="preserve"> </w:t>
      </w:r>
      <w:r w:rsidRPr="00F71FEA">
        <w:rPr>
          <w:rFonts w:ascii="Times New Roman" w:hAnsi="Times New Roman"/>
          <w:i/>
          <w:color w:val="0000FF"/>
        </w:rPr>
        <w:t>et al.</w:t>
      </w:r>
      <w:r w:rsidRPr="00F71FEA">
        <w:rPr>
          <w:rFonts w:ascii="Times New Roman" w:hAnsi="Times New Roman"/>
          <w:color w:val="0000FF"/>
        </w:rPr>
        <w:t xml:space="preserve">, 2011; </w:t>
      </w:r>
      <w:proofErr w:type="spellStart"/>
      <w:r w:rsidRPr="00F71FEA">
        <w:rPr>
          <w:rFonts w:ascii="Times New Roman" w:hAnsi="Times New Roman"/>
          <w:color w:val="0000FF"/>
        </w:rPr>
        <w:t>Olowoyo</w:t>
      </w:r>
      <w:proofErr w:type="spellEnd"/>
      <w:r w:rsidRPr="00F71FEA">
        <w:rPr>
          <w:rFonts w:ascii="Times New Roman" w:hAnsi="Times New Roman"/>
          <w:color w:val="0000FF"/>
        </w:rPr>
        <w:t xml:space="preserve"> </w:t>
      </w:r>
      <w:r w:rsidRPr="00F71FEA">
        <w:rPr>
          <w:rFonts w:ascii="Times New Roman" w:hAnsi="Times New Roman"/>
          <w:i/>
          <w:color w:val="0000FF"/>
        </w:rPr>
        <w:t>et al.</w:t>
      </w:r>
      <w:r w:rsidRPr="00F71FEA">
        <w:rPr>
          <w:rFonts w:ascii="Times New Roman" w:hAnsi="Times New Roman"/>
          <w:color w:val="0000FF"/>
        </w:rPr>
        <w:t xml:space="preserve">, 2026; </w:t>
      </w:r>
      <w:proofErr w:type="spellStart"/>
      <w:r w:rsidRPr="00F71FEA">
        <w:rPr>
          <w:rFonts w:ascii="Times New Roman" w:hAnsi="Times New Roman"/>
          <w:color w:val="0000FF"/>
        </w:rPr>
        <w:t>Ezenwaji</w:t>
      </w:r>
      <w:proofErr w:type="spellEnd"/>
      <w:r w:rsidRPr="00F71FEA">
        <w:rPr>
          <w:rFonts w:ascii="Times New Roman" w:hAnsi="Times New Roman"/>
          <w:color w:val="0000FF"/>
        </w:rPr>
        <w:t xml:space="preserve"> </w:t>
      </w:r>
      <w:r w:rsidRPr="00F71FEA">
        <w:rPr>
          <w:rFonts w:ascii="Times New Roman" w:hAnsi="Times New Roman"/>
          <w:i/>
          <w:color w:val="0000FF"/>
        </w:rPr>
        <w:t>et al.</w:t>
      </w:r>
      <w:r w:rsidRPr="00F71FEA">
        <w:rPr>
          <w:rFonts w:ascii="Times New Roman" w:hAnsi="Times New Roman"/>
          <w:color w:val="0000FF"/>
        </w:rPr>
        <w:t xml:space="preserve">, 2024). Both Co (0.175 to 0.219 ppm) and V (0.081 to 0.112 ppm) exceeded the recommended limits (0.05 mg/L). Co and V levels in aquatic environments are often associated with oil, refinery effluents, and fossil fuel combustion (Agency for Toxic Substances and Disease Registry [ATSDR], </w:t>
      </w:r>
      <w:r w:rsidR="003E72EA" w:rsidRPr="003E72EA">
        <w:rPr>
          <w:rFonts w:ascii="Times New Roman" w:hAnsi="Times New Roman"/>
          <w:color w:val="0000FF"/>
        </w:rPr>
        <w:t>1999</w:t>
      </w:r>
      <w:r w:rsidRPr="00F71FEA">
        <w:rPr>
          <w:rFonts w:ascii="Times New Roman" w:hAnsi="Times New Roman"/>
          <w:color w:val="0000FF"/>
        </w:rPr>
        <w:t>), and high levels of both have been reported in an oil-contaminated Niger Delta river (</w:t>
      </w:r>
      <w:proofErr w:type="spellStart"/>
      <w:r w:rsidRPr="00F71FEA">
        <w:rPr>
          <w:rFonts w:ascii="Times New Roman" w:hAnsi="Times New Roman"/>
          <w:color w:val="0000FF"/>
        </w:rPr>
        <w:t>Umeoguaju</w:t>
      </w:r>
      <w:proofErr w:type="spellEnd"/>
      <w:r w:rsidRPr="00F71FEA">
        <w:rPr>
          <w:rFonts w:ascii="Times New Roman" w:hAnsi="Times New Roman"/>
          <w:color w:val="0000FF"/>
        </w:rPr>
        <w:t xml:space="preserve"> </w:t>
      </w:r>
      <w:r w:rsidRPr="00F71FEA">
        <w:rPr>
          <w:rFonts w:ascii="Times New Roman" w:hAnsi="Times New Roman"/>
          <w:i/>
          <w:color w:val="0000FF"/>
        </w:rPr>
        <w:t>et al.</w:t>
      </w:r>
      <w:r w:rsidRPr="00F71FEA">
        <w:rPr>
          <w:rFonts w:ascii="Times New Roman" w:hAnsi="Times New Roman"/>
          <w:color w:val="0000FF"/>
        </w:rPr>
        <w:t>, 2022).</w:t>
      </w:r>
    </w:p>
    <w:p w14:paraId="0B3AA4ED" w14:textId="77777777" w:rsidR="00890DA5" w:rsidRPr="00F71FEA" w:rsidRDefault="00890DA5" w:rsidP="00C22394">
      <w:pPr>
        <w:spacing w:after="0" w:line="360" w:lineRule="auto"/>
        <w:jc w:val="both"/>
        <w:rPr>
          <w:rFonts w:ascii="Times New Roman" w:hAnsi="Times New Roman" w:cs="Times New Roman"/>
        </w:rPr>
      </w:pPr>
    </w:p>
    <w:p w14:paraId="63D5CBCC" w14:textId="77777777" w:rsidR="004B5412" w:rsidRPr="00F71FEA" w:rsidRDefault="004B5412" w:rsidP="00C22394">
      <w:pPr>
        <w:spacing w:after="0" w:line="360" w:lineRule="auto"/>
        <w:jc w:val="both"/>
        <w:rPr>
          <w:rFonts w:ascii="Times New Roman" w:hAnsi="Times New Roman" w:cs="Times New Roman"/>
        </w:rPr>
      </w:pPr>
    </w:p>
    <w:p w14:paraId="1BF837B0" w14:textId="77777777" w:rsidR="00890DA5" w:rsidRPr="00F71FEA" w:rsidRDefault="00890DA5" w:rsidP="00C22394">
      <w:pPr>
        <w:spacing w:after="0" w:line="360" w:lineRule="auto"/>
        <w:jc w:val="both"/>
        <w:rPr>
          <w:rFonts w:ascii="Times New Roman" w:eastAsia="Calibri" w:hAnsi="Times New Roman" w:cs="Times New Roman"/>
          <w:kern w:val="0"/>
          <w14:ligatures w14:val="none"/>
        </w:rPr>
      </w:pPr>
      <w:r w:rsidRPr="00F71FEA">
        <w:rPr>
          <w:rFonts w:ascii="Times New Roman" w:eastAsia="Calibri" w:hAnsi="Times New Roman" w:cs="Times New Roman"/>
          <w:noProof/>
          <w:kern w:val="0"/>
          <w14:ligatures w14:val="none"/>
        </w:rPr>
        <w:lastRenderedPageBreak/>
        <w:drawing>
          <wp:inline distT="0" distB="0" distL="0" distR="0" wp14:anchorId="2ED7BD9E" wp14:editId="78D88CEE">
            <wp:extent cx="5943600" cy="3757930"/>
            <wp:effectExtent l="0" t="0" r="0" b="13970"/>
            <wp:docPr id="1282232211" name="Chart 1">
              <a:extLst xmlns:a="http://schemas.openxmlformats.org/drawingml/2006/main">
                <a:ext uri="{FF2B5EF4-FFF2-40B4-BE49-F238E27FC236}">
                  <a16:creationId xmlns:a16="http://schemas.microsoft.com/office/drawing/2014/main" id="{E0068463-B0B8-4800-6D38-B39C49758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7D27F7" w14:textId="77777777" w:rsidR="00890DA5" w:rsidRPr="00F71FEA" w:rsidRDefault="00890DA5" w:rsidP="00C22394">
      <w:pPr>
        <w:spacing w:after="0" w:line="360" w:lineRule="auto"/>
        <w:jc w:val="both"/>
        <w:rPr>
          <w:rFonts w:ascii="Times New Roman" w:eastAsia="Calibri" w:hAnsi="Times New Roman" w:cs="Times New Roman"/>
          <w:color w:val="0000FF"/>
          <w:kern w:val="0"/>
          <w14:ligatures w14:val="none"/>
        </w:rPr>
      </w:pPr>
      <w:r w:rsidRPr="00F71FEA">
        <w:rPr>
          <w:rFonts w:ascii="Times New Roman" w:eastAsia="Calibri" w:hAnsi="Times New Roman" w:cs="Times New Roman"/>
          <w:color w:val="0000FF"/>
          <w:kern w:val="0"/>
          <w14:ligatures w14:val="none"/>
        </w:rPr>
        <w:t>Figure 2. Comparison of the mean concentrations of the Trace metals and the WHO permissible limits</w:t>
      </w:r>
    </w:p>
    <w:p w14:paraId="0872FE15" w14:textId="77777777" w:rsidR="00890DA5" w:rsidRPr="00F71FEA" w:rsidRDefault="00890DA5" w:rsidP="00C22394">
      <w:pPr>
        <w:spacing w:after="0" w:line="360" w:lineRule="auto"/>
        <w:jc w:val="both"/>
        <w:rPr>
          <w:rFonts w:ascii="Times New Roman" w:eastAsia="Calibri" w:hAnsi="Times New Roman" w:cs="Times New Roman"/>
          <w:kern w:val="0"/>
          <w14:ligatures w14:val="none"/>
        </w:rPr>
      </w:pPr>
    </w:p>
    <w:p w14:paraId="3E8A2CD1" w14:textId="2F1D6315" w:rsidR="004B5412" w:rsidRPr="00F71FEA" w:rsidRDefault="009E2FE0" w:rsidP="00B81BBB">
      <w:pPr>
        <w:spacing w:after="0" w:line="360" w:lineRule="auto"/>
        <w:jc w:val="both"/>
        <w:rPr>
          <w:rStyle w:val="Strong"/>
          <w:rFonts w:ascii="Times New Roman" w:eastAsia="Calibri" w:hAnsi="Times New Roman" w:cs="Times New Roman"/>
          <w:b w:val="0"/>
          <w:bCs w:val="0"/>
          <w:kern w:val="0"/>
          <w14:ligatures w14:val="none"/>
        </w:rPr>
      </w:pPr>
      <w:r w:rsidRPr="00F71FEA">
        <w:rPr>
          <w:rFonts w:ascii="Times New Roman" w:hAnsi="Times New Roman"/>
          <w:color w:val="0000FF"/>
        </w:rPr>
        <w:t>Similarly, the recorded nickel values, which ranged from 0.010 to 0.100 ppm in surface water samples, exceeded the WHO permissible limit of 0.02 mg/L. Nickel contamination in water bodies has been linked to oil spills, industrial waste, and corrosion of metallic infrastructure (</w:t>
      </w:r>
      <w:proofErr w:type="spellStart"/>
      <w:r w:rsidRPr="00F71FEA">
        <w:rPr>
          <w:rFonts w:ascii="Times New Roman" w:hAnsi="Times New Roman"/>
          <w:color w:val="0000FF"/>
        </w:rPr>
        <w:t>Ojekunle</w:t>
      </w:r>
      <w:proofErr w:type="spellEnd"/>
      <w:r w:rsidRPr="00F71FEA">
        <w:rPr>
          <w:rFonts w:ascii="Times New Roman" w:hAnsi="Times New Roman"/>
          <w:color w:val="0000FF"/>
        </w:rPr>
        <w:t xml:space="preserve"> </w:t>
      </w:r>
      <w:r w:rsidRPr="00F71FEA">
        <w:rPr>
          <w:rFonts w:ascii="Times New Roman" w:hAnsi="Times New Roman"/>
          <w:i/>
          <w:color w:val="0000FF"/>
        </w:rPr>
        <w:t>et al.</w:t>
      </w:r>
      <w:r w:rsidRPr="00F71FEA">
        <w:rPr>
          <w:rFonts w:ascii="Times New Roman" w:hAnsi="Times New Roman"/>
          <w:color w:val="0000FF"/>
        </w:rPr>
        <w:t>, 2020). Similar results have been observed in surface waters around Port Harcourt and its environs (</w:t>
      </w:r>
      <w:r w:rsidR="003E72EA" w:rsidRPr="003E72EA">
        <w:rPr>
          <w:rFonts w:ascii="Times New Roman" w:hAnsi="Times New Roman"/>
          <w:color w:val="0000FF"/>
        </w:rPr>
        <w:t>Anyanwu</w:t>
      </w:r>
      <w:r w:rsidRPr="00F71FEA">
        <w:rPr>
          <w:rFonts w:ascii="Times New Roman" w:hAnsi="Times New Roman"/>
          <w:color w:val="0000FF"/>
        </w:rPr>
        <w:t xml:space="preserve"> </w:t>
      </w:r>
      <w:r w:rsidRPr="00F71FEA">
        <w:rPr>
          <w:rFonts w:ascii="Times New Roman" w:hAnsi="Times New Roman"/>
          <w:i/>
          <w:color w:val="0000FF"/>
        </w:rPr>
        <w:t>et al.</w:t>
      </w:r>
      <w:r w:rsidRPr="00F71FEA">
        <w:rPr>
          <w:rFonts w:ascii="Times New Roman" w:hAnsi="Times New Roman"/>
          <w:color w:val="0000FF"/>
        </w:rPr>
        <w:t>, 202</w:t>
      </w:r>
      <w:r w:rsidR="003E72EA">
        <w:rPr>
          <w:rFonts w:ascii="Times New Roman" w:hAnsi="Times New Roman"/>
          <w:color w:val="0000FF"/>
        </w:rPr>
        <w:t>3</w:t>
      </w:r>
      <w:r w:rsidRPr="00F71FEA">
        <w:rPr>
          <w:rFonts w:ascii="Times New Roman" w:hAnsi="Times New Roman"/>
          <w:color w:val="0000FF"/>
        </w:rPr>
        <w:t>). The mean concentrations of the trace metals were plotted in a bar chart for comparison with WHO/FEPA permissible limits (Figure 2). Some recorded values were reduced in the bar plot to accommodate the higher values. The figure shows that the concentrations of some trace metals were higher than the permissible limits.</w:t>
      </w:r>
    </w:p>
    <w:p w14:paraId="55E628D0" w14:textId="77777777" w:rsidR="004B5412" w:rsidRPr="00F71FEA" w:rsidRDefault="004B5412" w:rsidP="00401C22">
      <w:pPr>
        <w:pStyle w:val="NormalWeb"/>
        <w:rPr>
          <w:rStyle w:val="Strong"/>
        </w:rPr>
      </w:pPr>
    </w:p>
    <w:p w14:paraId="79B89A10" w14:textId="77777777" w:rsidR="00401C22" w:rsidRPr="00F71FEA" w:rsidRDefault="00401C22" w:rsidP="00401C22">
      <w:pPr>
        <w:pStyle w:val="NormalWeb"/>
      </w:pPr>
      <w:r w:rsidRPr="00F71FEA">
        <w:rPr>
          <w:rStyle w:val="Strong"/>
        </w:rPr>
        <w:t>Conclusions</w:t>
      </w:r>
    </w:p>
    <w:p w14:paraId="39FB443C" w14:textId="77777777" w:rsidR="00401C22" w:rsidRPr="00F71FEA" w:rsidRDefault="00401C22" w:rsidP="00E617E5">
      <w:pPr>
        <w:pStyle w:val="NormalWeb"/>
        <w:spacing w:line="480" w:lineRule="auto"/>
        <w:jc w:val="both"/>
      </w:pPr>
      <w:r w:rsidRPr="00F71FEA">
        <w:t xml:space="preserve">This study assessed the physicochemical characteristics and trace metal concentrations of surface water from </w:t>
      </w:r>
      <w:proofErr w:type="spellStart"/>
      <w:r w:rsidRPr="00F71FEA">
        <w:t>Woji</w:t>
      </w:r>
      <w:proofErr w:type="spellEnd"/>
      <w:r w:rsidRPr="00F71FEA">
        <w:t xml:space="preserve"> River in Port Harcourt, Rivers State, Nigeria. The results showed that the river </w:t>
      </w:r>
      <w:r w:rsidRPr="00F71FEA">
        <w:lastRenderedPageBreak/>
        <w:t>water was acidic, with pH values below the guideline range used in the study. Elevated electrical conductivity and chloride concentrations indicated increased ionic content, while oil and grease levels exceeded the stated limit at several sampling points. Nitrate, phosphate, alkalinity, and hardness were within the guideline limits presented in the manuscript. Among the trace metals, copper, iron, and chromium were below the stated permissible limits, whereas cadmium, lead, cobalt, vanadium, and nickel exceeded their respective limits. These findings suggest that the river is influenced by anthropogenic activities, including urban runoff, domestic waste discharge, industrial inputs, and possible petroleum-related contamination. The observed exceedances may affect the suitability of the river for domestic, ecological, and other uses without adequate treatment or management. Continuous monitoring, improved waste control, and stricter regulation of discharges into the river are therefore necessary to reduce further deterioration of water quality.</w:t>
      </w:r>
    </w:p>
    <w:p w14:paraId="77758557" w14:textId="77777777" w:rsidR="00B81BBB" w:rsidRPr="00F71FEA" w:rsidRDefault="00B81BBB" w:rsidP="00E617E5">
      <w:pPr>
        <w:pStyle w:val="NormalWeb"/>
        <w:jc w:val="both"/>
        <w:rPr>
          <w:rStyle w:val="Strong"/>
          <w:color w:val="0000FF"/>
        </w:rPr>
      </w:pPr>
    </w:p>
    <w:p w14:paraId="728948BF" w14:textId="77777777" w:rsidR="00401C22" w:rsidRPr="00F71FEA" w:rsidRDefault="00401C22" w:rsidP="00E617E5">
      <w:pPr>
        <w:pStyle w:val="NormalWeb"/>
        <w:jc w:val="both"/>
        <w:rPr>
          <w:color w:val="0000FF"/>
        </w:rPr>
      </w:pPr>
      <w:r w:rsidRPr="00F71FEA">
        <w:rPr>
          <w:rStyle w:val="Strong"/>
          <w:color w:val="0000FF"/>
        </w:rPr>
        <w:t>Limitations</w:t>
      </w:r>
      <w:r w:rsidR="002C0563" w:rsidRPr="00F71FEA">
        <w:rPr>
          <w:rStyle w:val="Strong"/>
          <w:color w:val="0000FF"/>
        </w:rPr>
        <w:t xml:space="preserve"> of the study</w:t>
      </w:r>
    </w:p>
    <w:p w14:paraId="408FE2AD" w14:textId="77777777" w:rsidR="00137B1C" w:rsidRDefault="00137B1C" w:rsidP="00401C22">
      <w:pPr>
        <w:pStyle w:val="NormalWeb"/>
      </w:pPr>
      <w:r>
        <w:t>This study was limited to six surface water samples collected during one dry-season sampling period; therefore, the results provide only a snapshot of water quality. Seasonal variation, sediment chemistry, microbiological quality, organic contaminants, and bioaccumulation in aquatic organisms were not assessed. Detailed quality assurance and quality control information, including detection limits, recovery values, replicate analysis, and certified reference material results, was also not provided.</w:t>
      </w:r>
    </w:p>
    <w:p w14:paraId="26E4BC92" w14:textId="179815FA" w:rsidR="00B74C32" w:rsidRPr="00F71FEA" w:rsidRDefault="00B74C32" w:rsidP="00401C22">
      <w:pPr>
        <w:pStyle w:val="NormalWeb"/>
        <w:rPr>
          <w:color w:val="0000FF"/>
          <w:lang w:val="en-US"/>
        </w:rPr>
      </w:pPr>
      <w:r w:rsidRPr="00F71FEA">
        <w:rPr>
          <w:color w:val="0000FF"/>
          <w:lang w:val="en-US"/>
        </w:rPr>
        <w:t>COMPETING INTERESTS</w:t>
      </w:r>
    </w:p>
    <w:p w14:paraId="3022EC6E" w14:textId="77777777" w:rsidR="00431699" w:rsidRPr="00F71FEA" w:rsidRDefault="00B74C32" w:rsidP="00401C22">
      <w:pPr>
        <w:pStyle w:val="NormalWeb"/>
        <w:rPr>
          <w:color w:val="0000FF"/>
        </w:rPr>
      </w:pPr>
      <w:r w:rsidRPr="00F71FEA">
        <w:rPr>
          <w:color w:val="0000FF"/>
          <w:lang w:val="en-US"/>
        </w:rPr>
        <w:t xml:space="preserve"> The author declares that there are no known financial or personal competing interests that could have appeared to influence the work reported in this paper.</w:t>
      </w:r>
    </w:p>
    <w:p w14:paraId="46D50510" w14:textId="77777777" w:rsidR="00431699" w:rsidRPr="00F71FEA" w:rsidRDefault="00431699" w:rsidP="006F046F">
      <w:pPr>
        <w:spacing w:line="259" w:lineRule="auto"/>
        <w:jc w:val="both"/>
        <w:rPr>
          <w:rFonts w:ascii="Arial" w:eastAsia="Calibri" w:hAnsi="Arial" w:cs="Arial"/>
          <w:sz w:val="22"/>
          <w:szCs w:val="22"/>
          <w:lang w:val="en-IN"/>
        </w:rPr>
      </w:pPr>
      <w:r w:rsidRPr="00F71FEA">
        <w:rPr>
          <w:rFonts w:ascii="Arial" w:eastAsia="Calibri" w:hAnsi="Arial" w:cs="Arial"/>
          <w:sz w:val="22"/>
          <w:szCs w:val="22"/>
          <w:lang w:val="en-IN"/>
        </w:rPr>
        <w:t>Declaration of AI Use</w:t>
      </w:r>
    </w:p>
    <w:p w14:paraId="75300D21" w14:textId="77777777" w:rsidR="00431699" w:rsidRPr="00F71FEA" w:rsidRDefault="00431699" w:rsidP="006F046F">
      <w:pPr>
        <w:spacing w:line="259" w:lineRule="auto"/>
        <w:jc w:val="both"/>
        <w:rPr>
          <w:rFonts w:ascii="Arial" w:eastAsia="Calibri" w:hAnsi="Arial" w:cs="Arial"/>
          <w:sz w:val="22"/>
          <w:szCs w:val="22"/>
          <w:lang w:val="en-IN"/>
        </w:rPr>
      </w:pPr>
      <w:r w:rsidRPr="00F71FEA">
        <w:rPr>
          <w:rFonts w:ascii="Arial" w:eastAsia="Calibri" w:hAnsi="Arial" w:cs="Arial"/>
          <w:sz w:val="22"/>
          <w:szCs w:val="22"/>
          <w:lang w:val="en-I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w:t>
      </w:r>
      <w:r w:rsidRPr="00F71FEA">
        <w:rPr>
          <w:rFonts w:ascii="Arial" w:eastAsia="Calibri" w:hAnsi="Arial" w:cs="Arial"/>
          <w:sz w:val="22"/>
          <w:szCs w:val="22"/>
          <w:lang w:val="en-IN"/>
        </w:rPr>
        <w:lastRenderedPageBreak/>
        <w:t>carefully reviewed, revised, verified, and approved by the author(s). The author(s) accept full responsibility for the accuracy, integrity, and final content of the manuscript.</w:t>
      </w:r>
    </w:p>
    <w:p w14:paraId="4F748E6B" w14:textId="77777777" w:rsidR="00431699" w:rsidRPr="00F71FEA" w:rsidRDefault="00431699" w:rsidP="00401C22">
      <w:pPr>
        <w:pStyle w:val="NormalWeb"/>
      </w:pPr>
    </w:p>
    <w:p w14:paraId="45887A35" w14:textId="77777777" w:rsidR="00C22394" w:rsidRPr="00F71FEA" w:rsidRDefault="00C22394" w:rsidP="00C22394">
      <w:pPr>
        <w:pStyle w:val="Heading1"/>
        <w:spacing w:line="240" w:lineRule="auto"/>
      </w:pPr>
      <w:r w:rsidRPr="00F71FEA">
        <w:t>References</w:t>
      </w:r>
    </w:p>
    <w:p w14:paraId="632A8EB2" w14:textId="59885294"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Anyanwu, I. N., </w:t>
      </w:r>
      <w:proofErr w:type="spellStart"/>
      <w:r w:rsidRPr="003E72EA">
        <w:rPr>
          <w:rFonts w:ascii="Times New Roman" w:eastAsia="Times New Roman" w:hAnsi="Times New Roman" w:cs="Times New Roman"/>
          <w:kern w:val="0"/>
          <w14:ligatures w14:val="none"/>
        </w:rPr>
        <w:t>Beggel</w:t>
      </w:r>
      <w:proofErr w:type="spellEnd"/>
      <w:r w:rsidRPr="003E72EA">
        <w:rPr>
          <w:rFonts w:ascii="Times New Roman" w:eastAsia="Times New Roman" w:hAnsi="Times New Roman" w:cs="Times New Roman"/>
          <w:kern w:val="0"/>
          <w14:ligatures w14:val="none"/>
        </w:rPr>
        <w:t xml:space="preserve">, S., </w:t>
      </w:r>
      <w:proofErr w:type="spellStart"/>
      <w:r w:rsidRPr="003E72EA">
        <w:rPr>
          <w:rFonts w:ascii="Times New Roman" w:eastAsia="Times New Roman" w:hAnsi="Times New Roman" w:cs="Times New Roman"/>
          <w:kern w:val="0"/>
          <w14:ligatures w14:val="none"/>
        </w:rPr>
        <w:t>Sikoki</w:t>
      </w:r>
      <w:proofErr w:type="spellEnd"/>
      <w:r w:rsidRPr="003E72EA">
        <w:rPr>
          <w:rFonts w:ascii="Times New Roman" w:eastAsia="Times New Roman" w:hAnsi="Times New Roman" w:cs="Times New Roman"/>
          <w:kern w:val="0"/>
          <w14:ligatures w14:val="none"/>
        </w:rPr>
        <w:t xml:space="preserve">, F. D., Okuku, E. O., </w:t>
      </w:r>
      <w:proofErr w:type="spellStart"/>
      <w:r w:rsidRPr="003E72EA">
        <w:rPr>
          <w:rFonts w:ascii="Times New Roman" w:eastAsia="Times New Roman" w:hAnsi="Times New Roman" w:cs="Times New Roman"/>
          <w:kern w:val="0"/>
          <w14:ligatures w14:val="none"/>
        </w:rPr>
        <w:t>Unyimadu</w:t>
      </w:r>
      <w:proofErr w:type="spellEnd"/>
      <w:r w:rsidRPr="003E72EA">
        <w:rPr>
          <w:rFonts w:ascii="Times New Roman" w:eastAsia="Times New Roman" w:hAnsi="Times New Roman" w:cs="Times New Roman"/>
          <w:kern w:val="0"/>
          <w14:ligatures w14:val="none"/>
        </w:rPr>
        <w:t xml:space="preserve">, J.-P., &amp; Geist, J. (2023). Pollution of the Niger Delta with total petroleum hydrocarbons, heavy metals and nutrients in relation to seasonal dynamics. Scientific Reports, 13, 14079. </w:t>
      </w:r>
      <w:hyperlink r:id="rId15" w:tgtFrame="_new" w:history="1">
        <w:r w:rsidRPr="003E72EA">
          <w:rPr>
            <w:rFonts w:ascii="Times New Roman" w:eastAsia="Times New Roman" w:hAnsi="Times New Roman" w:cs="Times New Roman"/>
            <w:color w:val="0000FF"/>
            <w:kern w:val="0"/>
            <w:u w:val="single"/>
            <w14:ligatures w14:val="none"/>
          </w:rPr>
          <w:t>https://doi.org/10.1038/s41598-023-40995-9</w:t>
        </w:r>
      </w:hyperlink>
    </w:p>
    <w:p w14:paraId="72B1378D" w14:textId="76280FFF"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Laniyan</w:t>
      </w:r>
      <w:proofErr w:type="spellEnd"/>
      <w:r w:rsidRPr="003E72EA">
        <w:rPr>
          <w:rFonts w:ascii="Times New Roman" w:eastAsia="Times New Roman" w:hAnsi="Times New Roman" w:cs="Times New Roman"/>
          <w:kern w:val="0"/>
          <w14:ligatures w14:val="none"/>
        </w:rPr>
        <w:t xml:space="preserve">, T. A., &amp; Adewumi, A. J. P. (2020). Potential ecological and health risks of toxic metals associated with artisanal mining contamination in </w:t>
      </w:r>
      <w:proofErr w:type="spellStart"/>
      <w:r w:rsidRPr="003E72EA">
        <w:rPr>
          <w:rFonts w:ascii="Times New Roman" w:eastAsia="Times New Roman" w:hAnsi="Times New Roman" w:cs="Times New Roman"/>
          <w:kern w:val="0"/>
          <w14:ligatures w14:val="none"/>
        </w:rPr>
        <w:t>Ijero</w:t>
      </w:r>
      <w:proofErr w:type="spellEnd"/>
      <w:r w:rsidRPr="003E72EA">
        <w:rPr>
          <w:rFonts w:ascii="Times New Roman" w:eastAsia="Times New Roman" w:hAnsi="Times New Roman" w:cs="Times New Roman"/>
          <w:kern w:val="0"/>
          <w14:ligatures w14:val="none"/>
        </w:rPr>
        <w:t xml:space="preserve">, southwest Nigeria. </w:t>
      </w:r>
      <w:r w:rsidRPr="003E72EA">
        <w:rPr>
          <w:rFonts w:ascii="Times New Roman" w:eastAsia="Times New Roman" w:hAnsi="Times New Roman" w:cs="Times New Roman"/>
          <w:i/>
          <w:iCs/>
          <w:kern w:val="0"/>
          <w14:ligatures w14:val="none"/>
        </w:rPr>
        <w:t>Journal of Environmental Science and Health, Part A, 55</w:t>
      </w:r>
      <w:r w:rsidRPr="003E72EA">
        <w:rPr>
          <w:rFonts w:ascii="Times New Roman" w:eastAsia="Times New Roman" w:hAnsi="Times New Roman" w:cs="Times New Roman"/>
          <w:kern w:val="0"/>
          <w14:ligatures w14:val="none"/>
        </w:rPr>
        <w:t xml:space="preserve">(7), 858–877. https://doi.org/10.1080/10934529.2020.1751504 </w:t>
      </w:r>
    </w:p>
    <w:p w14:paraId="13AD03DA" w14:textId="51214054"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Agency for Toxic Substances and Disease Registry. (1999). </w:t>
      </w:r>
      <w:r w:rsidRPr="003E72EA">
        <w:rPr>
          <w:rFonts w:ascii="Times New Roman" w:eastAsia="Times New Roman" w:hAnsi="Times New Roman" w:cs="Times New Roman"/>
          <w:i/>
          <w:iCs/>
          <w:kern w:val="0"/>
          <w14:ligatures w14:val="none"/>
        </w:rPr>
        <w:t>Toxicological profile for total petroleum hydrocarbons (TPH).</w:t>
      </w:r>
      <w:r w:rsidRPr="003E72EA">
        <w:rPr>
          <w:rFonts w:ascii="Times New Roman" w:eastAsia="Times New Roman" w:hAnsi="Times New Roman" w:cs="Times New Roman"/>
          <w:kern w:val="0"/>
          <w14:ligatures w14:val="none"/>
        </w:rPr>
        <w:t xml:space="preserve"> U.S. Department of Health and Human Services, Public Health Service. </w:t>
      </w:r>
      <w:hyperlink r:id="rId16" w:tgtFrame="_new" w:history="1">
        <w:r w:rsidRPr="003E72EA">
          <w:rPr>
            <w:rFonts w:ascii="Times New Roman" w:eastAsia="Times New Roman" w:hAnsi="Times New Roman" w:cs="Times New Roman"/>
            <w:color w:val="0000FF"/>
            <w:kern w:val="0"/>
            <w:u w:val="single"/>
            <w14:ligatures w14:val="none"/>
          </w:rPr>
          <w:t>https://www.atsdr.cdc.gov/toxprofiles/tp123.pdf</w:t>
        </w:r>
      </w:hyperlink>
      <w:r w:rsidRPr="003E72EA">
        <w:rPr>
          <w:rFonts w:ascii="Times New Roman" w:eastAsia="Times New Roman" w:hAnsi="Times New Roman" w:cs="Times New Roman"/>
          <w:kern w:val="0"/>
          <w14:ligatures w14:val="none"/>
        </w:rPr>
        <w:t xml:space="preserve"> </w:t>
      </w:r>
    </w:p>
    <w:p w14:paraId="6F797DC3"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Ahmed, N. O., </w:t>
      </w:r>
      <w:proofErr w:type="spellStart"/>
      <w:r w:rsidRPr="003E72EA">
        <w:rPr>
          <w:rFonts w:ascii="Times New Roman" w:eastAsia="Times New Roman" w:hAnsi="Times New Roman" w:cs="Times New Roman"/>
          <w:kern w:val="0"/>
          <w14:ligatures w14:val="none"/>
        </w:rPr>
        <w:t>Fagorite</w:t>
      </w:r>
      <w:proofErr w:type="spellEnd"/>
      <w:r w:rsidRPr="003E72EA">
        <w:rPr>
          <w:rFonts w:ascii="Times New Roman" w:eastAsia="Times New Roman" w:hAnsi="Times New Roman" w:cs="Times New Roman"/>
          <w:kern w:val="0"/>
          <w14:ligatures w14:val="none"/>
        </w:rPr>
        <w:t xml:space="preserve">, V. I., </w:t>
      </w:r>
      <w:proofErr w:type="spellStart"/>
      <w:r w:rsidRPr="003E72EA">
        <w:rPr>
          <w:rFonts w:ascii="Times New Roman" w:eastAsia="Times New Roman" w:hAnsi="Times New Roman" w:cs="Times New Roman"/>
          <w:kern w:val="0"/>
          <w14:ligatures w14:val="none"/>
        </w:rPr>
        <w:t>Chikwado</w:t>
      </w:r>
      <w:proofErr w:type="spellEnd"/>
      <w:r w:rsidRPr="003E72EA">
        <w:rPr>
          <w:rFonts w:ascii="Times New Roman" w:eastAsia="Times New Roman" w:hAnsi="Times New Roman" w:cs="Times New Roman"/>
          <w:kern w:val="0"/>
          <w14:ligatures w14:val="none"/>
        </w:rPr>
        <w:t xml:space="preserve">, A. G., Apata, M. D., Yunusa, L. J., </w:t>
      </w:r>
      <w:proofErr w:type="spellStart"/>
      <w:r w:rsidRPr="003E72EA">
        <w:rPr>
          <w:rFonts w:ascii="Times New Roman" w:eastAsia="Times New Roman" w:hAnsi="Times New Roman" w:cs="Times New Roman"/>
          <w:kern w:val="0"/>
          <w14:ligatures w14:val="none"/>
        </w:rPr>
        <w:t>Itiveh</w:t>
      </w:r>
      <w:proofErr w:type="spellEnd"/>
      <w:r w:rsidRPr="003E72EA">
        <w:rPr>
          <w:rFonts w:ascii="Times New Roman" w:eastAsia="Times New Roman" w:hAnsi="Times New Roman" w:cs="Times New Roman"/>
          <w:kern w:val="0"/>
          <w14:ligatures w14:val="none"/>
        </w:rPr>
        <w:t xml:space="preserve">, E. S., &amp; </w:t>
      </w:r>
      <w:proofErr w:type="spellStart"/>
      <w:r w:rsidRPr="003E72EA">
        <w:rPr>
          <w:rFonts w:ascii="Times New Roman" w:eastAsia="Times New Roman" w:hAnsi="Times New Roman" w:cs="Times New Roman"/>
          <w:kern w:val="0"/>
          <w14:ligatures w14:val="none"/>
        </w:rPr>
        <w:t>Biliaminu</w:t>
      </w:r>
      <w:proofErr w:type="spellEnd"/>
      <w:r w:rsidRPr="003E72EA">
        <w:rPr>
          <w:rFonts w:ascii="Times New Roman" w:eastAsia="Times New Roman" w:hAnsi="Times New Roman" w:cs="Times New Roman"/>
          <w:kern w:val="0"/>
          <w14:ligatures w14:val="none"/>
        </w:rPr>
        <w:t xml:space="preserve">, Z. B. (2024). Pollution assessment and index properties of </w:t>
      </w:r>
      <w:proofErr w:type="spellStart"/>
      <w:r w:rsidRPr="003E72EA">
        <w:rPr>
          <w:rFonts w:ascii="Times New Roman" w:eastAsia="Times New Roman" w:hAnsi="Times New Roman" w:cs="Times New Roman"/>
          <w:kern w:val="0"/>
          <w14:ligatures w14:val="none"/>
        </w:rPr>
        <w:t>Okpulor</w:t>
      </w:r>
      <w:proofErr w:type="spellEnd"/>
      <w:r w:rsidRPr="003E72EA">
        <w:rPr>
          <w:rFonts w:ascii="Times New Roman" w:eastAsia="Times New Roman" w:hAnsi="Times New Roman" w:cs="Times New Roman"/>
          <w:kern w:val="0"/>
          <w14:ligatures w14:val="none"/>
        </w:rPr>
        <w:t xml:space="preserve"> soils, Rivers State, Nigeria: Geochemical characterization, geotechnical and geo-environmental implications. </w:t>
      </w:r>
      <w:r w:rsidRPr="003E72EA">
        <w:rPr>
          <w:rFonts w:ascii="Times New Roman" w:eastAsia="Times New Roman" w:hAnsi="Times New Roman" w:cs="Times New Roman"/>
          <w:i/>
          <w:iCs/>
          <w:kern w:val="0"/>
          <w14:ligatures w14:val="none"/>
        </w:rPr>
        <w:t>Discover Environment, 2</w:t>
      </w:r>
      <w:r w:rsidRPr="003E72EA">
        <w:rPr>
          <w:rFonts w:ascii="Times New Roman" w:eastAsia="Times New Roman" w:hAnsi="Times New Roman" w:cs="Times New Roman"/>
          <w:kern w:val="0"/>
          <w14:ligatures w14:val="none"/>
        </w:rPr>
        <w:t>, Article 60. https://doi.org/10.1007/s44274-024-00094-6</w:t>
      </w:r>
    </w:p>
    <w:p w14:paraId="22DA8B31"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Akankali</w:t>
      </w:r>
      <w:proofErr w:type="spellEnd"/>
      <w:r w:rsidRPr="003E72EA">
        <w:rPr>
          <w:rFonts w:ascii="Times New Roman" w:eastAsia="Times New Roman" w:hAnsi="Times New Roman" w:cs="Times New Roman"/>
          <w:kern w:val="0"/>
          <w14:ligatures w14:val="none"/>
        </w:rPr>
        <w:t xml:space="preserve">, J. A., Davies, I. C., &amp; Blessing, D. I. (2022). Assessment of sawmill and other associated wastes on the water quality of Ilo-Abuchi Creek, Rivers State, Niger Delta. </w:t>
      </w:r>
      <w:r w:rsidRPr="003E72EA">
        <w:rPr>
          <w:rFonts w:ascii="Times New Roman" w:eastAsia="Times New Roman" w:hAnsi="Times New Roman" w:cs="Times New Roman"/>
          <w:i/>
          <w:iCs/>
          <w:kern w:val="0"/>
          <w14:ligatures w14:val="none"/>
        </w:rPr>
        <w:t>Asian Journal of Fisheries and Aquatic Research, 17</w:t>
      </w:r>
      <w:r w:rsidRPr="003E72EA">
        <w:rPr>
          <w:rFonts w:ascii="Times New Roman" w:eastAsia="Times New Roman" w:hAnsi="Times New Roman" w:cs="Times New Roman"/>
          <w:kern w:val="0"/>
          <w14:ligatures w14:val="none"/>
        </w:rPr>
        <w:t>(4), 1–13. https://doi.org/10.9734/ajfar/2022/v17i430406</w:t>
      </w:r>
    </w:p>
    <w:p w14:paraId="351A9943"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Akinpelumi, V. K., </w:t>
      </w:r>
      <w:proofErr w:type="spellStart"/>
      <w:r w:rsidRPr="003E72EA">
        <w:rPr>
          <w:rFonts w:ascii="Times New Roman" w:eastAsia="Times New Roman" w:hAnsi="Times New Roman" w:cs="Times New Roman"/>
          <w:kern w:val="0"/>
          <w14:ligatures w14:val="none"/>
        </w:rPr>
        <w:t>Ezejiofor</w:t>
      </w:r>
      <w:proofErr w:type="spellEnd"/>
      <w:r w:rsidRPr="003E72EA">
        <w:rPr>
          <w:rFonts w:ascii="Times New Roman" w:eastAsia="Times New Roman" w:hAnsi="Times New Roman" w:cs="Times New Roman"/>
          <w:kern w:val="0"/>
          <w14:ligatures w14:val="none"/>
        </w:rPr>
        <w:t xml:space="preserve">, A. N., Abdulai, P. M., Rovira, J., </w:t>
      </w:r>
      <w:proofErr w:type="spellStart"/>
      <w:r w:rsidRPr="003E72EA">
        <w:rPr>
          <w:rFonts w:ascii="Times New Roman" w:eastAsia="Times New Roman" w:hAnsi="Times New Roman" w:cs="Times New Roman"/>
          <w:kern w:val="0"/>
          <w14:ligatures w14:val="none"/>
        </w:rPr>
        <w:t>Frazzoli</w:t>
      </w:r>
      <w:proofErr w:type="spellEnd"/>
      <w:r w:rsidRPr="003E72EA">
        <w:rPr>
          <w:rFonts w:ascii="Times New Roman" w:eastAsia="Times New Roman" w:hAnsi="Times New Roman" w:cs="Times New Roman"/>
          <w:kern w:val="0"/>
          <w14:ligatures w14:val="none"/>
        </w:rPr>
        <w:t xml:space="preserve">, C., &amp; </w:t>
      </w:r>
      <w:proofErr w:type="spellStart"/>
      <w:r w:rsidRPr="003E72EA">
        <w:rPr>
          <w:rFonts w:ascii="Times New Roman" w:eastAsia="Times New Roman" w:hAnsi="Times New Roman" w:cs="Times New Roman"/>
          <w:kern w:val="0"/>
          <w14:ligatures w14:val="none"/>
        </w:rPr>
        <w:t>Orisakwe</w:t>
      </w:r>
      <w:proofErr w:type="spellEnd"/>
      <w:r w:rsidRPr="003E72EA">
        <w:rPr>
          <w:rFonts w:ascii="Times New Roman" w:eastAsia="Times New Roman" w:hAnsi="Times New Roman" w:cs="Times New Roman"/>
          <w:kern w:val="0"/>
          <w14:ligatures w14:val="none"/>
        </w:rPr>
        <w:t xml:space="preserve">, O. E. (2025). Seasonal variations of physicochemical parameters, arsenic, heavy metals, and PAHs in groundwater and surface water in crude oil contaminated community of Niger Delta, Nigeria: A comparative chemometric and human health risk assessment analyses. </w:t>
      </w:r>
      <w:r w:rsidRPr="003E72EA">
        <w:rPr>
          <w:rFonts w:ascii="Times New Roman" w:eastAsia="Times New Roman" w:hAnsi="Times New Roman" w:cs="Times New Roman"/>
          <w:i/>
          <w:iCs/>
          <w:kern w:val="0"/>
          <w14:ligatures w14:val="none"/>
        </w:rPr>
        <w:t>Water Environment Research, 97</w:t>
      </w:r>
      <w:r w:rsidRPr="003E72EA">
        <w:rPr>
          <w:rFonts w:ascii="Times New Roman" w:eastAsia="Times New Roman" w:hAnsi="Times New Roman" w:cs="Times New Roman"/>
          <w:kern w:val="0"/>
          <w14:ligatures w14:val="none"/>
        </w:rPr>
        <w:t>(12), Article e70220. https://doi.org/10.1002/wer.70220</w:t>
      </w:r>
    </w:p>
    <w:p w14:paraId="58767D99" w14:textId="66DD20B8"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lang w:val="nl-BE"/>
          <w14:ligatures w14:val="none"/>
        </w:rPr>
        <w:t xml:space="preserve">Umeoguaju, F. U., Akaninwor, J. O., Essien, E. B., &amp; Amadi, B. A. (2022). </w:t>
      </w:r>
      <w:r w:rsidRPr="003E72EA">
        <w:rPr>
          <w:rFonts w:ascii="Times New Roman" w:eastAsia="Times New Roman" w:hAnsi="Times New Roman" w:cs="Times New Roman"/>
          <w:kern w:val="0"/>
          <w14:ligatures w14:val="none"/>
        </w:rPr>
        <w:t>Heavy metal profile of surface and ground water samples from the Niger Delta region of Nigeria: A systematic review and meta-analysis. Environmental Monitoring and Assessment, 194, 46. https://doi.org/10.1007/s10661-021-09688-6</w:t>
      </w:r>
    </w:p>
    <w:p w14:paraId="54BD43C0"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Ali, H., Khan, E., &amp; Ilahi, I. (2019). Environmental chemistry and ecotoxicology of hazardous heavy metals: Environmental persistence, toxicity, and bioaccumulation. </w:t>
      </w:r>
      <w:r w:rsidRPr="003E72EA">
        <w:rPr>
          <w:rFonts w:ascii="Times New Roman" w:eastAsia="Times New Roman" w:hAnsi="Times New Roman" w:cs="Times New Roman"/>
          <w:i/>
          <w:iCs/>
          <w:kern w:val="0"/>
          <w14:ligatures w14:val="none"/>
        </w:rPr>
        <w:t>Journal of Chemistry, 2019</w:t>
      </w:r>
      <w:r w:rsidRPr="003E72EA">
        <w:rPr>
          <w:rFonts w:ascii="Times New Roman" w:eastAsia="Times New Roman" w:hAnsi="Times New Roman" w:cs="Times New Roman"/>
          <w:kern w:val="0"/>
          <w14:ligatures w14:val="none"/>
        </w:rPr>
        <w:t xml:space="preserve">, Article 6730305. </w:t>
      </w:r>
      <w:hyperlink r:id="rId17" w:tgtFrame="_new" w:history="1">
        <w:r w:rsidRPr="003E72EA">
          <w:rPr>
            <w:rFonts w:ascii="Times New Roman" w:eastAsia="Times New Roman" w:hAnsi="Times New Roman" w:cs="Times New Roman"/>
            <w:color w:val="0000FF"/>
            <w:kern w:val="0"/>
            <w:u w:val="single"/>
            <w14:ligatures w14:val="none"/>
          </w:rPr>
          <w:t>https://doi.org/10.1155/2019/6730305</w:t>
        </w:r>
      </w:hyperlink>
    </w:p>
    <w:p w14:paraId="7BDD0F89"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lastRenderedPageBreak/>
        <w:t xml:space="preserve">Ameh, L. E. O., Machido, D. A., Tijjani, M. B., &amp; Sow, G. J. (2023). Assessment of physicochemical properties of wastewater from waste stabilization pond of a refinery and petrochemical industry, Kaduna State, Nigeria. </w:t>
      </w:r>
      <w:r w:rsidRPr="003E72EA">
        <w:rPr>
          <w:rFonts w:ascii="Times New Roman" w:eastAsia="Times New Roman" w:hAnsi="Times New Roman" w:cs="Times New Roman"/>
          <w:i/>
          <w:iCs/>
          <w:kern w:val="0"/>
          <w14:ligatures w14:val="none"/>
        </w:rPr>
        <w:t>Journal of Applied Sciences and Environmental Management, 27</w:t>
      </w:r>
      <w:r w:rsidRPr="003E72EA">
        <w:rPr>
          <w:rFonts w:ascii="Times New Roman" w:eastAsia="Times New Roman" w:hAnsi="Times New Roman" w:cs="Times New Roman"/>
          <w:kern w:val="0"/>
          <w14:ligatures w14:val="none"/>
        </w:rPr>
        <w:t>(12), 2759–2763. https://doi.org/10.4314/jasem.v27i12.13</w:t>
      </w:r>
    </w:p>
    <w:p w14:paraId="6AAA0576"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American Public Health Association, American Water Works Association, &amp; Water Environment Federation. (2022). </w:t>
      </w:r>
      <w:r w:rsidRPr="003E72EA">
        <w:rPr>
          <w:rFonts w:ascii="Times New Roman" w:eastAsia="Times New Roman" w:hAnsi="Times New Roman" w:cs="Times New Roman"/>
          <w:i/>
          <w:iCs/>
          <w:kern w:val="0"/>
          <w14:ligatures w14:val="none"/>
        </w:rPr>
        <w:t>Standard methods for the examination of water and wastewater</w:t>
      </w:r>
      <w:r w:rsidRPr="003E72EA">
        <w:rPr>
          <w:rFonts w:ascii="Times New Roman" w:eastAsia="Times New Roman" w:hAnsi="Times New Roman" w:cs="Times New Roman"/>
          <w:kern w:val="0"/>
          <w14:ligatures w14:val="none"/>
        </w:rPr>
        <w:t xml:space="preserve"> (24th ed.). American Public Health Association. </w:t>
      </w:r>
      <w:hyperlink r:id="rId18" w:tgtFrame="_new" w:history="1">
        <w:r w:rsidRPr="003E72EA">
          <w:rPr>
            <w:rFonts w:ascii="Times New Roman" w:eastAsia="Times New Roman" w:hAnsi="Times New Roman" w:cs="Times New Roman"/>
            <w:color w:val="0000FF"/>
            <w:kern w:val="0"/>
            <w:u w:val="single"/>
            <w14:ligatures w14:val="none"/>
          </w:rPr>
          <w:t>https://www.standardmethods.org/</w:t>
        </w:r>
      </w:hyperlink>
    </w:p>
    <w:p w14:paraId="17A0621A" w14:textId="74B565AA"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Ojekunle</w:t>
      </w:r>
      <w:proofErr w:type="spellEnd"/>
      <w:r w:rsidRPr="003E72EA">
        <w:rPr>
          <w:rFonts w:ascii="Times New Roman" w:eastAsia="Times New Roman" w:hAnsi="Times New Roman" w:cs="Times New Roman"/>
          <w:kern w:val="0"/>
          <w14:ligatures w14:val="none"/>
        </w:rPr>
        <w:t xml:space="preserve">, O. Z., </w:t>
      </w:r>
      <w:proofErr w:type="spellStart"/>
      <w:r w:rsidRPr="003E72EA">
        <w:rPr>
          <w:rFonts w:ascii="Times New Roman" w:eastAsia="Times New Roman" w:hAnsi="Times New Roman" w:cs="Times New Roman"/>
          <w:kern w:val="0"/>
          <w14:ligatures w14:val="none"/>
        </w:rPr>
        <w:t>Awolokun</w:t>
      </w:r>
      <w:proofErr w:type="spellEnd"/>
      <w:r w:rsidRPr="003E72EA">
        <w:rPr>
          <w:rFonts w:ascii="Times New Roman" w:eastAsia="Times New Roman" w:hAnsi="Times New Roman" w:cs="Times New Roman"/>
          <w:kern w:val="0"/>
          <w14:ligatures w14:val="none"/>
        </w:rPr>
        <w:t xml:space="preserve">, G. S., Olatunde, A. K., Adegoke, K. A., </w:t>
      </w:r>
      <w:proofErr w:type="spellStart"/>
      <w:r w:rsidRPr="003E72EA">
        <w:rPr>
          <w:rFonts w:ascii="Times New Roman" w:eastAsia="Times New Roman" w:hAnsi="Times New Roman" w:cs="Times New Roman"/>
          <w:kern w:val="0"/>
          <w14:ligatures w14:val="none"/>
        </w:rPr>
        <w:t>Maxakato</w:t>
      </w:r>
      <w:proofErr w:type="spellEnd"/>
      <w:r w:rsidRPr="003E72EA">
        <w:rPr>
          <w:rFonts w:ascii="Times New Roman" w:eastAsia="Times New Roman" w:hAnsi="Times New Roman" w:cs="Times New Roman"/>
          <w:kern w:val="0"/>
          <w14:ligatures w14:val="none"/>
        </w:rPr>
        <w:t>, N. W., Balogun, M. A., &amp; Afolabi, T. A. (2023). Environmental and health hazards of heavy metal concentrations in Ota and Agbara industrial areas, Ogun State, Nigeria. Environmental Earth Sciences, 82, 79. https://doi.org/10.1007/s12665-022-10742-w</w:t>
      </w:r>
    </w:p>
    <w:p w14:paraId="7EE037F0"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Chashoo</w:t>
      </w:r>
      <w:proofErr w:type="spellEnd"/>
      <w:r w:rsidRPr="003E72EA">
        <w:rPr>
          <w:rFonts w:ascii="Times New Roman" w:eastAsia="Times New Roman" w:hAnsi="Times New Roman" w:cs="Times New Roman"/>
          <w:kern w:val="0"/>
          <w14:ligatures w14:val="none"/>
        </w:rPr>
        <w:t xml:space="preserve">, H. F., Abubakr, A., Malik, M., Bhat, F. A., Bhat, B. A., Khan, I. A., Tariq, S., &amp; Hanief, F. (2024). Assessing the health of </w:t>
      </w:r>
      <w:proofErr w:type="spellStart"/>
      <w:r w:rsidRPr="003E72EA">
        <w:rPr>
          <w:rFonts w:ascii="Times New Roman" w:eastAsia="Times New Roman" w:hAnsi="Times New Roman" w:cs="Times New Roman"/>
          <w:kern w:val="0"/>
          <w14:ligatures w14:val="none"/>
        </w:rPr>
        <w:t>Dachigam</w:t>
      </w:r>
      <w:proofErr w:type="spellEnd"/>
      <w:r w:rsidRPr="003E72EA">
        <w:rPr>
          <w:rFonts w:ascii="Times New Roman" w:eastAsia="Times New Roman" w:hAnsi="Times New Roman" w:cs="Times New Roman"/>
          <w:kern w:val="0"/>
          <w14:ligatures w14:val="none"/>
        </w:rPr>
        <w:t xml:space="preserve"> Stream: A water quality analysis. </w:t>
      </w:r>
      <w:r w:rsidRPr="003E72EA">
        <w:rPr>
          <w:rFonts w:ascii="Times New Roman" w:eastAsia="Times New Roman" w:hAnsi="Times New Roman" w:cs="Times New Roman"/>
          <w:i/>
          <w:iCs/>
          <w:kern w:val="0"/>
          <w14:ligatures w14:val="none"/>
        </w:rPr>
        <w:t>International Journal of Environment and Climate Change, 14</w:t>
      </w:r>
      <w:r w:rsidRPr="003E72EA">
        <w:rPr>
          <w:rFonts w:ascii="Times New Roman" w:eastAsia="Times New Roman" w:hAnsi="Times New Roman" w:cs="Times New Roman"/>
          <w:kern w:val="0"/>
          <w14:ligatures w14:val="none"/>
        </w:rPr>
        <w:t>(4), 356–371. https://doi.org/10.9734/ijecc/2024/v14i44122</w:t>
      </w:r>
    </w:p>
    <w:p w14:paraId="7ACEF0BD"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Dibofori</w:t>
      </w:r>
      <w:proofErr w:type="spellEnd"/>
      <w:r w:rsidRPr="003E72EA">
        <w:rPr>
          <w:rFonts w:ascii="Times New Roman" w:eastAsia="Times New Roman" w:hAnsi="Times New Roman" w:cs="Times New Roman"/>
          <w:kern w:val="0"/>
          <w14:ligatures w14:val="none"/>
        </w:rPr>
        <w:t xml:space="preserve">-Orji, A. N., </w:t>
      </w:r>
      <w:proofErr w:type="spellStart"/>
      <w:r w:rsidRPr="003E72EA">
        <w:rPr>
          <w:rFonts w:ascii="Times New Roman" w:eastAsia="Times New Roman" w:hAnsi="Times New Roman" w:cs="Times New Roman"/>
          <w:kern w:val="0"/>
          <w14:ligatures w14:val="none"/>
        </w:rPr>
        <w:t>Ihunwo</w:t>
      </w:r>
      <w:proofErr w:type="spellEnd"/>
      <w:r w:rsidRPr="003E72EA">
        <w:rPr>
          <w:rFonts w:ascii="Times New Roman" w:eastAsia="Times New Roman" w:hAnsi="Times New Roman" w:cs="Times New Roman"/>
          <w:kern w:val="0"/>
          <w14:ligatures w14:val="none"/>
        </w:rPr>
        <w:t xml:space="preserve">, O. C., Udo, K. S., </w:t>
      </w:r>
      <w:proofErr w:type="spellStart"/>
      <w:r w:rsidRPr="003E72EA">
        <w:rPr>
          <w:rFonts w:ascii="Times New Roman" w:eastAsia="Times New Roman" w:hAnsi="Times New Roman" w:cs="Times New Roman"/>
          <w:kern w:val="0"/>
          <w14:ligatures w14:val="none"/>
        </w:rPr>
        <w:t>Shahabinia</w:t>
      </w:r>
      <w:proofErr w:type="spellEnd"/>
      <w:r w:rsidRPr="003E72EA">
        <w:rPr>
          <w:rFonts w:ascii="Times New Roman" w:eastAsia="Times New Roman" w:hAnsi="Times New Roman" w:cs="Times New Roman"/>
          <w:kern w:val="0"/>
          <w14:ligatures w14:val="none"/>
        </w:rPr>
        <w:t xml:space="preserve">, A. R., Onyema, M. O., &amp; Mmom, P. C. (2019). Spatial and temporal distribution and contamination assessment of heavy metal in </w:t>
      </w:r>
      <w:proofErr w:type="spellStart"/>
      <w:r w:rsidRPr="003E72EA">
        <w:rPr>
          <w:rFonts w:ascii="Times New Roman" w:eastAsia="Times New Roman" w:hAnsi="Times New Roman" w:cs="Times New Roman"/>
          <w:kern w:val="0"/>
          <w14:ligatures w14:val="none"/>
        </w:rPr>
        <w:t>Woji</w:t>
      </w:r>
      <w:proofErr w:type="spellEnd"/>
      <w:r w:rsidRPr="003E72EA">
        <w:rPr>
          <w:rFonts w:ascii="Times New Roman" w:eastAsia="Times New Roman" w:hAnsi="Times New Roman" w:cs="Times New Roman"/>
          <w:kern w:val="0"/>
          <w14:ligatures w14:val="none"/>
        </w:rPr>
        <w:t xml:space="preserve"> Creek. </w:t>
      </w:r>
      <w:r w:rsidRPr="003E72EA">
        <w:rPr>
          <w:rFonts w:ascii="Times New Roman" w:eastAsia="Times New Roman" w:hAnsi="Times New Roman" w:cs="Times New Roman"/>
          <w:i/>
          <w:iCs/>
          <w:kern w:val="0"/>
          <w14:ligatures w14:val="none"/>
        </w:rPr>
        <w:t>Environmental Research Communications, 1</w:t>
      </w:r>
      <w:r w:rsidRPr="003E72EA">
        <w:rPr>
          <w:rFonts w:ascii="Times New Roman" w:eastAsia="Times New Roman" w:hAnsi="Times New Roman" w:cs="Times New Roman"/>
          <w:kern w:val="0"/>
          <w14:ligatures w14:val="none"/>
        </w:rPr>
        <w:t>(11), Article 111003. https://doi.org/10.1088/2515-7620/ab4a8c</w:t>
      </w:r>
    </w:p>
    <w:p w14:paraId="6FF67AEB" w14:textId="7297C436"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Edegbene</w:t>
      </w:r>
      <w:proofErr w:type="spellEnd"/>
      <w:r w:rsidRPr="003E72EA">
        <w:rPr>
          <w:rFonts w:ascii="Times New Roman" w:eastAsia="Times New Roman" w:hAnsi="Times New Roman" w:cs="Times New Roman"/>
          <w:kern w:val="0"/>
          <w14:ligatures w14:val="none"/>
        </w:rPr>
        <w:t xml:space="preserve">, A. O., Yandev, D., </w:t>
      </w:r>
      <w:proofErr w:type="spellStart"/>
      <w:r w:rsidRPr="003E72EA">
        <w:rPr>
          <w:rFonts w:ascii="Times New Roman" w:eastAsia="Times New Roman" w:hAnsi="Times New Roman" w:cs="Times New Roman"/>
          <w:kern w:val="0"/>
          <w14:ligatures w14:val="none"/>
        </w:rPr>
        <w:t>Omotehinwa</w:t>
      </w:r>
      <w:proofErr w:type="spellEnd"/>
      <w:r w:rsidRPr="003E72EA">
        <w:rPr>
          <w:rFonts w:ascii="Times New Roman" w:eastAsia="Times New Roman" w:hAnsi="Times New Roman" w:cs="Times New Roman"/>
          <w:kern w:val="0"/>
          <w14:ligatures w14:val="none"/>
        </w:rPr>
        <w:t xml:space="preserve">, T. O., Zakaria, H., &amp; Andya, B. O. (2025). Water quality assessment in Benue South, Nigeria: An investigation of </w:t>
      </w:r>
      <w:proofErr w:type="spellStart"/>
      <w:r w:rsidRPr="003E72EA">
        <w:rPr>
          <w:rFonts w:ascii="Times New Roman" w:eastAsia="Times New Roman" w:hAnsi="Times New Roman" w:cs="Times New Roman"/>
          <w:kern w:val="0"/>
          <w14:ligatures w14:val="none"/>
        </w:rPr>
        <w:t>physico</w:t>
      </w:r>
      <w:proofErr w:type="spellEnd"/>
      <w:r w:rsidRPr="003E72EA">
        <w:rPr>
          <w:rFonts w:ascii="Times New Roman" w:eastAsia="Times New Roman" w:hAnsi="Times New Roman" w:cs="Times New Roman"/>
          <w:kern w:val="0"/>
          <w14:ligatures w14:val="none"/>
        </w:rPr>
        <w:t xml:space="preserve">-chemical and microbial characteristics. Water Science, 39(1), 279–290. </w:t>
      </w:r>
      <w:hyperlink r:id="rId19" w:tgtFrame="_new" w:history="1">
        <w:r w:rsidRPr="003E72EA">
          <w:rPr>
            <w:rFonts w:ascii="Times New Roman" w:eastAsia="Times New Roman" w:hAnsi="Times New Roman" w:cs="Times New Roman"/>
            <w:color w:val="0000FF"/>
            <w:kern w:val="0"/>
            <w:u w:val="single"/>
            <w14:ligatures w14:val="none"/>
          </w:rPr>
          <w:t>https://doi.org/10.1080/23570008.2025.2483013</w:t>
        </w:r>
      </w:hyperlink>
    </w:p>
    <w:p w14:paraId="5DD677BD"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Edo, G. I., Samuel, P. O., </w:t>
      </w:r>
      <w:proofErr w:type="spellStart"/>
      <w:r w:rsidRPr="003E72EA">
        <w:rPr>
          <w:rFonts w:ascii="Times New Roman" w:eastAsia="Times New Roman" w:hAnsi="Times New Roman" w:cs="Times New Roman"/>
          <w:kern w:val="0"/>
          <w14:ligatures w14:val="none"/>
        </w:rPr>
        <w:t>Oloni</w:t>
      </w:r>
      <w:proofErr w:type="spellEnd"/>
      <w:r w:rsidRPr="003E72EA">
        <w:rPr>
          <w:rFonts w:ascii="Times New Roman" w:eastAsia="Times New Roman" w:hAnsi="Times New Roman" w:cs="Times New Roman"/>
          <w:kern w:val="0"/>
          <w14:ligatures w14:val="none"/>
        </w:rPr>
        <w:t xml:space="preserve">, G. O., Ezekiel, G. O., Ikpekoro, V. O., Obasohan, P., </w:t>
      </w:r>
      <w:proofErr w:type="spellStart"/>
      <w:r w:rsidRPr="003E72EA">
        <w:rPr>
          <w:rFonts w:ascii="Times New Roman" w:eastAsia="Times New Roman" w:hAnsi="Times New Roman" w:cs="Times New Roman"/>
          <w:kern w:val="0"/>
          <w14:ligatures w14:val="none"/>
        </w:rPr>
        <w:t>Ongulu</w:t>
      </w:r>
      <w:proofErr w:type="spellEnd"/>
      <w:r w:rsidRPr="003E72EA">
        <w:rPr>
          <w:rFonts w:ascii="Times New Roman" w:eastAsia="Times New Roman" w:hAnsi="Times New Roman" w:cs="Times New Roman"/>
          <w:kern w:val="0"/>
          <w14:ligatures w14:val="none"/>
        </w:rPr>
        <w:t xml:space="preserve">, J., </w:t>
      </w:r>
      <w:proofErr w:type="spellStart"/>
      <w:r w:rsidRPr="003E72EA">
        <w:rPr>
          <w:rFonts w:ascii="Times New Roman" w:eastAsia="Times New Roman" w:hAnsi="Times New Roman" w:cs="Times New Roman"/>
          <w:kern w:val="0"/>
          <w14:ligatures w14:val="none"/>
        </w:rPr>
        <w:t>Otunuya</w:t>
      </w:r>
      <w:proofErr w:type="spellEnd"/>
      <w:r w:rsidRPr="003E72EA">
        <w:rPr>
          <w:rFonts w:ascii="Times New Roman" w:eastAsia="Times New Roman" w:hAnsi="Times New Roman" w:cs="Times New Roman"/>
          <w:kern w:val="0"/>
          <w14:ligatures w14:val="none"/>
        </w:rPr>
        <w:t xml:space="preserve">, C. F., </w:t>
      </w:r>
      <w:proofErr w:type="spellStart"/>
      <w:r w:rsidRPr="003E72EA">
        <w:rPr>
          <w:rFonts w:ascii="Times New Roman" w:eastAsia="Times New Roman" w:hAnsi="Times New Roman" w:cs="Times New Roman"/>
          <w:kern w:val="0"/>
          <w14:ligatures w14:val="none"/>
        </w:rPr>
        <w:t>Opiti</w:t>
      </w:r>
      <w:proofErr w:type="spellEnd"/>
      <w:r w:rsidRPr="003E72EA">
        <w:rPr>
          <w:rFonts w:ascii="Times New Roman" w:eastAsia="Times New Roman" w:hAnsi="Times New Roman" w:cs="Times New Roman"/>
          <w:kern w:val="0"/>
          <w14:ligatures w14:val="none"/>
        </w:rPr>
        <w:t xml:space="preserve">, A. R., </w:t>
      </w:r>
      <w:proofErr w:type="spellStart"/>
      <w:r w:rsidRPr="003E72EA">
        <w:rPr>
          <w:rFonts w:ascii="Times New Roman" w:eastAsia="Times New Roman" w:hAnsi="Times New Roman" w:cs="Times New Roman"/>
          <w:kern w:val="0"/>
          <w14:ligatures w14:val="none"/>
        </w:rPr>
        <w:t>Ajakaye</w:t>
      </w:r>
      <w:proofErr w:type="spellEnd"/>
      <w:r w:rsidRPr="003E72EA">
        <w:rPr>
          <w:rFonts w:ascii="Times New Roman" w:eastAsia="Times New Roman" w:hAnsi="Times New Roman" w:cs="Times New Roman"/>
          <w:kern w:val="0"/>
          <w14:ligatures w14:val="none"/>
        </w:rPr>
        <w:t xml:space="preserve">, R. S., </w:t>
      </w:r>
      <w:proofErr w:type="spellStart"/>
      <w:r w:rsidRPr="003E72EA">
        <w:rPr>
          <w:rFonts w:ascii="Times New Roman" w:eastAsia="Times New Roman" w:hAnsi="Times New Roman" w:cs="Times New Roman"/>
          <w:kern w:val="0"/>
          <w14:ligatures w14:val="none"/>
        </w:rPr>
        <w:t>Essaghah</w:t>
      </w:r>
      <w:proofErr w:type="spellEnd"/>
      <w:r w:rsidRPr="003E72EA">
        <w:rPr>
          <w:rFonts w:ascii="Times New Roman" w:eastAsia="Times New Roman" w:hAnsi="Times New Roman" w:cs="Times New Roman"/>
          <w:kern w:val="0"/>
          <w14:ligatures w14:val="none"/>
        </w:rPr>
        <w:t xml:space="preserve">, A. E. A., &amp; Agbo, J. J. (2024). Environmental persistence, bioaccumulation, and ecotoxicology of heavy metals. </w:t>
      </w:r>
      <w:r w:rsidRPr="003E72EA">
        <w:rPr>
          <w:rFonts w:ascii="Times New Roman" w:eastAsia="Times New Roman" w:hAnsi="Times New Roman" w:cs="Times New Roman"/>
          <w:i/>
          <w:iCs/>
          <w:kern w:val="0"/>
          <w14:ligatures w14:val="none"/>
        </w:rPr>
        <w:t>Chemistry and Ecology, 40</w:t>
      </w:r>
      <w:r w:rsidRPr="003E72EA">
        <w:rPr>
          <w:rFonts w:ascii="Times New Roman" w:eastAsia="Times New Roman" w:hAnsi="Times New Roman" w:cs="Times New Roman"/>
          <w:kern w:val="0"/>
          <w14:ligatures w14:val="none"/>
        </w:rPr>
        <w:t>(3), 322–349. https://doi.org/10.1080/02757540.2024.2306839</w:t>
      </w:r>
    </w:p>
    <w:p w14:paraId="07BC7CEF" w14:textId="34595143"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lang w:val="nl-BE"/>
          <w14:ligatures w14:val="none"/>
        </w:rPr>
        <w:t xml:space="preserve">Umeoguaju, F. U., Akaninwor, J. O., Essien, E. B., &amp; Amadi, B. A. (2022). </w:t>
      </w:r>
      <w:r w:rsidRPr="003E72EA">
        <w:rPr>
          <w:rFonts w:ascii="Times New Roman" w:eastAsia="Times New Roman" w:hAnsi="Times New Roman" w:cs="Times New Roman"/>
          <w:kern w:val="0"/>
          <w14:ligatures w14:val="none"/>
        </w:rPr>
        <w:t>Heavy metal profile of surface and ground water samples from the Niger Delta region of Nigeria: A systematic review and meta-analysis. Environmental Monitoring and Assessment, 194, 46. https://doi.org/10.1007/s10661-021-09688-6</w:t>
      </w:r>
    </w:p>
    <w:p w14:paraId="6511862F"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Ezenwaji, E. E., </w:t>
      </w:r>
      <w:proofErr w:type="spellStart"/>
      <w:r w:rsidRPr="003E72EA">
        <w:rPr>
          <w:rFonts w:ascii="Times New Roman" w:eastAsia="Times New Roman" w:hAnsi="Times New Roman" w:cs="Times New Roman"/>
          <w:kern w:val="0"/>
          <w14:ligatures w14:val="none"/>
        </w:rPr>
        <w:t>Nzoiwu</w:t>
      </w:r>
      <w:proofErr w:type="spellEnd"/>
      <w:r w:rsidRPr="003E72EA">
        <w:rPr>
          <w:rFonts w:ascii="Times New Roman" w:eastAsia="Times New Roman" w:hAnsi="Times New Roman" w:cs="Times New Roman"/>
          <w:kern w:val="0"/>
          <w14:ligatures w14:val="none"/>
        </w:rPr>
        <w:t xml:space="preserve">, C. P., Umeogu, C. C., &amp; Okoye, C. A. (2024). Simulation of river flow using Soil and Water Assessment Tool (SWAT) model in Imo River Basin. </w:t>
      </w:r>
      <w:r w:rsidRPr="003E72EA">
        <w:rPr>
          <w:rFonts w:ascii="Times New Roman" w:eastAsia="Times New Roman" w:hAnsi="Times New Roman" w:cs="Times New Roman"/>
          <w:i/>
          <w:iCs/>
          <w:kern w:val="0"/>
          <w14:ligatures w14:val="none"/>
        </w:rPr>
        <w:t>Environmental Review Journal, 9</w:t>
      </w:r>
      <w:r w:rsidRPr="003E72EA">
        <w:rPr>
          <w:rFonts w:ascii="Times New Roman" w:eastAsia="Times New Roman" w:hAnsi="Times New Roman" w:cs="Times New Roman"/>
          <w:kern w:val="0"/>
          <w14:ligatures w14:val="none"/>
        </w:rPr>
        <w:t>(4). https://erjournal.net/index.php/home/article/view/126</w:t>
      </w:r>
    </w:p>
    <w:p w14:paraId="6C559D1A" w14:textId="618F493C"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Federal Environmental Protection Agency. (1991). </w:t>
      </w:r>
      <w:r w:rsidRPr="003E72EA">
        <w:rPr>
          <w:rFonts w:ascii="Times New Roman" w:eastAsia="Times New Roman" w:hAnsi="Times New Roman" w:cs="Times New Roman"/>
          <w:i/>
          <w:iCs/>
          <w:kern w:val="0"/>
          <w14:ligatures w14:val="none"/>
        </w:rPr>
        <w:t>National interim guidelines and standards for environmental pollution control in Nigeria.</w:t>
      </w:r>
      <w:r w:rsidRPr="003E72EA">
        <w:rPr>
          <w:rFonts w:ascii="Times New Roman" w:eastAsia="Times New Roman" w:hAnsi="Times New Roman" w:cs="Times New Roman"/>
          <w:kern w:val="0"/>
          <w14:ligatures w14:val="none"/>
        </w:rPr>
        <w:t xml:space="preserve"> Federal Republic of Nigeria. </w:t>
      </w:r>
    </w:p>
    <w:p w14:paraId="2B78DB18"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lastRenderedPageBreak/>
        <w:t xml:space="preserve">Felagha, I., George, M. S., </w:t>
      </w:r>
      <w:proofErr w:type="spellStart"/>
      <w:r w:rsidRPr="003E72EA">
        <w:rPr>
          <w:rFonts w:ascii="Times New Roman" w:eastAsia="Times New Roman" w:hAnsi="Times New Roman" w:cs="Times New Roman"/>
          <w:kern w:val="0"/>
          <w14:ligatures w14:val="none"/>
        </w:rPr>
        <w:t>Ejeomo</w:t>
      </w:r>
      <w:proofErr w:type="spellEnd"/>
      <w:r w:rsidRPr="003E72EA">
        <w:rPr>
          <w:rFonts w:ascii="Times New Roman" w:eastAsia="Times New Roman" w:hAnsi="Times New Roman" w:cs="Times New Roman"/>
          <w:kern w:val="0"/>
          <w14:ligatures w14:val="none"/>
        </w:rPr>
        <w:t xml:space="preserve">, C., &amp; Afia, I. U. (2025). Heavy metals pollution in the Niger Delta region of Nigeria: A case study of sediment, water and selected fishes from </w:t>
      </w:r>
      <w:proofErr w:type="spellStart"/>
      <w:r w:rsidRPr="003E72EA">
        <w:rPr>
          <w:rFonts w:ascii="Times New Roman" w:eastAsia="Times New Roman" w:hAnsi="Times New Roman" w:cs="Times New Roman"/>
          <w:kern w:val="0"/>
          <w14:ligatures w14:val="none"/>
        </w:rPr>
        <w:t>Sagbama</w:t>
      </w:r>
      <w:proofErr w:type="spellEnd"/>
      <w:r w:rsidRPr="003E72EA">
        <w:rPr>
          <w:rFonts w:ascii="Times New Roman" w:eastAsia="Times New Roman" w:hAnsi="Times New Roman" w:cs="Times New Roman"/>
          <w:kern w:val="0"/>
          <w14:ligatures w14:val="none"/>
        </w:rPr>
        <w:t xml:space="preserve"> Local Government Area, Bayelsa State. </w:t>
      </w:r>
      <w:r w:rsidRPr="003E72EA">
        <w:rPr>
          <w:rFonts w:ascii="Times New Roman" w:eastAsia="Times New Roman" w:hAnsi="Times New Roman" w:cs="Times New Roman"/>
          <w:i/>
          <w:iCs/>
          <w:kern w:val="0"/>
          <w14:ligatures w14:val="none"/>
        </w:rPr>
        <w:t>Medicinal and Medical Chemistry, 2</w:t>
      </w:r>
      <w:r w:rsidRPr="003E72EA">
        <w:rPr>
          <w:rFonts w:ascii="Times New Roman" w:eastAsia="Times New Roman" w:hAnsi="Times New Roman" w:cs="Times New Roman"/>
          <w:kern w:val="0"/>
          <w14:ligatures w14:val="none"/>
        </w:rPr>
        <w:t xml:space="preserve">(4), 163–176. </w:t>
      </w:r>
      <w:hyperlink r:id="rId20" w:tgtFrame="_new" w:history="1">
        <w:r w:rsidRPr="003E72EA">
          <w:rPr>
            <w:rFonts w:ascii="Times New Roman" w:eastAsia="Times New Roman" w:hAnsi="Times New Roman" w:cs="Times New Roman"/>
            <w:color w:val="0000FF"/>
            <w:kern w:val="0"/>
            <w:u w:val="single"/>
            <w14:ligatures w14:val="none"/>
          </w:rPr>
          <w:t>https://www.medmedchem.com/article_227896.html</w:t>
        </w:r>
      </w:hyperlink>
    </w:p>
    <w:p w14:paraId="5679E9E1"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Hou, L., Zhou, Z., Wang, R., Li, J., Dong, F., &amp; Liu, J. (2022). Research on the non-point source pollution characteristics of important drinking water sources. </w:t>
      </w:r>
      <w:r w:rsidRPr="003E72EA">
        <w:rPr>
          <w:rFonts w:ascii="Times New Roman" w:eastAsia="Times New Roman" w:hAnsi="Times New Roman" w:cs="Times New Roman"/>
          <w:i/>
          <w:iCs/>
          <w:kern w:val="0"/>
          <w14:ligatures w14:val="none"/>
        </w:rPr>
        <w:t>Water, 14</w:t>
      </w:r>
      <w:r w:rsidRPr="003E72EA">
        <w:rPr>
          <w:rFonts w:ascii="Times New Roman" w:eastAsia="Times New Roman" w:hAnsi="Times New Roman" w:cs="Times New Roman"/>
          <w:kern w:val="0"/>
          <w14:ligatures w14:val="none"/>
        </w:rPr>
        <w:t>(2), Article 211. https://doi.org/10.3390/w14020211</w:t>
      </w:r>
    </w:p>
    <w:p w14:paraId="1E0E457E"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Bureau of Indian Standards. (1988). </w:t>
      </w:r>
      <w:r w:rsidRPr="003E72EA">
        <w:rPr>
          <w:rFonts w:ascii="Times New Roman" w:eastAsia="Times New Roman" w:hAnsi="Times New Roman" w:cs="Times New Roman"/>
          <w:i/>
          <w:iCs/>
          <w:kern w:val="0"/>
          <w14:ligatures w14:val="none"/>
        </w:rPr>
        <w:t>IS 3025 (Part 31): Methods of sampling and test (physical and chemical) for water and wastewater: Part 31 phosphorus</w:t>
      </w:r>
      <w:r w:rsidRPr="003E72EA">
        <w:rPr>
          <w:rFonts w:ascii="Times New Roman" w:eastAsia="Times New Roman" w:hAnsi="Times New Roman" w:cs="Times New Roman"/>
          <w:kern w:val="0"/>
          <w14:ligatures w14:val="none"/>
        </w:rPr>
        <w:t xml:space="preserve"> (First revision). </w:t>
      </w:r>
      <w:hyperlink r:id="rId21" w:tgtFrame="_new" w:history="1">
        <w:r w:rsidRPr="003E72EA">
          <w:rPr>
            <w:rFonts w:ascii="Times New Roman" w:eastAsia="Times New Roman" w:hAnsi="Times New Roman" w:cs="Times New Roman"/>
            <w:color w:val="0000FF"/>
            <w:kern w:val="0"/>
            <w:u w:val="single"/>
            <w14:ligatures w14:val="none"/>
          </w:rPr>
          <w:t>https://archive.org/details/gov.law.is.3025.31.1988</w:t>
        </w:r>
      </w:hyperlink>
    </w:p>
    <w:p w14:paraId="248CA3B4"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Iyama</w:t>
      </w:r>
      <w:proofErr w:type="spellEnd"/>
      <w:r w:rsidRPr="003E72EA">
        <w:rPr>
          <w:rFonts w:ascii="Times New Roman" w:eastAsia="Times New Roman" w:hAnsi="Times New Roman" w:cs="Times New Roman"/>
          <w:kern w:val="0"/>
          <w14:ligatures w14:val="none"/>
        </w:rPr>
        <w:t xml:space="preserve">, W. A., </w:t>
      </w:r>
      <w:proofErr w:type="spellStart"/>
      <w:r w:rsidRPr="003E72EA">
        <w:rPr>
          <w:rFonts w:ascii="Times New Roman" w:eastAsia="Times New Roman" w:hAnsi="Times New Roman" w:cs="Times New Roman"/>
          <w:kern w:val="0"/>
          <w14:ligatures w14:val="none"/>
        </w:rPr>
        <w:t>Edori</w:t>
      </w:r>
      <w:proofErr w:type="spellEnd"/>
      <w:r w:rsidRPr="003E72EA">
        <w:rPr>
          <w:rFonts w:ascii="Times New Roman" w:eastAsia="Times New Roman" w:hAnsi="Times New Roman" w:cs="Times New Roman"/>
          <w:kern w:val="0"/>
          <w14:ligatures w14:val="none"/>
        </w:rPr>
        <w:t xml:space="preserve">, O. S., &amp; Nwagbara, V. U. (2020). Assessment of the pollution load of the </w:t>
      </w:r>
      <w:proofErr w:type="spellStart"/>
      <w:r w:rsidRPr="003E72EA">
        <w:rPr>
          <w:rFonts w:ascii="Times New Roman" w:eastAsia="Times New Roman" w:hAnsi="Times New Roman" w:cs="Times New Roman"/>
          <w:kern w:val="0"/>
          <w14:ligatures w14:val="none"/>
        </w:rPr>
        <w:t>Woji</w:t>
      </w:r>
      <w:proofErr w:type="spellEnd"/>
      <w:r w:rsidRPr="003E72EA">
        <w:rPr>
          <w:rFonts w:ascii="Times New Roman" w:eastAsia="Times New Roman" w:hAnsi="Times New Roman" w:cs="Times New Roman"/>
          <w:kern w:val="0"/>
          <w14:ligatures w14:val="none"/>
        </w:rPr>
        <w:t xml:space="preserve"> Creek water body, Port Harcourt, Rivers State, South-South, Nigeria. </w:t>
      </w:r>
      <w:r w:rsidRPr="003E72EA">
        <w:rPr>
          <w:rFonts w:ascii="Times New Roman" w:eastAsia="Times New Roman" w:hAnsi="Times New Roman" w:cs="Times New Roman"/>
          <w:i/>
          <w:iCs/>
          <w:kern w:val="0"/>
          <w14:ligatures w14:val="none"/>
        </w:rPr>
        <w:t>International Journal of Advanced Research in Chemical Science, 7</w:t>
      </w:r>
      <w:r w:rsidRPr="003E72EA">
        <w:rPr>
          <w:rFonts w:ascii="Times New Roman" w:eastAsia="Times New Roman" w:hAnsi="Times New Roman" w:cs="Times New Roman"/>
          <w:kern w:val="0"/>
          <w14:ligatures w14:val="none"/>
        </w:rPr>
        <w:t>(1), 1–8. https://doi.org/10.20431/2349-0403.0701001</w:t>
      </w:r>
    </w:p>
    <w:p w14:paraId="4270FB52"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Mohammed, R., &amp; Scholz, M. (2018). Critical review of salinity intrusion in rivers and estuaries. </w:t>
      </w:r>
      <w:r w:rsidRPr="003E72EA">
        <w:rPr>
          <w:rFonts w:ascii="Times New Roman" w:eastAsia="Times New Roman" w:hAnsi="Times New Roman" w:cs="Times New Roman"/>
          <w:i/>
          <w:iCs/>
          <w:kern w:val="0"/>
          <w14:ligatures w14:val="none"/>
        </w:rPr>
        <w:t>Journal of Water and Climate Change, 9</w:t>
      </w:r>
      <w:r w:rsidRPr="003E72EA">
        <w:rPr>
          <w:rFonts w:ascii="Times New Roman" w:eastAsia="Times New Roman" w:hAnsi="Times New Roman" w:cs="Times New Roman"/>
          <w:kern w:val="0"/>
          <w14:ligatures w14:val="none"/>
        </w:rPr>
        <w:t>(1), 1–16. https://doi.org/10.2166/wcc.2017.334</w:t>
      </w:r>
    </w:p>
    <w:p w14:paraId="036644D8"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Monira, U., Sattar, G. S., &amp; Mostafa, M. G. (2024). Assessment of surface water quality using the Water Quality Index (WQI) and multivariate statistical analysis (MSA), around tannery industry effluent discharge areas. </w:t>
      </w:r>
      <w:r w:rsidRPr="003E72EA">
        <w:rPr>
          <w:rFonts w:ascii="Times New Roman" w:eastAsia="Times New Roman" w:hAnsi="Times New Roman" w:cs="Times New Roman"/>
          <w:i/>
          <w:iCs/>
          <w:kern w:val="0"/>
          <w14:ligatures w14:val="none"/>
        </w:rPr>
        <w:t>H2Open Journal, 7</w:t>
      </w:r>
      <w:r w:rsidRPr="003E72EA">
        <w:rPr>
          <w:rFonts w:ascii="Times New Roman" w:eastAsia="Times New Roman" w:hAnsi="Times New Roman" w:cs="Times New Roman"/>
          <w:kern w:val="0"/>
          <w14:ligatures w14:val="none"/>
        </w:rPr>
        <w:t>(2), 130–148. https://doi.org/10.2166/h2oj.2024.099</w:t>
      </w:r>
    </w:p>
    <w:p w14:paraId="056BD3F6"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Ndubuisi, U. C., </w:t>
      </w:r>
      <w:proofErr w:type="spellStart"/>
      <w:r w:rsidRPr="003E72EA">
        <w:rPr>
          <w:rFonts w:ascii="Times New Roman" w:eastAsia="Times New Roman" w:hAnsi="Times New Roman" w:cs="Times New Roman"/>
          <w:kern w:val="0"/>
          <w14:ligatures w14:val="none"/>
        </w:rPr>
        <w:t>Chikwem</w:t>
      </w:r>
      <w:proofErr w:type="spellEnd"/>
      <w:r w:rsidRPr="003E72EA">
        <w:rPr>
          <w:rFonts w:ascii="Times New Roman" w:eastAsia="Times New Roman" w:hAnsi="Times New Roman" w:cs="Times New Roman"/>
          <w:kern w:val="0"/>
          <w14:ligatures w14:val="none"/>
        </w:rPr>
        <w:t xml:space="preserve">, I. C., Chinedu, U. C., Ogbaa, S. I., </w:t>
      </w:r>
      <w:proofErr w:type="spellStart"/>
      <w:r w:rsidRPr="003E72EA">
        <w:rPr>
          <w:rFonts w:ascii="Times New Roman" w:eastAsia="Times New Roman" w:hAnsi="Times New Roman" w:cs="Times New Roman"/>
          <w:kern w:val="0"/>
          <w14:ligatures w14:val="none"/>
        </w:rPr>
        <w:t>Jideaku</w:t>
      </w:r>
      <w:proofErr w:type="spellEnd"/>
      <w:r w:rsidRPr="003E72EA">
        <w:rPr>
          <w:rFonts w:ascii="Times New Roman" w:eastAsia="Times New Roman" w:hAnsi="Times New Roman" w:cs="Times New Roman"/>
          <w:kern w:val="0"/>
          <w14:ligatures w14:val="none"/>
        </w:rPr>
        <w:t xml:space="preserve">, E. C., Chinwe, O. G., Ebele, A. G., Dominic, U. A., </w:t>
      </w:r>
      <w:proofErr w:type="spellStart"/>
      <w:r w:rsidRPr="003E72EA">
        <w:rPr>
          <w:rFonts w:ascii="Times New Roman" w:eastAsia="Times New Roman" w:hAnsi="Times New Roman" w:cs="Times New Roman"/>
          <w:kern w:val="0"/>
          <w14:ligatures w14:val="none"/>
        </w:rPr>
        <w:t>Annivena</w:t>
      </w:r>
      <w:proofErr w:type="spellEnd"/>
      <w:r w:rsidRPr="003E72EA">
        <w:rPr>
          <w:rFonts w:ascii="Times New Roman" w:eastAsia="Times New Roman" w:hAnsi="Times New Roman" w:cs="Times New Roman"/>
          <w:kern w:val="0"/>
          <w14:ligatures w14:val="none"/>
        </w:rPr>
        <w:t xml:space="preserve">, A. C., &amp; Dahiru, M. K. (2025). Spatiotemporal analysis and determination of major sources affecting water quality of </w:t>
      </w:r>
      <w:proofErr w:type="spellStart"/>
      <w:r w:rsidRPr="003E72EA">
        <w:rPr>
          <w:rFonts w:ascii="Times New Roman" w:eastAsia="Times New Roman" w:hAnsi="Times New Roman" w:cs="Times New Roman"/>
          <w:kern w:val="0"/>
          <w14:ligatures w14:val="none"/>
        </w:rPr>
        <w:t>Oguta</w:t>
      </w:r>
      <w:proofErr w:type="spellEnd"/>
      <w:r w:rsidRPr="003E72EA">
        <w:rPr>
          <w:rFonts w:ascii="Times New Roman" w:eastAsia="Times New Roman" w:hAnsi="Times New Roman" w:cs="Times New Roman"/>
          <w:kern w:val="0"/>
          <w14:ligatures w14:val="none"/>
        </w:rPr>
        <w:t xml:space="preserve"> Lake by principal component analysis. </w:t>
      </w:r>
      <w:proofErr w:type="spellStart"/>
      <w:r w:rsidRPr="003E72EA">
        <w:rPr>
          <w:rFonts w:ascii="Times New Roman" w:eastAsia="Times New Roman" w:hAnsi="Times New Roman" w:cs="Times New Roman"/>
          <w:i/>
          <w:iCs/>
          <w:kern w:val="0"/>
          <w14:ligatures w14:val="none"/>
        </w:rPr>
        <w:t>EnvironmentAsia</w:t>
      </w:r>
      <w:proofErr w:type="spellEnd"/>
      <w:r w:rsidRPr="003E72EA">
        <w:rPr>
          <w:rFonts w:ascii="Times New Roman" w:eastAsia="Times New Roman" w:hAnsi="Times New Roman" w:cs="Times New Roman"/>
          <w:i/>
          <w:iCs/>
          <w:kern w:val="0"/>
          <w14:ligatures w14:val="none"/>
        </w:rPr>
        <w:t>, 18</w:t>
      </w:r>
      <w:r w:rsidRPr="003E72EA">
        <w:rPr>
          <w:rFonts w:ascii="Times New Roman" w:eastAsia="Times New Roman" w:hAnsi="Times New Roman" w:cs="Times New Roman"/>
          <w:kern w:val="0"/>
          <w14:ligatures w14:val="none"/>
        </w:rPr>
        <w:t>(2), 144–154. https://doi.org/10.14456/ea.2025.44</w:t>
      </w:r>
    </w:p>
    <w:p w14:paraId="14AF2E68" w14:textId="606FC6C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Ibanga, L. B., </w:t>
      </w:r>
      <w:proofErr w:type="spellStart"/>
      <w:r w:rsidRPr="003E72EA">
        <w:rPr>
          <w:rFonts w:ascii="Times New Roman" w:eastAsia="Times New Roman" w:hAnsi="Times New Roman" w:cs="Times New Roman"/>
          <w:kern w:val="0"/>
          <w14:ligatures w14:val="none"/>
        </w:rPr>
        <w:t>Nkwoji</w:t>
      </w:r>
      <w:proofErr w:type="spellEnd"/>
      <w:r w:rsidRPr="003E72EA">
        <w:rPr>
          <w:rFonts w:ascii="Times New Roman" w:eastAsia="Times New Roman" w:hAnsi="Times New Roman" w:cs="Times New Roman"/>
          <w:kern w:val="0"/>
          <w14:ligatures w14:val="none"/>
        </w:rPr>
        <w:t xml:space="preserve">, J. A., </w:t>
      </w:r>
      <w:proofErr w:type="spellStart"/>
      <w:r w:rsidRPr="003E72EA">
        <w:rPr>
          <w:rFonts w:ascii="Times New Roman" w:eastAsia="Times New Roman" w:hAnsi="Times New Roman" w:cs="Times New Roman"/>
          <w:kern w:val="0"/>
          <w14:ligatures w14:val="none"/>
        </w:rPr>
        <w:t>Usese</w:t>
      </w:r>
      <w:proofErr w:type="spellEnd"/>
      <w:r w:rsidRPr="003E72EA">
        <w:rPr>
          <w:rFonts w:ascii="Times New Roman" w:eastAsia="Times New Roman" w:hAnsi="Times New Roman" w:cs="Times New Roman"/>
          <w:kern w:val="0"/>
          <w14:ligatures w14:val="none"/>
        </w:rPr>
        <w:t xml:space="preserve">, A. I., Onyema, I. C., &amp; Chukwu, L. O. (2019). Hydrochemistry and heavy metals concentrations in sediment of </w:t>
      </w:r>
      <w:proofErr w:type="spellStart"/>
      <w:r w:rsidRPr="003E72EA">
        <w:rPr>
          <w:rFonts w:ascii="Times New Roman" w:eastAsia="Times New Roman" w:hAnsi="Times New Roman" w:cs="Times New Roman"/>
          <w:kern w:val="0"/>
          <w14:ligatures w14:val="none"/>
        </w:rPr>
        <w:t>Woji</w:t>
      </w:r>
      <w:proofErr w:type="spellEnd"/>
      <w:r w:rsidRPr="003E72EA">
        <w:rPr>
          <w:rFonts w:ascii="Times New Roman" w:eastAsia="Times New Roman" w:hAnsi="Times New Roman" w:cs="Times New Roman"/>
          <w:kern w:val="0"/>
          <w14:ligatures w14:val="none"/>
        </w:rPr>
        <w:t xml:space="preserve"> Creek and Bonny Estuary, Niger Delta, Nigeria. </w:t>
      </w:r>
      <w:r w:rsidRPr="003E72EA">
        <w:rPr>
          <w:rFonts w:ascii="Times New Roman" w:eastAsia="Times New Roman" w:hAnsi="Times New Roman" w:cs="Times New Roman"/>
          <w:i/>
          <w:iCs/>
          <w:kern w:val="0"/>
          <w14:ligatures w14:val="none"/>
        </w:rPr>
        <w:t>Regional Studies in Marine Science, 25</w:t>
      </w:r>
      <w:r w:rsidRPr="003E72EA">
        <w:rPr>
          <w:rFonts w:ascii="Times New Roman" w:eastAsia="Times New Roman" w:hAnsi="Times New Roman" w:cs="Times New Roman"/>
          <w:kern w:val="0"/>
          <w14:ligatures w14:val="none"/>
        </w:rPr>
        <w:t xml:space="preserve">, Article 100436. https://doi.org/10.1016/j.rsma.2018.10.004 </w:t>
      </w:r>
    </w:p>
    <w:p w14:paraId="1F93FB70"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Nubi, O. A., </w:t>
      </w:r>
      <w:proofErr w:type="spellStart"/>
      <w:r w:rsidRPr="003E72EA">
        <w:rPr>
          <w:rFonts w:ascii="Times New Roman" w:eastAsia="Times New Roman" w:hAnsi="Times New Roman" w:cs="Times New Roman"/>
          <w:kern w:val="0"/>
          <w14:ligatures w14:val="none"/>
        </w:rPr>
        <w:t>Oyatola</w:t>
      </w:r>
      <w:proofErr w:type="spellEnd"/>
      <w:r w:rsidRPr="003E72EA">
        <w:rPr>
          <w:rFonts w:ascii="Times New Roman" w:eastAsia="Times New Roman" w:hAnsi="Times New Roman" w:cs="Times New Roman"/>
          <w:kern w:val="0"/>
          <w14:ligatures w14:val="none"/>
        </w:rPr>
        <w:t xml:space="preserve">, O. O., &amp; Adeleye, A. O. (2024). Hydrological distribution of physicochemical parameters, heavy metals, and their ecotoxicological implications in Lagos Lagoon, off the Gulf of Guinea Basin. </w:t>
      </w:r>
      <w:r w:rsidRPr="003E72EA">
        <w:rPr>
          <w:rFonts w:ascii="Times New Roman" w:eastAsia="Times New Roman" w:hAnsi="Times New Roman" w:cs="Times New Roman"/>
          <w:i/>
          <w:iCs/>
          <w:kern w:val="0"/>
          <w14:ligatures w14:val="none"/>
        </w:rPr>
        <w:t>Sustainable Water Resources Management, 10</w:t>
      </w:r>
      <w:r w:rsidRPr="003E72EA">
        <w:rPr>
          <w:rFonts w:ascii="Times New Roman" w:eastAsia="Times New Roman" w:hAnsi="Times New Roman" w:cs="Times New Roman"/>
          <w:kern w:val="0"/>
          <w14:ligatures w14:val="none"/>
        </w:rPr>
        <w:t>, Article 84. https://doi.org/10.1007/s40899-024-01054-x</w:t>
      </w:r>
    </w:p>
    <w:p w14:paraId="0B21BF3F"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Numbere</w:t>
      </w:r>
      <w:proofErr w:type="spellEnd"/>
      <w:r w:rsidRPr="003E72EA">
        <w:rPr>
          <w:rFonts w:ascii="Times New Roman" w:eastAsia="Times New Roman" w:hAnsi="Times New Roman" w:cs="Times New Roman"/>
          <w:kern w:val="0"/>
          <w14:ligatures w14:val="none"/>
        </w:rPr>
        <w:t xml:space="preserve">, A. O., </w:t>
      </w:r>
      <w:proofErr w:type="spellStart"/>
      <w:r w:rsidRPr="003E72EA">
        <w:rPr>
          <w:rFonts w:ascii="Times New Roman" w:eastAsia="Times New Roman" w:hAnsi="Times New Roman" w:cs="Times New Roman"/>
          <w:kern w:val="0"/>
          <w14:ligatures w14:val="none"/>
        </w:rPr>
        <w:t>Gbarakoro</w:t>
      </w:r>
      <w:proofErr w:type="spellEnd"/>
      <w:r w:rsidRPr="003E72EA">
        <w:rPr>
          <w:rFonts w:ascii="Times New Roman" w:eastAsia="Times New Roman" w:hAnsi="Times New Roman" w:cs="Times New Roman"/>
          <w:kern w:val="0"/>
          <w14:ligatures w14:val="none"/>
        </w:rPr>
        <w:t xml:space="preserve">, T. N., &amp; Babatunde, B. B. (2023). Environmental degradation in the Niger Delta ecosystem: The role of anthropogenic pollution. In S. C. Izah &amp; M. C. </w:t>
      </w:r>
      <w:proofErr w:type="spellStart"/>
      <w:r w:rsidRPr="003E72EA">
        <w:rPr>
          <w:rFonts w:ascii="Times New Roman" w:eastAsia="Times New Roman" w:hAnsi="Times New Roman" w:cs="Times New Roman"/>
          <w:kern w:val="0"/>
          <w14:ligatures w14:val="none"/>
        </w:rPr>
        <w:t>Ogwu</w:t>
      </w:r>
      <w:proofErr w:type="spellEnd"/>
      <w:r w:rsidRPr="003E72EA">
        <w:rPr>
          <w:rFonts w:ascii="Times New Roman" w:eastAsia="Times New Roman" w:hAnsi="Times New Roman" w:cs="Times New Roman"/>
          <w:kern w:val="0"/>
          <w14:ligatures w14:val="none"/>
        </w:rPr>
        <w:t xml:space="preserve"> (Eds.), </w:t>
      </w:r>
      <w:r w:rsidRPr="003E72EA">
        <w:rPr>
          <w:rFonts w:ascii="Times New Roman" w:eastAsia="Times New Roman" w:hAnsi="Times New Roman" w:cs="Times New Roman"/>
          <w:i/>
          <w:iCs/>
          <w:kern w:val="0"/>
          <w14:ligatures w14:val="none"/>
        </w:rPr>
        <w:t xml:space="preserve">Sustainable utilization and conservation of Africa’s biological resources and </w:t>
      </w:r>
      <w:r w:rsidRPr="003E72EA">
        <w:rPr>
          <w:rFonts w:ascii="Times New Roman" w:eastAsia="Times New Roman" w:hAnsi="Times New Roman" w:cs="Times New Roman"/>
          <w:i/>
          <w:iCs/>
          <w:kern w:val="0"/>
          <w14:ligatures w14:val="none"/>
        </w:rPr>
        <w:lastRenderedPageBreak/>
        <w:t>environment</w:t>
      </w:r>
      <w:r w:rsidRPr="003E72EA">
        <w:rPr>
          <w:rFonts w:ascii="Times New Roman" w:eastAsia="Times New Roman" w:hAnsi="Times New Roman" w:cs="Times New Roman"/>
          <w:kern w:val="0"/>
          <w14:ligatures w14:val="none"/>
        </w:rPr>
        <w:t xml:space="preserve"> (pp. 411–439). Springer Nature Singapore. https://doi.org/10.1007/978-981-19-6974-4_15</w:t>
      </w:r>
    </w:p>
    <w:p w14:paraId="28B29946"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Ojekunle</w:t>
      </w:r>
      <w:proofErr w:type="spellEnd"/>
      <w:r w:rsidRPr="003E72EA">
        <w:rPr>
          <w:rFonts w:ascii="Times New Roman" w:eastAsia="Times New Roman" w:hAnsi="Times New Roman" w:cs="Times New Roman"/>
          <w:kern w:val="0"/>
          <w14:ligatures w14:val="none"/>
        </w:rPr>
        <w:t xml:space="preserve">, O. Z., </w:t>
      </w:r>
      <w:proofErr w:type="spellStart"/>
      <w:r w:rsidRPr="003E72EA">
        <w:rPr>
          <w:rFonts w:ascii="Times New Roman" w:eastAsia="Times New Roman" w:hAnsi="Times New Roman" w:cs="Times New Roman"/>
          <w:kern w:val="0"/>
          <w14:ligatures w14:val="none"/>
        </w:rPr>
        <w:t>Awolokun</w:t>
      </w:r>
      <w:proofErr w:type="spellEnd"/>
      <w:r w:rsidRPr="003E72EA">
        <w:rPr>
          <w:rFonts w:ascii="Times New Roman" w:eastAsia="Times New Roman" w:hAnsi="Times New Roman" w:cs="Times New Roman"/>
          <w:kern w:val="0"/>
          <w14:ligatures w14:val="none"/>
        </w:rPr>
        <w:t xml:space="preserve">, G. S., Olatunde, A. K., Adegoke, K. A., </w:t>
      </w:r>
      <w:proofErr w:type="spellStart"/>
      <w:r w:rsidRPr="003E72EA">
        <w:rPr>
          <w:rFonts w:ascii="Times New Roman" w:eastAsia="Times New Roman" w:hAnsi="Times New Roman" w:cs="Times New Roman"/>
          <w:kern w:val="0"/>
          <w14:ligatures w14:val="none"/>
        </w:rPr>
        <w:t>Maxakato</w:t>
      </w:r>
      <w:proofErr w:type="spellEnd"/>
      <w:r w:rsidRPr="003E72EA">
        <w:rPr>
          <w:rFonts w:ascii="Times New Roman" w:eastAsia="Times New Roman" w:hAnsi="Times New Roman" w:cs="Times New Roman"/>
          <w:kern w:val="0"/>
          <w14:ligatures w14:val="none"/>
        </w:rPr>
        <w:t xml:space="preserve">, N. W., Balogun, M. A., &amp; Afolabi, T. A. (2023). Environmental and health hazards of heavy metal concentrations in Ota and Agbara industrial areas, Ogun State, Nigeria. </w:t>
      </w:r>
      <w:r w:rsidRPr="003E72EA">
        <w:rPr>
          <w:rFonts w:ascii="Times New Roman" w:eastAsia="Times New Roman" w:hAnsi="Times New Roman" w:cs="Times New Roman"/>
          <w:i/>
          <w:iCs/>
          <w:kern w:val="0"/>
          <w14:ligatures w14:val="none"/>
        </w:rPr>
        <w:t>Environmental Earth Sciences, 82</w:t>
      </w:r>
      <w:r w:rsidRPr="003E72EA">
        <w:rPr>
          <w:rFonts w:ascii="Times New Roman" w:eastAsia="Times New Roman" w:hAnsi="Times New Roman" w:cs="Times New Roman"/>
          <w:kern w:val="0"/>
          <w14:ligatures w14:val="none"/>
        </w:rPr>
        <w:t>, Article 79. https://doi.org/10.1007/s12665-022-10742-w</w:t>
      </w:r>
    </w:p>
    <w:p w14:paraId="66AECD8C" w14:textId="3B29ABD1"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Ojekunle</w:t>
      </w:r>
      <w:proofErr w:type="spellEnd"/>
      <w:r w:rsidRPr="003E72EA">
        <w:rPr>
          <w:rFonts w:ascii="Times New Roman" w:eastAsia="Times New Roman" w:hAnsi="Times New Roman" w:cs="Times New Roman"/>
          <w:kern w:val="0"/>
          <w14:ligatures w14:val="none"/>
        </w:rPr>
        <w:t xml:space="preserve">, Z. O., </w:t>
      </w:r>
      <w:proofErr w:type="spellStart"/>
      <w:r w:rsidRPr="003E72EA">
        <w:rPr>
          <w:rFonts w:ascii="Times New Roman" w:eastAsia="Times New Roman" w:hAnsi="Times New Roman" w:cs="Times New Roman"/>
          <w:kern w:val="0"/>
          <w14:ligatures w14:val="none"/>
        </w:rPr>
        <w:t>Ojekunle</w:t>
      </w:r>
      <w:proofErr w:type="spellEnd"/>
      <w:r w:rsidRPr="003E72EA">
        <w:rPr>
          <w:rFonts w:ascii="Times New Roman" w:eastAsia="Times New Roman" w:hAnsi="Times New Roman" w:cs="Times New Roman"/>
          <w:kern w:val="0"/>
          <w14:ligatures w14:val="none"/>
        </w:rPr>
        <w:t xml:space="preserve">, O. V., Adeyemi, A. A., Taiwo, A. G., </w:t>
      </w:r>
      <w:proofErr w:type="spellStart"/>
      <w:r w:rsidRPr="003E72EA">
        <w:rPr>
          <w:rFonts w:ascii="Times New Roman" w:eastAsia="Times New Roman" w:hAnsi="Times New Roman" w:cs="Times New Roman"/>
          <w:kern w:val="0"/>
          <w14:ligatures w14:val="none"/>
        </w:rPr>
        <w:t>Sangowusi</w:t>
      </w:r>
      <w:proofErr w:type="spellEnd"/>
      <w:r w:rsidRPr="003E72EA">
        <w:rPr>
          <w:rFonts w:ascii="Times New Roman" w:eastAsia="Times New Roman" w:hAnsi="Times New Roman" w:cs="Times New Roman"/>
          <w:kern w:val="0"/>
          <w14:ligatures w14:val="none"/>
        </w:rPr>
        <w:t xml:space="preserve">, O. R., Taiwo, A. M., &amp; </w:t>
      </w:r>
      <w:proofErr w:type="spellStart"/>
      <w:r w:rsidRPr="003E72EA">
        <w:rPr>
          <w:rFonts w:ascii="Times New Roman" w:eastAsia="Times New Roman" w:hAnsi="Times New Roman" w:cs="Times New Roman"/>
          <w:kern w:val="0"/>
          <w14:ligatures w14:val="none"/>
        </w:rPr>
        <w:t>Adekitan</w:t>
      </w:r>
      <w:proofErr w:type="spellEnd"/>
      <w:r w:rsidRPr="003E72EA">
        <w:rPr>
          <w:rFonts w:ascii="Times New Roman" w:eastAsia="Times New Roman" w:hAnsi="Times New Roman" w:cs="Times New Roman"/>
          <w:kern w:val="0"/>
          <w14:ligatures w14:val="none"/>
        </w:rPr>
        <w:t xml:space="preserve">, A. A. (2020). Trace metal contamination and health risk assessment of surface waters. </w:t>
      </w:r>
      <w:r w:rsidRPr="003E72EA">
        <w:rPr>
          <w:rFonts w:ascii="Times New Roman" w:eastAsia="Times New Roman" w:hAnsi="Times New Roman" w:cs="Times New Roman"/>
          <w:i/>
          <w:iCs/>
          <w:kern w:val="0"/>
          <w14:ligatures w14:val="none"/>
        </w:rPr>
        <w:t>Environmental Monitoring and Assessment, 192</w:t>
      </w:r>
      <w:r w:rsidRPr="003E72EA">
        <w:rPr>
          <w:rFonts w:ascii="Times New Roman" w:eastAsia="Times New Roman" w:hAnsi="Times New Roman" w:cs="Times New Roman"/>
          <w:kern w:val="0"/>
          <w14:ligatures w14:val="none"/>
        </w:rPr>
        <w:t xml:space="preserve">, 1–18. </w:t>
      </w:r>
    </w:p>
    <w:p w14:paraId="5B1059C3"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Ola, I., Drebenstedt, C., Burgess, R. M., Mensah, M., Hoth, N., Okoroafor, P., &amp; </w:t>
      </w:r>
      <w:proofErr w:type="spellStart"/>
      <w:r w:rsidRPr="003E72EA">
        <w:rPr>
          <w:rFonts w:ascii="Times New Roman" w:eastAsia="Times New Roman" w:hAnsi="Times New Roman" w:cs="Times New Roman"/>
          <w:kern w:val="0"/>
          <w14:ligatures w14:val="none"/>
        </w:rPr>
        <w:t>Külls</w:t>
      </w:r>
      <w:proofErr w:type="spellEnd"/>
      <w:r w:rsidRPr="003E72EA">
        <w:rPr>
          <w:rFonts w:ascii="Times New Roman" w:eastAsia="Times New Roman" w:hAnsi="Times New Roman" w:cs="Times New Roman"/>
          <w:kern w:val="0"/>
          <w14:ligatures w14:val="none"/>
        </w:rPr>
        <w:t xml:space="preserve">, C. (2024). Assessing petroleum contamination in parts of the Niger Delta based on a sub-catchment delineated field assessment. </w:t>
      </w:r>
      <w:r w:rsidRPr="003E72EA">
        <w:rPr>
          <w:rFonts w:ascii="Times New Roman" w:eastAsia="Times New Roman" w:hAnsi="Times New Roman" w:cs="Times New Roman"/>
          <w:i/>
          <w:iCs/>
          <w:kern w:val="0"/>
          <w14:ligatures w14:val="none"/>
        </w:rPr>
        <w:t>Environmental Monitoring and Assessment, 196</w:t>
      </w:r>
      <w:r w:rsidRPr="003E72EA">
        <w:rPr>
          <w:rFonts w:ascii="Times New Roman" w:eastAsia="Times New Roman" w:hAnsi="Times New Roman" w:cs="Times New Roman"/>
          <w:kern w:val="0"/>
          <w14:ligatures w14:val="none"/>
        </w:rPr>
        <w:t xml:space="preserve">, Article 585. </w:t>
      </w:r>
      <w:hyperlink r:id="rId22" w:tgtFrame="_new" w:history="1">
        <w:r w:rsidRPr="003E72EA">
          <w:rPr>
            <w:rFonts w:ascii="Times New Roman" w:eastAsia="Times New Roman" w:hAnsi="Times New Roman" w:cs="Times New Roman"/>
            <w:color w:val="0000FF"/>
            <w:kern w:val="0"/>
            <w:u w:val="single"/>
            <w14:ligatures w14:val="none"/>
          </w:rPr>
          <w:t>https://doi.org/10.1007/s10661-024-12743-7</w:t>
        </w:r>
      </w:hyperlink>
    </w:p>
    <w:p w14:paraId="1D5068E1"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Olowoyo</w:t>
      </w:r>
      <w:proofErr w:type="spellEnd"/>
      <w:r w:rsidRPr="003E72EA">
        <w:rPr>
          <w:rFonts w:ascii="Times New Roman" w:eastAsia="Times New Roman" w:hAnsi="Times New Roman" w:cs="Times New Roman"/>
          <w:kern w:val="0"/>
          <w14:ligatures w14:val="none"/>
        </w:rPr>
        <w:t xml:space="preserve">, J. O., Olaiya, O. O., Oharisi, O. O. L., Olusola, J. A., </w:t>
      </w:r>
      <w:proofErr w:type="spellStart"/>
      <w:r w:rsidRPr="003E72EA">
        <w:rPr>
          <w:rFonts w:ascii="Times New Roman" w:eastAsia="Times New Roman" w:hAnsi="Times New Roman" w:cs="Times New Roman"/>
          <w:kern w:val="0"/>
          <w14:ligatures w14:val="none"/>
        </w:rPr>
        <w:t>Tshoni</w:t>
      </w:r>
      <w:proofErr w:type="spellEnd"/>
      <w:r w:rsidRPr="003E72EA">
        <w:rPr>
          <w:rFonts w:ascii="Times New Roman" w:eastAsia="Times New Roman" w:hAnsi="Times New Roman" w:cs="Times New Roman"/>
          <w:kern w:val="0"/>
          <w14:ligatures w14:val="none"/>
        </w:rPr>
        <w:t xml:space="preserve">, U. A., &amp; Oladeji, O. M. (2026). Heavy metals burden in drinking water: Global patterns, sources, and public health implications. </w:t>
      </w:r>
      <w:r w:rsidRPr="003E72EA">
        <w:rPr>
          <w:rFonts w:ascii="Times New Roman" w:eastAsia="Times New Roman" w:hAnsi="Times New Roman" w:cs="Times New Roman"/>
          <w:i/>
          <w:iCs/>
          <w:kern w:val="0"/>
          <w14:ligatures w14:val="none"/>
        </w:rPr>
        <w:t>Water, 18</w:t>
      </w:r>
      <w:r w:rsidRPr="003E72EA">
        <w:rPr>
          <w:rFonts w:ascii="Times New Roman" w:eastAsia="Times New Roman" w:hAnsi="Times New Roman" w:cs="Times New Roman"/>
          <w:kern w:val="0"/>
          <w14:ligatures w14:val="none"/>
        </w:rPr>
        <w:t>(8), Article 886. https://doi.org/10.3390/w18080886</w:t>
      </w:r>
    </w:p>
    <w:p w14:paraId="30D44DD1"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Onojake</w:t>
      </w:r>
      <w:proofErr w:type="spellEnd"/>
      <w:r w:rsidRPr="003E72EA">
        <w:rPr>
          <w:rFonts w:ascii="Times New Roman" w:eastAsia="Times New Roman" w:hAnsi="Times New Roman" w:cs="Times New Roman"/>
          <w:kern w:val="0"/>
          <w14:ligatures w14:val="none"/>
        </w:rPr>
        <w:t xml:space="preserve">, M. C., Ukerun, S. O., &amp; Iwuoha, G. (2011). A statistical approach for evaluation of the effects of industrial and municipal wastes on Warri Rivers, Niger Delta, Nigeria. </w:t>
      </w:r>
      <w:r w:rsidRPr="003E72EA">
        <w:rPr>
          <w:rFonts w:ascii="Times New Roman" w:eastAsia="Times New Roman" w:hAnsi="Times New Roman" w:cs="Times New Roman"/>
          <w:i/>
          <w:iCs/>
          <w:kern w:val="0"/>
          <w14:ligatures w14:val="none"/>
        </w:rPr>
        <w:t>Water Quality, Exposure and Health, 3</w:t>
      </w:r>
      <w:r w:rsidRPr="003E72EA">
        <w:rPr>
          <w:rFonts w:ascii="Times New Roman" w:eastAsia="Times New Roman" w:hAnsi="Times New Roman" w:cs="Times New Roman"/>
          <w:kern w:val="0"/>
          <w14:ligatures w14:val="none"/>
        </w:rPr>
        <w:t>(2), 91–99. https://doi.org/10.1007/s12403-011-0046-7</w:t>
      </w:r>
    </w:p>
    <w:p w14:paraId="5BBA08BE" w14:textId="405DBA0C"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lang w:val="nl-BE"/>
          <w14:ligatures w14:val="none"/>
        </w:rPr>
        <w:t xml:space="preserve">Onojake, M. C., Sikoki, F. D., Omokheyeke, O., &amp; Akpiri, R. U. (2017). </w:t>
      </w:r>
      <w:r w:rsidRPr="003E72EA">
        <w:rPr>
          <w:rFonts w:ascii="Times New Roman" w:eastAsia="Times New Roman" w:hAnsi="Times New Roman" w:cs="Times New Roman"/>
          <w:kern w:val="0"/>
          <w14:ligatures w14:val="none"/>
        </w:rPr>
        <w:t xml:space="preserve">Surface water characteristics and trace metals level of the Bonny/New Calabar River Estuary, Niger Delta, Nigeria. </w:t>
      </w:r>
      <w:r w:rsidRPr="003E72EA">
        <w:rPr>
          <w:rFonts w:ascii="Times New Roman" w:eastAsia="Times New Roman" w:hAnsi="Times New Roman" w:cs="Times New Roman"/>
          <w:i/>
          <w:iCs/>
          <w:kern w:val="0"/>
          <w14:ligatures w14:val="none"/>
        </w:rPr>
        <w:t>Applied Water Science, 7</w:t>
      </w:r>
      <w:r w:rsidRPr="003E72EA">
        <w:rPr>
          <w:rFonts w:ascii="Times New Roman" w:eastAsia="Times New Roman" w:hAnsi="Times New Roman" w:cs="Times New Roman"/>
          <w:kern w:val="0"/>
          <w14:ligatures w14:val="none"/>
        </w:rPr>
        <w:t xml:space="preserve">, 951–959. https://doi.org/10.1007/s13201-015-0306-y </w:t>
      </w:r>
    </w:p>
    <w:p w14:paraId="0AEE353F"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Onyena</w:t>
      </w:r>
      <w:proofErr w:type="spellEnd"/>
      <w:r w:rsidRPr="003E72EA">
        <w:rPr>
          <w:rFonts w:ascii="Times New Roman" w:eastAsia="Times New Roman" w:hAnsi="Times New Roman" w:cs="Times New Roman"/>
          <w:kern w:val="0"/>
          <w14:ligatures w14:val="none"/>
        </w:rPr>
        <w:t xml:space="preserve">, A. P., Folorunso, O. M., </w:t>
      </w:r>
      <w:proofErr w:type="spellStart"/>
      <w:r w:rsidRPr="003E72EA">
        <w:rPr>
          <w:rFonts w:ascii="Times New Roman" w:eastAsia="Times New Roman" w:hAnsi="Times New Roman" w:cs="Times New Roman"/>
          <w:kern w:val="0"/>
          <w14:ligatures w14:val="none"/>
        </w:rPr>
        <w:t>Nwanganga</w:t>
      </w:r>
      <w:proofErr w:type="spellEnd"/>
      <w:r w:rsidRPr="003E72EA">
        <w:rPr>
          <w:rFonts w:ascii="Times New Roman" w:eastAsia="Times New Roman" w:hAnsi="Times New Roman" w:cs="Times New Roman"/>
          <w:kern w:val="0"/>
          <w14:ligatures w14:val="none"/>
        </w:rPr>
        <w:t xml:space="preserve">, N., Udom, G. J., Ekhator, O. C., </w:t>
      </w:r>
      <w:proofErr w:type="spellStart"/>
      <w:r w:rsidRPr="003E72EA">
        <w:rPr>
          <w:rFonts w:ascii="Times New Roman" w:eastAsia="Times New Roman" w:hAnsi="Times New Roman" w:cs="Times New Roman"/>
          <w:kern w:val="0"/>
          <w14:ligatures w14:val="none"/>
        </w:rPr>
        <w:t>Frazzoli</w:t>
      </w:r>
      <w:proofErr w:type="spellEnd"/>
      <w:r w:rsidRPr="003E72EA">
        <w:rPr>
          <w:rFonts w:ascii="Times New Roman" w:eastAsia="Times New Roman" w:hAnsi="Times New Roman" w:cs="Times New Roman"/>
          <w:kern w:val="0"/>
          <w14:ligatures w14:val="none"/>
        </w:rPr>
        <w:t xml:space="preserve">, C., &amp; </w:t>
      </w:r>
      <w:proofErr w:type="spellStart"/>
      <w:r w:rsidRPr="003E72EA">
        <w:rPr>
          <w:rFonts w:ascii="Times New Roman" w:eastAsia="Times New Roman" w:hAnsi="Times New Roman" w:cs="Times New Roman"/>
          <w:kern w:val="0"/>
          <w14:ligatures w14:val="none"/>
        </w:rPr>
        <w:t>Orisakwe</w:t>
      </w:r>
      <w:proofErr w:type="spellEnd"/>
      <w:r w:rsidRPr="003E72EA">
        <w:rPr>
          <w:rFonts w:ascii="Times New Roman" w:eastAsia="Times New Roman" w:hAnsi="Times New Roman" w:cs="Times New Roman"/>
          <w:kern w:val="0"/>
          <w14:ligatures w14:val="none"/>
        </w:rPr>
        <w:t xml:space="preserve">, O. E. (2024). Engaging One Health in heavy metal pollution in some selected Nigerian Niger Delta cities: A systematic review of pervasiveness, bioaccumulation and subduing environmental health challenges. </w:t>
      </w:r>
      <w:r w:rsidRPr="003E72EA">
        <w:rPr>
          <w:rFonts w:ascii="Times New Roman" w:eastAsia="Times New Roman" w:hAnsi="Times New Roman" w:cs="Times New Roman"/>
          <w:i/>
          <w:iCs/>
          <w:kern w:val="0"/>
          <w14:ligatures w14:val="none"/>
        </w:rPr>
        <w:t>Biological Trace Element Research, 202</w:t>
      </w:r>
      <w:r w:rsidRPr="003E72EA">
        <w:rPr>
          <w:rFonts w:ascii="Times New Roman" w:eastAsia="Times New Roman" w:hAnsi="Times New Roman" w:cs="Times New Roman"/>
          <w:kern w:val="0"/>
          <w14:ligatures w14:val="none"/>
        </w:rPr>
        <w:t>(4), 1356–1389. https://doi.org/10.1007/s12011-023-03762-5</w:t>
      </w:r>
    </w:p>
    <w:p w14:paraId="6F7D6BA7"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Oseji</w:t>
      </w:r>
      <w:proofErr w:type="spellEnd"/>
      <w:r w:rsidRPr="003E72EA">
        <w:rPr>
          <w:rFonts w:ascii="Times New Roman" w:eastAsia="Times New Roman" w:hAnsi="Times New Roman" w:cs="Times New Roman"/>
          <w:kern w:val="0"/>
          <w14:ligatures w14:val="none"/>
        </w:rPr>
        <w:t xml:space="preserve">, S. E., </w:t>
      </w:r>
      <w:proofErr w:type="spellStart"/>
      <w:r w:rsidRPr="003E72EA">
        <w:rPr>
          <w:rFonts w:ascii="Times New Roman" w:eastAsia="Times New Roman" w:hAnsi="Times New Roman" w:cs="Times New Roman"/>
          <w:kern w:val="0"/>
          <w14:ligatures w14:val="none"/>
        </w:rPr>
        <w:t>Omorogieva</w:t>
      </w:r>
      <w:proofErr w:type="spellEnd"/>
      <w:r w:rsidRPr="003E72EA">
        <w:rPr>
          <w:rFonts w:ascii="Times New Roman" w:eastAsia="Times New Roman" w:hAnsi="Times New Roman" w:cs="Times New Roman"/>
          <w:kern w:val="0"/>
          <w14:ligatures w14:val="none"/>
        </w:rPr>
        <w:t xml:space="preserve">, O. M., &amp; </w:t>
      </w:r>
      <w:proofErr w:type="spellStart"/>
      <w:r w:rsidRPr="003E72EA">
        <w:rPr>
          <w:rFonts w:ascii="Times New Roman" w:eastAsia="Times New Roman" w:hAnsi="Times New Roman" w:cs="Times New Roman"/>
          <w:kern w:val="0"/>
          <w14:ligatures w14:val="none"/>
        </w:rPr>
        <w:t>Ogieriakhi</w:t>
      </w:r>
      <w:proofErr w:type="spellEnd"/>
      <w:r w:rsidRPr="003E72EA">
        <w:rPr>
          <w:rFonts w:ascii="Times New Roman" w:eastAsia="Times New Roman" w:hAnsi="Times New Roman" w:cs="Times New Roman"/>
          <w:kern w:val="0"/>
          <w14:ligatures w14:val="none"/>
        </w:rPr>
        <w:t xml:space="preserve">, O. E. (2024). Quality evaluation of soil and groundwater for sustainable application, Niger Delta, Nigeria. </w:t>
      </w:r>
      <w:r w:rsidRPr="003E72EA">
        <w:rPr>
          <w:rFonts w:ascii="Times New Roman" w:eastAsia="Times New Roman" w:hAnsi="Times New Roman" w:cs="Times New Roman"/>
          <w:i/>
          <w:iCs/>
          <w:kern w:val="0"/>
          <w14:ligatures w14:val="none"/>
        </w:rPr>
        <w:t>International Journal of Earth Sciences Knowledge and Applications, 6</w:t>
      </w:r>
      <w:r w:rsidRPr="003E72EA">
        <w:rPr>
          <w:rFonts w:ascii="Times New Roman" w:eastAsia="Times New Roman" w:hAnsi="Times New Roman" w:cs="Times New Roman"/>
          <w:kern w:val="0"/>
          <w14:ligatures w14:val="none"/>
        </w:rPr>
        <w:t xml:space="preserve">(2), 166–178. </w:t>
      </w:r>
      <w:hyperlink r:id="rId23" w:tgtFrame="_new" w:history="1">
        <w:r w:rsidRPr="003E72EA">
          <w:rPr>
            <w:rFonts w:ascii="Times New Roman" w:eastAsia="Times New Roman" w:hAnsi="Times New Roman" w:cs="Times New Roman"/>
            <w:color w:val="0000FF"/>
            <w:kern w:val="0"/>
            <w:u w:val="single"/>
            <w14:ligatures w14:val="none"/>
          </w:rPr>
          <w:t>https://dergipark.org.tr/en/pub/ijeska/issue/87240/1553888</w:t>
        </w:r>
      </w:hyperlink>
    </w:p>
    <w:p w14:paraId="3997E798"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Oyebamiji, A. R. (2024). </w:t>
      </w:r>
      <w:r w:rsidRPr="003E72EA">
        <w:rPr>
          <w:rFonts w:ascii="Times New Roman" w:eastAsia="Times New Roman" w:hAnsi="Times New Roman" w:cs="Times New Roman"/>
          <w:i/>
          <w:iCs/>
          <w:kern w:val="0"/>
          <w14:ligatures w14:val="none"/>
        </w:rPr>
        <w:t xml:space="preserve">Modelling the risk of hydrocarbon contamination </w:t>
      </w:r>
      <w:proofErr w:type="spellStart"/>
      <w:r w:rsidRPr="003E72EA">
        <w:rPr>
          <w:rFonts w:ascii="Times New Roman" w:eastAsia="Times New Roman" w:hAnsi="Times New Roman" w:cs="Times New Roman"/>
          <w:i/>
          <w:iCs/>
          <w:kern w:val="0"/>
          <w14:ligatures w14:val="none"/>
        </w:rPr>
        <w:t>on</w:t>
      </w:r>
      <w:proofErr w:type="spellEnd"/>
      <w:r w:rsidRPr="003E72EA">
        <w:rPr>
          <w:rFonts w:ascii="Times New Roman" w:eastAsia="Times New Roman" w:hAnsi="Times New Roman" w:cs="Times New Roman"/>
          <w:i/>
          <w:iCs/>
          <w:kern w:val="0"/>
          <w14:ligatures w14:val="none"/>
        </w:rPr>
        <w:t xml:space="preserve"> groundwater quality in the Niger Delta</w:t>
      </w:r>
      <w:r w:rsidRPr="003E72EA">
        <w:rPr>
          <w:rFonts w:ascii="Times New Roman" w:eastAsia="Times New Roman" w:hAnsi="Times New Roman" w:cs="Times New Roman"/>
          <w:kern w:val="0"/>
          <w14:ligatures w14:val="none"/>
        </w:rPr>
        <w:t xml:space="preserve"> [Doctoral thesis, University of Portsmouth]. University of Portsmouth Research Portal. </w:t>
      </w:r>
      <w:hyperlink r:id="rId24" w:tgtFrame="_new" w:history="1">
        <w:r w:rsidRPr="003E72EA">
          <w:rPr>
            <w:rFonts w:ascii="Times New Roman" w:eastAsia="Times New Roman" w:hAnsi="Times New Roman" w:cs="Times New Roman"/>
            <w:color w:val="0000FF"/>
            <w:kern w:val="0"/>
            <w:u w:val="single"/>
            <w14:ligatures w14:val="none"/>
          </w:rPr>
          <w:t>https://researchportal.port.ac.uk/en/studentTheses/modelling-the-risk-of-hydrocarbon-contamination-on-groundwater-qu/</w:t>
        </w:r>
      </w:hyperlink>
    </w:p>
    <w:p w14:paraId="139C8ADD"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lastRenderedPageBreak/>
        <w:t xml:space="preserve">Singh, D., Rana, J. S., &amp; </w:t>
      </w:r>
      <w:proofErr w:type="spellStart"/>
      <w:r w:rsidRPr="003E72EA">
        <w:rPr>
          <w:rFonts w:ascii="Times New Roman" w:eastAsia="Times New Roman" w:hAnsi="Times New Roman" w:cs="Times New Roman"/>
          <w:kern w:val="0"/>
          <w14:ligatures w14:val="none"/>
        </w:rPr>
        <w:t>Tungoe</w:t>
      </w:r>
      <w:proofErr w:type="spellEnd"/>
      <w:r w:rsidRPr="003E72EA">
        <w:rPr>
          <w:rFonts w:ascii="Times New Roman" w:eastAsia="Times New Roman" w:hAnsi="Times New Roman" w:cs="Times New Roman"/>
          <w:kern w:val="0"/>
          <w14:ligatures w14:val="none"/>
        </w:rPr>
        <w:t xml:space="preserve">, J. Y. (2024). Impact of prevailing factors on assemblages and status of freshwater fish fauna of River Song in the Lower Himalaya. </w:t>
      </w:r>
      <w:r w:rsidRPr="003E72EA">
        <w:rPr>
          <w:rFonts w:ascii="Times New Roman" w:eastAsia="Times New Roman" w:hAnsi="Times New Roman" w:cs="Times New Roman"/>
          <w:i/>
          <w:iCs/>
          <w:kern w:val="0"/>
          <w14:ligatures w14:val="none"/>
        </w:rPr>
        <w:t>Iranian Journal of Fisheries Sciences, 23</w:t>
      </w:r>
      <w:r w:rsidRPr="003E72EA">
        <w:rPr>
          <w:rFonts w:ascii="Times New Roman" w:eastAsia="Times New Roman" w:hAnsi="Times New Roman" w:cs="Times New Roman"/>
          <w:kern w:val="0"/>
          <w14:ligatures w14:val="none"/>
        </w:rPr>
        <w:t>(2), 237–254. https://doi.org/10.22092/ijfs.2024.349403.0</w:t>
      </w:r>
    </w:p>
    <w:p w14:paraId="7787EF30"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Umeoguaju</w:t>
      </w:r>
      <w:proofErr w:type="spellEnd"/>
      <w:r w:rsidRPr="003E72EA">
        <w:rPr>
          <w:rFonts w:ascii="Times New Roman" w:eastAsia="Times New Roman" w:hAnsi="Times New Roman" w:cs="Times New Roman"/>
          <w:kern w:val="0"/>
          <w14:ligatures w14:val="none"/>
        </w:rPr>
        <w:t xml:space="preserve">, F. U., </w:t>
      </w:r>
      <w:proofErr w:type="spellStart"/>
      <w:r w:rsidRPr="003E72EA">
        <w:rPr>
          <w:rFonts w:ascii="Times New Roman" w:eastAsia="Times New Roman" w:hAnsi="Times New Roman" w:cs="Times New Roman"/>
          <w:kern w:val="0"/>
          <w14:ligatures w14:val="none"/>
        </w:rPr>
        <w:t>Akaninwor</w:t>
      </w:r>
      <w:proofErr w:type="spellEnd"/>
      <w:r w:rsidRPr="003E72EA">
        <w:rPr>
          <w:rFonts w:ascii="Times New Roman" w:eastAsia="Times New Roman" w:hAnsi="Times New Roman" w:cs="Times New Roman"/>
          <w:kern w:val="0"/>
          <w14:ligatures w14:val="none"/>
        </w:rPr>
        <w:t xml:space="preserve">, J. O., Essien, E. B., &amp; Amadi, B. A. (2022). Heavy metal profile of surface and ground water samples from the Niger Delta region of Nigeria: A systematic review and meta-analysis. </w:t>
      </w:r>
      <w:r w:rsidRPr="003E72EA">
        <w:rPr>
          <w:rFonts w:ascii="Times New Roman" w:eastAsia="Times New Roman" w:hAnsi="Times New Roman" w:cs="Times New Roman"/>
          <w:i/>
          <w:iCs/>
          <w:kern w:val="0"/>
          <w14:ligatures w14:val="none"/>
        </w:rPr>
        <w:t>Environmental Monitoring and Assessment, 194</w:t>
      </w:r>
      <w:r w:rsidRPr="003E72EA">
        <w:rPr>
          <w:rFonts w:ascii="Times New Roman" w:eastAsia="Times New Roman" w:hAnsi="Times New Roman" w:cs="Times New Roman"/>
          <w:kern w:val="0"/>
          <w14:ligatures w14:val="none"/>
        </w:rPr>
        <w:t>, Article 46. https://doi.org/10.1007/s10661-021-09688-6</w:t>
      </w:r>
    </w:p>
    <w:p w14:paraId="34EFF967"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Uwa-Samuel, D. E., &amp; Oku, H. B. (2024). Analysis of the current state contamination and pollution level of streams in Port Harcourt metropolis. </w:t>
      </w:r>
      <w:r w:rsidRPr="003E72EA">
        <w:rPr>
          <w:rFonts w:ascii="Times New Roman" w:eastAsia="Times New Roman" w:hAnsi="Times New Roman" w:cs="Times New Roman"/>
          <w:i/>
          <w:iCs/>
          <w:kern w:val="0"/>
          <w14:ligatures w14:val="none"/>
        </w:rPr>
        <w:t>International Journal of Economics, Environmental Development and Society, 5</w:t>
      </w:r>
      <w:r w:rsidRPr="003E72EA">
        <w:rPr>
          <w:rFonts w:ascii="Times New Roman" w:eastAsia="Times New Roman" w:hAnsi="Times New Roman" w:cs="Times New Roman"/>
          <w:kern w:val="0"/>
          <w14:ligatures w14:val="none"/>
        </w:rPr>
        <w:t xml:space="preserve">(4), 458–468. </w:t>
      </w:r>
      <w:hyperlink r:id="rId25" w:tgtFrame="_new" w:history="1">
        <w:r w:rsidRPr="003E72EA">
          <w:rPr>
            <w:rFonts w:ascii="Times New Roman" w:eastAsia="Times New Roman" w:hAnsi="Times New Roman" w:cs="Times New Roman"/>
            <w:color w:val="0000FF"/>
            <w:kern w:val="0"/>
            <w:u w:val="single"/>
            <w14:ligatures w14:val="none"/>
          </w:rPr>
          <w:t>https://ijeeds.com.ng/assets/vol.%2C-5%284%29-uwa-samuel%2C-david-e-2.pdf</w:t>
        </w:r>
      </w:hyperlink>
    </w:p>
    <w:p w14:paraId="753FACB9"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Wogu</w:t>
      </w:r>
      <w:proofErr w:type="spellEnd"/>
      <w:r w:rsidRPr="003E72EA">
        <w:rPr>
          <w:rFonts w:ascii="Times New Roman" w:eastAsia="Times New Roman" w:hAnsi="Times New Roman" w:cs="Times New Roman"/>
          <w:kern w:val="0"/>
          <w14:ligatures w14:val="none"/>
        </w:rPr>
        <w:t>, M. N., &amp; Goodhead, D. A. (2025). Health risk assessment of heavy metal concentration in oyster (</w:t>
      </w:r>
      <w:r w:rsidRPr="003E72EA">
        <w:rPr>
          <w:rFonts w:ascii="Times New Roman" w:eastAsia="Times New Roman" w:hAnsi="Times New Roman" w:cs="Times New Roman"/>
          <w:i/>
          <w:iCs/>
          <w:kern w:val="0"/>
          <w14:ligatures w14:val="none"/>
        </w:rPr>
        <w:t xml:space="preserve">Crassostrea </w:t>
      </w:r>
      <w:proofErr w:type="spellStart"/>
      <w:r w:rsidRPr="003E72EA">
        <w:rPr>
          <w:rFonts w:ascii="Times New Roman" w:eastAsia="Times New Roman" w:hAnsi="Times New Roman" w:cs="Times New Roman"/>
          <w:i/>
          <w:iCs/>
          <w:kern w:val="0"/>
          <w14:ligatures w14:val="none"/>
        </w:rPr>
        <w:t>gasar</w:t>
      </w:r>
      <w:proofErr w:type="spellEnd"/>
      <w:r w:rsidRPr="003E72EA">
        <w:rPr>
          <w:rFonts w:ascii="Times New Roman" w:eastAsia="Times New Roman" w:hAnsi="Times New Roman" w:cs="Times New Roman"/>
          <w:kern w:val="0"/>
          <w14:ligatures w14:val="none"/>
        </w:rPr>
        <w:t xml:space="preserve">) in </w:t>
      </w:r>
      <w:proofErr w:type="spellStart"/>
      <w:r w:rsidRPr="003E72EA">
        <w:rPr>
          <w:rFonts w:ascii="Times New Roman" w:eastAsia="Times New Roman" w:hAnsi="Times New Roman" w:cs="Times New Roman"/>
          <w:kern w:val="0"/>
          <w14:ligatures w14:val="none"/>
        </w:rPr>
        <w:t>Woji</w:t>
      </w:r>
      <w:proofErr w:type="spellEnd"/>
      <w:r w:rsidRPr="003E72EA">
        <w:rPr>
          <w:rFonts w:ascii="Times New Roman" w:eastAsia="Times New Roman" w:hAnsi="Times New Roman" w:cs="Times New Roman"/>
          <w:kern w:val="0"/>
          <w14:ligatures w14:val="none"/>
        </w:rPr>
        <w:t xml:space="preserve"> Creek, Rivers State, Nigeria. </w:t>
      </w:r>
      <w:r w:rsidRPr="003E72EA">
        <w:rPr>
          <w:rFonts w:ascii="Times New Roman" w:eastAsia="Times New Roman" w:hAnsi="Times New Roman" w:cs="Times New Roman"/>
          <w:i/>
          <w:iCs/>
          <w:kern w:val="0"/>
          <w14:ligatures w14:val="none"/>
        </w:rPr>
        <w:t>Asian Journal of Biology, 21</w:t>
      </w:r>
      <w:r w:rsidRPr="003E72EA">
        <w:rPr>
          <w:rFonts w:ascii="Times New Roman" w:eastAsia="Times New Roman" w:hAnsi="Times New Roman" w:cs="Times New Roman"/>
          <w:kern w:val="0"/>
          <w14:ligatures w14:val="none"/>
        </w:rPr>
        <w:t>(8), 30–38. https://doi.org/10.9734/ajob/2025/v21i8539</w:t>
      </w:r>
    </w:p>
    <w:p w14:paraId="26D219EA" w14:textId="74117485"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World Health Organization. (2022). </w:t>
      </w:r>
      <w:r w:rsidRPr="003E72EA">
        <w:rPr>
          <w:rFonts w:ascii="Times New Roman" w:eastAsia="Times New Roman" w:hAnsi="Times New Roman" w:cs="Times New Roman"/>
          <w:i/>
          <w:iCs/>
          <w:kern w:val="0"/>
          <w14:ligatures w14:val="none"/>
        </w:rPr>
        <w:t>Guidelines for drinking-water quality: Fourth edition incorporating the first and second addenda.</w:t>
      </w:r>
      <w:r w:rsidRPr="003E72EA">
        <w:rPr>
          <w:rFonts w:ascii="Times New Roman" w:eastAsia="Times New Roman" w:hAnsi="Times New Roman" w:cs="Times New Roman"/>
          <w:kern w:val="0"/>
          <w14:ligatures w14:val="none"/>
        </w:rPr>
        <w:t xml:space="preserve"> World Health Organization. </w:t>
      </w:r>
      <w:hyperlink r:id="rId26" w:tgtFrame="_new" w:history="1">
        <w:r w:rsidRPr="003E72EA">
          <w:rPr>
            <w:rFonts w:ascii="Times New Roman" w:eastAsia="Times New Roman" w:hAnsi="Times New Roman" w:cs="Times New Roman"/>
            <w:color w:val="0000FF"/>
            <w:kern w:val="0"/>
            <w:u w:val="single"/>
            <w14:ligatures w14:val="none"/>
          </w:rPr>
          <w:t>https://www.who.int/publications/i/item/9789240045064</w:t>
        </w:r>
      </w:hyperlink>
      <w:r w:rsidRPr="003E72EA">
        <w:rPr>
          <w:rFonts w:ascii="Times New Roman" w:eastAsia="Times New Roman" w:hAnsi="Times New Roman" w:cs="Times New Roman"/>
          <w:kern w:val="0"/>
          <w14:ligatures w14:val="none"/>
        </w:rPr>
        <w:t xml:space="preserve"> </w:t>
      </w:r>
    </w:p>
    <w:p w14:paraId="6538DE47"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Christopher, Z. D., Etim, I.-I. N., Effiong, K. S., Inyang, A. I., &amp; Akpan, U. E. (2025). Impact of climate change and anthropogenic activities on the aquatic ecosystem of South-Eastern Nigeria. </w:t>
      </w:r>
      <w:r w:rsidRPr="003E72EA">
        <w:rPr>
          <w:rFonts w:ascii="Times New Roman" w:eastAsia="Times New Roman" w:hAnsi="Times New Roman" w:cs="Times New Roman"/>
          <w:i/>
          <w:iCs/>
          <w:kern w:val="0"/>
          <w14:ligatures w14:val="none"/>
        </w:rPr>
        <w:t>Asian Journal of Current Research, 10</w:t>
      </w:r>
      <w:r w:rsidRPr="003E72EA">
        <w:rPr>
          <w:rFonts w:ascii="Times New Roman" w:eastAsia="Times New Roman" w:hAnsi="Times New Roman" w:cs="Times New Roman"/>
          <w:kern w:val="0"/>
          <w14:ligatures w14:val="none"/>
        </w:rPr>
        <w:t xml:space="preserve">(3), 197–219. </w:t>
      </w:r>
      <w:hyperlink r:id="rId27" w:tgtFrame="_new" w:history="1">
        <w:r w:rsidRPr="003E72EA">
          <w:rPr>
            <w:rFonts w:ascii="Times New Roman" w:eastAsia="Times New Roman" w:hAnsi="Times New Roman" w:cs="Times New Roman"/>
            <w:color w:val="0000FF"/>
            <w:kern w:val="0"/>
            <w:u w:val="single"/>
            <w14:ligatures w14:val="none"/>
          </w:rPr>
          <w:t>https://doi.org/10.56557/ajocr/2025/v10i39617</w:t>
        </w:r>
      </w:hyperlink>
    </w:p>
    <w:p w14:paraId="51B43371"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 xml:space="preserve">Jolaosho, T. L., </w:t>
      </w:r>
      <w:proofErr w:type="spellStart"/>
      <w:r w:rsidRPr="003E72EA">
        <w:rPr>
          <w:rFonts w:ascii="Times New Roman" w:eastAsia="Times New Roman" w:hAnsi="Times New Roman" w:cs="Times New Roman"/>
          <w:kern w:val="0"/>
          <w14:ligatures w14:val="none"/>
        </w:rPr>
        <w:t>Elegbede</w:t>
      </w:r>
      <w:proofErr w:type="spellEnd"/>
      <w:r w:rsidRPr="003E72EA">
        <w:rPr>
          <w:rFonts w:ascii="Times New Roman" w:eastAsia="Times New Roman" w:hAnsi="Times New Roman" w:cs="Times New Roman"/>
          <w:kern w:val="0"/>
          <w14:ligatures w14:val="none"/>
        </w:rPr>
        <w:t xml:space="preserve">, I. O., </w:t>
      </w:r>
      <w:proofErr w:type="spellStart"/>
      <w:r w:rsidRPr="003E72EA">
        <w:rPr>
          <w:rFonts w:ascii="Times New Roman" w:eastAsia="Times New Roman" w:hAnsi="Times New Roman" w:cs="Times New Roman"/>
          <w:kern w:val="0"/>
          <w14:ligatures w14:val="none"/>
        </w:rPr>
        <w:t>Ndimele</w:t>
      </w:r>
      <w:proofErr w:type="spellEnd"/>
      <w:r w:rsidRPr="003E72EA">
        <w:rPr>
          <w:rFonts w:ascii="Times New Roman" w:eastAsia="Times New Roman" w:hAnsi="Times New Roman" w:cs="Times New Roman"/>
          <w:kern w:val="0"/>
          <w14:ligatures w14:val="none"/>
        </w:rPr>
        <w:t xml:space="preserve">, P. E., </w:t>
      </w:r>
      <w:proofErr w:type="spellStart"/>
      <w:r w:rsidRPr="003E72EA">
        <w:rPr>
          <w:rFonts w:ascii="Times New Roman" w:eastAsia="Times New Roman" w:hAnsi="Times New Roman" w:cs="Times New Roman"/>
          <w:kern w:val="0"/>
          <w14:ligatures w14:val="none"/>
        </w:rPr>
        <w:t>Omoboye</w:t>
      </w:r>
      <w:proofErr w:type="spellEnd"/>
      <w:r w:rsidRPr="003E72EA">
        <w:rPr>
          <w:rFonts w:ascii="Times New Roman" w:eastAsia="Times New Roman" w:hAnsi="Times New Roman" w:cs="Times New Roman"/>
          <w:kern w:val="0"/>
          <w14:ligatures w14:val="none"/>
        </w:rPr>
        <w:t xml:space="preserve">, O. O., Oladejo, A. O., Lawal, M. O., &amp; others. (2025). Seasonal and spatial variations of physicochemical parameters and heavy metals in surface water of interconnected Nigeria lagoons experiencing distinct anthropogenic disturbances. </w:t>
      </w:r>
      <w:r w:rsidRPr="003E72EA">
        <w:rPr>
          <w:rFonts w:ascii="Times New Roman" w:eastAsia="Times New Roman" w:hAnsi="Times New Roman" w:cs="Times New Roman"/>
          <w:i/>
          <w:iCs/>
          <w:kern w:val="0"/>
          <w14:ligatures w14:val="none"/>
        </w:rPr>
        <w:t>Scientific Reports, 15</w:t>
      </w:r>
      <w:r w:rsidRPr="003E72EA">
        <w:rPr>
          <w:rFonts w:ascii="Times New Roman" w:eastAsia="Times New Roman" w:hAnsi="Times New Roman" w:cs="Times New Roman"/>
          <w:kern w:val="0"/>
          <w14:ligatures w14:val="none"/>
        </w:rPr>
        <w:t xml:space="preserve">, Article 38816. </w:t>
      </w:r>
      <w:hyperlink r:id="rId28" w:tgtFrame="_new" w:history="1">
        <w:r w:rsidRPr="003E72EA">
          <w:rPr>
            <w:rFonts w:ascii="Times New Roman" w:eastAsia="Times New Roman" w:hAnsi="Times New Roman" w:cs="Times New Roman"/>
            <w:color w:val="0000FF"/>
            <w:kern w:val="0"/>
            <w:u w:val="single"/>
            <w14:ligatures w14:val="none"/>
          </w:rPr>
          <w:t>https://doi.org/10.1038/s41598-025-22727-3</w:t>
        </w:r>
      </w:hyperlink>
    </w:p>
    <w:p w14:paraId="0926543D"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3E72EA">
        <w:rPr>
          <w:rFonts w:ascii="Times New Roman" w:eastAsia="Times New Roman" w:hAnsi="Times New Roman" w:cs="Times New Roman"/>
          <w:kern w:val="0"/>
          <w14:ligatures w14:val="none"/>
        </w:rPr>
        <w:t>Okeh, K. A., Ogunlade-</w:t>
      </w:r>
      <w:proofErr w:type="spellStart"/>
      <w:r w:rsidRPr="003E72EA">
        <w:rPr>
          <w:rFonts w:ascii="Times New Roman" w:eastAsia="Times New Roman" w:hAnsi="Times New Roman" w:cs="Times New Roman"/>
          <w:kern w:val="0"/>
          <w14:ligatures w14:val="none"/>
        </w:rPr>
        <w:t>Anibasa</w:t>
      </w:r>
      <w:proofErr w:type="spellEnd"/>
      <w:r w:rsidRPr="003E72EA">
        <w:rPr>
          <w:rFonts w:ascii="Times New Roman" w:eastAsia="Times New Roman" w:hAnsi="Times New Roman" w:cs="Times New Roman"/>
          <w:kern w:val="0"/>
          <w14:ligatures w14:val="none"/>
        </w:rPr>
        <w:t xml:space="preserve">, G. O., &amp; </w:t>
      </w:r>
      <w:proofErr w:type="spellStart"/>
      <w:r w:rsidRPr="003E72EA">
        <w:rPr>
          <w:rFonts w:ascii="Times New Roman" w:eastAsia="Times New Roman" w:hAnsi="Times New Roman" w:cs="Times New Roman"/>
          <w:kern w:val="0"/>
          <w14:ligatures w14:val="none"/>
        </w:rPr>
        <w:t>Mofio</w:t>
      </w:r>
      <w:proofErr w:type="spellEnd"/>
      <w:r w:rsidRPr="003E72EA">
        <w:rPr>
          <w:rFonts w:ascii="Times New Roman" w:eastAsia="Times New Roman" w:hAnsi="Times New Roman" w:cs="Times New Roman"/>
          <w:kern w:val="0"/>
          <w14:ligatures w14:val="none"/>
        </w:rPr>
        <w:t xml:space="preserve">, B. M. (2026). Determination of the heavy metal concentrations of Kundu River in Kwali Area Council, Federal Capital Territory, Abuja, Nigeria. </w:t>
      </w:r>
      <w:r w:rsidRPr="003E72EA">
        <w:rPr>
          <w:rFonts w:ascii="Times New Roman" w:eastAsia="Times New Roman" w:hAnsi="Times New Roman" w:cs="Times New Roman"/>
          <w:i/>
          <w:iCs/>
          <w:kern w:val="0"/>
          <w14:ligatures w14:val="none"/>
        </w:rPr>
        <w:t>Asian Journal of Environment &amp; Ecology, 25</w:t>
      </w:r>
      <w:r w:rsidRPr="003E72EA">
        <w:rPr>
          <w:rFonts w:ascii="Times New Roman" w:eastAsia="Times New Roman" w:hAnsi="Times New Roman" w:cs="Times New Roman"/>
          <w:kern w:val="0"/>
          <w14:ligatures w14:val="none"/>
        </w:rPr>
        <w:t xml:space="preserve">(5), 107–124. </w:t>
      </w:r>
      <w:hyperlink r:id="rId29" w:tgtFrame="_new" w:history="1">
        <w:r w:rsidRPr="003E72EA">
          <w:rPr>
            <w:rFonts w:ascii="Times New Roman" w:eastAsia="Times New Roman" w:hAnsi="Times New Roman" w:cs="Times New Roman"/>
            <w:color w:val="0000FF"/>
            <w:kern w:val="0"/>
            <w:u w:val="single"/>
            <w14:ligatures w14:val="none"/>
          </w:rPr>
          <w:t>https://doi.org/10.9734/ajee/2026/v25i5936</w:t>
        </w:r>
      </w:hyperlink>
    </w:p>
    <w:p w14:paraId="1E7A6800" w14:textId="77777777" w:rsidR="003E72EA" w:rsidRPr="003E72EA" w:rsidRDefault="003E72EA" w:rsidP="003E72EA">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3E72EA">
        <w:rPr>
          <w:rFonts w:ascii="Times New Roman" w:eastAsia="Times New Roman" w:hAnsi="Times New Roman" w:cs="Times New Roman"/>
          <w:kern w:val="0"/>
          <w14:ligatures w14:val="none"/>
        </w:rPr>
        <w:t>Vunain</w:t>
      </w:r>
      <w:proofErr w:type="spellEnd"/>
      <w:r w:rsidRPr="003E72EA">
        <w:rPr>
          <w:rFonts w:ascii="Times New Roman" w:eastAsia="Times New Roman" w:hAnsi="Times New Roman" w:cs="Times New Roman"/>
          <w:kern w:val="0"/>
          <w14:ligatures w14:val="none"/>
        </w:rPr>
        <w:t xml:space="preserve">, E., </w:t>
      </w:r>
      <w:proofErr w:type="spellStart"/>
      <w:r w:rsidRPr="003E72EA">
        <w:rPr>
          <w:rFonts w:ascii="Times New Roman" w:eastAsia="Times New Roman" w:hAnsi="Times New Roman" w:cs="Times New Roman"/>
          <w:kern w:val="0"/>
          <w14:ligatures w14:val="none"/>
        </w:rPr>
        <w:t>Kadammanja</w:t>
      </w:r>
      <w:proofErr w:type="spellEnd"/>
      <w:r w:rsidRPr="003E72EA">
        <w:rPr>
          <w:rFonts w:ascii="Times New Roman" w:eastAsia="Times New Roman" w:hAnsi="Times New Roman" w:cs="Times New Roman"/>
          <w:kern w:val="0"/>
          <w14:ligatures w14:val="none"/>
        </w:rPr>
        <w:t xml:space="preserve">, S. R., &amp; </w:t>
      </w:r>
      <w:proofErr w:type="spellStart"/>
      <w:r w:rsidRPr="003E72EA">
        <w:rPr>
          <w:rFonts w:ascii="Times New Roman" w:eastAsia="Times New Roman" w:hAnsi="Times New Roman" w:cs="Times New Roman"/>
          <w:kern w:val="0"/>
          <w14:ligatures w14:val="none"/>
        </w:rPr>
        <w:t>Namoto</w:t>
      </w:r>
      <w:proofErr w:type="spellEnd"/>
      <w:r w:rsidRPr="003E72EA">
        <w:rPr>
          <w:rFonts w:ascii="Times New Roman" w:eastAsia="Times New Roman" w:hAnsi="Times New Roman" w:cs="Times New Roman"/>
          <w:kern w:val="0"/>
          <w14:ligatures w14:val="none"/>
        </w:rPr>
        <w:t xml:space="preserve">, M. (2024). Contamination level and ecological risk assessment of selected heavy metals in surface water and sediments from Mudi River, Blantyre, Malawi. </w:t>
      </w:r>
      <w:r w:rsidRPr="003E72EA">
        <w:rPr>
          <w:rFonts w:ascii="Times New Roman" w:eastAsia="Times New Roman" w:hAnsi="Times New Roman" w:cs="Times New Roman"/>
          <w:i/>
          <w:iCs/>
          <w:kern w:val="0"/>
          <w14:ligatures w14:val="none"/>
        </w:rPr>
        <w:t>International Journal of Energy and Water Resources, 8</w:t>
      </w:r>
      <w:r w:rsidRPr="003E72EA">
        <w:rPr>
          <w:rFonts w:ascii="Times New Roman" w:eastAsia="Times New Roman" w:hAnsi="Times New Roman" w:cs="Times New Roman"/>
          <w:kern w:val="0"/>
          <w14:ligatures w14:val="none"/>
        </w:rPr>
        <w:t xml:space="preserve">, 521–543. </w:t>
      </w:r>
      <w:hyperlink r:id="rId30" w:tgtFrame="_new" w:history="1">
        <w:r w:rsidRPr="003E72EA">
          <w:rPr>
            <w:rFonts w:ascii="Times New Roman" w:eastAsia="Times New Roman" w:hAnsi="Times New Roman" w:cs="Times New Roman"/>
            <w:color w:val="0000FF"/>
            <w:kern w:val="0"/>
            <w:u w:val="single"/>
            <w14:ligatures w14:val="none"/>
          </w:rPr>
          <w:t>https://doi.org/10.1007/s42108-024-00277-0</w:t>
        </w:r>
      </w:hyperlink>
    </w:p>
    <w:p w14:paraId="3FD5B3CF" w14:textId="2E0A7B57" w:rsidR="00A01686" w:rsidRDefault="00A01686" w:rsidP="003E72EA">
      <w:pPr>
        <w:spacing w:line="240" w:lineRule="auto"/>
        <w:jc w:val="both"/>
      </w:pPr>
    </w:p>
    <w:sectPr w:rsidR="00A016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0B0A6" w14:textId="77777777" w:rsidR="00E2795E" w:rsidRDefault="00E2795E" w:rsidP="00A85C27">
      <w:pPr>
        <w:spacing w:after="0" w:line="240" w:lineRule="auto"/>
      </w:pPr>
      <w:r>
        <w:separator/>
      </w:r>
    </w:p>
  </w:endnote>
  <w:endnote w:type="continuationSeparator" w:id="0">
    <w:p w14:paraId="3DE7A196" w14:textId="77777777" w:rsidR="00E2795E" w:rsidRDefault="00E2795E" w:rsidP="00A8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24AF" w14:textId="77777777" w:rsidR="003760C4" w:rsidRDefault="00376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690509"/>
      <w:docPartObj>
        <w:docPartGallery w:val="Page Numbers (Bottom of Page)"/>
        <w:docPartUnique/>
      </w:docPartObj>
    </w:sdtPr>
    <w:sdtEndPr>
      <w:rPr>
        <w:noProof/>
      </w:rPr>
    </w:sdtEndPr>
    <w:sdtContent>
      <w:p w14:paraId="5EE8FA22" w14:textId="77777777" w:rsidR="006D40EC" w:rsidRDefault="006D40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D0E2D6" w14:textId="77777777" w:rsidR="006D40EC" w:rsidRDefault="006D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479F" w14:textId="77777777" w:rsidR="003760C4" w:rsidRDefault="00376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7E5EA" w14:textId="77777777" w:rsidR="00E2795E" w:rsidRDefault="00E2795E" w:rsidP="00A85C27">
      <w:pPr>
        <w:spacing w:after="0" w:line="240" w:lineRule="auto"/>
      </w:pPr>
      <w:r>
        <w:separator/>
      </w:r>
    </w:p>
  </w:footnote>
  <w:footnote w:type="continuationSeparator" w:id="0">
    <w:p w14:paraId="1F280FC8" w14:textId="77777777" w:rsidR="00E2795E" w:rsidRDefault="00E2795E" w:rsidP="00A85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24C2" w14:textId="77777777" w:rsidR="003760C4" w:rsidRDefault="00000000">
    <w:pPr>
      <w:pStyle w:val="Header"/>
    </w:pPr>
    <w:r>
      <w:rPr>
        <w:noProof/>
      </w:rPr>
      <w:pict w14:anchorId="42A0AC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555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C871" w14:textId="77777777" w:rsidR="003760C4" w:rsidRDefault="00000000">
    <w:pPr>
      <w:pStyle w:val="Header"/>
    </w:pPr>
    <w:r>
      <w:rPr>
        <w:noProof/>
      </w:rPr>
      <w:pict w14:anchorId="11423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555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4F1A1" w14:textId="77777777" w:rsidR="003760C4" w:rsidRDefault="00000000">
    <w:pPr>
      <w:pStyle w:val="Header"/>
    </w:pPr>
    <w:r>
      <w:rPr>
        <w:noProof/>
      </w:rPr>
      <w:pict w14:anchorId="16A25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555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hybridMultilevel"/>
    <w:tmpl w:val="FF90C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F"/>
    <w:multiLevelType w:val="hybridMultilevel"/>
    <w:tmpl w:val="3766B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11"/>
    <w:multiLevelType w:val="hybridMultilevel"/>
    <w:tmpl w:val="046855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2"/>
    <w:multiLevelType w:val="hybridMultilevel"/>
    <w:tmpl w:val="D0D8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14"/>
    <w:multiLevelType w:val="hybridMultilevel"/>
    <w:tmpl w:val="F294A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19"/>
    <w:multiLevelType w:val="hybridMultilevel"/>
    <w:tmpl w:val="726E7F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720A0"/>
    <w:multiLevelType w:val="hybridMultilevel"/>
    <w:tmpl w:val="44C80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D56BB5"/>
    <w:multiLevelType w:val="hybridMultilevel"/>
    <w:tmpl w:val="51104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413943">
    <w:abstractNumId w:val="0"/>
  </w:num>
  <w:num w:numId="2" w16cid:durableId="869101049">
    <w:abstractNumId w:val="5"/>
  </w:num>
  <w:num w:numId="3" w16cid:durableId="1531070682">
    <w:abstractNumId w:val="2"/>
  </w:num>
  <w:num w:numId="4" w16cid:durableId="1174226125">
    <w:abstractNumId w:val="1"/>
  </w:num>
  <w:num w:numId="5" w16cid:durableId="1244146720">
    <w:abstractNumId w:val="4"/>
  </w:num>
  <w:num w:numId="6" w16cid:durableId="217208590">
    <w:abstractNumId w:val="3"/>
  </w:num>
  <w:num w:numId="7" w16cid:durableId="563377094">
    <w:abstractNumId w:val="7"/>
  </w:num>
  <w:num w:numId="8" w16cid:durableId="2791896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2MzK3NDIxMTczNjFW0lEKTi0uzszPAykwrAUA3pJolSwAAAA="/>
  </w:docVars>
  <w:rsids>
    <w:rsidRoot w:val="0055338D"/>
    <w:rsid w:val="000635AA"/>
    <w:rsid w:val="00095CBF"/>
    <w:rsid w:val="000B6057"/>
    <w:rsid w:val="000B6B6D"/>
    <w:rsid w:val="000C3AB0"/>
    <w:rsid w:val="000C5916"/>
    <w:rsid w:val="000C79C2"/>
    <w:rsid w:val="000F47EE"/>
    <w:rsid w:val="001107C2"/>
    <w:rsid w:val="001163BE"/>
    <w:rsid w:val="0012198C"/>
    <w:rsid w:val="00123D72"/>
    <w:rsid w:val="001260E8"/>
    <w:rsid w:val="00135CE7"/>
    <w:rsid w:val="00137B1C"/>
    <w:rsid w:val="001402B0"/>
    <w:rsid w:val="001534BA"/>
    <w:rsid w:val="0015394A"/>
    <w:rsid w:val="001826D6"/>
    <w:rsid w:val="001838F6"/>
    <w:rsid w:val="00186F59"/>
    <w:rsid w:val="001B062F"/>
    <w:rsid w:val="001B6285"/>
    <w:rsid w:val="001B6AF4"/>
    <w:rsid w:val="001D02C3"/>
    <w:rsid w:val="001D6E2D"/>
    <w:rsid w:val="001F43D6"/>
    <w:rsid w:val="001F5DAC"/>
    <w:rsid w:val="002241C0"/>
    <w:rsid w:val="002407A4"/>
    <w:rsid w:val="00267DAA"/>
    <w:rsid w:val="0027541B"/>
    <w:rsid w:val="00282DAD"/>
    <w:rsid w:val="002A4414"/>
    <w:rsid w:val="002B5524"/>
    <w:rsid w:val="002B6AB3"/>
    <w:rsid w:val="002C0563"/>
    <w:rsid w:val="002C4A5A"/>
    <w:rsid w:val="002D09ED"/>
    <w:rsid w:val="002E396D"/>
    <w:rsid w:val="002E7CD6"/>
    <w:rsid w:val="002F45BD"/>
    <w:rsid w:val="002F7707"/>
    <w:rsid w:val="00300298"/>
    <w:rsid w:val="003070CE"/>
    <w:rsid w:val="00317F35"/>
    <w:rsid w:val="00331A63"/>
    <w:rsid w:val="003760C4"/>
    <w:rsid w:val="00387985"/>
    <w:rsid w:val="00387AAE"/>
    <w:rsid w:val="003B205C"/>
    <w:rsid w:val="003B6D52"/>
    <w:rsid w:val="003C1C59"/>
    <w:rsid w:val="003E72EA"/>
    <w:rsid w:val="00401C22"/>
    <w:rsid w:val="00411922"/>
    <w:rsid w:val="00411B30"/>
    <w:rsid w:val="00431699"/>
    <w:rsid w:val="00432B8F"/>
    <w:rsid w:val="0043690A"/>
    <w:rsid w:val="004369CC"/>
    <w:rsid w:val="00453E52"/>
    <w:rsid w:val="004573F1"/>
    <w:rsid w:val="004607E8"/>
    <w:rsid w:val="00467017"/>
    <w:rsid w:val="004B5412"/>
    <w:rsid w:val="004C0A71"/>
    <w:rsid w:val="004F25C0"/>
    <w:rsid w:val="005000B2"/>
    <w:rsid w:val="00520A52"/>
    <w:rsid w:val="00527D80"/>
    <w:rsid w:val="005300A4"/>
    <w:rsid w:val="0055338D"/>
    <w:rsid w:val="00564300"/>
    <w:rsid w:val="005A5DE6"/>
    <w:rsid w:val="005B0B01"/>
    <w:rsid w:val="005D6D6E"/>
    <w:rsid w:val="0063127C"/>
    <w:rsid w:val="00644369"/>
    <w:rsid w:val="0065208B"/>
    <w:rsid w:val="00684DA5"/>
    <w:rsid w:val="006A086A"/>
    <w:rsid w:val="006A2207"/>
    <w:rsid w:val="006A3D34"/>
    <w:rsid w:val="006A6955"/>
    <w:rsid w:val="006B1CCE"/>
    <w:rsid w:val="006B3B46"/>
    <w:rsid w:val="006D40EC"/>
    <w:rsid w:val="006E1EE3"/>
    <w:rsid w:val="006E47C1"/>
    <w:rsid w:val="006F046F"/>
    <w:rsid w:val="006F302C"/>
    <w:rsid w:val="006F6FE4"/>
    <w:rsid w:val="00725DA6"/>
    <w:rsid w:val="00735D99"/>
    <w:rsid w:val="00755330"/>
    <w:rsid w:val="007660F9"/>
    <w:rsid w:val="00780BFC"/>
    <w:rsid w:val="00786EDD"/>
    <w:rsid w:val="007B0D4F"/>
    <w:rsid w:val="00822A8E"/>
    <w:rsid w:val="008278D7"/>
    <w:rsid w:val="00854DDC"/>
    <w:rsid w:val="00890DA5"/>
    <w:rsid w:val="0089276E"/>
    <w:rsid w:val="008D259D"/>
    <w:rsid w:val="008F0C43"/>
    <w:rsid w:val="008F38A8"/>
    <w:rsid w:val="00904137"/>
    <w:rsid w:val="009150A0"/>
    <w:rsid w:val="00940FC2"/>
    <w:rsid w:val="00954E3E"/>
    <w:rsid w:val="009C2A0C"/>
    <w:rsid w:val="009D2772"/>
    <w:rsid w:val="009D76FC"/>
    <w:rsid w:val="009E2FE0"/>
    <w:rsid w:val="009F3828"/>
    <w:rsid w:val="009F3B09"/>
    <w:rsid w:val="00A01686"/>
    <w:rsid w:val="00A06DD2"/>
    <w:rsid w:val="00A1053F"/>
    <w:rsid w:val="00A20562"/>
    <w:rsid w:val="00A26872"/>
    <w:rsid w:val="00A5470F"/>
    <w:rsid w:val="00A70BE5"/>
    <w:rsid w:val="00A7475F"/>
    <w:rsid w:val="00A7484D"/>
    <w:rsid w:val="00A85C27"/>
    <w:rsid w:val="00B040E4"/>
    <w:rsid w:val="00B40B40"/>
    <w:rsid w:val="00B42E5D"/>
    <w:rsid w:val="00B431A7"/>
    <w:rsid w:val="00B60F77"/>
    <w:rsid w:val="00B74C32"/>
    <w:rsid w:val="00B8031B"/>
    <w:rsid w:val="00B81BBB"/>
    <w:rsid w:val="00BB3374"/>
    <w:rsid w:val="00BB5EF9"/>
    <w:rsid w:val="00BB759F"/>
    <w:rsid w:val="00BD3BB0"/>
    <w:rsid w:val="00BE523A"/>
    <w:rsid w:val="00C139F5"/>
    <w:rsid w:val="00C17C47"/>
    <w:rsid w:val="00C22394"/>
    <w:rsid w:val="00C27654"/>
    <w:rsid w:val="00C47CFC"/>
    <w:rsid w:val="00C531BD"/>
    <w:rsid w:val="00C67140"/>
    <w:rsid w:val="00C83CC5"/>
    <w:rsid w:val="00C92C41"/>
    <w:rsid w:val="00CA365E"/>
    <w:rsid w:val="00CC222F"/>
    <w:rsid w:val="00CE53ED"/>
    <w:rsid w:val="00CF0355"/>
    <w:rsid w:val="00D168C4"/>
    <w:rsid w:val="00D23BDB"/>
    <w:rsid w:val="00D356E8"/>
    <w:rsid w:val="00D3687A"/>
    <w:rsid w:val="00D53D73"/>
    <w:rsid w:val="00D6201B"/>
    <w:rsid w:val="00DB2383"/>
    <w:rsid w:val="00DD2F11"/>
    <w:rsid w:val="00DE0351"/>
    <w:rsid w:val="00DF042A"/>
    <w:rsid w:val="00E10592"/>
    <w:rsid w:val="00E10929"/>
    <w:rsid w:val="00E26C35"/>
    <w:rsid w:val="00E2795E"/>
    <w:rsid w:val="00E32DFA"/>
    <w:rsid w:val="00E617E5"/>
    <w:rsid w:val="00EB26AA"/>
    <w:rsid w:val="00EF7138"/>
    <w:rsid w:val="00F054B8"/>
    <w:rsid w:val="00F33F38"/>
    <w:rsid w:val="00F640A7"/>
    <w:rsid w:val="00F641D8"/>
    <w:rsid w:val="00F6516C"/>
    <w:rsid w:val="00F66019"/>
    <w:rsid w:val="00F71FEA"/>
    <w:rsid w:val="00F87DB6"/>
    <w:rsid w:val="00F92489"/>
    <w:rsid w:val="00FA7769"/>
    <w:rsid w:val="00FB7425"/>
    <w:rsid w:val="00FD5B37"/>
    <w:rsid w:val="00FF3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C1594"/>
  <w15:chartTrackingRefBased/>
  <w15:docId w15:val="{6A232A3D-1BFA-4237-9DBC-DA70F546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38D"/>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C22394"/>
    <w:pPr>
      <w:spacing w:line="480" w:lineRule="auto"/>
      <w:jc w:val="both"/>
      <w:outlineLvl w:val="0"/>
    </w:pPr>
    <w:rPr>
      <w:rFonts w:ascii="Times New Roman" w:eastAsia="Calibri" w:hAnsi="Times New Roman" w:cs="Times New Roman"/>
      <w:b/>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38D"/>
    <w:pPr>
      <w:spacing w:after="0" w:line="240" w:lineRule="auto"/>
    </w:pPr>
    <w:rPr>
      <w:kern w:val="2"/>
      <w:sz w:val="24"/>
      <w:szCs w:val="24"/>
      <w14:ligatures w14:val="standardContextual"/>
    </w:rPr>
  </w:style>
  <w:style w:type="paragraph" w:styleId="ListParagraph">
    <w:name w:val="List Paragraph"/>
    <w:basedOn w:val="Normal"/>
    <w:uiPriority w:val="34"/>
    <w:qFormat/>
    <w:rsid w:val="009F3B09"/>
    <w:pPr>
      <w:ind w:left="720"/>
      <w:contextualSpacing/>
    </w:pPr>
  </w:style>
  <w:style w:type="table" w:styleId="TableGrid">
    <w:name w:val="Table Grid"/>
    <w:basedOn w:val="TableNormal"/>
    <w:uiPriority w:val="39"/>
    <w:rsid w:val="00A85C27"/>
    <w:pPr>
      <w:spacing w:after="0" w:line="240" w:lineRule="auto"/>
    </w:pPr>
    <w:rPr>
      <w:rFonts w:ascii="Calibri" w:eastAsia="Calibri" w:hAnsi="Calibri" w:cs="SimSu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5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C27"/>
    <w:rPr>
      <w:kern w:val="2"/>
      <w:sz w:val="24"/>
      <w:szCs w:val="24"/>
      <w14:ligatures w14:val="standardContextual"/>
    </w:rPr>
  </w:style>
  <w:style w:type="paragraph" w:styleId="Footer">
    <w:name w:val="footer"/>
    <w:basedOn w:val="Normal"/>
    <w:link w:val="FooterChar"/>
    <w:uiPriority w:val="99"/>
    <w:unhideWhenUsed/>
    <w:rsid w:val="00A85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C27"/>
    <w:rPr>
      <w:kern w:val="2"/>
      <w:sz w:val="24"/>
      <w:szCs w:val="24"/>
      <w14:ligatures w14:val="standardContextual"/>
    </w:rPr>
  </w:style>
  <w:style w:type="character" w:customStyle="1" w:styleId="Heading1Char">
    <w:name w:val="Heading 1 Char"/>
    <w:basedOn w:val="DefaultParagraphFont"/>
    <w:link w:val="Heading1"/>
    <w:uiPriority w:val="9"/>
    <w:rsid w:val="00C22394"/>
    <w:rPr>
      <w:rFonts w:ascii="Times New Roman" w:eastAsia="Calibri" w:hAnsi="Times New Roman" w:cs="Times New Roman"/>
      <w:b/>
      <w:sz w:val="24"/>
      <w:szCs w:val="24"/>
    </w:rPr>
  </w:style>
  <w:style w:type="character" w:styleId="Hyperlink">
    <w:name w:val="Hyperlink"/>
    <w:basedOn w:val="DefaultParagraphFont"/>
    <w:uiPriority w:val="99"/>
    <w:rsid w:val="00C22394"/>
    <w:rPr>
      <w:color w:val="0000FF"/>
      <w:u w:val="single"/>
    </w:rPr>
  </w:style>
  <w:style w:type="paragraph" w:styleId="NormalWeb">
    <w:name w:val="Normal (Web)"/>
    <w:basedOn w:val="Normal"/>
    <w:uiPriority w:val="99"/>
    <w:unhideWhenUsed/>
    <w:rsid w:val="00401C22"/>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401C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standardmethods.org/" TargetMode="External"/><Relationship Id="rId26" Type="http://schemas.openxmlformats.org/officeDocument/2006/relationships/hyperlink" Target="https://www.who.int/publications/i/item/9789240045064?utm_source=chatgpt.com" TargetMode="External"/><Relationship Id="rId3" Type="http://schemas.openxmlformats.org/officeDocument/2006/relationships/settings" Target="settings.xml"/><Relationship Id="rId21" Type="http://schemas.openxmlformats.org/officeDocument/2006/relationships/hyperlink" Target="https://archive.org/details/gov.law.is.3025.31.1988?utm_source=chatgpt.com"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doi.org/10.1155/2019/6730305" TargetMode="External"/><Relationship Id="rId25" Type="http://schemas.openxmlformats.org/officeDocument/2006/relationships/hyperlink" Target="https://ijeeds.com.ng/assets/vol.%2C-5%284%29-uwa-samuel%2C-david-e-2.pdf?utm_source=chatgpt.com" TargetMode="External"/><Relationship Id="rId2" Type="http://schemas.openxmlformats.org/officeDocument/2006/relationships/styles" Target="styles.xml"/><Relationship Id="rId16" Type="http://schemas.openxmlformats.org/officeDocument/2006/relationships/hyperlink" Target="https://www.atsdr.cdc.gov/toxprofiles/tp123.pdf?utm_source=chatgpt.com" TargetMode="External"/><Relationship Id="rId20" Type="http://schemas.openxmlformats.org/officeDocument/2006/relationships/hyperlink" Target="https://www.medmedchem.com/article_227896.html?utm_source=chatgpt.com" TargetMode="External"/><Relationship Id="rId29" Type="http://schemas.openxmlformats.org/officeDocument/2006/relationships/hyperlink" Target="https://doi.org/10.9734/ajee/2026/v25i59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researchportal.port.ac.uk/en/studentTheses/modelling-the-risk-of-hydrocarbon-contamination-on-groundwater-qu/?utm_source=chatgpt.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38/s41598-023-40995-9" TargetMode="External"/><Relationship Id="rId23" Type="http://schemas.openxmlformats.org/officeDocument/2006/relationships/hyperlink" Target="https://dergipark.org.tr/en/pub/ijeska/issue/87240/1553888?utm_source=chatgpt.com" TargetMode="External"/><Relationship Id="rId28" Type="http://schemas.openxmlformats.org/officeDocument/2006/relationships/hyperlink" Target="https://doi.org/10.1038/s41598-025-22727-3" TargetMode="External"/><Relationship Id="rId10" Type="http://schemas.openxmlformats.org/officeDocument/2006/relationships/footer" Target="footer1.xml"/><Relationship Id="rId19" Type="http://schemas.openxmlformats.org/officeDocument/2006/relationships/hyperlink" Target="https://doi.org/10.1080/23570008.2025.248301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hyperlink" Target="https://doi.org/10.1007/s10661-024-12743-7" TargetMode="External"/><Relationship Id="rId27" Type="http://schemas.openxmlformats.org/officeDocument/2006/relationships/hyperlink" Target="https://doi.org/10.56557/ajocr/2025/v10i39617" TargetMode="External"/><Relationship Id="rId30" Type="http://schemas.openxmlformats.org/officeDocument/2006/relationships/hyperlink" Target="https://doi.org/10.1007/s42108-024-00277-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Mean</c:v>
                </c:pt>
              </c:strCache>
            </c:strRef>
          </c:tx>
          <c:spPr>
            <a:solidFill>
              <a:schemeClr val="accent1"/>
            </a:solidFill>
            <a:ln>
              <a:noFill/>
            </a:ln>
            <a:effectLst/>
            <a:sp3d/>
          </c:spPr>
          <c:invertIfNegative val="0"/>
          <c:cat>
            <c:strRef>
              <c:f>Sheet1!$A$2:$A$10</c:f>
              <c:strCache>
                <c:ptCount val="9"/>
                <c:pt idx="0">
                  <c:v>Cu</c:v>
                </c:pt>
                <c:pt idx="1">
                  <c:v>Cd</c:v>
                </c:pt>
                <c:pt idx="2">
                  <c:v>Fe</c:v>
                </c:pt>
                <c:pt idx="3">
                  <c:v>Pb</c:v>
                </c:pt>
                <c:pt idx="4">
                  <c:v>Cr</c:v>
                </c:pt>
                <c:pt idx="5">
                  <c:v>Co</c:v>
                </c:pt>
                <c:pt idx="6">
                  <c:v>V</c:v>
                </c:pt>
                <c:pt idx="7">
                  <c:v>K</c:v>
                </c:pt>
                <c:pt idx="8">
                  <c:v>Ni</c:v>
                </c:pt>
              </c:strCache>
            </c:strRef>
          </c:cat>
          <c:val>
            <c:numRef>
              <c:f>Sheet1!$B$2:$B$10</c:f>
              <c:numCache>
                <c:formatCode>General</c:formatCode>
                <c:ptCount val="9"/>
                <c:pt idx="0">
                  <c:v>8.0000000000000002E-3</c:v>
                </c:pt>
                <c:pt idx="1">
                  <c:v>4.5999999999999999E-2</c:v>
                </c:pt>
                <c:pt idx="2">
                  <c:v>0.1</c:v>
                </c:pt>
                <c:pt idx="3">
                  <c:v>7.2999999999999995E-2</c:v>
                </c:pt>
                <c:pt idx="4">
                  <c:v>2.3E-2</c:v>
                </c:pt>
                <c:pt idx="5">
                  <c:v>0.19500000000000001</c:v>
                </c:pt>
                <c:pt idx="6">
                  <c:v>9.4E-2</c:v>
                </c:pt>
                <c:pt idx="7">
                  <c:v>4.4999999999999998E-2</c:v>
                </c:pt>
                <c:pt idx="8">
                  <c:v>2.8000000000000001E-2</c:v>
                </c:pt>
              </c:numCache>
            </c:numRef>
          </c:val>
          <c:extLst>
            <c:ext xmlns:c16="http://schemas.microsoft.com/office/drawing/2014/chart" uri="{C3380CC4-5D6E-409C-BE32-E72D297353CC}">
              <c16:uniqueId val="{00000000-6C2C-475A-A755-539A1C31B3C7}"/>
            </c:ext>
          </c:extLst>
        </c:ser>
        <c:ser>
          <c:idx val="1"/>
          <c:order val="1"/>
          <c:tx>
            <c:strRef>
              <c:f>Sheet1!$C$1</c:f>
              <c:strCache>
                <c:ptCount val="1"/>
                <c:pt idx="0">
                  <c:v>WHO</c:v>
                </c:pt>
              </c:strCache>
            </c:strRef>
          </c:tx>
          <c:spPr>
            <a:solidFill>
              <a:srgbClr val="FF0000"/>
            </a:solidFill>
            <a:ln>
              <a:noFill/>
            </a:ln>
            <a:effectLst/>
            <a:sp3d/>
          </c:spPr>
          <c:invertIfNegative val="0"/>
          <c:cat>
            <c:strRef>
              <c:f>Sheet1!$A$2:$A$10</c:f>
              <c:strCache>
                <c:ptCount val="9"/>
                <c:pt idx="0">
                  <c:v>Cu</c:v>
                </c:pt>
                <c:pt idx="1">
                  <c:v>Cd</c:v>
                </c:pt>
                <c:pt idx="2">
                  <c:v>Fe</c:v>
                </c:pt>
                <c:pt idx="3">
                  <c:v>Pb</c:v>
                </c:pt>
                <c:pt idx="4">
                  <c:v>Cr</c:v>
                </c:pt>
                <c:pt idx="5">
                  <c:v>Co</c:v>
                </c:pt>
                <c:pt idx="6">
                  <c:v>V</c:v>
                </c:pt>
                <c:pt idx="7">
                  <c:v>K</c:v>
                </c:pt>
                <c:pt idx="8">
                  <c:v>Ni</c:v>
                </c:pt>
              </c:strCache>
            </c:strRef>
          </c:cat>
          <c:val>
            <c:numRef>
              <c:f>Sheet1!$C$2:$C$10</c:f>
              <c:numCache>
                <c:formatCode>General</c:formatCode>
                <c:ptCount val="9"/>
                <c:pt idx="0">
                  <c:v>0.2</c:v>
                </c:pt>
                <c:pt idx="1">
                  <c:v>3.0000000000000001E-3</c:v>
                </c:pt>
                <c:pt idx="2">
                  <c:v>0.3</c:v>
                </c:pt>
                <c:pt idx="3">
                  <c:v>0.01</c:v>
                </c:pt>
                <c:pt idx="4">
                  <c:v>0.05</c:v>
                </c:pt>
                <c:pt idx="5">
                  <c:v>0.05</c:v>
                </c:pt>
                <c:pt idx="6">
                  <c:v>0.05</c:v>
                </c:pt>
                <c:pt idx="7">
                  <c:v>0</c:v>
                </c:pt>
                <c:pt idx="8">
                  <c:v>0.02</c:v>
                </c:pt>
              </c:numCache>
            </c:numRef>
          </c:val>
          <c:extLst>
            <c:ext xmlns:c16="http://schemas.microsoft.com/office/drawing/2014/chart" uri="{C3380CC4-5D6E-409C-BE32-E72D297353CC}">
              <c16:uniqueId val="{00000001-6C2C-475A-A755-539A1C31B3C7}"/>
            </c:ext>
          </c:extLst>
        </c:ser>
        <c:dLbls>
          <c:showLegendKey val="0"/>
          <c:showVal val="0"/>
          <c:showCatName val="0"/>
          <c:showSerName val="0"/>
          <c:showPercent val="0"/>
          <c:showBubbleSize val="0"/>
        </c:dLbls>
        <c:gapWidth val="150"/>
        <c:shape val="box"/>
        <c:axId val="1506630927"/>
        <c:axId val="1506622767"/>
        <c:axId val="0"/>
      </c:bar3DChart>
      <c:catAx>
        <c:axId val="150663092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GB" sz="1200" dirty="0">
                    <a:solidFill>
                      <a:schemeClr val="tx1"/>
                    </a:solidFill>
                    <a:latin typeface="Times New Roman" panose="02020603050405020304" pitchFamily="18" charset="0"/>
                    <a:cs typeface="Times New Roman" panose="02020603050405020304" pitchFamily="18" charset="0"/>
                  </a:rPr>
                  <a:t>Trace</a:t>
                </a:r>
                <a:r>
                  <a:rPr lang="en-GB" sz="1200" baseline="0" dirty="0">
                    <a:solidFill>
                      <a:schemeClr val="tx1"/>
                    </a:solidFill>
                    <a:latin typeface="Times New Roman" panose="02020603050405020304" pitchFamily="18" charset="0"/>
                    <a:cs typeface="Times New Roman" panose="02020603050405020304" pitchFamily="18" charset="0"/>
                  </a:rPr>
                  <a:t> metals </a:t>
                </a:r>
                <a:endParaRPr lang="en-GB" sz="1200" dirty="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06622767"/>
        <c:crosses val="autoZero"/>
        <c:auto val="1"/>
        <c:lblAlgn val="ctr"/>
        <c:lblOffset val="100"/>
        <c:noMultiLvlLbl val="0"/>
      </c:catAx>
      <c:valAx>
        <c:axId val="1506622767"/>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GB" sz="1200" dirty="0">
                    <a:solidFill>
                      <a:schemeClr val="tx1"/>
                    </a:solidFill>
                    <a:latin typeface="Times New Roman" panose="02020603050405020304" pitchFamily="18" charset="0"/>
                    <a:cs typeface="Times New Roman" panose="02020603050405020304" pitchFamily="18" charset="0"/>
                  </a:rPr>
                  <a:t>Concentration in ppm</a:t>
                </a:r>
              </a:p>
            </c:rich>
          </c:tx>
          <c:layout>
            <c:manualLayout>
              <c:xMode val="edge"/>
              <c:yMode val="edge"/>
              <c:x val="4.1200619153375058E-3"/>
              <c:y val="0.3475509123373772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06630927"/>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tx1">
                    <a:alpha val="99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86244397334948519"/>
          <c:y val="0.2802109139872217"/>
          <c:w val="0.1188061107746147"/>
          <c:h val="0.1732467076289340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5342</TotalTime>
  <Pages>17</Pages>
  <Words>5784</Words>
  <Characters>32973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Editor-90</cp:lastModifiedBy>
  <cp:revision>65</cp:revision>
  <dcterms:created xsi:type="dcterms:W3CDTF">2026-06-19T11:52:00Z</dcterms:created>
  <dcterms:modified xsi:type="dcterms:W3CDTF">2026-07-01T10:58:00Z</dcterms:modified>
</cp:coreProperties>
</file>