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00B03" w14:textId="77777777" w:rsidR="00ED7766" w:rsidRPr="00192E10" w:rsidRDefault="00ED7766" w:rsidP="00ED7766">
      <w:pPr>
        <w:spacing w:after="0" w:line="240" w:lineRule="auto"/>
        <w:jc w:val="center"/>
        <w:rPr>
          <w:rFonts w:ascii="Times New Roman" w:eastAsia="Arial" w:hAnsi="Times New Roman" w:cs="Times New Roman"/>
          <w:b/>
          <w:bCs/>
          <w:i/>
          <w:iCs/>
          <w:u w:val="single"/>
          <w:lang w:val="en-US"/>
        </w:rPr>
      </w:pPr>
      <w:r w:rsidRPr="00192E10">
        <w:rPr>
          <w:rFonts w:ascii="Times New Roman" w:eastAsia="Arial" w:hAnsi="Times New Roman" w:cs="Times New Roman"/>
          <w:b/>
          <w:bCs/>
          <w:i/>
          <w:iCs/>
          <w:u w:val="single"/>
          <w:lang w:val="en-US"/>
        </w:rPr>
        <w:t>Original Research Article</w:t>
      </w:r>
    </w:p>
    <w:p w14:paraId="27C34DA7" w14:textId="77777777" w:rsidR="007F5FA4" w:rsidRPr="00192E10" w:rsidRDefault="007F5FA4" w:rsidP="007F5FA4">
      <w:pPr>
        <w:spacing w:after="0" w:line="240" w:lineRule="auto"/>
        <w:jc w:val="center"/>
        <w:rPr>
          <w:rFonts w:ascii="Times New Roman" w:eastAsia="Arial" w:hAnsi="Times New Roman" w:cs="Times New Roman"/>
          <w:b/>
          <w:bCs/>
        </w:rPr>
      </w:pPr>
      <w:r w:rsidRPr="00192E10">
        <w:rPr>
          <w:rFonts w:ascii="Times New Roman" w:eastAsia="Arial" w:hAnsi="Times New Roman" w:cs="Times New Roman"/>
          <w:b/>
          <w:bCs/>
        </w:rPr>
        <w:t xml:space="preserve">EFFECTS OF </w:t>
      </w:r>
      <w:r w:rsidRPr="00192E10">
        <w:rPr>
          <w:rFonts w:ascii="Times New Roman" w:eastAsia="Arial" w:hAnsi="Times New Roman" w:cs="Times New Roman"/>
          <w:b/>
          <w:bCs/>
          <w:i/>
          <w:iCs/>
        </w:rPr>
        <w:t xml:space="preserve">EMBLICA OFFICINALIS </w:t>
      </w:r>
      <w:r w:rsidRPr="00192E10">
        <w:rPr>
          <w:rFonts w:ascii="Times New Roman" w:eastAsia="Arial" w:hAnsi="Times New Roman" w:cs="Times New Roman"/>
          <w:b/>
          <w:bCs/>
        </w:rPr>
        <w:t>JUICE AND CURD ON IRON</w:t>
      </w:r>
      <w:r w:rsidR="004C1DAA" w:rsidRPr="00192E10">
        <w:rPr>
          <w:rFonts w:ascii="Times New Roman" w:eastAsia="Arial" w:hAnsi="Times New Roman" w:cs="Times New Roman"/>
          <w:b/>
          <w:bCs/>
        </w:rPr>
        <w:t xml:space="preserve"> BIOACCESSIBILITY AND IN VITRO DIALYZABLE IRON FRACTION</w:t>
      </w:r>
      <w:r w:rsidRPr="00192E10">
        <w:rPr>
          <w:rFonts w:ascii="Times New Roman" w:eastAsia="Arial" w:hAnsi="Times New Roman" w:cs="Times New Roman"/>
          <w:b/>
          <w:bCs/>
        </w:rPr>
        <w:t xml:space="preserve"> IN RICE-BASED FOOD SYSTEMS</w:t>
      </w:r>
    </w:p>
    <w:p w14:paraId="0A86D829" w14:textId="77777777" w:rsidR="007F5FA4" w:rsidRPr="00192E10" w:rsidRDefault="007F5FA4" w:rsidP="007F5FA4">
      <w:pPr>
        <w:spacing w:after="0" w:line="240" w:lineRule="auto"/>
        <w:jc w:val="both"/>
        <w:rPr>
          <w:rFonts w:ascii="Times New Roman" w:eastAsia="Arial" w:hAnsi="Times New Roman" w:cs="Times New Roman"/>
        </w:rPr>
      </w:pPr>
    </w:p>
    <w:p w14:paraId="721F6439" w14:textId="77777777" w:rsidR="004C3615" w:rsidRPr="00192E10" w:rsidRDefault="004C3615" w:rsidP="007F5FA4">
      <w:pPr>
        <w:spacing w:after="0" w:line="240" w:lineRule="auto"/>
        <w:jc w:val="both"/>
        <w:rPr>
          <w:rFonts w:ascii="Times New Roman" w:eastAsia="Arial" w:hAnsi="Times New Roman" w:cs="Times New Roman"/>
        </w:rPr>
      </w:pPr>
    </w:p>
    <w:p w14:paraId="3954DBEA" w14:textId="77777777" w:rsidR="004C3615" w:rsidRPr="00192E10" w:rsidRDefault="004C3615" w:rsidP="007F5FA4">
      <w:pPr>
        <w:spacing w:after="0" w:line="240" w:lineRule="auto"/>
        <w:jc w:val="both"/>
        <w:rPr>
          <w:rFonts w:ascii="Times New Roman" w:eastAsia="Arial" w:hAnsi="Times New Roman" w:cs="Times New Roman"/>
        </w:rPr>
      </w:pPr>
    </w:p>
    <w:p w14:paraId="07856791" w14:textId="77777777" w:rsidR="007F5FA4" w:rsidRPr="00192E10" w:rsidRDefault="007F5FA4" w:rsidP="007F5FA4">
      <w:pPr>
        <w:spacing w:after="0" w:line="240" w:lineRule="auto"/>
        <w:jc w:val="both"/>
        <w:rPr>
          <w:rFonts w:ascii="Times New Roman" w:eastAsia="Arial" w:hAnsi="Times New Roman" w:cs="Times New Roman"/>
        </w:rPr>
      </w:pPr>
    </w:p>
    <w:p w14:paraId="23E2EB10" w14:textId="77777777" w:rsidR="007C40DA" w:rsidRPr="00192E10" w:rsidRDefault="007C40DA" w:rsidP="007F5FA4">
      <w:pPr>
        <w:spacing w:after="0" w:line="240" w:lineRule="auto"/>
        <w:jc w:val="both"/>
        <w:rPr>
          <w:rFonts w:ascii="Times New Roman" w:eastAsia="Arial" w:hAnsi="Times New Roman" w:cs="Times New Roman"/>
          <w:b/>
          <w:bCs/>
        </w:rPr>
      </w:pPr>
    </w:p>
    <w:p w14:paraId="53607FEE" w14:textId="77777777" w:rsidR="007F5FA4" w:rsidRPr="00192E10" w:rsidRDefault="007F5FA4" w:rsidP="007F5FA4">
      <w:pPr>
        <w:spacing w:after="0" w:line="240" w:lineRule="auto"/>
        <w:jc w:val="both"/>
        <w:rPr>
          <w:rFonts w:ascii="Times New Roman" w:eastAsia="Arial" w:hAnsi="Times New Roman" w:cs="Times New Roman"/>
          <w:b/>
          <w:bCs/>
        </w:rPr>
      </w:pPr>
    </w:p>
    <w:p w14:paraId="3818B35D" w14:textId="77777777" w:rsidR="007F5FA4" w:rsidRPr="00192E10" w:rsidRDefault="007F5FA4" w:rsidP="007F5FA4">
      <w:pPr>
        <w:spacing w:after="0" w:line="240" w:lineRule="auto"/>
        <w:jc w:val="both"/>
        <w:rPr>
          <w:rFonts w:ascii="Times New Roman" w:eastAsia="Arial" w:hAnsi="Times New Roman" w:cs="Times New Roman"/>
          <w:b/>
          <w:bCs/>
        </w:rPr>
      </w:pPr>
      <w:r w:rsidRPr="00192E10">
        <w:rPr>
          <w:rFonts w:ascii="Times New Roman" w:eastAsia="Arial" w:hAnsi="Times New Roman" w:cs="Times New Roman"/>
          <w:b/>
          <w:bCs/>
        </w:rPr>
        <w:t>Abstract:</w:t>
      </w:r>
    </w:p>
    <w:p w14:paraId="26A5D1D3" w14:textId="77777777" w:rsidR="007F5FA4" w:rsidRPr="00192E10" w:rsidRDefault="007F5FA4" w:rsidP="007F5FA4">
      <w:pPr>
        <w:pStyle w:val="NormalWeb"/>
        <w:spacing w:before="0" w:beforeAutospacing="0" w:after="0" w:afterAutospacing="0"/>
        <w:jc w:val="both"/>
      </w:pPr>
      <w:r w:rsidRPr="00192E10">
        <w:rPr>
          <w:rStyle w:val="Emphasis"/>
        </w:rPr>
        <w:t>Iron deficiency anaemia remains a major global nutritional concern, particularly among women and children. The present study investigated the effects of Emblica officinalis juice and curd on iron bioaccessibility and the in vitro dialysable iron fraction in selected rice-based food systems using a simulated gastrointestinal digestion model. Four traditional rice-based recipes [Curry Leaves Chutney with Rice (CLR), Mint Leaves Chutney with Rice (MCR), Tamarind Rasam with Rice (RR), and Red Amaranth Kadayal with Rice (AKR)] were prepared and evaluated as control, fruit juice-treated (FJ), curd-treated (CU), and combined-treatment (FJ + CU) samples. The total iron content of the recipes ranged from 4.43 ± 0.01 mg/100 g in RR to 7.79 ± 0.02 mg/100 g in AKR. Among all treatments, CU supplementation significantly improved both the bioaccessible and in vitro dialysable iron fractions (p &lt; 0.05). AKR + CU exhibited the highest dialysable and bioaccessible iron values (2.52 ± 0.01 mg and 2.52 ± 0.02 mg, respectively), followed by CLR + CU (2.30 ± 0.02 mg and 2.24 ± 0.01 mg, respectively). RR showed the lowest bioaccessible iron (1.35–1.44 mg) and dialysable iron fraction (1.30–1.49 mg). The combined treatment (FJ + CU) produced moderate improvements compared with the control and FJ alone, but its values remained lower than those obtained with CU alone. Residual iron ranged from 1.30 ± 0.05 mg to 2.53 ± 0.01 mg, indicating that a portion of the iron remained associated with the undigested food matrix after digestion. Mass-balance values were close to 100%, supporting the analytical recovery of the in vitro digestion model. The findings suggest that curd enhanced the in vitro dialysable iron fraction in the tested rice-based meals under the experimental conditions.</w:t>
      </w:r>
    </w:p>
    <w:p w14:paraId="426F59BA" w14:textId="5754608E" w:rsidR="007F5FA4" w:rsidRDefault="007F5FA4" w:rsidP="007F5FA4">
      <w:pPr>
        <w:pBdr>
          <w:top w:val="nil"/>
          <w:left w:val="nil"/>
          <w:bottom w:val="nil"/>
          <w:right w:val="nil"/>
          <w:between w:val="nil"/>
        </w:pBdr>
        <w:spacing w:after="0" w:line="240" w:lineRule="auto"/>
        <w:jc w:val="both"/>
      </w:pPr>
      <w:r w:rsidRPr="00192E10">
        <w:rPr>
          <w:rFonts w:ascii="Times New Roman" w:eastAsia="Arial" w:hAnsi="Times New Roman" w:cs="Times New Roman"/>
          <w:b/>
          <w:bCs/>
          <w:color w:val="000000"/>
        </w:rPr>
        <w:t xml:space="preserve">Keywords: </w:t>
      </w:r>
      <w:r w:rsidR="008F1199">
        <w:t xml:space="preserve">Iron deficiency anaemia; iron </w:t>
      </w:r>
      <w:proofErr w:type="spellStart"/>
      <w:r w:rsidR="008F1199">
        <w:t>bioaccessibility</w:t>
      </w:r>
      <w:proofErr w:type="spellEnd"/>
      <w:r w:rsidR="008F1199">
        <w:t xml:space="preserve">; dialysable iron; </w:t>
      </w:r>
      <w:r w:rsidR="008F1199">
        <w:rPr>
          <w:rStyle w:val="Emphasis"/>
        </w:rPr>
        <w:t>in vitro</w:t>
      </w:r>
      <w:r w:rsidR="008F1199">
        <w:t xml:space="preserve"> digestion; </w:t>
      </w:r>
      <w:proofErr w:type="spellStart"/>
      <w:r w:rsidR="008F1199">
        <w:rPr>
          <w:rStyle w:val="Emphasis"/>
        </w:rPr>
        <w:t>Emblica</w:t>
      </w:r>
      <w:proofErr w:type="spellEnd"/>
      <w:r w:rsidR="008F1199">
        <w:rPr>
          <w:rStyle w:val="Emphasis"/>
        </w:rPr>
        <w:t xml:space="preserve"> officinalis</w:t>
      </w:r>
      <w:r w:rsidR="008F1199">
        <w:t>; curd; rice-based foods; red amaranth; mineral solubilisation; food matrix</w:t>
      </w:r>
    </w:p>
    <w:p w14:paraId="49FC9C2A" w14:textId="77777777" w:rsidR="008F1199" w:rsidRDefault="008F1199" w:rsidP="007F5FA4">
      <w:pPr>
        <w:pBdr>
          <w:top w:val="nil"/>
          <w:left w:val="nil"/>
          <w:bottom w:val="nil"/>
          <w:right w:val="nil"/>
          <w:between w:val="nil"/>
        </w:pBdr>
        <w:spacing w:after="0" w:line="240" w:lineRule="auto"/>
        <w:jc w:val="both"/>
      </w:pPr>
    </w:p>
    <w:p w14:paraId="45138616" w14:textId="77777777" w:rsidR="008F1199" w:rsidRPr="00192E10" w:rsidRDefault="008F1199"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p>
    <w:p w14:paraId="44D218C0" w14:textId="77777777" w:rsidR="007F5FA4" w:rsidRPr="00192E10" w:rsidRDefault="007F5FA4" w:rsidP="007F5FA4">
      <w:pPr>
        <w:numPr>
          <w:ilvl w:val="3"/>
          <w:numId w:val="2"/>
        </w:num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192E10">
        <w:rPr>
          <w:rFonts w:ascii="Times New Roman" w:eastAsia="Arial" w:hAnsi="Times New Roman" w:cs="Times New Roman"/>
          <w:b/>
          <w:bCs/>
          <w:color w:val="000000"/>
        </w:rPr>
        <w:t>Introduction</w:t>
      </w:r>
    </w:p>
    <w:p w14:paraId="4B0C51F8" w14:textId="5AA54521"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192E10">
        <w:rPr>
          <w:rFonts w:ascii="Times New Roman" w:eastAsia="Arial" w:hAnsi="Times New Roman" w:cs="Times New Roman"/>
        </w:rPr>
        <w:t xml:space="preserve">Anaemia is a condition in which the number of red blood cells or the haemoglobin concentration within them is lower than normal. It affects nearly one-third of the global population, particularly young children, menstruating adolescent girls and women, and pregnant and postpartum women (Pasricha </w:t>
      </w:r>
      <w:r w:rsidRPr="00192E10">
        <w:rPr>
          <w:rFonts w:ascii="Times New Roman" w:eastAsia="Arial" w:hAnsi="Times New Roman" w:cs="Times New Roman"/>
          <w:i/>
        </w:rPr>
        <w:t>et al.</w:t>
      </w:r>
      <w:r w:rsidRPr="00192E10">
        <w:rPr>
          <w:rFonts w:ascii="Times New Roman" w:eastAsia="Arial" w:hAnsi="Times New Roman" w:cs="Times New Roman"/>
        </w:rPr>
        <w:t>, 2021). The World Health Organization (</w:t>
      </w:r>
      <w:r w:rsidR="00421268" w:rsidRPr="00421268">
        <w:rPr>
          <w:rFonts w:ascii="Times New Roman" w:eastAsia="Arial" w:hAnsi="Times New Roman" w:cs="Times New Roman"/>
        </w:rPr>
        <w:t>n.d.</w:t>
      </w:r>
      <w:r w:rsidRPr="00192E10">
        <w:rPr>
          <w:rFonts w:ascii="Times New Roman" w:eastAsia="Arial" w:hAnsi="Times New Roman" w:cs="Times New Roman"/>
        </w:rPr>
        <w:t>) estimates that 40% of children aged 6–59 months, 37% of pregnant women, and 30% of women of reproductive age worldwide are anaemic.</w:t>
      </w:r>
    </w:p>
    <w:p w14:paraId="32B1773A"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r w:rsidRPr="00192E10">
        <w:rPr>
          <w:rFonts w:ascii="Times New Roman" w:eastAsia="Arial" w:hAnsi="Times New Roman" w:cs="Times New Roman"/>
          <w:color w:val="000000"/>
        </w:rPr>
        <w:t xml:space="preserve">Iron deficiency is the leading cause of anaemia and is typically attributed to inadequate dietary intake, blood loss, or chronic inflammation. It is estimated to affect more than 2 billion people worldwide, with women and children being the most vulnerable (Turawa </w:t>
      </w:r>
      <w:r w:rsidRPr="00192E10">
        <w:rPr>
          <w:rFonts w:ascii="Times New Roman" w:eastAsia="Arial" w:hAnsi="Times New Roman" w:cs="Times New Roman"/>
          <w:i/>
          <w:color w:val="000000"/>
        </w:rPr>
        <w:t>et al.</w:t>
      </w:r>
      <w:r w:rsidRPr="00192E10">
        <w:rPr>
          <w:rFonts w:ascii="Times New Roman" w:eastAsia="Arial" w:hAnsi="Times New Roman" w:cs="Times New Roman"/>
          <w:color w:val="000000"/>
        </w:rPr>
        <w:t xml:space="preserve">, 2021). Because iron plays an indispensable role in numerous biochemical reactions, low iron stores can impair the function of multiple biological systems. Iron absorption is strongly influenced by diet, gastrointestinal conditions, and the presence of enhancers or inhibitors. Acidic conditions in the digestive tract favour iron solubilisation and the conversion of ferric iron (Fe³⁺) to the more </w:t>
      </w:r>
      <w:r w:rsidRPr="00192E10">
        <w:rPr>
          <w:rFonts w:ascii="Times New Roman" w:eastAsia="Arial" w:hAnsi="Times New Roman" w:cs="Times New Roman"/>
          <w:color w:val="000000"/>
        </w:rPr>
        <w:lastRenderedPageBreak/>
        <w:t xml:space="preserve">absorbable ferrous form (Fe²⁺); several studies have demonstrated that foods rich in organic acids or ascorbic acid can enhance iron bioavailability (Kaur </w:t>
      </w:r>
      <w:r w:rsidRPr="00192E10">
        <w:rPr>
          <w:rFonts w:ascii="Times New Roman" w:eastAsia="Arial" w:hAnsi="Times New Roman" w:cs="Times New Roman"/>
          <w:i/>
          <w:color w:val="000000"/>
        </w:rPr>
        <w:t>et al.</w:t>
      </w:r>
      <w:r w:rsidRPr="00192E10">
        <w:rPr>
          <w:rFonts w:ascii="Times New Roman" w:eastAsia="Arial" w:hAnsi="Times New Roman" w:cs="Times New Roman"/>
          <w:color w:val="000000"/>
        </w:rPr>
        <w:t>, 2022).</w:t>
      </w:r>
    </w:p>
    <w:p w14:paraId="5D37C7A2"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192E10">
        <w:rPr>
          <w:rFonts w:ascii="Times New Roman" w:eastAsia="Arial" w:hAnsi="Times New Roman" w:cs="Times New Roman"/>
          <w:color w:val="000000"/>
        </w:rPr>
        <w:t xml:space="preserve">Oral iron supplementation is a common strategy for treating iron deficiency anaemia (IDA), but its effectiveness is often limited by poor absorption and gastrointestinal side effects (Bloor </w:t>
      </w:r>
      <w:r w:rsidRPr="00192E10">
        <w:rPr>
          <w:rFonts w:ascii="Times New Roman" w:eastAsia="Arial" w:hAnsi="Times New Roman" w:cs="Times New Roman"/>
          <w:i/>
          <w:color w:val="000000"/>
        </w:rPr>
        <w:t>et al.</w:t>
      </w:r>
      <w:r w:rsidRPr="00192E10">
        <w:rPr>
          <w:rFonts w:ascii="Times New Roman" w:eastAsia="Arial" w:hAnsi="Times New Roman" w:cs="Times New Roman"/>
          <w:color w:val="000000"/>
        </w:rPr>
        <w:t xml:space="preserve">, 2021; Kumar &amp; Brookes, 2020). Antinutritional factors such as phytic acid, tannins, and phenolic compounds in foods can chelate divalent mineral ions, thereby reducing the fraction of minerals that remains soluble and absorbable under gastrointestinal conditions (Varshanath </w:t>
      </w:r>
      <w:r w:rsidRPr="00192E10">
        <w:rPr>
          <w:rFonts w:ascii="Times New Roman" w:eastAsia="Arial" w:hAnsi="Times New Roman" w:cs="Times New Roman"/>
          <w:i/>
          <w:color w:val="000000"/>
        </w:rPr>
        <w:t>et al.</w:t>
      </w:r>
      <w:r w:rsidRPr="00192E10">
        <w:rPr>
          <w:rFonts w:ascii="Times New Roman" w:eastAsia="Arial" w:hAnsi="Times New Roman" w:cs="Times New Roman"/>
          <w:color w:val="000000"/>
        </w:rPr>
        <w:t xml:space="preserve">, 2026). Therefore, methods for improving iron bioavailability from foods are important. Certain dietary enhancers, such as ascorbic acid, citric acid, and amino acids naturally present in fruits, facilitate iron absorption (Zhang </w:t>
      </w:r>
      <w:r w:rsidRPr="00192E10">
        <w:rPr>
          <w:rFonts w:ascii="Times New Roman" w:eastAsia="Arial" w:hAnsi="Times New Roman" w:cs="Times New Roman"/>
          <w:i/>
          <w:color w:val="000000"/>
        </w:rPr>
        <w:t>et al.</w:t>
      </w:r>
      <w:r w:rsidRPr="00192E10">
        <w:rPr>
          <w:rFonts w:ascii="Times New Roman" w:eastAsia="Arial" w:hAnsi="Times New Roman" w:cs="Times New Roman"/>
          <w:color w:val="000000"/>
        </w:rPr>
        <w:t xml:space="preserve">, 2021). Likewise, gut bacteria may contribute by producing metabolites that enhance mineral solubility, while fermentation is a well-recognised mechanism for improving iron absorption (Hoppe </w:t>
      </w:r>
      <w:r w:rsidRPr="00192E10">
        <w:rPr>
          <w:rFonts w:ascii="Times New Roman" w:eastAsia="Arial" w:hAnsi="Times New Roman" w:cs="Times New Roman"/>
          <w:i/>
          <w:color w:val="000000"/>
        </w:rPr>
        <w:t>et al.</w:t>
      </w:r>
      <w:r w:rsidRPr="00192E10">
        <w:rPr>
          <w:rFonts w:ascii="Times New Roman" w:eastAsia="Arial" w:hAnsi="Times New Roman" w:cs="Times New Roman"/>
          <w:color w:val="000000"/>
        </w:rPr>
        <w:t xml:space="preserve">, 2015; Vonderheid </w:t>
      </w:r>
      <w:r w:rsidRPr="00192E10">
        <w:rPr>
          <w:rFonts w:ascii="Times New Roman" w:eastAsia="Arial" w:hAnsi="Times New Roman" w:cs="Times New Roman"/>
          <w:i/>
          <w:color w:val="000000"/>
        </w:rPr>
        <w:t>et al.</w:t>
      </w:r>
      <w:r w:rsidRPr="00192E10">
        <w:rPr>
          <w:rFonts w:ascii="Times New Roman" w:eastAsia="Arial" w:hAnsi="Times New Roman" w:cs="Times New Roman"/>
          <w:color w:val="000000"/>
        </w:rPr>
        <w:t>, 2019).</w:t>
      </w:r>
    </w:p>
    <w:p w14:paraId="3FF26A58" w14:textId="5559DE1A"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222222"/>
        </w:rPr>
      </w:pPr>
      <w:r w:rsidRPr="00192E10">
        <w:rPr>
          <w:rFonts w:ascii="Times New Roman" w:eastAsia="Arial" w:hAnsi="Times New Roman" w:cs="Times New Roman"/>
        </w:rPr>
        <w:t xml:space="preserve">Previous reports have highlighted the potential of </w:t>
      </w:r>
      <w:r w:rsidRPr="00192E10">
        <w:rPr>
          <w:rFonts w:ascii="Times New Roman" w:eastAsia="Arial" w:hAnsi="Times New Roman" w:cs="Times New Roman"/>
          <w:i/>
        </w:rPr>
        <w:t>Emblica officinalis</w:t>
      </w:r>
      <w:r w:rsidRPr="00192E10">
        <w:rPr>
          <w:rFonts w:ascii="Times New Roman" w:eastAsia="Arial" w:hAnsi="Times New Roman" w:cs="Times New Roman"/>
        </w:rPr>
        <w:t xml:space="preserve"> to enhance iron absorption. For example, Vamsee Veena </w:t>
      </w:r>
      <w:r w:rsidRPr="00192E10">
        <w:rPr>
          <w:rFonts w:ascii="Times New Roman" w:eastAsia="Arial" w:hAnsi="Times New Roman" w:cs="Times New Roman"/>
          <w:i/>
        </w:rPr>
        <w:t>et al.</w:t>
      </w:r>
      <w:r w:rsidRPr="00192E10">
        <w:rPr>
          <w:rFonts w:ascii="Times New Roman" w:eastAsia="Arial" w:hAnsi="Times New Roman" w:cs="Times New Roman"/>
        </w:rPr>
        <w:t xml:space="preserve"> (2015) reported that </w:t>
      </w:r>
      <w:r w:rsidRPr="00192E10">
        <w:rPr>
          <w:rFonts w:ascii="Times New Roman" w:eastAsia="Arial" w:hAnsi="Times New Roman" w:cs="Times New Roman"/>
          <w:i/>
        </w:rPr>
        <w:t>Azadirachta indica</w:t>
      </w:r>
      <w:r w:rsidRPr="00192E10">
        <w:rPr>
          <w:rFonts w:ascii="Times New Roman" w:eastAsia="Arial" w:hAnsi="Times New Roman" w:cs="Times New Roman"/>
        </w:rPr>
        <w:t xml:space="preserve"> (neem leaf), when combined with </w:t>
      </w:r>
      <w:r w:rsidRPr="00192E10">
        <w:rPr>
          <w:rFonts w:ascii="Times New Roman" w:eastAsia="Arial" w:hAnsi="Times New Roman" w:cs="Times New Roman"/>
          <w:i/>
        </w:rPr>
        <w:t>Emblica officinalis</w:t>
      </w:r>
      <w:r w:rsidRPr="00192E10">
        <w:rPr>
          <w:rFonts w:ascii="Times New Roman" w:eastAsia="Arial" w:hAnsi="Times New Roman" w:cs="Times New Roman"/>
        </w:rPr>
        <w:t xml:space="preserve">, had an antianaemic effect in rats with phenylhydrazine-induced anaemia. Akter </w:t>
      </w:r>
      <w:r w:rsidRPr="00192E10">
        <w:rPr>
          <w:rFonts w:ascii="Times New Roman" w:eastAsia="Arial" w:hAnsi="Times New Roman" w:cs="Times New Roman"/>
          <w:i/>
        </w:rPr>
        <w:t>et al.</w:t>
      </w:r>
      <w:r w:rsidRPr="00192E10">
        <w:rPr>
          <w:rFonts w:ascii="Times New Roman" w:eastAsia="Arial" w:hAnsi="Times New Roman" w:cs="Times New Roman"/>
        </w:rPr>
        <w:t xml:space="preserve"> (2020) found that an oral amloki capsule administered with an iron supplement increased iron content in pregnant women. Periyasamy (2020) reported an increase in the total iron content of </w:t>
      </w:r>
      <w:r w:rsidRPr="00192E10">
        <w:rPr>
          <w:rFonts w:ascii="Times New Roman" w:eastAsia="Arial" w:hAnsi="Times New Roman" w:cs="Times New Roman"/>
          <w:i/>
        </w:rPr>
        <w:t>Solanum anguivi L.</w:t>
      </w:r>
      <w:r w:rsidRPr="00192E10">
        <w:rPr>
          <w:rFonts w:ascii="Times New Roman" w:eastAsia="Arial" w:hAnsi="Times New Roman" w:cs="Times New Roman"/>
        </w:rPr>
        <w:t xml:space="preserve"> juice, as measured by atomic absorption spectrophotometry, following the addition of 75% vitamin C from </w:t>
      </w:r>
      <w:r w:rsidRPr="00192E10">
        <w:rPr>
          <w:rFonts w:ascii="Times New Roman" w:eastAsia="Arial" w:hAnsi="Times New Roman" w:cs="Times New Roman"/>
          <w:i/>
        </w:rPr>
        <w:t>Emblica officinalis</w:t>
      </w:r>
      <w:r w:rsidRPr="00192E10">
        <w:rPr>
          <w:rFonts w:ascii="Times New Roman" w:eastAsia="Arial" w:hAnsi="Times New Roman" w:cs="Times New Roman"/>
        </w:rPr>
        <w:t xml:space="preserve">. </w:t>
      </w:r>
      <w:r w:rsidR="00421268" w:rsidRPr="00421268">
        <w:rPr>
          <w:rFonts w:ascii="Times New Roman" w:eastAsia="Arial" w:hAnsi="Times New Roman" w:cs="Times New Roman"/>
        </w:rPr>
        <w:t>Akter</w:t>
      </w:r>
      <w:r w:rsidRPr="00192E10">
        <w:rPr>
          <w:rFonts w:ascii="Times New Roman" w:eastAsia="Arial" w:hAnsi="Times New Roman" w:cs="Times New Roman"/>
        </w:rPr>
        <w:t xml:space="preserve"> </w:t>
      </w:r>
      <w:r w:rsidRPr="00192E10">
        <w:rPr>
          <w:rFonts w:ascii="Times New Roman" w:eastAsia="Arial" w:hAnsi="Times New Roman" w:cs="Times New Roman"/>
          <w:i/>
        </w:rPr>
        <w:t>et al.</w:t>
      </w:r>
      <w:r w:rsidRPr="00192E10">
        <w:rPr>
          <w:rFonts w:ascii="Times New Roman" w:eastAsia="Arial" w:hAnsi="Times New Roman" w:cs="Times New Roman"/>
        </w:rPr>
        <w:t xml:space="preserve"> (20</w:t>
      </w:r>
      <w:r w:rsidR="00421268">
        <w:rPr>
          <w:rFonts w:ascii="Times New Roman" w:eastAsia="Arial" w:hAnsi="Times New Roman" w:cs="Times New Roman"/>
        </w:rPr>
        <w:t>20</w:t>
      </w:r>
      <w:r w:rsidRPr="00192E10">
        <w:rPr>
          <w:rFonts w:ascii="Times New Roman" w:eastAsia="Arial" w:hAnsi="Times New Roman" w:cs="Times New Roman"/>
        </w:rPr>
        <w:t>) also reported significant improvement following the administration of drumstick leaf powder and aonla powder for the treatment of anaemia and hyperlipidaemia.</w:t>
      </w:r>
    </w:p>
    <w:p w14:paraId="23FCEF8E" w14:textId="671F02B0"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bCs/>
          <w:color w:val="222222"/>
        </w:rPr>
      </w:pPr>
      <w:r w:rsidRPr="00192E10">
        <w:rPr>
          <w:rFonts w:ascii="Times New Roman" w:eastAsia="Arial" w:hAnsi="Times New Roman" w:cs="Times New Roman"/>
          <w:color w:val="222222"/>
        </w:rPr>
        <w:t xml:space="preserve">Lactobacilli are thought to increase dietary iron bioavailability through several mechanisms, including lowering gut pH (Jiang </w:t>
      </w:r>
      <w:r w:rsidRPr="00192E10">
        <w:rPr>
          <w:rFonts w:ascii="Times New Roman" w:eastAsia="Arial" w:hAnsi="Times New Roman" w:cs="Times New Roman"/>
          <w:i/>
          <w:color w:val="222222"/>
        </w:rPr>
        <w:t>et al.</w:t>
      </w:r>
      <w:r w:rsidRPr="00192E10">
        <w:rPr>
          <w:rFonts w:ascii="Times New Roman" w:eastAsia="Arial" w:hAnsi="Times New Roman" w:cs="Times New Roman"/>
          <w:color w:val="222222"/>
        </w:rPr>
        <w:t xml:space="preserve">, 2026), altering gut microbial metabolism and metabolite formation (Hoppe </w:t>
      </w:r>
      <w:r w:rsidRPr="00192E10">
        <w:rPr>
          <w:rFonts w:ascii="Times New Roman" w:eastAsia="Arial" w:hAnsi="Times New Roman" w:cs="Times New Roman"/>
          <w:i/>
          <w:color w:val="222222"/>
        </w:rPr>
        <w:t>et al.</w:t>
      </w:r>
      <w:r w:rsidRPr="00192E10">
        <w:rPr>
          <w:rFonts w:ascii="Times New Roman" w:eastAsia="Arial" w:hAnsi="Times New Roman" w:cs="Times New Roman"/>
          <w:color w:val="222222"/>
        </w:rPr>
        <w:t xml:space="preserve">, 2017), and enhancing anti-inflammatory immunomodulation. Several studies have investigated the role of probiotics in improving iron uptake. For instance, </w:t>
      </w:r>
      <w:r w:rsidRPr="00192E10">
        <w:rPr>
          <w:rFonts w:ascii="Times New Roman" w:eastAsia="Arial" w:hAnsi="Times New Roman" w:cs="Times New Roman"/>
          <w:i/>
          <w:color w:val="222222"/>
        </w:rPr>
        <w:t>Limosilactobacillus fermentum</w:t>
      </w:r>
      <w:r w:rsidRPr="00192E10">
        <w:rPr>
          <w:rFonts w:ascii="Times New Roman" w:eastAsia="Arial" w:hAnsi="Times New Roman" w:cs="Times New Roman"/>
          <w:color w:val="222222"/>
        </w:rPr>
        <w:t xml:space="preserve"> has been shown to enter enterocytes and deliver iron oxide nanoparticles, thereby improving iron status (Garces </w:t>
      </w:r>
      <w:r w:rsidRPr="00192E10">
        <w:rPr>
          <w:rFonts w:ascii="Times New Roman" w:eastAsia="Arial" w:hAnsi="Times New Roman" w:cs="Times New Roman"/>
          <w:i/>
          <w:color w:val="222222"/>
        </w:rPr>
        <w:t>et al.</w:t>
      </w:r>
      <w:r w:rsidRPr="00192E10">
        <w:rPr>
          <w:rFonts w:ascii="Times New Roman" w:eastAsia="Arial" w:hAnsi="Times New Roman" w:cs="Times New Roman"/>
          <w:color w:val="222222"/>
        </w:rPr>
        <w:t xml:space="preserve">, 2018). Similarly, </w:t>
      </w:r>
      <w:r w:rsidRPr="00192E10">
        <w:rPr>
          <w:rFonts w:ascii="Times New Roman" w:eastAsia="Arial" w:hAnsi="Times New Roman" w:cs="Times New Roman"/>
          <w:i/>
          <w:color w:val="222222"/>
        </w:rPr>
        <w:t>Lactobacillus acidophilus</w:t>
      </w:r>
      <w:r w:rsidRPr="00192E10">
        <w:rPr>
          <w:rFonts w:ascii="Times New Roman" w:eastAsia="Arial" w:hAnsi="Times New Roman" w:cs="Times New Roman"/>
          <w:color w:val="222222"/>
        </w:rPr>
        <w:t xml:space="preserve"> supplementation increased ferritin levels in intestinal cells (Khodaii </w:t>
      </w:r>
      <w:r w:rsidRPr="00192E10">
        <w:rPr>
          <w:rFonts w:ascii="Times New Roman" w:eastAsia="Arial" w:hAnsi="Times New Roman" w:cs="Times New Roman"/>
          <w:i/>
          <w:color w:val="222222"/>
        </w:rPr>
        <w:t>et al.</w:t>
      </w:r>
      <w:r w:rsidRPr="00192E10">
        <w:rPr>
          <w:rFonts w:ascii="Times New Roman" w:eastAsia="Arial" w:hAnsi="Times New Roman" w:cs="Times New Roman"/>
          <w:color w:val="222222"/>
        </w:rPr>
        <w:t xml:space="preserve">, 2019), whereas </w:t>
      </w:r>
      <w:r w:rsidRPr="00192E10">
        <w:rPr>
          <w:rFonts w:ascii="Times New Roman" w:eastAsia="Arial" w:hAnsi="Times New Roman" w:cs="Times New Roman"/>
          <w:i/>
          <w:color w:val="222222"/>
        </w:rPr>
        <w:t>Lactobacillus rhamnosus</w:t>
      </w:r>
      <w:r w:rsidRPr="00192E10">
        <w:rPr>
          <w:rFonts w:ascii="Times New Roman" w:eastAsia="Arial" w:hAnsi="Times New Roman" w:cs="Times New Roman"/>
          <w:color w:val="222222"/>
        </w:rPr>
        <w:t xml:space="preserve"> enhanced the haematological response and reduced gastrointestinal side effects in children undergoing iron therapy (</w:t>
      </w:r>
      <w:r w:rsidR="00421268" w:rsidRPr="00421268">
        <w:rPr>
          <w:rFonts w:ascii="Times New Roman" w:eastAsia="Arial" w:hAnsi="Times New Roman" w:cs="Times New Roman"/>
          <w:color w:val="222222"/>
        </w:rPr>
        <w:t>Hu</w:t>
      </w:r>
      <w:r w:rsidRPr="00192E10">
        <w:rPr>
          <w:rFonts w:ascii="Times New Roman" w:eastAsia="Arial" w:hAnsi="Times New Roman" w:cs="Times New Roman"/>
          <w:color w:val="222222"/>
        </w:rPr>
        <w:t xml:space="preserve"> </w:t>
      </w:r>
      <w:r w:rsidRPr="00192E10">
        <w:rPr>
          <w:rFonts w:ascii="Times New Roman" w:eastAsia="Arial" w:hAnsi="Times New Roman" w:cs="Times New Roman"/>
          <w:i/>
          <w:color w:val="222222"/>
        </w:rPr>
        <w:t>et al.</w:t>
      </w:r>
      <w:r w:rsidRPr="00192E10">
        <w:rPr>
          <w:rFonts w:ascii="Times New Roman" w:eastAsia="Arial" w:hAnsi="Times New Roman" w:cs="Times New Roman"/>
          <w:color w:val="222222"/>
        </w:rPr>
        <w:t>, 202</w:t>
      </w:r>
      <w:r w:rsidR="00421268">
        <w:rPr>
          <w:rFonts w:ascii="Times New Roman" w:eastAsia="Arial" w:hAnsi="Times New Roman" w:cs="Times New Roman"/>
          <w:color w:val="222222"/>
        </w:rPr>
        <w:t>4</w:t>
      </w:r>
      <w:r w:rsidRPr="00192E10">
        <w:rPr>
          <w:rFonts w:ascii="Times New Roman" w:eastAsia="Arial" w:hAnsi="Times New Roman" w:cs="Times New Roman"/>
          <w:color w:val="222222"/>
        </w:rPr>
        <w:t xml:space="preserve">). Gandhi </w:t>
      </w:r>
      <w:r w:rsidRPr="00192E10">
        <w:rPr>
          <w:rFonts w:ascii="Times New Roman" w:eastAsia="Arial" w:hAnsi="Times New Roman" w:cs="Times New Roman"/>
          <w:i/>
          <w:color w:val="222222"/>
        </w:rPr>
        <w:t>et al.</w:t>
      </w:r>
      <w:r w:rsidRPr="00192E10">
        <w:rPr>
          <w:rFonts w:ascii="Times New Roman" w:eastAsia="Arial" w:hAnsi="Times New Roman" w:cs="Times New Roman"/>
          <w:color w:val="222222"/>
        </w:rPr>
        <w:t xml:space="preserve"> (2022) found that the in vitro bioaccessibility of iron from curd incorporated with a spray-dried iron–whey protein concentrate (Fe–WPC) conjugate was significantly higher under simulated gastrointestinal conditions (p &lt; 0.05). Analyses of plant-derived food products further demonstrate that total iron content alone may not represent potential availability because phytate-rich matrices can substantially restrict mineral accessibility (Mayer Labba </w:t>
      </w:r>
      <w:r w:rsidRPr="00192E10">
        <w:rPr>
          <w:rFonts w:ascii="Times New Roman" w:eastAsia="Arial" w:hAnsi="Times New Roman" w:cs="Times New Roman"/>
          <w:i/>
          <w:color w:val="222222"/>
        </w:rPr>
        <w:t>et al.</w:t>
      </w:r>
      <w:r w:rsidRPr="00192E10">
        <w:rPr>
          <w:rFonts w:ascii="Times New Roman" w:eastAsia="Arial" w:hAnsi="Times New Roman" w:cs="Times New Roman"/>
          <w:color w:val="222222"/>
        </w:rPr>
        <w:t xml:space="preserve">, 2022). Characterisation of fermented dairy products and traditional Indian fermented foods has also identified diverse lactic acid bacterial communities and food-specific functional profiles, underscoring the need to evaluate fermented ingredients within the specific meal matrix in which they are consumed (Shangpliang &amp; Tamang, 2023; Tamang </w:t>
      </w:r>
      <w:r w:rsidRPr="00192E10">
        <w:rPr>
          <w:rFonts w:ascii="Times New Roman" w:eastAsia="Arial" w:hAnsi="Times New Roman" w:cs="Times New Roman"/>
          <w:i/>
          <w:color w:val="222222"/>
        </w:rPr>
        <w:t>et al.</w:t>
      </w:r>
      <w:r w:rsidRPr="00192E10">
        <w:rPr>
          <w:rFonts w:ascii="Times New Roman" w:eastAsia="Arial" w:hAnsi="Times New Roman" w:cs="Times New Roman"/>
          <w:color w:val="222222"/>
        </w:rPr>
        <w:t xml:space="preserve">, 2024). Nevertheless, evidence comparing the effects of </w:t>
      </w:r>
      <w:r w:rsidRPr="00192E10">
        <w:rPr>
          <w:rFonts w:ascii="Times New Roman" w:eastAsia="Arial" w:hAnsi="Times New Roman" w:cs="Times New Roman"/>
          <w:i/>
          <w:color w:val="222222"/>
        </w:rPr>
        <w:t>Emblica officinalis</w:t>
      </w:r>
      <w:r w:rsidRPr="00192E10">
        <w:rPr>
          <w:rFonts w:ascii="Times New Roman" w:eastAsia="Arial" w:hAnsi="Times New Roman" w:cs="Times New Roman"/>
          <w:color w:val="222222"/>
        </w:rPr>
        <w:t xml:space="preserve"> juice, curd, and their combination on iron release from commonly consumed rice-based Indian meals under the same simulated digestion conditions remains limited. Therefore, the present study aimed to investigate the effects of fruit juice, probiotics, and their combination on iron bioaccessibility and the in vitro dialysable iron fraction in rice-based recipes using a simulated in vitro digestion model.</w:t>
      </w:r>
    </w:p>
    <w:p w14:paraId="397ED9C0"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192E10">
        <w:rPr>
          <w:rFonts w:ascii="Times New Roman" w:eastAsia="Arial" w:hAnsi="Times New Roman" w:cs="Times New Roman"/>
          <w:b/>
          <w:bCs/>
        </w:rPr>
        <w:t>2</w:t>
      </w:r>
      <w:r w:rsidRPr="00192E10">
        <w:rPr>
          <w:rFonts w:ascii="Times New Roman" w:eastAsia="Arial" w:hAnsi="Times New Roman" w:cs="Times New Roman"/>
        </w:rPr>
        <w:t xml:space="preserve">. </w:t>
      </w:r>
      <w:r w:rsidRPr="00192E10">
        <w:rPr>
          <w:rFonts w:ascii="Times New Roman" w:eastAsia="Arial" w:hAnsi="Times New Roman" w:cs="Times New Roman"/>
          <w:b/>
          <w:bCs/>
          <w:color w:val="000000"/>
        </w:rPr>
        <w:t>Materials and methods</w:t>
      </w:r>
    </w:p>
    <w:p w14:paraId="5274794F"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rPr>
      </w:pPr>
      <w:r w:rsidRPr="00192E10">
        <w:rPr>
          <w:rFonts w:ascii="Times New Roman" w:eastAsia="Arial" w:hAnsi="Times New Roman" w:cs="Times New Roman"/>
          <w:b/>
          <w:bCs/>
        </w:rPr>
        <w:t>2.1. Chemicals and Reagents</w:t>
      </w:r>
    </w:p>
    <w:p w14:paraId="595EAE61"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lastRenderedPageBreak/>
        <w:t>The enzyme solutions used in the study included pepsin, pancreatin, α-amylase, and bile salts. Buffer and salt solutions, including sodium chloride (NaCl), sodium bicarbonate (NaHCO₃), and PIPES for filling the dialysis membrane, were prepared as required. Concentrated and diluted hydrochloric acid (HCl) and sodium hydroxide (NaOH) were used to adjust the pH. Dialysis membranes (14 kDa MWCO; HiMedia, India) were used to simulate intestinal absorption and collect the dialysable fractions. Distilled water was used throughout the study. The chemicals used for iron estimation were Ferrozine reagent, hydroxylamine hydrochloride (NH₂OH·HCl), and an iron standard (FeSO₄·7H₂O), all purchased from HiMedia (Mumbai, India).</w:t>
      </w:r>
    </w:p>
    <w:p w14:paraId="2054A18C"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b/>
          <w:bCs/>
        </w:rPr>
        <w:t>2.2. Equipment</w:t>
      </w:r>
    </w:p>
    <w:p w14:paraId="69C63752" w14:textId="77777777" w:rsidR="007F5FA4" w:rsidRPr="00192E10" w:rsidRDefault="007F5FA4" w:rsidP="007F5FA4">
      <w:pPr>
        <w:spacing w:after="0" w:line="240" w:lineRule="auto"/>
        <w:jc w:val="both"/>
        <w:rPr>
          <w:rFonts w:ascii="Times New Roman" w:eastAsia="Arial" w:hAnsi="Times New Roman" w:cs="Times New Roman"/>
          <w:color w:val="FF0000"/>
        </w:rPr>
      </w:pPr>
      <w:r w:rsidRPr="00192E10">
        <w:rPr>
          <w:rFonts w:ascii="Times New Roman" w:eastAsia="Arial" w:hAnsi="Times New Roman" w:cs="Times New Roman"/>
        </w:rPr>
        <w:t>The equipment used in the study comprised a thermostatic shaking water bath (Remi, India; model RSB-12), a digital pH meter (Eutech Instruments, Singapore; model CyberScan pH 510), a refrigerated centrifuge (Remi, India; model C-24 Plus) capable of 13,800 × g, an analytical balance (Sartorius, Germany; model CPA225D), and a double-beam UV–visible spectrophotometer (Shimadzu, Japan; model UV-1800).</w:t>
      </w:r>
    </w:p>
    <w:p w14:paraId="74453F38"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192E10">
        <w:rPr>
          <w:rFonts w:ascii="Times New Roman" w:eastAsia="Arial" w:hAnsi="Times New Roman" w:cs="Times New Roman"/>
          <w:b/>
          <w:bCs/>
        </w:rPr>
        <w:t>2.3. S</w:t>
      </w:r>
      <w:r w:rsidRPr="00192E10">
        <w:rPr>
          <w:rFonts w:ascii="Times New Roman" w:eastAsia="Arial" w:hAnsi="Times New Roman" w:cs="Times New Roman"/>
          <w:b/>
          <w:bCs/>
          <w:color w:val="000000"/>
        </w:rPr>
        <w:t>election of Experimental Foods</w:t>
      </w:r>
    </w:p>
    <w:p w14:paraId="1F973FE8" w14:textId="77777777" w:rsidR="007F5FA4" w:rsidRPr="00192E10" w:rsidRDefault="007F5FA4" w:rsidP="007F5FA4">
      <w:pPr>
        <w:spacing w:after="0" w:line="240" w:lineRule="auto"/>
        <w:jc w:val="both"/>
        <w:rPr>
          <w:rFonts w:ascii="Times New Roman" w:eastAsia="Arial" w:hAnsi="Times New Roman" w:cs="Times New Roman"/>
          <w:b/>
          <w:bCs/>
        </w:rPr>
      </w:pPr>
      <w:r w:rsidRPr="00192E10">
        <w:rPr>
          <w:rFonts w:ascii="Times New Roman" w:eastAsia="Arial" w:hAnsi="Times New Roman" w:cs="Times New Roman"/>
        </w:rPr>
        <w:t>Based on the energy and iron contents of the selected ingredients, the proportions of rice and kulambu/chutney were chosen for the simulated in vitro process. A typical adult man weighing 65 kg requires approximately 2,100–3,500 kcal/day and 19 mg/day of iron, although energy requirements may vary with body weight and physical activity. The energy and iron values of the key ingredients (rice, amaranth, tamarind, curry leaves, and mint leaves) were calculated using the Indian Food Composition Tables (IFCT), and their contributions to daily requirements are summarised in Table 1. The ingredient proportions were fixed to ensure that the test portions were representative of realistic dietary intake and provided a meaningful fraction of the daily iron requirement for the in vitro dialysable iron fraction study. The selected recipes were then prepared on a household scale using 100 g of rice and 50 g of iron-rich chutney/kulambu, reflecting typical consumption patterns. The prepared foods were used directly for in vitro digestion, while additional treatments were prepared by incorporating fruit juice, curd, or both into the base recipes to examine their effects on iron solubility and release under simulated digestive conditions.</w:t>
      </w:r>
    </w:p>
    <w:p w14:paraId="087B64CD" w14:textId="77777777" w:rsidR="007F5FA4" w:rsidRPr="00192E10" w:rsidRDefault="007F5FA4" w:rsidP="007F5FA4">
      <w:pPr>
        <w:keepNext/>
        <w:pBdr>
          <w:top w:val="nil"/>
          <w:left w:val="nil"/>
          <w:bottom w:val="nil"/>
          <w:right w:val="nil"/>
          <w:between w:val="nil"/>
        </w:pBdr>
        <w:spacing w:after="0" w:line="240" w:lineRule="auto"/>
        <w:jc w:val="center"/>
        <w:rPr>
          <w:rFonts w:ascii="Times New Roman" w:eastAsia="Arial" w:hAnsi="Times New Roman" w:cs="Times New Roman"/>
          <w:b/>
          <w:bCs/>
        </w:rPr>
      </w:pPr>
      <w:r w:rsidRPr="00192E10">
        <w:rPr>
          <w:rFonts w:ascii="Times New Roman" w:eastAsia="Arial" w:hAnsi="Times New Roman" w:cs="Times New Roman"/>
          <w:b/>
          <w:bCs/>
        </w:rPr>
        <w:t>Table 1: Energy and iron contribution of individual ingredients in selected recipes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36"/>
        <w:gridCol w:w="2396"/>
        <w:gridCol w:w="2983"/>
      </w:tblGrid>
      <w:tr w:rsidR="007F5FA4" w:rsidRPr="00192E10" w14:paraId="0FFE3BFE" w14:textId="77777777" w:rsidTr="009202C2">
        <w:trPr>
          <w:jc w:val="center"/>
        </w:trPr>
        <w:tc>
          <w:tcPr>
            <w:tcW w:w="0" w:type="auto"/>
            <w:vAlign w:val="center"/>
          </w:tcPr>
          <w:p w14:paraId="00D6C4D3" w14:textId="77777777" w:rsidR="007F5FA4" w:rsidRPr="00192E10" w:rsidRDefault="007F5FA4" w:rsidP="009202C2">
            <w:pPr>
              <w:spacing w:line="240" w:lineRule="auto"/>
              <w:jc w:val="center"/>
              <w:rPr>
                <w:rFonts w:ascii="Times New Roman" w:eastAsia="Arial" w:hAnsi="Times New Roman" w:cs="Times New Roman"/>
                <w:b/>
                <w:bCs/>
              </w:rPr>
            </w:pPr>
            <w:r w:rsidRPr="00192E10">
              <w:rPr>
                <w:rFonts w:ascii="Times New Roman" w:eastAsia="Arial" w:hAnsi="Times New Roman" w:cs="Times New Roman"/>
                <w:b/>
                <w:bCs/>
              </w:rPr>
              <w:t>Ingredient</w:t>
            </w:r>
          </w:p>
        </w:tc>
        <w:tc>
          <w:tcPr>
            <w:tcW w:w="0" w:type="auto"/>
            <w:vAlign w:val="center"/>
          </w:tcPr>
          <w:p w14:paraId="4A49768B" w14:textId="77777777" w:rsidR="007F5FA4" w:rsidRPr="00192E10" w:rsidRDefault="007F5FA4" w:rsidP="009202C2">
            <w:pPr>
              <w:spacing w:line="240" w:lineRule="auto"/>
              <w:jc w:val="center"/>
              <w:rPr>
                <w:rFonts w:ascii="Times New Roman" w:eastAsia="Arial" w:hAnsi="Times New Roman" w:cs="Times New Roman"/>
                <w:b/>
                <w:bCs/>
              </w:rPr>
            </w:pPr>
            <w:r w:rsidRPr="00192E10">
              <w:rPr>
                <w:rFonts w:ascii="Times New Roman" w:eastAsia="Arial" w:hAnsi="Times New Roman" w:cs="Times New Roman"/>
                <w:b/>
                <w:bCs/>
              </w:rPr>
              <w:t>Total iron (mg/100 g)</w:t>
            </w:r>
          </w:p>
        </w:tc>
        <w:tc>
          <w:tcPr>
            <w:tcW w:w="0" w:type="auto"/>
            <w:vAlign w:val="center"/>
          </w:tcPr>
          <w:p w14:paraId="7F558C8F" w14:textId="77777777" w:rsidR="007F5FA4" w:rsidRPr="00192E10" w:rsidRDefault="007F5FA4" w:rsidP="009202C2">
            <w:pPr>
              <w:spacing w:line="240" w:lineRule="auto"/>
              <w:jc w:val="center"/>
              <w:rPr>
                <w:rFonts w:ascii="Times New Roman" w:eastAsia="Arial" w:hAnsi="Times New Roman" w:cs="Times New Roman"/>
                <w:b/>
                <w:bCs/>
              </w:rPr>
            </w:pPr>
            <w:r w:rsidRPr="00192E10">
              <w:rPr>
                <w:rFonts w:ascii="Times New Roman" w:eastAsia="Arial" w:hAnsi="Times New Roman" w:cs="Times New Roman"/>
                <w:b/>
                <w:bCs/>
              </w:rPr>
              <w:t>Calorific value (kcal/100 g)</w:t>
            </w:r>
          </w:p>
        </w:tc>
      </w:tr>
      <w:tr w:rsidR="007F5FA4" w:rsidRPr="00192E10" w14:paraId="20FE2935" w14:textId="77777777" w:rsidTr="009202C2">
        <w:trPr>
          <w:jc w:val="center"/>
        </w:trPr>
        <w:tc>
          <w:tcPr>
            <w:tcW w:w="0" w:type="auto"/>
          </w:tcPr>
          <w:p w14:paraId="2750446F"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Cooked rice</w:t>
            </w:r>
          </w:p>
        </w:tc>
        <w:tc>
          <w:tcPr>
            <w:tcW w:w="0" w:type="auto"/>
            <w:vAlign w:val="center"/>
          </w:tcPr>
          <w:p w14:paraId="4D5E22E7"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0.25</w:t>
            </w:r>
          </w:p>
        </w:tc>
        <w:tc>
          <w:tcPr>
            <w:tcW w:w="0" w:type="auto"/>
            <w:vAlign w:val="center"/>
          </w:tcPr>
          <w:p w14:paraId="2F6DC3D2"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147</w:t>
            </w:r>
          </w:p>
        </w:tc>
      </w:tr>
      <w:tr w:rsidR="007F5FA4" w:rsidRPr="00192E10" w14:paraId="25A10103" w14:textId="77777777" w:rsidTr="009202C2">
        <w:trPr>
          <w:jc w:val="center"/>
        </w:trPr>
        <w:tc>
          <w:tcPr>
            <w:tcW w:w="0" w:type="auto"/>
          </w:tcPr>
          <w:p w14:paraId="517F8888"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Amaranth leaves</w:t>
            </w:r>
          </w:p>
        </w:tc>
        <w:tc>
          <w:tcPr>
            <w:tcW w:w="0" w:type="auto"/>
            <w:vAlign w:val="center"/>
          </w:tcPr>
          <w:p w14:paraId="24A59EAD"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7.25</w:t>
            </w:r>
          </w:p>
        </w:tc>
        <w:tc>
          <w:tcPr>
            <w:tcW w:w="0" w:type="auto"/>
            <w:vAlign w:val="center"/>
          </w:tcPr>
          <w:p w14:paraId="00C52174"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140</w:t>
            </w:r>
          </w:p>
        </w:tc>
      </w:tr>
      <w:tr w:rsidR="007F5FA4" w:rsidRPr="00192E10" w14:paraId="23A4DE32" w14:textId="77777777" w:rsidTr="009202C2">
        <w:trPr>
          <w:jc w:val="center"/>
        </w:trPr>
        <w:tc>
          <w:tcPr>
            <w:tcW w:w="0" w:type="auto"/>
          </w:tcPr>
          <w:p w14:paraId="2CB08777"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Tamarind pulp</w:t>
            </w:r>
          </w:p>
        </w:tc>
        <w:tc>
          <w:tcPr>
            <w:tcW w:w="0" w:type="auto"/>
            <w:vAlign w:val="center"/>
          </w:tcPr>
          <w:p w14:paraId="0B49A821"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9.16</w:t>
            </w:r>
          </w:p>
        </w:tc>
        <w:tc>
          <w:tcPr>
            <w:tcW w:w="0" w:type="auto"/>
            <w:vAlign w:val="center"/>
          </w:tcPr>
          <w:p w14:paraId="23C3A530"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299</w:t>
            </w:r>
          </w:p>
        </w:tc>
      </w:tr>
      <w:tr w:rsidR="007F5FA4" w:rsidRPr="00192E10" w14:paraId="0AA50F0D" w14:textId="77777777" w:rsidTr="009202C2">
        <w:trPr>
          <w:jc w:val="center"/>
        </w:trPr>
        <w:tc>
          <w:tcPr>
            <w:tcW w:w="0" w:type="auto"/>
          </w:tcPr>
          <w:p w14:paraId="06ECE565"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Curry leaves</w:t>
            </w:r>
          </w:p>
        </w:tc>
        <w:tc>
          <w:tcPr>
            <w:tcW w:w="0" w:type="auto"/>
            <w:vAlign w:val="center"/>
          </w:tcPr>
          <w:p w14:paraId="4928F885"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8.67</w:t>
            </w:r>
          </w:p>
        </w:tc>
        <w:tc>
          <w:tcPr>
            <w:tcW w:w="0" w:type="auto"/>
            <w:vAlign w:val="center"/>
          </w:tcPr>
          <w:p w14:paraId="43D2D794"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266</w:t>
            </w:r>
          </w:p>
        </w:tc>
      </w:tr>
      <w:tr w:rsidR="007F5FA4" w:rsidRPr="00192E10" w14:paraId="28F658EF" w14:textId="77777777" w:rsidTr="009202C2">
        <w:trPr>
          <w:jc w:val="center"/>
        </w:trPr>
        <w:tc>
          <w:tcPr>
            <w:tcW w:w="0" w:type="auto"/>
          </w:tcPr>
          <w:p w14:paraId="793F27BB"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Mint leaves</w:t>
            </w:r>
          </w:p>
        </w:tc>
        <w:tc>
          <w:tcPr>
            <w:tcW w:w="0" w:type="auto"/>
            <w:vAlign w:val="center"/>
          </w:tcPr>
          <w:p w14:paraId="06E4321D"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8.56</w:t>
            </w:r>
          </w:p>
        </w:tc>
        <w:tc>
          <w:tcPr>
            <w:tcW w:w="0" w:type="auto"/>
            <w:vAlign w:val="center"/>
          </w:tcPr>
          <w:p w14:paraId="7B633BB4"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155</w:t>
            </w:r>
          </w:p>
        </w:tc>
      </w:tr>
    </w:tbl>
    <w:p w14:paraId="0DBE9C13" w14:textId="77777777" w:rsidR="00851C05" w:rsidRPr="00192E10" w:rsidRDefault="00851C05" w:rsidP="00851C05">
      <w:pPr>
        <w:pBdr>
          <w:top w:val="nil"/>
          <w:left w:val="nil"/>
          <w:bottom w:val="nil"/>
          <w:right w:val="nil"/>
          <w:between w:val="nil"/>
        </w:pBdr>
        <w:spacing w:after="0" w:line="240" w:lineRule="auto"/>
        <w:jc w:val="both"/>
        <w:rPr>
          <w:rFonts w:ascii="Times New Roman" w:eastAsia="Arial" w:hAnsi="Times New Roman" w:cs="Times New Roman"/>
          <w:b/>
          <w:bCs/>
        </w:rPr>
      </w:pPr>
      <w:r w:rsidRPr="00192E10">
        <w:rPr>
          <w:rFonts w:ascii="Times New Roman" w:eastAsia="Arial" w:hAnsi="Times New Roman" w:cs="Times New Roman"/>
          <w:b/>
          <w:bCs/>
        </w:rPr>
        <w:t>*</w:t>
      </w:r>
      <w:proofErr w:type="spellStart"/>
      <w:r w:rsidRPr="00192E10">
        <w:rPr>
          <w:rFonts w:ascii="Times New Roman" w:hAnsi="Times New Roman" w:cs="Times New Roman"/>
        </w:rPr>
        <w:t>Longvah</w:t>
      </w:r>
      <w:proofErr w:type="spellEnd"/>
      <w:r w:rsidRPr="00192E10">
        <w:rPr>
          <w:rFonts w:ascii="Times New Roman" w:eastAsia="Arial" w:hAnsi="Times New Roman" w:cs="Times New Roman"/>
          <w:b/>
          <w:bCs/>
        </w:rPr>
        <w:t xml:space="preserve"> </w:t>
      </w:r>
      <w:r w:rsidRPr="00192E10">
        <w:rPr>
          <w:rFonts w:ascii="Times New Roman" w:eastAsia="Arial" w:hAnsi="Times New Roman" w:cs="Times New Roman"/>
          <w:i/>
          <w:iCs/>
        </w:rPr>
        <w:t>et al.</w:t>
      </w:r>
      <w:r w:rsidRPr="00192E10">
        <w:rPr>
          <w:rFonts w:ascii="Times New Roman" w:eastAsia="Arial" w:hAnsi="Times New Roman" w:cs="Times New Roman"/>
        </w:rPr>
        <w:t xml:space="preserve"> (2017)</w:t>
      </w:r>
      <w:r w:rsidR="00A746C5" w:rsidRPr="00192E10">
        <w:rPr>
          <w:rFonts w:ascii="Times New Roman" w:eastAsia="Arial" w:hAnsi="Times New Roman" w:cs="Times New Roman"/>
        </w:rPr>
        <w:t xml:space="preserve"> as per the IFCT Book</w:t>
      </w:r>
    </w:p>
    <w:p w14:paraId="647630CF"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192E10">
        <w:rPr>
          <w:rFonts w:ascii="Times New Roman" w:eastAsia="Arial" w:hAnsi="Times New Roman" w:cs="Times New Roman"/>
          <w:b/>
          <w:bCs/>
        </w:rPr>
        <w:t>2.4. Standardization of Food Recipes</w:t>
      </w:r>
    </w:p>
    <w:p w14:paraId="253B5FF9"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The selected food recipes were standardised to ensure uniformity and reproducibility across all experimental trials. Each recipe was formulated to represent a typical meal pattern consisting of 100 g of cooked rice combined with 50 g of an iron-rich accompaniment (kulambu/chutney). The ingredient proportions were fixed according to their iron contributions, as calculated from the Indian Food Composition Tables, to ensure that each test meal provided a meaningful fraction of the daily iron requirement.</w:t>
      </w:r>
    </w:p>
    <w:p w14:paraId="71DDA713"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lastRenderedPageBreak/>
        <w:t>The ingredient composition of each recipe was kept constant, and all samples were prepared under standardised cooking conditions, including controlled time, temperature, and method. The prepared foods were homogenised to obtain a uniform consistency before analysis. A fixed quantity of each homogenised sample (Table 2) was used for the in vitro digestion process.</w:t>
      </w:r>
    </w:p>
    <w:p w14:paraId="5F5F7904"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For the experimental variations, predetermined quantities of fruit juice (50 mL), curd (50 mL), or their combination (100 mL) were incorporated into the standardised base recipes according to IFCT values to evaluate their effects on iron bioaccessibility under simulated gastrointestinal conditions.</w:t>
      </w:r>
    </w:p>
    <w:p w14:paraId="6CB264B1" w14:textId="77777777" w:rsidR="007F5FA4" w:rsidRPr="00192E10" w:rsidRDefault="007F5FA4" w:rsidP="007F5FA4">
      <w:pPr>
        <w:spacing w:after="0" w:line="240" w:lineRule="auto"/>
        <w:jc w:val="center"/>
        <w:rPr>
          <w:rFonts w:ascii="Times New Roman" w:eastAsia="Arial" w:hAnsi="Times New Roman" w:cs="Times New Roman"/>
          <w:b/>
          <w:bCs/>
        </w:rPr>
      </w:pPr>
      <w:r w:rsidRPr="00192E10">
        <w:rPr>
          <w:rFonts w:ascii="Times New Roman" w:eastAsia="Arial" w:hAnsi="Times New Roman" w:cs="Times New Roman"/>
          <w:b/>
          <w:bCs/>
        </w:rPr>
        <w:t>Table 2: Standardization of the recipes</w:t>
      </w:r>
    </w:p>
    <w:tbl>
      <w:tblPr>
        <w:tblStyle w:val="TableGrid"/>
        <w:tblW w:w="0" w:type="auto"/>
        <w:tblLook w:val="04A0" w:firstRow="1" w:lastRow="0" w:firstColumn="1" w:lastColumn="0" w:noHBand="0" w:noVBand="1"/>
      </w:tblPr>
      <w:tblGrid>
        <w:gridCol w:w="1283"/>
        <w:gridCol w:w="4375"/>
        <w:gridCol w:w="1154"/>
        <w:gridCol w:w="1291"/>
        <w:gridCol w:w="913"/>
      </w:tblGrid>
      <w:tr w:rsidR="007F5FA4" w:rsidRPr="00192E10" w14:paraId="06DDA2D4" w14:textId="77777777" w:rsidTr="009202C2">
        <w:tc>
          <w:tcPr>
            <w:tcW w:w="1129" w:type="dxa"/>
            <w:vAlign w:val="center"/>
            <w:hideMark/>
          </w:tcPr>
          <w:p w14:paraId="12CDDD21" w14:textId="77777777" w:rsidR="007F5FA4" w:rsidRPr="00192E10" w:rsidRDefault="007F5FA4" w:rsidP="009202C2">
            <w:pPr>
              <w:spacing w:line="240" w:lineRule="auto"/>
              <w:jc w:val="both"/>
              <w:rPr>
                <w:rFonts w:ascii="Times New Roman" w:eastAsia="Times New Roman" w:hAnsi="Times New Roman" w:cs="Times New Roman"/>
                <w:b/>
                <w:bCs/>
              </w:rPr>
            </w:pPr>
            <w:r w:rsidRPr="00192E10">
              <w:rPr>
                <w:rFonts w:ascii="Times New Roman" w:eastAsia="Times New Roman" w:hAnsi="Times New Roman" w:cs="Times New Roman"/>
                <w:b/>
                <w:bCs/>
              </w:rPr>
              <w:t>Recipe</w:t>
            </w:r>
          </w:p>
        </w:tc>
        <w:tc>
          <w:tcPr>
            <w:tcW w:w="4375" w:type="dxa"/>
            <w:vAlign w:val="center"/>
            <w:hideMark/>
          </w:tcPr>
          <w:p w14:paraId="7EA8F428" w14:textId="77777777" w:rsidR="007F5FA4" w:rsidRPr="00192E10" w:rsidRDefault="007F5FA4" w:rsidP="009202C2">
            <w:pPr>
              <w:spacing w:line="240" w:lineRule="auto"/>
              <w:jc w:val="both"/>
              <w:rPr>
                <w:rFonts w:ascii="Times New Roman" w:eastAsia="Times New Roman" w:hAnsi="Times New Roman" w:cs="Times New Roman"/>
                <w:b/>
                <w:bCs/>
              </w:rPr>
            </w:pPr>
            <w:r w:rsidRPr="00192E10">
              <w:rPr>
                <w:rFonts w:ascii="Times New Roman" w:eastAsia="Times New Roman" w:hAnsi="Times New Roman" w:cs="Times New Roman"/>
                <w:b/>
                <w:bCs/>
              </w:rPr>
              <w:t>Key Ingredients (Quantity in gram/ml)</w:t>
            </w:r>
          </w:p>
        </w:tc>
        <w:tc>
          <w:tcPr>
            <w:tcW w:w="0" w:type="auto"/>
            <w:vAlign w:val="center"/>
          </w:tcPr>
          <w:p w14:paraId="32AB9313" w14:textId="77777777" w:rsidR="007F5FA4" w:rsidRPr="00192E10" w:rsidRDefault="007F5FA4" w:rsidP="009202C2">
            <w:pPr>
              <w:spacing w:line="240" w:lineRule="auto"/>
              <w:jc w:val="both"/>
              <w:rPr>
                <w:rFonts w:ascii="Times New Roman" w:eastAsia="Times New Roman" w:hAnsi="Times New Roman" w:cs="Times New Roman"/>
                <w:b/>
                <w:bCs/>
              </w:rPr>
            </w:pPr>
            <w:r w:rsidRPr="00192E10">
              <w:rPr>
                <w:rFonts w:ascii="Times New Roman" w:eastAsia="Arial" w:hAnsi="Times New Roman" w:cs="Times New Roman"/>
                <w:b/>
                <w:bCs/>
              </w:rPr>
              <w:t>Total Weight (g) (Raw Food)</w:t>
            </w:r>
          </w:p>
        </w:tc>
        <w:tc>
          <w:tcPr>
            <w:tcW w:w="0" w:type="auto"/>
            <w:vAlign w:val="center"/>
          </w:tcPr>
          <w:p w14:paraId="7B361325" w14:textId="77777777" w:rsidR="007F5FA4" w:rsidRPr="00192E10" w:rsidRDefault="007F5FA4" w:rsidP="009202C2">
            <w:pPr>
              <w:spacing w:line="240" w:lineRule="auto"/>
              <w:jc w:val="both"/>
              <w:rPr>
                <w:rFonts w:ascii="Times New Roman" w:eastAsia="Times New Roman" w:hAnsi="Times New Roman" w:cs="Times New Roman"/>
                <w:b/>
                <w:bCs/>
              </w:rPr>
            </w:pPr>
            <w:r w:rsidRPr="00192E10">
              <w:rPr>
                <w:rFonts w:ascii="Times New Roman" w:eastAsia="Arial" w:hAnsi="Times New Roman" w:cs="Times New Roman"/>
                <w:b/>
                <w:bCs/>
              </w:rPr>
              <w:t>Total Weight (g) (Cooked Food)</w:t>
            </w:r>
          </w:p>
        </w:tc>
        <w:tc>
          <w:tcPr>
            <w:tcW w:w="0" w:type="auto"/>
            <w:vAlign w:val="center"/>
          </w:tcPr>
          <w:p w14:paraId="64896B13" w14:textId="77777777" w:rsidR="007F5FA4" w:rsidRPr="00192E10" w:rsidRDefault="007F5FA4" w:rsidP="009202C2">
            <w:pPr>
              <w:spacing w:line="240" w:lineRule="auto"/>
              <w:jc w:val="both"/>
              <w:rPr>
                <w:rFonts w:ascii="Times New Roman" w:eastAsia="Times New Roman" w:hAnsi="Times New Roman" w:cs="Times New Roman"/>
                <w:b/>
                <w:bCs/>
              </w:rPr>
            </w:pPr>
            <w:r w:rsidRPr="00192E10">
              <w:rPr>
                <w:rFonts w:ascii="Times New Roman" w:eastAsia="Arial" w:hAnsi="Times New Roman" w:cs="Times New Roman"/>
                <w:b/>
                <w:bCs/>
              </w:rPr>
              <w:t>Total Iron (mg)*</w:t>
            </w:r>
          </w:p>
        </w:tc>
      </w:tr>
      <w:tr w:rsidR="007F5FA4" w:rsidRPr="00192E10" w14:paraId="0DA4811D" w14:textId="77777777" w:rsidTr="009202C2">
        <w:tc>
          <w:tcPr>
            <w:tcW w:w="1129" w:type="dxa"/>
            <w:vAlign w:val="center"/>
            <w:hideMark/>
          </w:tcPr>
          <w:p w14:paraId="7FBC5A35" w14:textId="77777777" w:rsidR="007F5FA4" w:rsidRPr="00192E10" w:rsidRDefault="007F5FA4" w:rsidP="009202C2">
            <w:pPr>
              <w:spacing w:line="240" w:lineRule="auto"/>
              <w:jc w:val="both"/>
              <w:rPr>
                <w:rFonts w:ascii="Times New Roman" w:eastAsia="Times New Roman" w:hAnsi="Times New Roman" w:cs="Times New Roman"/>
              </w:rPr>
            </w:pPr>
            <w:r w:rsidRPr="00192E10">
              <w:rPr>
                <w:rFonts w:ascii="Times New Roman" w:eastAsia="Times New Roman" w:hAnsi="Times New Roman" w:cs="Times New Roman"/>
                <w:b/>
                <w:bCs/>
              </w:rPr>
              <w:t>Curry Leaves Chutney</w:t>
            </w:r>
          </w:p>
        </w:tc>
        <w:tc>
          <w:tcPr>
            <w:tcW w:w="4375" w:type="dxa"/>
            <w:vAlign w:val="center"/>
            <w:hideMark/>
          </w:tcPr>
          <w:p w14:paraId="77DD901F" w14:textId="77777777" w:rsidR="007F5FA4" w:rsidRPr="00192E10" w:rsidRDefault="007F5FA4" w:rsidP="009202C2">
            <w:pPr>
              <w:spacing w:line="240" w:lineRule="auto"/>
              <w:jc w:val="both"/>
              <w:rPr>
                <w:rFonts w:ascii="Times New Roman" w:eastAsia="Times New Roman" w:hAnsi="Times New Roman" w:cs="Times New Roman"/>
              </w:rPr>
            </w:pPr>
            <w:r w:rsidRPr="00192E10">
              <w:rPr>
                <w:rFonts w:ascii="Times New Roman" w:eastAsia="Times New Roman" w:hAnsi="Times New Roman" w:cs="Times New Roman"/>
              </w:rPr>
              <w:t>Curry leaves (50), tomato (20), Bengal gram split (5), onion (15), dry red chilli (3), urad dal (5), tamarind (3), garlic (5), mustard (0.5), rice (100), amla juice (50), curd (50)</w:t>
            </w:r>
          </w:p>
        </w:tc>
        <w:tc>
          <w:tcPr>
            <w:tcW w:w="0" w:type="auto"/>
            <w:vAlign w:val="center"/>
          </w:tcPr>
          <w:p w14:paraId="09EEF29F" w14:textId="77777777" w:rsidR="007F5FA4" w:rsidRPr="00192E10" w:rsidRDefault="007F5FA4" w:rsidP="009202C2">
            <w:pPr>
              <w:spacing w:line="240" w:lineRule="auto"/>
              <w:jc w:val="center"/>
              <w:rPr>
                <w:rFonts w:ascii="Times New Roman" w:eastAsia="Times New Roman" w:hAnsi="Times New Roman" w:cs="Times New Roman"/>
              </w:rPr>
            </w:pPr>
            <w:r w:rsidRPr="00192E10">
              <w:rPr>
                <w:rFonts w:ascii="Times New Roman" w:eastAsia="Arial" w:hAnsi="Times New Roman" w:cs="Times New Roman"/>
              </w:rPr>
              <w:t>306.5</w:t>
            </w:r>
          </w:p>
        </w:tc>
        <w:tc>
          <w:tcPr>
            <w:tcW w:w="0" w:type="auto"/>
            <w:vAlign w:val="center"/>
          </w:tcPr>
          <w:p w14:paraId="2EDE6CE5" w14:textId="77777777" w:rsidR="007F5FA4" w:rsidRPr="00192E10" w:rsidRDefault="007F5FA4" w:rsidP="009202C2">
            <w:pPr>
              <w:spacing w:line="240" w:lineRule="auto"/>
              <w:jc w:val="center"/>
              <w:rPr>
                <w:rFonts w:ascii="Times New Roman" w:eastAsia="Times New Roman" w:hAnsi="Times New Roman" w:cs="Times New Roman"/>
              </w:rPr>
            </w:pPr>
            <w:r w:rsidRPr="00192E10">
              <w:rPr>
                <w:rFonts w:ascii="Times New Roman" w:eastAsia="Arial" w:hAnsi="Times New Roman" w:cs="Times New Roman"/>
              </w:rPr>
              <w:t>337</w:t>
            </w:r>
          </w:p>
        </w:tc>
        <w:tc>
          <w:tcPr>
            <w:tcW w:w="0" w:type="auto"/>
            <w:vAlign w:val="center"/>
          </w:tcPr>
          <w:p w14:paraId="26044A56" w14:textId="77777777" w:rsidR="007F5FA4" w:rsidRPr="00192E10" w:rsidRDefault="007F5FA4" w:rsidP="009202C2">
            <w:pPr>
              <w:spacing w:line="240" w:lineRule="auto"/>
              <w:jc w:val="center"/>
              <w:rPr>
                <w:rFonts w:ascii="Times New Roman" w:eastAsia="Times New Roman" w:hAnsi="Times New Roman" w:cs="Times New Roman"/>
              </w:rPr>
            </w:pPr>
            <w:r w:rsidRPr="00192E10">
              <w:rPr>
                <w:rFonts w:ascii="Times New Roman" w:eastAsia="Arial" w:hAnsi="Times New Roman" w:cs="Times New Roman"/>
              </w:rPr>
              <w:t>8.387</w:t>
            </w:r>
          </w:p>
        </w:tc>
      </w:tr>
      <w:tr w:rsidR="007F5FA4" w:rsidRPr="00192E10" w14:paraId="56F0B3B7" w14:textId="77777777" w:rsidTr="009202C2">
        <w:tc>
          <w:tcPr>
            <w:tcW w:w="1129" w:type="dxa"/>
            <w:vAlign w:val="center"/>
            <w:hideMark/>
          </w:tcPr>
          <w:p w14:paraId="7AF9EE07" w14:textId="77777777" w:rsidR="007F5FA4" w:rsidRPr="00192E10" w:rsidRDefault="007F5FA4" w:rsidP="009202C2">
            <w:pPr>
              <w:spacing w:line="240" w:lineRule="auto"/>
              <w:jc w:val="both"/>
              <w:rPr>
                <w:rFonts w:ascii="Times New Roman" w:eastAsia="Times New Roman" w:hAnsi="Times New Roman" w:cs="Times New Roman"/>
              </w:rPr>
            </w:pPr>
            <w:r w:rsidRPr="00192E10">
              <w:rPr>
                <w:rFonts w:ascii="Times New Roman" w:eastAsia="Times New Roman" w:hAnsi="Times New Roman" w:cs="Times New Roman"/>
                <w:b/>
                <w:bCs/>
              </w:rPr>
              <w:t>Mint Leaves Chutney</w:t>
            </w:r>
          </w:p>
        </w:tc>
        <w:tc>
          <w:tcPr>
            <w:tcW w:w="4375" w:type="dxa"/>
            <w:vAlign w:val="center"/>
            <w:hideMark/>
          </w:tcPr>
          <w:p w14:paraId="612D8118" w14:textId="77777777" w:rsidR="007F5FA4" w:rsidRPr="00192E10" w:rsidRDefault="007F5FA4" w:rsidP="009202C2">
            <w:pPr>
              <w:spacing w:line="240" w:lineRule="auto"/>
              <w:jc w:val="both"/>
              <w:rPr>
                <w:rFonts w:ascii="Times New Roman" w:eastAsia="Times New Roman" w:hAnsi="Times New Roman" w:cs="Times New Roman"/>
              </w:rPr>
            </w:pPr>
            <w:r w:rsidRPr="00192E10">
              <w:rPr>
                <w:rFonts w:ascii="Times New Roman" w:eastAsia="Times New Roman" w:hAnsi="Times New Roman" w:cs="Times New Roman"/>
              </w:rPr>
              <w:t>Mint leaves (50), tomato (20), Bengal gram split (5), onion (15), dry red chilli (3), urad dal (5), tamarind (3), garlic (5), mustard (0.5), rice (100), amla juice (50), curd (50)</w:t>
            </w:r>
          </w:p>
        </w:tc>
        <w:tc>
          <w:tcPr>
            <w:tcW w:w="0" w:type="auto"/>
            <w:vAlign w:val="center"/>
          </w:tcPr>
          <w:p w14:paraId="29BE6DFB" w14:textId="77777777" w:rsidR="007F5FA4" w:rsidRPr="00192E10" w:rsidRDefault="007F5FA4" w:rsidP="009202C2">
            <w:pPr>
              <w:spacing w:line="240" w:lineRule="auto"/>
              <w:jc w:val="center"/>
              <w:rPr>
                <w:rFonts w:ascii="Times New Roman" w:eastAsia="Times New Roman" w:hAnsi="Times New Roman" w:cs="Times New Roman"/>
              </w:rPr>
            </w:pPr>
            <w:r w:rsidRPr="00192E10">
              <w:rPr>
                <w:rFonts w:ascii="Times New Roman" w:eastAsia="Arial" w:hAnsi="Times New Roman" w:cs="Times New Roman"/>
              </w:rPr>
              <w:t>306.5</w:t>
            </w:r>
          </w:p>
        </w:tc>
        <w:tc>
          <w:tcPr>
            <w:tcW w:w="0" w:type="auto"/>
            <w:vAlign w:val="center"/>
          </w:tcPr>
          <w:p w14:paraId="098DFE1E" w14:textId="77777777" w:rsidR="007F5FA4" w:rsidRPr="00192E10" w:rsidRDefault="007F5FA4" w:rsidP="009202C2">
            <w:pPr>
              <w:spacing w:line="240" w:lineRule="auto"/>
              <w:jc w:val="center"/>
              <w:rPr>
                <w:rFonts w:ascii="Times New Roman" w:eastAsia="Times New Roman" w:hAnsi="Times New Roman" w:cs="Times New Roman"/>
              </w:rPr>
            </w:pPr>
            <w:r w:rsidRPr="00192E10">
              <w:rPr>
                <w:rFonts w:ascii="Times New Roman" w:eastAsia="Arial" w:hAnsi="Times New Roman" w:cs="Times New Roman"/>
              </w:rPr>
              <w:t>337</w:t>
            </w:r>
          </w:p>
        </w:tc>
        <w:tc>
          <w:tcPr>
            <w:tcW w:w="0" w:type="auto"/>
            <w:vAlign w:val="center"/>
          </w:tcPr>
          <w:p w14:paraId="275A86C3" w14:textId="77777777" w:rsidR="007F5FA4" w:rsidRPr="00192E10" w:rsidRDefault="007F5FA4" w:rsidP="009202C2">
            <w:pPr>
              <w:spacing w:line="240" w:lineRule="auto"/>
              <w:jc w:val="center"/>
              <w:rPr>
                <w:rFonts w:ascii="Times New Roman" w:eastAsia="Times New Roman" w:hAnsi="Times New Roman" w:cs="Times New Roman"/>
              </w:rPr>
            </w:pPr>
            <w:r w:rsidRPr="00192E10">
              <w:rPr>
                <w:rFonts w:ascii="Times New Roman" w:eastAsia="Arial" w:hAnsi="Times New Roman" w:cs="Times New Roman"/>
              </w:rPr>
              <w:t>8.337</w:t>
            </w:r>
          </w:p>
        </w:tc>
      </w:tr>
      <w:tr w:rsidR="007F5FA4" w:rsidRPr="00192E10" w14:paraId="4989C868" w14:textId="77777777" w:rsidTr="009202C2">
        <w:tc>
          <w:tcPr>
            <w:tcW w:w="1129" w:type="dxa"/>
            <w:vAlign w:val="center"/>
            <w:hideMark/>
          </w:tcPr>
          <w:p w14:paraId="6B2B5B41" w14:textId="77777777" w:rsidR="007F5FA4" w:rsidRPr="00192E10" w:rsidRDefault="007F5FA4" w:rsidP="009202C2">
            <w:pPr>
              <w:spacing w:line="240" w:lineRule="auto"/>
              <w:jc w:val="both"/>
              <w:rPr>
                <w:rFonts w:ascii="Times New Roman" w:eastAsia="Times New Roman" w:hAnsi="Times New Roman" w:cs="Times New Roman"/>
              </w:rPr>
            </w:pPr>
            <w:r w:rsidRPr="00192E10">
              <w:rPr>
                <w:rFonts w:ascii="Times New Roman" w:eastAsia="Times New Roman" w:hAnsi="Times New Roman" w:cs="Times New Roman"/>
                <w:b/>
                <w:bCs/>
              </w:rPr>
              <w:t>Tamarind Rasam</w:t>
            </w:r>
          </w:p>
        </w:tc>
        <w:tc>
          <w:tcPr>
            <w:tcW w:w="4375" w:type="dxa"/>
            <w:vAlign w:val="center"/>
            <w:hideMark/>
          </w:tcPr>
          <w:p w14:paraId="7958BC67" w14:textId="77777777" w:rsidR="007F5FA4" w:rsidRPr="00192E10" w:rsidRDefault="007F5FA4" w:rsidP="009202C2">
            <w:pPr>
              <w:spacing w:line="240" w:lineRule="auto"/>
              <w:jc w:val="both"/>
              <w:rPr>
                <w:rFonts w:ascii="Times New Roman" w:eastAsia="Times New Roman" w:hAnsi="Times New Roman" w:cs="Times New Roman"/>
              </w:rPr>
            </w:pPr>
            <w:r w:rsidRPr="00192E10">
              <w:rPr>
                <w:rFonts w:ascii="Times New Roman" w:eastAsia="Times New Roman" w:hAnsi="Times New Roman" w:cs="Times New Roman"/>
              </w:rPr>
              <w:t>Tamarind pulp (12), tomato (10), mustard (0.5), garlic (5), cumin seeds (0.5), curry leaves (0.5), dry red chilli (3), coriander leaves (1), onion (3), rice (100), amla juice (50), curd (50)</w:t>
            </w:r>
          </w:p>
        </w:tc>
        <w:tc>
          <w:tcPr>
            <w:tcW w:w="0" w:type="auto"/>
            <w:vAlign w:val="center"/>
          </w:tcPr>
          <w:p w14:paraId="5C40BBEB" w14:textId="77777777" w:rsidR="007F5FA4" w:rsidRPr="00192E10" w:rsidRDefault="007F5FA4" w:rsidP="009202C2">
            <w:pPr>
              <w:spacing w:line="240" w:lineRule="auto"/>
              <w:jc w:val="center"/>
              <w:rPr>
                <w:rFonts w:ascii="Times New Roman" w:eastAsia="Times New Roman" w:hAnsi="Times New Roman" w:cs="Times New Roman"/>
              </w:rPr>
            </w:pPr>
            <w:r w:rsidRPr="00192E10">
              <w:rPr>
                <w:rFonts w:ascii="Times New Roman" w:eastAsia="Arial" w:hAnsi="Times New Roman" w:cs="Times New Roman"/>
              </w:rPr>
              <w:t>236</w:t>
            </w:r>
          </w:p>
        </w:tc>
        <w:tc>
          <w:tcPr>
            <w:tcW w:w="0" w:type="auto"/>
            <w:vAlign w:val="center"/>
          </w:tcPr>
          <w:p w14:paraId="3A7613FE" w14:textId="77777777" w:rsidR="007F5FA4" w:rsidRPr="00192E10" w:rsidRDefault="007F5FA4" w:rsidP="009202C2">
            <w:pPr>
              <w:spacing w:line="240" w:lineRule="auto"/>
              <w:jc w:val="center"/>
              <w:rPr>
                <w:rFonts w:ascii="Times New Roman" w:eastAsia="Times New Roman" w:hAnsi="Times New Roman" w:cs="Times New Roman"/>
              </w:rPr>
            </w:pPr>
            <w:r w:rsidRPr="00192E10">
              <w:rPr>
                <w:rFonts w:ascii="Times New Roman" w:eastAsia="Arial" w:hAnsi="Times New Roman" w:cs="Times New Roman"/>
              </w:rPr>
              <w:t>330</w:t>
            </w:r>
          </w:p>
        </w:tc>
        <w:tc>
          <w:tcPr>
            <w:tcW w:w="0" w:type="auto"/>
            <w:vAlign w:val="center"/>
          </w:tcPr>
          <w:p w14:paraId="5EE9C725" w14:textId="77777777" w:rsidR="007F5FA4" w:rsidRPr="00192E10" w:rsidRDefault="007F5FA4" w:rsidP="009202C2">
            <w:pPr>
              <w:spacing w:line="240" w:lineRule="auto"/>
              <w:jc w:val="center"/>
              <w:rPr>
                <w:rFonts w:ascii="Times New Roman" w:eastAsia="Times New Roman" w:hAnsi="Times New Roman" w:cs="Times New Roman"/>
              </w:rPr>
            </w:pPr>
            <w:r w:rsidRPr="00192E10">
              <w:rPr>
                <w:rFonts w:ascii="Times New Roman" w:eastAsia="Arial" w:hAnsi="Times New Roman" w:cs="Times New Roman"/>
              </w:rPr>
              <w:t>4.721</w:t>
            </w:r>
          </w:p>
        </w:tc>
      </w:tr>
      <w:tr w:rsidR="007F5FA4" w:rsidRPr="00192E10" w14:paraId="7F017102" w14:textId="77777777" w:rsidTr="009202C2">
        <w:tc>
          <w:tcPr>
            <w:tcW w:w="1129" w:type="dxa"/>
            <w:vAlign w:val="center"/>
            <w:hideMark/>
          </w:tcPr>
          <w:p w14:paraId="45DA222F" w14:textId="77777777" w:rsidR="007F5FA4" w:rsidRPr="00192E10" w:rsidRDefault="007F5FA4" w:rsidP="009202C2">
            <w:pPr>
              <w:spacing w:line="240" w:lineRule="auto"/>
              <w:jc w:val="both"/>
              <w:rPr>
                <w:rFonts w:ascii="Times New Roman" w:eastAsia="Times New Roman" w:hAnsi="Times New Roman" w:cs="Times New Roman"/>
              </w:rPr>
            </w:pPr>
            <w:r w:rsidRPr="00192E10">
              <w:rPr>
                <w:rFonts w:ascii="Times New Roman" w:eastAsia="Times New Roman" w:hAnsi="Times New Roman" w:cs="Times New Roman"/>
                <w:b/>
                <w:bCs/>
              </w:rPr>
              <w:t xml:space="preserve">Red Amaranth </w:t>
            </w:r>
            <w:proofErr w:type="spellStart"/>
            <w:r w:rsidRPr="00192E10">
              <w:rPr>
                <w:rFonts w:ascii="Times New Roman" w:eastAsia="Times New Roman" w:hAnsi="Times New Roman" w:cs="Times New Roman"/>
                <w:b/>
                <w:bCs/>
              </w:rPr>
              <w:t>Kadayal</w:t>
            </w:r>
            <w:proofErr w:type="spellEnd"/>
          </w:p>
        </w:tc>
        <w:tc>
          <w:tcPr>
            <w:tcW w:w="4375" w:type="dxa"/>
            <w:vAlign w:val="center"/>
            <w:hideMark/>
          </w:tcPr>
          <w:p w14:paraId="5C5E4E32" w14:textId="77777777" w:rsidR="007F5FA4" w:rsidRPr="00192E10" w:rsidRDefault="007F5FA4" w:rsidP="009202C2">
            <w:pPr>
              <w:spacing w:line="240" w:lineRule="auto"/>
              <w:jc w:val="both"/>
              <w:rPr>
                <w:rFonts w:ascii="Times New Roman" w:eastAsia="Times New Roman" w:hAnsi="Times New Roman" w:cs="Times New Roman"/>
              </w:rPr>
            </w:pPr>
            <w:r w:rsidRPr="00192E10">
              <w:rPr>
                <w:rFonts w:ascii="Times New Roman" w:eastAsia="Times New Roman" w:hAnsi="Times New Roman" w:cs="Times New Roman"/>
              </w:rPr>
              <w:t>Red amaranth leaves (60), onion (15), tomato (10), garlic (5), dry red chilli (3), Bengal gram split (5), mustard (0.5), tamarind (3), curry leaves (0.5), rice (100), urad dal (50), amla juice (50), curd (50)</w:t>
            </w:r>
          </w:p>
        </w:tc>
        <w:tc>
          <w:tcPr>
            <w:tcW w:w="0" w:type="auto"/>
            <w:vAlign w:val="center"/>
          </w:tcPr>
          <w:p w14:paraId="28EACE4D" w14:textId="77777777" w:rsidR="007F5FA4" w:rsidRPr="00192E10" w:rsidRDefault="007F5FA4" w:rsidP="009202C2">
            <w:pPr>
              <w:spacing w:line="240" w:lineRule="auto"/>
              <w:jc w:val="center"/>
              <w:rPr>
                <w:rFonts w:ascii="Times New Roman" w:eastAsia="Times New Roman" w:hAnsi="Times New Roman" w:cs="Times New Roman"/>
              </w:rPr>
            </w:pPr>
            <w:r w:rsidRPr="00192E10">
              <w:rPr>
                <w:rFonts w:ascii="Times New Roman" w:eastAsia="Arial" w:hAnsi="Times New Roman" w:cs="Times New Roman"/>
              </w:rPr>
              <w:t>352</w:t>
            </w:r>
          </w:p>
        </w:tc>
        <w:tc>
          <w:tcPr>
            <w:tcW w:w="0" w:type="auto"/>
            <w:vAlign w:val="center"/>
          </w:tcPr>
          <w:p w14:paraId="52F9164B" w14:textId="77777777" w:rsidR="007F5FA4" w:rsidRPr="00192E10" w:rsidRDefault="007F5FA4" w:rsidP="009202C2">
            <w:pPr>
              <w:spacing w:line="240" w:lineRule="auto"/>
              <w:jc w:val="center"/>
              <w:rPr>
                <w:rFonts w:ascii="Times New Roman" w:eastAsia="Times New Roman" w:hAnsi="Times New Roman" w:cs="Times New Roman"/>
              </w:rPr>
            </w:pPr>
            <w:r w:rsidRPr="00192E10">
              <w:rPr>
                <w:rFonts w:ascii="Times New Roman" w:eastAsia="Arial" w:hAnsi="Times New Roman" w:cs="Times New Roman"/>
              </w:rPr>
              <w:t>353</w:t>
            </w:r>
          </w:p>
        </w:tc>
        <w:tc>
          <w:tcPr>
            <w:tcW w:w="0" w:type="auto"/>
            <w:vAlign w:val="center"/>
          </w:tcPr>
          <w:p w14:paraId="38D92F89" w14:textId="77777777" w:rsidR="007F5FA4" w:rsidRPr="00192E10" w:rsidRDefault="007F5FA4" w:rsidP="009202C2">
            <w:pPr>
              <w:spacing w:line="240" w:lineRule="auto"/>
              <w:jc w:val="center"/>
              <w:rPr>
                <w:rFonts w:ascii="Times New Roman" w:eastAsia="Times New Roman" w:hAnsi="Times New Roman" w:cs="Times New Roman"/>
              </w:rPr>
            </w:pPr>
            <w:r w:rsidRPr="00192E10">
              <w:rPr>
                <w:rFonts w:ascii="Times New Roman" w:eastAsia="Arial" w:hAnsi="Times New Roman" w:cs="Times New Roman"/>
              </w:rPr>
              <w:t>8.417</w:t>
            </w:r>
          </w:p>
        </w:tc>
      </w:tr>
    </w:tbl>
    <w:p w14:paraId="75595C8C"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r w:rsidRPr="00192E10">
        <w:rPr>
          <w:rFonts w:ascii="Times New Roman" w:eastAsia="Arial" w:hAnsi="Times New Roman" w:cs="Times New Roman"/>
        </w:rPr>
        <w:t>*</w:t>
      </w:r>
      <w:r w:rsidR="00A746C5" w:rsidRPr="00192E10">
        <w:rPr>
          <w:rFonts w:ascii="Times New Roman" w:hAnsi="Times New Roman" w:cs="Times New Roman"/>
        </w:rPr>
        <w:t xml:space="preserve"> </w:t>
      </w:r>
      <w:proofErr w:type="spellStart"/>
      <w:r w:rsidR="00A746C5" w:rsidRPr="00192E10">
        <w:rPr>
          <w:rFonts w:ascii="Times New Roman" w:hAnsi="Times New Roman" w:cs="Times New Roman"/>
        </w:rPr>
        <w:t>Longvah</w:t>
      </w:r>
      <w:proofErr w:type="spellEnd"/>
      <w:r w:rsidR="00A746C5" w:rsidRPr="00192E10">
        <w:rPr>
          <w:rFonts w:ascii="Times New Roman" w:eastAsia="Arial" w:hAnsi="Times New Roman" w:cs="Times New Roman"/>
          <w:b/>
          <w:bCs/>
        </w:rPr>
        <w:t xml:space="preserve"> </w:t>
      </w:r>
      <w:r w:rsidR="00A746C5" w:rsidRPr="00192E10">
        <w:rPr>
          <w:rFonts w:ascii="Times New Roman" w:eastAsia="Arial" w:hAnsi="Times New Roman" w:cs="Times New Roman"/>
          <w:i/>
          <w:iCs/>
        </w:rPr>
        <w:t>et al.</w:t>
      </w:r>
      <w:r w:rsidR="00A746C5" w:rsidRPr="00192E10">
        <w:rPr>
          <w:rFonts w:ascii="Times New Roman" w:eastAsia="Arial" w:hAnsi="Times New Roman" w:cs="Times New Roman"/>
        </w:rPr>
        <w:t xml:space="preserve"> (2017) a</w:t>
      </w:r>
      <w:r w:rsidRPr="00192E10">
        <w:rPr>
          <w:rFonts w:ascii="Times New Roman" w:eastAsia="Arial" w:hAnsi="Times New Roman" w:cs="Times New Roman"/>
        </w:rPr>
        <w:t>s per the IFCT Book</w:t>
      </w:r>
    </w:p>
    <w:p w14:paraId="00406CC3"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192E10">
        <w:rPr>
          <w:rFonts w:ascii="Times New Roman" w:eastAsia="Arial" w:hAnsi="Times New Roman" w:cs="Times New Roman"/>
          <w:b/>
          <w:bCs/>
        </w:rPr>
        <w:t xml:space="preserve">2.6. </w:t>
      </w:r>
      <w:r w:rsidRPr="00192E10">
        <w:rPr>
          <w:rFonts w:ascii="Times New Roman" w:eastAsia="Arial" w:hAnsi="Times New Roman" w:cs="Times New Roman"/>
          <w:b/>
          <w:bCs/>
          <w:color w:val="000000"/>
        </w:rPr>
        <w:t xml:space="preserve">Experimental Treatments for In Vitro </w:t>
      </w:r>
      <w:r w:rsidR="00FA4A7F" w:rsidRPr="00192E10">
        <w:rPr>
          <w:rFonts w:ascii="Times New Roman" w:eastAsia="Arial" w:hAnsi="Times New Roman" w:cs="Times New Roman"/>
          <w:b/>
          <w:bCs/>
          <w:color w:val="000000"/>
        </w:rPr>
        <w:t xml:space="preserve">Iron </w:t>
      </w:r>
      <w:proofErr w:type="spellStart"/>
      <w:r w:rsidR="00FA4A7F" w:rsidRPr="00192E10">
        <w:rPr>
          <w:rFonts w:ascii="Times New Roman" w:eastAsia="Arial" w:hAnsi="Times New Roman" w:cs="Times New Roman"/>
          <w:b/>
          <w:bCs/>
          <w:color w:val="000000"/>
        </w:rPr>
        <w:t>Dialyzability</w:t>
      </w:r>
      <w:proofErr w:type="spellEnd"/>
      <w:r w:rsidR="00FA4A7F" w:rsidRPr="00192E10">
        <w:rPr>
          <w:rFonts w:ascii="Times New Roman" w:eastAsia="Arial" w:hAnsi="Times New Roman" w:cs="Times New Roman"/>
          <w:b/>
          <w:bCs/>
          <w:color w:val="000000"/>
        </w:rPr>
        <w:t xml:space="preserve"> and </w:t>
      </w:r>
      <w:proofErr w:type="spellStart"/>
      <w:r w:rsidR="00FA4A7F" w:rsidRPr="00192E10">
        <w:rPr>
          <w:rFonts w:ascii="Times New Roman" w:eastAsia="Arial" w:hAnsi="Times New Roman" w:cs="Times New Roman"/>
          <w:b/>
          <w:bCs/>
          <w:color w:val="000000"/>
        </w:rPr>
        <w:t>Bioaccessibility</w:t>
      </w:r>
      <w:proofErr w:type="spellEnd"/>
      <w:r w:rsidRPr="00192E10">
        <w:rPr>
          <w:rFonts w:ascii="Times New Roman" w:eastAsia="Arial" w:hAnsi="Times New Roman" w:cs="Times New Roman"/>
          <w:b/>
          <w:bCs/>
          <w:color w:val="000000"/>
        </w:rPr>
        <w:t xml:space="preserve"> Analysis</w:t>
      </w:r>
    </w:p>
    <w:p w14:paraId="429918BB"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The study included four base rice recipes: AKR (Amaranth Kadayal + Rice), RR (Rasam + Rice), CLR (Curry Leaves Chutney + Rice), and MCR (Mint Chutney + Rice), each weighing 100 g. To investigate the effects of fruit juice and curd on iron bioaccessibility and the dialysable iron fraction, each base recipe was prepared as a control (food only) and with the following additional treatments: fruit juice (FJ), curd (CU), and a combination of fruit juice and curd (FJ + CU).</w:t>
      </w:r>
    </w:p>
    <w:p w14:paraId="06569801"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Table 3 summarises the complete composition of all formulations used for in vitro digestion. In the combined treatment (FJ + CU), the addition was equivalent to 100% of the base recipe. Fruit juice and curd were added in quantities intended to reflect realistic consumption levels: 50 mL of fruit juice or 50 mL of curd per 100 g of base food.</w:t>
      </w:r>
    </w:p>
    <w:p w14:paraId="4312069A" w14:textId="77777777" w:rsidR="007F5FA4" w:rsidRPr="00192E10" w:rsidRDefault="007F5FA4" w:rsidP="007F5FA4">
      <w:pPr>
        <w:keepNext/>
        <w:pBdr>
          <w:top w:val="nil"/>
          <w:left w:val="nil"/>
          <w:bottom w:val="nil"/>
          <w:right w:val="nil"/>
          <w:between w:val="nil"/>
        </w:pBdr>
        <w:spacing w:after="0" w:line="240" w:lineRule="auto"/>
        <w:jc w:val="center"/>
        <w:rPr>
          <w:rFonts w:ascii="Times New Roman" w:eastAsia="Arial" w:hAnsi="Times New Roman" w:cs="Times New Roman"/>
          <w:b/>
          <w:bCs/>
          <w:i/>
          <w:iCs/>
        </w:rPr>
      </w:pPr>
      <w:r w:rsidRPr="00192E10">
        <w:rPr>
          <w:rFonts w:ascii="Times New Roman" w:eastAsia="Arial" w:hAnsi="Times New Roman" w:cs="Times New Roman"/>
          <w:b/>
          <w:bCs/>
        </w:rPr>
        <w:t>Table 3: Formulation of In Vitro Digestion</w:t>
      </w:r>
    </w:p>
    <w:tbl>
      <w:tblPr>
        <w:tblStyle w:val="TableGrid"/>
        <w:tblW w:w="9015" w:type="dxa"/>
        <w:tblLayout w:type="fixed"/>
        <w:tblLook w:val="0400" w:firstRow="0" w:lastRow="0" w:firstColumn="0" w:lastColumn="0" w:noHBand="0" w:noVBand="1"/>
      </w:tblPr>
      <w:tblGrid>
        <w:gridCol w:w="704"/>
        <w:gridCol w:w="2268"/>
        <w:gridCol w:w="1483"/>
        <w:gridCol w:w="1352"/>
        <w:gridCol w:w="1273"/>
        <w:gridCol w:w="1935"/>
      </w:tblGrid>
      <w:tr w:rsidR="007F5FA4" w:rsidRPr="00192E10" w14:paraId="4D3DAA94" w14:textId="77777777" w:rsidTr="009202C2">
        <w:trPr>
          <w:trHeight w:val="20"/>
        </w:trPr>
        <w:tc>
          <w:tcPr>
            <w:tcW w:w="704" w:type="dxa"/>
          </w:tcPr>
          <w:p w14:paraId="25940A2E"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eastAsia="Arial" w:hAnsi="Times New Roman" w:cs="Times New Roman"/>
                <w:b/>
                <w:bCs/>
              </w:rPr>
              <w:t>S. No.</w:t>
            </w:r>
          </w:p>
        </w:tc>
        <w:tc>
          <w:tcPr>
            <w:tcW w:w="2268" w:type="dxa"/>
          </w:tcPr>
          <w:p w14:paraId="3B573E15"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eastAsia="Arial" w:hAnsi="Times New Roman" w:cs="Times New Roman"/>
                <w:b/>
                <w:bCs/>
              </w:rPr>
              <w:t>Name of the Treatment Group</w:t>
            </w:r>
          </w:p>
        </w:tc>
        <w:tc>
          <w:tcPr>
            <w:tcW w:w="1483" w:type="dxa"/>
          </w:tcPr>
          <w:p w14:paraId="1CF58E63"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eastAsia="Arial" w:hAnsi="Times New Roman" w:cs="Times New Roman"/>
                <w:b/>
                <w:bCs/>
              </w:rPr>
              <w:t>Base Recipe (g)</w:t>
            </w:r>
          </w:p>
        </w:tc>
        <w:tc>
          <w:tcPr>
            <w:tcW w:w="1352" w:type="dxa"/>
          </w:tcPr>
          <w:p w14:paraId="13642EE1"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eastAsia="Arial" w:hAnsi="Times New Roman" w:cs="Times New Roman"/>
                <w:b/>
                <w:bCs/>
              </w:rPr>
              <w:t>Fruit Juice (ml)</w:t>
            </w:r>
          </w:p>
        </w:tc>
        <w:tc>
          <w:tcPr>
            <w:tcW w:w="1273" w:type="dxa"/>
          </w:tcPr>
          <w:p w14:paraId="05672916"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eastAsia="Arial" w:hAnsi="Times New Roman" w:cs="Times New Roman"/>
                <w:b/>
                <w:bCs/>
              </w:rPr>
              <w:t xml:space="preserve">Curd (ml) </w:t>
            </w:r>
          </w:p>
        </w:tc>
        <w:tc>
          <w:tcPr>
            <w:tcW w:w="1935" w:type="dxa"/>
          </w:tcPr>
          <w:p w14:paraId="619FDF12"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eastAsia="Arial" w:hAnsi="Times New Roman" w:cs="Times New Roman"/>
                <w:b/>
                <w:bCs/>
              </w:rPr>
              <w:t>Fruit Juice + Curd (%)</w:t>
            </w:r>
          </w:p>
        </w:tc>
      </w:tr>
      <w:tr w:rsidR="007F5FA4" w:rsidRPr="00192E10" w14:paraId="57F61273" w14:textId="77777777" w:rsidTr="009202C2">
        <w:trPr>
          <w:trHeight w:val="20"/>
        </w:trPr>
        <w:tc>
          <w:tcPr>
            <w:tcW w:w="704" w:type="dxa"/>
          </w:tcPr>
          <w:p w14:paraId="51C5BEF7"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2A3BE359"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CLR</w:t>
            </w:r>
          </w:p>
        </w:tc>
        <w:tc>
          <w:tcPr>
            <w:tcW w:w="1483" w:type="dxa"/>
            <w:vAlign w:val="center"/>
          </w:tcPr>
          <w:p w14:paraId="568D8A19"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0EF7C6D7"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273" w:type="dxa"/>
            <w:vAlign w:val="center"/>
          </w:tcPr>
          <w:p w14:paraId="5293CCD8"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935" w:type="dxa"/>
            <w:vAlign w:val="center"/>
          </w:tcPr>
          <w:p w14:paraId="0B2650CA"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r>
      <w:tr w:rsidR="007F5FA4" w:rsidRPr="00192E10" w14:paraId="2FB1419C" w14:textId="77777777" w:rsidTr="009202C2">
        <w:trPr>
          <w:trHeight w:val="20"/>
        </w:trPr>
        <w:tc>
          <w:tcPr>
            <w:tcW w:w="704" w:type="dxa"/>
          </w:tcPr>
          <w:p w14:paraId="162EA10B"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15E4DF9E"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CLR + FJ</w:t>
            </w:r>
          </w:p>
        </w:tc>
        <w:tc>
          <w:tcPr>
            <w:tcW w:w="1483" w:type="dxa"/>
            <w:vAlign w:val="center"/>
          </w:tcPr>
          <w:p w14:paraId="086361DB"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67ADBD89"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50</w:t>
            </w:r>
          </w:p>
        </w:tc>
        <w:tc>
          <w:tcPr>
            <w:tcW w:w="1273" w:type="dxa"/>
            <w:vAlign w:val="center"/>
          </w:tcPr>
          <w:p w14:paraId="0F4D2CB4"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935" w:type="dxa"/>
            <w:vAlign w:val="center"/>
          </w:tcPr>
          <w:p w14:paraId="1EB8B981"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r>
      <w:tr w:rsidR="007F5FA4" w:rsidRPr="00192E10" w14:paraId="46658F29" w14:textId="77777777" w:rsidTr="009202C2">
        <w:trPr>
          <w:trHeight w:val="20"/>
        </w:trPr>
        <w:tc>
          <w:tcPr>
            <w:tcW w:w="704" w:type="dxa"/>
          </w:tcPr>
          <w:p w14:paraId="3E2EDCE8"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26DD84F4"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CLR + CU</w:t>
            </w:r>
          </w:p>
        </w:tc>
        <w:tc>
          <w:tcPr>
            <w:tcW w:w="1483" w:type="dxa"/>
            <w:vAlign w:val="center"/>
          </w:tcPr>
          <w:p w14:paraId="1B4241DC"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57E557C2"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273" w:type="dxa"/>
            <w:vAlign w:val="center"/>
          </w:tcPr>
          <w:p w14:paraId="14648838"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50</w:t>
            </w:r>
          </w:p>
        </w:tc>
        <w:tc>
          <w:tcPr>
            <w:tcW w:w="1935" w:type="dxa"/>
            <w:vAlign w:val="center"/>
          </w:tcPr>
          <w:p w14:paraId="6FCA7E8B"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r>
      <w:tr w:rsidR="007F5FA4" w:rsidRPr="00192E10" w14:paraId="2FB988BD" w14:textId="77777777" w:rsidTr="009202C2">
        <w:trPr>
          <w:trHeight w:val="20"/>
        </w:trPr>
        <w:tc>
          <w:tcPr>
            <w:tcW w:w="704" w:type="dxa"/>
          </w:tcPr>
          <w:p w14:paraId="4131EAB1"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33055720"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CLR + FJ + CU</w:t>
            </w:r>
          </w:p>
        </w:tc>
        <w:tc>
          <w:tcPr>
            <w:tcW w:w="1483" w:type="dxa"/>
            <w:vAlign w:val="center"/>
          </w:tcPr>
          <w:p w14:paraId="6EEC43C2"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78F06135"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273" w:type="dxa"/>
            <w:vAlign w:val="center"/>
          </w:tcPr>
          <w:p w14:paraId="38CE38A6"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935" w:type="dxa"/>
            <w:vAlign w:val="center"/>
          </w:tcPr>
          <w:p w14:paraId="5A5FFEA9"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r>
      <w:tr w:rsidR="007F5FA4" w:rsidRPr="00192E10" w14:paraId="62955289" w14:textId="77777777" w:rsidTr="009202C2">
        <w:trPr>
          <w:trHeight w:val="20"/>
        </w:trPr>
        <w:tc>
          <w:tcPr>
            <w:tcW w:w="704" w:type="dxa"/>
          </w:tcPr>
          <w:p w14:paraId="7BBF9159"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7F38099A"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MCR</w:t>
            </w:r>
          </w:p>
        </w:tc>
        <w:tc>
          <w:tcPr>
            <w:tcW w:w="1483" w:type="dxa"/>
            <w:vAlign w:val="center"/>
          </w:tcPr>
          <w:p w14:paraId="23D545F8"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47E9F9A9"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273" w:type="dxa"/>
            <w:vAlign w:val="center"/>
          </w:tcPr>
          <w:p w14:paraId="761B9591"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935" w:type="dxa"/>
            <w:vAlign w:val="center"/>
          </w:tcPr>
          <w:p w14:paraId="1B45DF54"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r>
      <w:tr w:rsidR="007F5FA4" w:rsidRPr="00192E10" w14:paraId="6279DC8D" w14:textId="77777777" w:rsidTr="009202C2">
        <w:trPr>
          <w:trHeight w:val="20"/>
        </w:trPr>
        <w:tc>
          <w:tcPr>
            <w:tcW w:w="704" w:type="dxa"/>
          </w:tcPr>
          <w:p w14:paraId="158C3461"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3EC22237"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MCR + FJ</w:t>
            </w:r>
          </w:p>
        </w:tc>
        <w:tc>
          <w:tcPr>
            <w:tcW w:w="1483" w:type="dxa"/>
            <w:vAlign w:val="center"/>
          </w:tcPr>
          <w:p w14:paraId="38A75B91"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07709D60"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50</w:t>
            </w:r>
          </w:p>
        </w:tc>
        <w:tc>
          <w:tcPr>
            <w:tcW w:w="1273" w:type="dxa"/>
            <w:vAlign w:val="center"/>
          </w:tcPr>
          <w:p w14:paraId="06521B3C"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935" w:type="dxa"/>
            <w:vAlign w:val="center"/>
          </w:tcPr>
          <w:p w14:paraId="16EB787C"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r>
      <w:tr w:rsidR="007F5FA4" w:rsidRPr="00192E10" w14:paraId="3C4675AD" w14:textId="77777777" w:rsidTr="009202C2">
        <w:trPr>
          <w:trHeight w:val="20"/>
        </w:trPr>
        <w:tc>
          <w:tcPr>
            <w:tcW w:w="704" w:type="dxa"/>
          </w:tcPr>
          <w:p w14:paraId="780EED34"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6FAED7E1"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MCR + CU</w:t>
            </w:r>
          </w:p>
        </w:tc>
        <w:tc>
          <w:tcPr>
            <w:tcW w:w="1483" w:type="dxa"/>
            <w:vAlign w:val="center"/>
          </w:tcPr>
          <w:p w14:paraId="219CB379"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139DEF9E"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273" w:type="dxa"/>
            <w:vAlign w:val="center"/>
          </w:tcPr>
          <w:p w14:paraId="2CFE3EE4"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50</w:t>
            </w:r>
          </w:p>
        </w:tc>
        <w:tc>
          <w:tcPr>
            <w:tcW w:w="1935" w:type="dxa"/>
            <w:vAlign w:val="center"/>
          </w:tcPr>
          <w:p w14:paraId="30BF770A"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r>
      <w:tr w:rsidR="007F5FA4" w:rsidRPr="00192E10" w14:paraId="3C22C1AD" w14:textId="77777777" w:rsidTr="009202C2">
        <w:trPr>
          <w:trHeight w:val="20"/>
        </w:trPr>
        <w:tc>
          <w:tcPr>
            <w:tcW w:w="704" w:type="dxa"/>
          </w:tcPr>
          <w:p w14:paraId="761D4CC7"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5D1773D0"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MCR+ FJ + CU</w:t>
            </w:r>
          </w:p>
        </w:tc>
        <w:tc>
          <w:tcPr>
            <w:tcW w:w="1483" w:type="dxa"/>
            <w:vAlign w:val="center"/>
          </w:tcPr>
          <w:p w14:paraId="67C2E6C6"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3B1C2F91"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273" w:type="dxa"/>
            <w:vAlign w:val="center"/>
          </w:tcPr>
          <w:p w14:paraId="4359AE42"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935" w:type="dxa"/>
            <w:vAlign w:val="center"/>
          </w:tcPr>
          <w:p w14:paraId="627EF8FC"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r>
      <w:tr w:rsidR="007F5FA4" w:rsidRPr="00192E10" w14:paraId="214D62EB" w14:textId="77777777" w:rsidTr="009202C2">
        <w:trPr>
          <w:trHeight w:val="20"/>
        </w:trPr>
        <w:tc>
          <w:tcPr>
            <w:tcW w:w="704" w:type="dxa"/>
          </w:tcPr>
          <w:p w14:paraId="1C6CD36E"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15F7E4AD"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RR</w:t>
            </w:r>
          </w:p>
        </w:tc>
        <w:tc>
          <w:tcPr>
            <w:tcW w:w="1483" w:type="dxa"/>
            <w:vAlign w:val="center"/>
          </w:tcPr>
          <w:p w14:paraId="620C7FC9"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148F320A"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273" w:type="dxa"/>
            <w:vAlign w:val="center"/>
          </w:tcPr>
          <w:p w14:paraId="547F7250"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935" w:type="dxa"/>
            <w:vAlign w:val="center"/>
          </w:tcPr>
          <w:p w14:paraId="3851483F"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r>
      <w:tr w:rsidR="007F5FA4" w:rsidRPr="00192E10" w14:paraId="4666A07F" w14:textId="77777777" w:rsidTr="009202C2">
        <w:trPr>
          <w:trHeight w:val="20"/>
        </w:trPr>
        <w:tc>
          <w:tcPr>
            <w:tcW w:w="704" w:type="dxa"/>
          </w:tcPr>
          <w:p w14:paraId="30D89688"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0013ABFD"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RR + FJ</w:t>
            </w:r>
          </w:p>
        </w:tc>
        <w:tc>
          <w:tcPr>
            <w:tcW w:w="1483" w:type="dxa"/>
            <w:vAlign w:val="center"/>
          </w:tcPr>
          <w:p w14:paraId="0DB9AE74"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27664BB2"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50</w:t>
            </w:r>
          </w:p>
        </w:tc>
        <w:tc>
          <w:tcPr>
            <w:tcW w:w="1273" w:type="dxa"/>
            <w:vAlign w:val="center"/>
          </w:tcPr>
          <w:p w14:paraId="1A72AB99"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935" w:type="dxa"/>
            <w:vAlign w:val="center"/>
          </w:tcPr>
          <w:p w14:paraId="3C2DDC3B"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r>
      <w:tr w:rsidR="007F5FA4" w:rsidRPr="00192E10" w14:paraId="3F85B9D8" w14:textId="77777777" w:rsidTr="009202C2">
        <w:trPr>
          <w:trHeight w:val="20"/>
        </w:trPr>
        <w:tc>
          <w:tcPr>
            <w:tcW w:w="704" w:type="dxa"/>
          </w:tcPr>
          <w:p w14:paraId="6A27F28A"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19908023"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RR + CU</w:t>
            </w:r>
          </w:p>
        </w:tc>
        <w:tc>
          <w:tcPr>
            <w:tcW w:w="1483" w:type="dxa"/>
            <w:vAlign w:val="center"/>
          </w:tcPr>
          <w:p w14:paraId="579076AF"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5C260BB6"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273" w:type="dxa"/>
            <w:vAlign w:val="center"/>
          </w:tcPr>
          <w:p w14:paraId="3A9C33C9"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50</w:t>
            </w:r>
          </w:p>
        </w:tc>
        <w:tc>
          <w:tcPr>
            <w:tcW w:w="1935" w:type="dxa"/>
            <w:vAlign w:val="center"/>
          </w:tcPr>
          <w:p w14:paraId="157B8ABA"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r>
      <w:tr w:rsidR="007F5FA4" w:rsidRPr="00192E10" w14:paraId="08B1F679" w14:textId="77777777" w:rsidTr="009202C2">
        <w:trPr>
          <w:trHeight w:val="20"/>
        </w:trPr>
        <w:tc>
          <w:tcPr>
            <w:tcW w:w="704" w:type="dxa"/>
          </w:tcPr>
          <w:p w14:paraId="083756C2"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4E08084C"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RR + FJ + CU</w:t>
            </w:r>
          </w:p>
        </w:tc>
        <w:tc>
          <w:tcPr>
            <w:tcW w:w="1483" w:type="dxa"/>
            <w:vAlign w:val="center"/>
          </w:tcPr>
          <w:p w14:paraId="253331D0"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380AC91C"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273" w:type="dxa"/>
            <w:vAlign w:val="center"/>
          </w:tcPr>
          <w:p w14:paraId="10D21B21"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935" w:type="dxa"/>
            <w:vAlign w:val="center"/>
          </w:tcPr>
          <w:p w14:paraId="6767804D"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r>
      <w:tr w:rsidR="007F5FA4" w:rsidRPr="00192E10" w14:paraId="30143F53" w14:textId="77777777" w:rsidTr="009202C2">
        <w:trPr>
          <w:trHeight w:val="20"/>
        </w:trPr>
        <w:tc>
          <w:tcPr>
            <w:tcW w:w="704" w:type="dxa"/>
          </w:tcPr>
          <w:p w14:paraId="2E493409"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495DF9F6"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AKR</w:t>
            </w:r>
          </w:p>
        </w:tc>
        <w:tc>
          <w:tcPr>
            <w:tcW w:w="1483" w:type="dxa"/>
            <w:vAlign w:val="center"/>
          </w:tcPr>
          <w:p w14:paraId="354B3127"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20A97664"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273" w:type="dxa"/>
            <w:vAlign w:val="center"/>
          </w:tcPr>
          <w:p w14:paraId="202FB046"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935" w:type="dxa"/>
            <w:vAlign w:val="center"/>
          </w:tcPr>
          <w:p w14:paraId="608A2E04"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r>
      <w:tr w:rsidR="007F5FA4" w:rsidRPr="00192E10" w14:paraId="60D64D06" w14:textId="77777777" w:rsidTr="009202C2">
        <w:trPr>
          <w:trHeight w:val="20"/>
        </w:trPr>
        <w:tc>
          <w:tcPr>
            <w:tcW w:w="704" w:type="dxa"/>
          </w:tcPr>
          <w:p w14:paraId="13CE0DE6"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62F7F39D"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AKR + FJ</w:t>
            </w:r>
          </w:p>
        </w:tc>
        <w:tc>
          <w:tcPr>
            <w:tcW w:w="1483" w:type="dxa"/>
            <w:vAlign w:val="center"/>
          </w:tcPr>
          <w:p w14:paraId="5D49BDAD"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70FE8869"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50</w:t>
            </w:r>
          </w:p>
        </w:tc>
        <w:tc>
          <w:tcPr>
            <w:tcW w:w="1273" w:type="dxa"/>
            <w:vAlign w:val="center"/>
          </w:tcPr>
          <w:p w14:paraId="6FC419EE"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935" w:type="dxa"/>
            <w:vAlign w:val="center"/>
          </w:tcPr>
          <w:p w14:paraId="5123ADFB"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r>
      <w:tr w:rsidR="007F5FA4" w:rsidRPr="00192E10" w14:paraId="2CC952B8" w14:textId="77777777" w:rsidTr="009202C2">
        <w:trPr>
          <w:trHeight w:val="20"/>
        </w:trPr>
        <w:tc>
          <w:tcPr>
            <w:tcW w:w="704" w:type="dxa"/>
          </w:tcPr>
          <w:p w14:paraId="1855CD07"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2EA743F6"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AKR + CU</w:t>
            </w:r>
          </w:p>
        </w:tc>
        <w:tc>
          <w:tcPr>
            <w:tcW w:w="1483" w:type="dxa"/>
            <w:vAlign w:val="center"/>
          </w:tcPr>
          <w:p w14:paraId="61E6F39B"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741C66D5"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273" w:type="dxa"/>
            <w:vAlign w:val="center"/>
          </w:tcPr>
          <w:p w14:paraId="00A1FE4E"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50</w:t>
            </w:r>
          </w:p>
        </w:tc>
        <w:tc>
          <w:tcPr>
            <w:tcW w:w="1935" w:type="dxa"/>
            <w:vAlign w:val="center"/>
          </w:tcPr>
          <w:p w14:paraId="61A5B2CD"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r>
      <w:tr w:rsidR="007F5FA4" w:rsidRPr="00192E10" w14:paraId="52C49FAF" w14:textId="77777777" w:rsidTr="009202C2">
        <w:trPr>
          <w:trHeight w:val="20"/>
        </w:trPr>
        <w:tc>
          <w:tcPr>
            <w:tcW w:w="704" w:type="dxa"/>
          </w:tcPr>
          <w:p w14:paraId="42771F88" w14:textId="77777777" w:rsidR="007F5FA4" w:rsidRPr="00192E10" w:rsidRDefault="007F5FA4" w:rsidP="007F5FA4">
            <w:pPr>
              <w:numPr>
                <w:ilvl w:val="0"/>
                <w:numId w:val="3"/>
              </w:numPr>
              <w:spacing w:line="240" w:lineRule="auto"/>
              <w:jc w:val="both"/>
              <w:rPr>
                <w:rFonts w:ascii="Times New Roman" w:eastAsia="Arial" w:hAnsi="Times New Roman" w:cs="Times New Roman"/>
              </w:rPr>
            </w:pPr>
          </w:p>
        </w:tc>
        <w:tc>
          <w:tcPr>
            <w:tcW w:w="2268" w:type="dxa"/>
            <w:vAlign w:val="bottom"/>
          </w:tcPr>
          <w:p w14:paraId="6F017135"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AKR + FJ + CU</w:t>
            </w:r>
          </w:p>
        </w:tc>
        <w:tc>
          <w:tcPr>
            <w:tcW w:w="1483" w:type="dxa"/>
            <w:vAlign w:val="center"/>
          </w:tcPr>
          <w:p w14:paraId="2560DF10"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c>
          <w:tcPr>
            <w:tcW w:w="1352" w:type="dxa"/>
            <w:vAlign w:val="center"/>
          </w:tcPr>
          <w:p w14:paraId="105A365E"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273" w:type="dxa"/>
            <w:vAlign w:val="center"/>
          </w:tcPr>
          <w:p w14:paraId="6FE4678C"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0</w:t>
            </w:r>
          </w:p>
        </w:tc>
        <w:tc>
          <w:tcPr>
            <w:tcW w:w="1935" w:type="dxa"/>
            <w:vAlign w:val="center"/>
          </w:tcPr>
          <w:p w14:paraId="286556EE" w14:textId="77777777" w:rsidR="007F5FA4" w:rsidRPr="00192E10" w:rsidRDefault="007F5FA4" w:rsidP="009202C2">
            <w:pPr>
              <w:spacing w:line="240" w:lineRule="auto"/>
              <w:jc w:val="center"/>
              <w:rPr>
                <w:rFonts w:ascii="Times New Roman" w:eastAsia="Arial" w:hAnsi="Times New Roman" w:cs="Times New Roman"/>
              </w:rPr>
            </w:pPr>
            <w:r w:rsidRPr="00192E10">
              <w:rPr>
                <w:rFonts w:ascii="Times New Roman" w:eastAsia="Arial" w:hAnsi="Times New Roman" w:cs="Times New Roman"/>
              </w:rPr>
              <w:t>100</w:t>
            </w:r>
          </w:p>
        </w:tc>
      </w:tr>
    </w:tbl>
    <w:p w14:paraId="5C2ED164" w14:textId="77777777" w:rsidR="007F5FA4" w:rsidRPr="00192E10" w:rsidRDefault="007F5FA4" w:rsidP="007F5FA4">
      <w:pPr>
        <w:spacing w:after="0" w:line="240" w:lineRule="auto"/>
        <w:jc w:val="both"/>
        <w:rPr>
          <w:rFonts w:ascii="Times New Roman" w:eastAsia="Arial" w:hAnsi="Times New Roman" w:cs="Times New Roman"/>
          <w:b/>
          <w:bCs/>
        </w:rPr>
      </w:pPr>
      <w:r w:rsidRPr="00192E10">
        <w:rPr>
          <w:rFonts w:ascii="Times New Roman" w:eastAsia="Arial" w:hAnsi="Times New Roman" w:cs="Times New Roman"/>
          <w:b/>
          <w:bCs/>
        </w:rPr>
        <w:t xml:space="preserve">2.6.1. Simulated in vitro gastrointestinal digestion </w:t>
      </w:r>
    </w:p>
    <w:p w14:paraId="0B23DAD9"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 xml:space="preserve">Simulated in vitro gastrointestinal digestion was used to assess the bioaccessibility and in vitro dialysable iron fraction of iron (Fe) in the selected food formulations, with minor modifications to previously established protocols (Luten </w:t>
      </w:r>
      <w:r w:rsidRPr="00192E10">
        <w:rPr>
          <w:rFonts w:ascii="Times New Roman" w:eastAsia="Arial" w:hAnsi="Times New Roman" w:cs="Times New Roman"/>
          <w:i/>
        </w:rPr>
        <w:t>et al.</w:t>
      </w:r>
      <w:r w:rsidRPr="00192E10">
        <w:rPr>
          <w:rFonts w:ascii="Times New Roman" w:eastAsia="Arial" w:hAnsi="Times New Roman" w:cs="Times New Roman"/>
        </w:rPr>
        <w:t xml:space="preserve">, 1996; Gupta </w:t>
      </w:r>
      <w:r w:rsidRPr="00192E10">
        <w:rPr>
          <w:rFonts w:ascii="Times New Roman" w:eastAsia="Arial" w:hAnsi="Times New Roman" w:cs="Times New Roman"/>
          <w:i/>
        </w:rPr>
        <w:t>et al.</w:t>
      </w:r>
      <w:r w:rsidRPr="00192E10">
        <w:rPr>
          <w:rFonts w:ascii="Times New Roman" w:eastAsia="Arial" w:hAnsi="Times New Roman" w:cs="Times New Roman"/>
        </w:rPr>
        <w:t xml:space="preserve">, 2006; Júnior </w:t>
      </w:r>
      <w:r w:rsidRPr="00192E10">
        <w:rPr>
          <w:rFonts w:ascii="Times New Roman" w:eastAsia="Arial" w:hAnsi="Times New Roman" w:cs="Times New Roman"/>
          <w:i/>
        </w:rPr>
        <w:t>et al.</w:t>
      </w:r>
      <w:r w:rsidRPr="00192E10">
        <w:rPr>
          <w:rFonts w:ascii="Times New Roman" w:eastAsia="Arial" w:hAnsi="Times New Roman" w:cs="Times New Roman"/>
        </w:rPr>
        <w:t xml:space="preserve">, 2016; Oliveira </w:t>
      </w:r>
      <w:r w:rsidRPr="00192E10">
        <w:rPr>
          <w:rFonts w:ascii="Times New Roman" w:eastAsia="Arial" w:hAnsi="Times New Roman" w:cs="Times New Roman"/>
          <w:i/>
        </w:rPr>
        <w:t>et al.</w:t>
      </w:r>
      <w:r w:rsidRPr="00192E10">
        <w:rPr>
          <w:rFonts w:ascii="Times New Roman" w:eastAsia="Arial" w:hAnsi="Times New Roman" w:cs="Times New Roman"/>
        </w:rPr>
        <w:t>, 2019). The method simulated the sequential oral, gastric, and intestinal phases of the human digestive system. During the intestinal phase, the membrane-dialysable Fe fraction was considered the in vitro dialysable iron fraction, representing the potentially absorbable fraction under simulated gastrointestinal conditions. The membrane-dialysable fraction obtained using this model should not be interpreted as true in vivo iron bioavailability.</w:t>
      </w:r>
    </w:p>
    <w:p w14:paraId="798F716C" w14:textId="77777777" w:rsidR="007F5FA4" w:rsidRPr="00192E10" w:rsidRDefault="007F5FA4" w:rsidP="007F5FA4">
      <w:pPr>
        <w:spacing w:after="0" w:line="240" w:lineRule="auto"/>
        <w:jc w:val="both"/>
        <w:rPr>
          <w:rFonts w:ascii="Times New Roman" w:eastAsia="Arial" w:hAnsi="Times New Roman" w:cs="Times New Roman"/>
          <w:b/>
          <w:bCs/>
        </w:rPr>
      </w:pPr>
      <w:r w:rsidRPr="00192E10">
        <w:rPr>
          <w:rFonts w:ascii="Times New Roman" w:eastAsia="Arial" w:hAnsi="Times New Roman" w:cs="Times New Roman"/>
          <w:b/>
          <w:bCs/>
        </w:rPr>
        <w:t>2.6.2. Sample Preparation for in vitro simulation</w:t>
      </w:r>
    </w:p>
    <w:p w14:paraId="0EFF3E17"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Ten grams of each formulation was placed in a 50 mL polypropylene tube, and the initial pH of the sample was recorded.</w:t>
      </w:r>
    </w:p>
    <w:p w14:paraId="70FDA396" w14:textId="77777777" w:rsidR="007F5FA4" w:rsidRPr="00192E10" w:rsidRDefault="007F5FA4" w:rsidP="007F5FA4">
      <w:pPr>
        <w:spacing w:after="0" w:line="240" w:lineRule="auto"/>
        <w:jc w:val="both"/>
        <w:rPr>
          <w:rFonts w:ascii="Times New Roman" w:eastAsia="Arial" w:hAnsi="Times New Roman" w:cs="Times New Roman"/>
          <w:b/>
          <w:bCs/>
        </w:rPr>
      </w:pPr>
      <w:r w:rsidRPr="00192E10">
        <w:rPr>
          <w:rFonts w:ascii="Times New Roman" w:eastAsia="Arial" w:hAnsi="Times New Roman" w:cs="Times New Roman"/>
          <w:b/>
          <w:bCs/>
        </w:rPr>
        <w:t>2.6.3. Oral Phase</w:t>
      </w:r>
    </w:p>
    <w:p w14:paraId="4D79AA47"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To simulate the oral phase, 5 mL of saliva solution [1% (w/v) α-amylase in 150 mmol L⁻¹ NaCl, dissolved in 100 mmol L⁻¹ NaHCO₃ buffer at pH 6.8] was added. The mixture was incubated in a thermostatic shaking water bath at 37 °C and 150 rpm for 5 min. The pH was recorded after the addition of saliva and after incubation to monitor the effects of α-amylase and the buffer.</w:t>
      </w:r>
    </w:p>
    <w:p w14:paraId="4F863823" w14:textId="77777777" w:rsidR="007F5FA4" w:rsidRPr="00192E10" w:rsidRDefault="007F5FA4" w:rsidP="007F5FA4">
      <w:pPr>
        <w:spacing w:after="0" w:line="240" w:lineRule="auto"/>
        <w:jc w:val="both"/>
        <w:rPr>
          <w:rFonts w:ascii="Times New Roman" w:eastAsia="Arial" w:hAnsi="Times New Roman" w:cs="Times New Roman"/>
          <w:b/>
          <w:bCs/>
        </w:rPr>
      </w:pPr>
      <w:r w:rsidRPr="00192E10">
        <w:rPr>
          <w:rFonts w:ascii="Times New Roman" w:eastAsia="Arial" w:hAnsi="Times New Roman" w:cs="Times New Roman"/>
          <w:b/>
          <w:bCs/>
        </w:rPr>
        <w:t>2.6.4. Gastric Phase</w:t>
      </w:r>
    </w:p>
    <w:p w14:paraId="6B248874"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Following the oral phase, 5 mL of gastric solution containing 20 mg of pepsin in 150 mmol L⁻¹ NaCl (pH adjusted to 2.0 with 1 M HCl) was added. The mixture was incubated at 37 °C and 150 rpm for 120 min. The pH was measured immediately after enzyme addition, during incubation, and at the end of gastric digestion. Enzymatic activity was terminated by placing the tube in an ice–water bath for 15 min.</w:t>
      </w:r>
    </w:p>
    <w:p w14:paraId="7393C000" w14:textId="77777777" w:rsidR="007F5FA4" w:rsidRPr="00192E10" w:rsidRDefault="007F5FA4" w:rsidP="007F5FA4">
      <w:pPr>
        <w:spacing w:after="0" w:line="240" w:lineRule="auto"/>
        <w:jc w:val="both"/>
        <w:rPr>
          <w:rFonts w:ascii="Times New Roman" w:eastAsia="Arial" w:hAnsi="Times New Roman" w:cs="Times New Roman"/>
          <w:b/>
          <w:bCs/>
        </w:rPr>
      </w:pPr>
      <w:r w:rsidRPr="00192E10">
        <w:rPr>
          <w:rFonts w:ascii="Times New Roman" w:eastAsia="Arial" w:hAnsi="Times New Roman" w:cs="Times New Roman"/>
          <w:b/>
          <w:bCs/>
        </w:rPr>
        <w:t>2.6.5. Intestinal Phase</w:t>
      </w:r>
    </w:p>
    <w:p w14:paraId="0639B591"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The intestinal phase was initiated by adding 10 mL of intestinal solution consisting of 3% (w/v) pancreatin and 2.5% (w/v) bile salts in 100 mmol L⁻¹ NaHCO₃ buffer (pH 7.4). A dialysis membrane (14 kDa MWCO) filled with 75 mmol L⁻¹ PIPES buffer (pH 7.4) was placed in the tube to simulate nutrient absorption. Digestion was performed in a thermostatic shaking water bath at 37 °C and 150 rpm for 120 min. Enzymatic activity was terminated by incubation in an ice–water bath for 15 min. The pH was recorded throughout this phase to track changes associated with digestion and buffer action.</w:t>
      </w:r>
    </w:p>
    <w:p w14:paraId="6EF72F00"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192E10">
        <w:rPr>
          <w:rFonts w:ascii="Times New Roman" w:eastAsia="Arial" w:hAnsi="Times New Roman" w:cs="Times New Roman"/>
          <w:b/>
          <w:bCs/>
        </w:rPr>
        <w:t xml:space="preserve">2.6.6. </w:t>
      </w:r>
      <w:r w:rsidRPr="00192E10">
        <w:rPr>
          <w:rFonts w:ascii="Times New Roman" w:eastAsia="Arial" w:hAnsi="Times New Roman" w:cs="Times New Roman"/>
          <w:b/>
          <w:bCs/>
          <w:color w:val="000000"/>
        </w:rPr>
        <w:t>Fraction Collection</w:t>
      </w:r>
    </w:p>
    <w:p w14:paraId="1BD2FD1A"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 xml:space="preserve">The solution inside the dialysis membrane was collected as the dialysable iron fraction. The digest slurry outside the membrane was centrifuged at 13,800 × g for 10 min at 4 °C, and the supernatant was collected as the bioaccessible fraction. The residual solid fraction was digested </w:t>
      </w:r>
      <w:r w:rsidRPr="00192E10">
        <w:rPr>
          <w:rFonts w:ascii="Times New Roman" w:eastAsia="Arial" w:hAnsi="Times New Roman" w:cs="Times New Roman"/>
        </w:rPr>
        <w:lastRenderedPageBreak/>
        <w:t>using hot-plate-assisted acid digestion (HNO₃/HCl) to release bound Fe. For consistency, the volumes of all three fractions were adjusted to 25 mL with deionised water.</w:t>
      </w:r>
    </w:p>
    <w:p w14:paraId="084489B8"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192E10">
        <w:rPr>
          <w:rFonts w:ascii="Times New Roman" w:eastAsia="Arial" w:hAnsi="Times New Roman" w:cs="Times New Roman"/>
          <w:b/>
          <w:bCs/>
        </w:rPr>
        <w:t xml:space="preserve">2.6.7. </w:t>
      </w:r>
      <w:r w:rsidRPr="00192E10">
        <w:rPr>
          <w:rFonts w:ascii="Times New Roman" w:eastAsia="Arial" w:hAnsi="Times New Roman" w:cs="Times New Roman"/>
          <w:b/>
          <w:bCs/>
          <w:color w:val="000000"/>
        </w:rPr>
        <w:t xml:space="preserve">Ferrous </w:t>
      </w:r>
      <w:r w:rsidRPr="00192E10">
        <w:rPr>
          <w:rFonts w:ascii="Times New Roman" w:eastAsia="Arial" w:hAnsi="Times New Roman" w:cs="Times New Roman"/>
          <w:b/>
          <w:bCs/>
        </w:rPr>
        <w:t>Iron</w:t>
      </w:r>
      <w:r w:rsidRPr="00192E10">
        <w:rPr>
          <w:rFonts w:ascii="Times New Roman" w:eastAsia="Arial" w:hAnsi="Times New Roman" w:cs="Times New Roman"/>
          <w:b/>
          <w:bCs/>
          <w:color w:val="000000"/>
        </w:rPr>
        <w:t xml:space="preserve"> Estimation</w:t>
      </w:r>
    </w:p>
    <w:p w14:paraId="4863FEF5"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Ferrous iron (Fe²⁺) was measured before and after digestion using UV spectrophotometry at 510 nm. The results were recorded for comparison and used as the baseline for calculating the percentage of dialysable iron.</w:t>
      </w:r>
    </w:p>
    <w:p w14:paraId="3F38CFCD"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192E10">
        <w:rPr>
          <w:rFonts w:ascii="Times New Roman" w:eastAsia="Arial" w:hAnsi="Times New Roman" w:cs="Times New Roman"/>
          <w:b/>
          <w:bCs/>
        </w:rPr>
        <w:t xml:space="preserve">2.6.8. </w:t>
      </w:r>
      <w:r w:rsidRPr="00192E10">
        <w:rPr>
          <w:rFonts w:ascii="Times New Roman" w:eastAsia="Arial" w:hAnsi="Times New Roman" w:cs="Times New Roman"/>
          <w:b/>
          <w:bCs/>
          <w:color w:val="000000"/>
        </w:rPr>
        <w:t>Calculation of In</w:t>
      </w:r>
      <w:r w:rsidR="00C36C6D" w:rsidRPr="00192E10">
        <w:rPr>
          <w:rFonts w:ascii="Times New Roman" w:eastAsia="Arial" w:hAnsi="Times New Roman" w:cs="Times New Roman"/>
          <w:b/>
          <w:bCs/>
          <w:color w:val="000000"/>
        </w:rPr>
        <w:t xml:space="preserve"> </w:t>
      </w:r>
      <w:r w:rsidRPr="00192E10">
        <w:rPr>
          <w:rFonts w:ascii="Times New Roman" w:eastAsia="Arial" w:hAnsi="Times New Roman" w:cs="Times New Roman"/>
          <w:b/>
          <w:bCs/>
          <w:color w:val="000000"/>
        </w:rPr>
        <w:t>vitro</w:t>
      </w:r>
      <w:r w:rsidR="00C36C6D" w:rsidRPr="00192E10">
        <w:rPr>
          <w:rFonts w:ascii="Times New Roman" w:eastAsia="Arial" w:hAnsi="Times New Roman" w:cs="Times New Roman"/>
          <w:b/>
          <w:bCs/>
          <w:color w:val="000000"/>
        </w:rPr>
        <w:t xml:space="preserve"> Dialyzable Iron Fraction</w:t>
      </w:r>
      <w:r w:rsidRPr="00192E10">
        <w:rPr>
          <w:rFonts w:ascii="Times New Roman" w:eastAsia="Arial" w:hAnsi="Times New Roman" w:cs="Times New Roman"/>
          <w:b/>
          <w:bCs/>
          <w:color w:val="000000"/>
        </w:rPr>
        <w:t xml:space="preserve"> and </w:t>
      </w:r>
      <w:proofErr w:type="spellStart"/>
      <w:r w:rsidRPr="00192E10">
        <w:rPr>
          <w:rFonts w:ascii="Times New Roman" w:eastAsia="Arial" w:hAnsi="Times New Roman" w:cs="Times New Roman"/>
          <w:b/>
          <w:bCs/>
          <w:color w:val="000000"/>
        </w:rPr>
        <w:t>Bioaccessibility</w:t>
      </w:r>
      <w:proofErr w:type="spellEnd"/>
    </w:p>
    <w:p w14:paraId="0188BA4D" w14:textId="77777777" w:rsidR="007F5FA4" w:rsidRPr="00192E10" w:rsidRDefault="00C36C6D"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In vitro dialyzable iron fraction</w:t>
      </w:r>
      <w:r w:rsidR="007F5FA4" w:rsidRPr="00192E10">
        <w:rPr>
          <w:rFonts w:ascii="Times New Roman" w:eastAsia="Arial" w:hAnsi="Times New Roman" w:cs="Times New Roman"/>
        </w:rPr>
        <w:t xml:space="preserve"> (%) = (Iron in dialysis membrane / Total iron in sample) × 100</w:t>
      </w:r>
      <w:r w:rsidR="007F5FA4" w:rsidRPr="00192E10">
        <w:rPr>
          <w:rFonts w:ascii="Times New Roman" w:eastAsia="Arial" w:hAnsi="Times New Roman" w:cs="Times New Roman"/>
        </w:rPr>
        <w:tab/>
        <w:t>(1)</w:t>
      </w:r>
    </w:p>
    <w:p w14:paraId="755FD2BE" w14:textId="77777777" w:rsidR="007F5FA4" w:rsidRPr="00192E10" w:rsidRDefault="007F5FA4" w:rsidP="007F5FA4">
      <w:pPr>
        <w:spacing w:after="0" w:line="240" w:lineRule="auto"/>
        <w:jc w:val="both"/>
        <w:rPr>
          <w:rFonts w:ascii="Times New Roman" w:eastAsia="Arial" w:hAnsi="Times New Roman" w:cs="Times New Roman"/>
        </w:rPr>
      </w:pPr>
      <w:proofErr w:type="spellStart"/>
      <w:r w:rsidRPr="00192E10">
        <w:rPr>
          <w:rFonts w:ascii="Times New Roman" w:eastAsia="Arial" w:hAnsi="Times New Roman" w:cs="Times New Roman"/>
        </w:rPr>
        <w:t>Bioaccessible</w:t>
      </w:r>
      <w:proofErr w:type="spellEnd"/>
      <w:r w:rsidRPr="00192E10">
        <w:rPr>
          <w:rFonts w:ascii="Times New Roman" w:eastAsia="Arial" w:hAnsi="Times New Roman" w:cs="Times New Roman"/>
        </w:rPr>
        <w:t xml:space="preserve"> iron (%) = (Iron in supernatant / Total iron in sample) × 100</w:t>
      </w:r>
      <w:r w:rsidRPr="00192E10">
        <w:rPr>
          <w:rFonts w:ascii="Times New Roman" w:eastAsia="Arial" w:hAnsi="Times New Roman" w:cs="Times New Roman"/>
        </w:rPr>
        <w:tab/>
      </w:r>
      <w:r w:rsidRPr="00192E10">
        <w:rPr>
          <w:rFonts w:ascii="Times New Roman" w:eastAsia="Arial" w:hAnsi="Times New Roman" w:cs="Times New Roman"/>
        </w:rPr>
        <w:tab/>
        <w:t>(2)</w:t>
      </w:r>
    </w:p>
    <w:p w14:paraId="7824BAC2"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Residual iron (%) = (Iron in residual solids / Total iron in sample) × 100</w:t>
      </w:r>
      <w:r w:rsidRPr="00192E10">
        <w:rPr>
          <w:rFonts w:ascii="Times New Roman" w:eastAsia="Arial" w:hAnsi="Times New Roman" w:cs="Times New Roman"/>
        </w:rPr>
        <w:tab/>
      </w:r>
      <w:r w:rsidRPr="00192E10">
        <w:rPr>
          <w:rFonts w:ascii="Times New Roman" w:eastAsia="Arial" w:hAnsi="Times New Roman" w:cs="Times New Roman"/>
        </w:rPr>
        <w:tab/>
        <w:t>(3)</w:t>
      </w:r>
    </w:p>
    <w:p w14:paraId="341D93E5"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rPr>
      </w:pPr>
      <w:r w:rsidRPr="00192E10">
        <w:rPr>
          <w:rFonts w:ascii="Times New Roman" w:eastAsia="Arial" w:hAnsi="Times New Roman" w:cs="Times New Roman"/>
          <w:b/>
          <w:bCs/>
        </w:rPr>
        <w:t>2.6.9. Mass Balance</w:t>
      </w:r>
    </w:p>
    <w:p w14:paraId="6DBF95ED"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r w:rsidRPr="00192E10">
        <w:rPr>
          <w:rFonts w:ascii="Times New Roman" w:eastAsia="Arial" w:hAnsi="Times New Roman" w:cs="Times New Roman"/>
        </w:rPr>
        <w:t>The following equation was used to perform mass balance by comparing the total metal concentration obtained with the sum of the metal concentrations in the</w:t>
      </w:r>
      <w:r w:rsidR="00245AC3" w:rsidRPr="00192E10">
        <w:rPr>
          <w:rFonts w:ascii="Times New Roman" w:eastAsia="Arial" w:hAnsi="Times New Roman" w:cs="Times New Roman"/>
        </w:rPr>
        <w:t xml:space="preserve"> in vitro</w:t>
      </w:r>
      <w:r w:rsidRPr="00192E10">
        <w:rPr>
          <w:rFonts w:ascii="Times New Roman" w:eastAsia="Arial" w:hAnsi="Times New Roman" w:cs="Times New Roman"/>
        </w:rPr>
        <w:t xml:space="preserve"> </w:t>
      </w:r>
      <w:r w:rsidR="00245AC3" w:rsidRPr="00192E10">
        <w:rPr>
          <w:rFonts w:ascii="Times New Roman" w:eastAsia="Arial" w:hAnsi="Times New Roman" w:cs="Times New Roman"/>
        </w:rPr>
        <w:t>dialyzable iron fraction</w:t>
      </w:r>
      <w:r w:rsidRPr="00192E10">
        <w:rPr>
          <w:rFonts w:ascii="Times New Roman" w:eastAsia="Arial" w:hAnsi="Times New Roman" w:cs="Times New Roman"/>
        </w:rPr>
        <w:t>,</w:t>
      </w:r>
      <w:r w:rsidR="00245AC3" w:rsidRPr="00192E10">
        <w:rPr>
          <w:rFonts w:ascii="Times New Roman" w:eastAsia="Arial" w:hAnsi="Times New Roman" w:cs="Times New Roman"/>
        </w:rPr>
        <w:t xml:space="preserve"> </w:t>
      </w:r>
      <w:proofErr w:type="spellStart"/>
      <w:r w:rsidR="00245AC3" w:rsidRPr="00192E10">
        <w:rPr>
          <w:rFonts w:ascii="Times New Roman" w:eastAsia="Arial" w:hAnsi="Times New Roman" w:cs="Times New Roman"/>
        </w:rPr>
        <w:t>bioaccessible</w:t>
      </w:r>
      <w:proofErr w:type="spellEnd"/>
      <w:r w:rsidR="00245AC3" w:rsidRPr="00192E10">
        <w:rPr>
          <w:rFonts w:ascii="Times New Roman" w:eastAsia="Arial" w:hAnsi="Times New Roman" w:cs="Times New Roman"/>
        </w:rPr>
        <w:t>,</w:t>
      </w:r>
      <w:r w:rsidRPr="00192E10">
        <w:rPr>
          <w:rFonts w:ascii="Times New Roman" w:eastAsia="Arial" w:hAnsi="Times New Roman" w:cs="Times New Roman"/>
        </w:rPr>
        <w:t xml:space="preserve"> and residual fractions:</w:t>
      </w:r>
    </w:p>
    <w:p w14:paraId="69E787DA"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rPr>
      </w:pPr>
    </w:p>
    <w:p w14:paraId="72539F9E" w14:textId="77777777" w:rsidR="007F5FA4" w:rsidRPr="00192E10" w:rsidRDefault="007F5FA4" w:rsidP="007F5FA4">
      <w:pPr>
        <w:spacing w:after="0" w:line="240" w:lineRule="auto"/>
        <w:jc w:val="both"/>
        <w:rPr>
          <w:rFonts w:ascii="Times New Roman" w:hAnsi="Times New Roman" w:cs="Times New Roman"/>
        </w:rPr>
      </w:pPr>
      <m:oMath>
        <m:r>
          <m:rPr>
            <m:nor/>
          </m:rPr>
          <w:rPr>
            <w:rFonts w:ascii="Times New Roman" w:hAnsi="Times New Roman" w:cs="Times New Roman"/>
          </w:rPr>
          <m:t>Mass Balance (%)=</m:t>
        </m:r>
        <m:f>
          <m:fPr>
            <m:ctrlPr>
              <w:rPr>
                <w:rFonts w:ascii="Cambria Math" w:hAnsi="Cambria Math" w:cs="Times New Roman"/>
              </w:rPr>
            </m:ctrlPr>
          </m:fPr>
          <m:num>
            <m:r>
              <m:rPr>
                <m:nor/>
              </m:rPr>
              <w:rPr>
                <w:rFonts w:ascii="Times New Roman" w:hAnsi="Times New Roman" w:cs="Times New Roman"/>
              </w:rPr>
              <m:t>([Element</m:t>
            </m:r>
            <m:sSub>
              <m:sSubPr>
                <m:ctrlPr>
                  <w:rPr>
                    <w:rFonts w:ascii="Cambria Math" w:hAnsi="Cambria Math" w:cs="Times New Roman"/>
                  </w:rPr>
                </m:ctrlPr>
              </m:sSubPr>
              <m:e>
                <m:r>
                  <m:rPr>
                    <m:nor/>
                  </m:rPr>
                  <w:rPr>
                    <w:rFonts w:ascii="Times New Roman" w:hAnsi="Times New Roman" w:cs="Times New Roman"/>
                  </w:rPr>
                  <m:t>]</m:t>
                </m:r>
              </m:e>
              <m:sub>
                <m:r>
                  <m:rPr>
                    <m:nor/>
                  </m:rPr>
                  <w:rPr>
                    <w:rFonts w:ascii="Times New Roman" w:hAnsi="Times New Roman" w:cs="Times New Roman"/>
                  </w:rPr>
                  <m:t>Dialyzable</m:t>
                </m:r>
              </m:sub>
            </m:sSub>
            <m:r>
              <m:rPr>
                <m:nor/>
              </m:rPr>
              <w:rPr>
                <w:rFonts w:ascii="Times New Roman" w:hAnsi="Times New Roman" w:cs="Times New Roman"/>
              </w:rPr>
              <m:t>+[Element</m:t>
            </m:r>
            <m:sSub>
              <m:sSubPr>
                <m:ctrlPr>
                  <w:rPr>
                    <w:rFonts w:ascii="Cambria Math" w:hAnsi="Cambria Math" w:cs="Times New Roman"/>
                  </w:rPr>
                </m:ctrlPr>
              </m:sSubPr>
              <m:e>
                <m:r>
                  <m:rPr>
                    <m:nor/>
                  </m:rPr>
                  <w:rPr>
                    <w:rFonts w:ascii="Times New Roman" w:hAnsi="Times New Roman" w:cs="Times New Roman"/>
                  </w:rPr>
                  <m:t>]</m:t>
                </m:r>
              </m:e>
              <m:sub>
                <m:r>
                  <m:rPr>
                    <m:nor/>
                  </m:rPr>
                  <w:rPr>
                    <w:rFonts w:ascii="Times New Roman" w:hAnsi="Times New Roman" w:cs="Times New Roman"/>
                  </w:rPr>
                  <m:t>Bioaccessible</m:t>
                </m:r>
              </m:sub>
            </m:sSub>
            <m:r>
              <m:rPr>
                <m:nor/>
              </m:rPr>
              <w:rPr>
                <w:rFonts w:ascii="Times New Roman" w:hAnsi="Times New Roman" w:cs="Times New Roman"/>
              </w:rPr>
              <m:t>+[Element</m:t>
            </m:r>
            <m:sSub>
              <m:sSubPr>
                <m:ctrlPr>
                  <w:rPr>
                    <w:rFonts w:ascii="Cambria Math" w:hAnsi="Cambria Math" w:cs="Times New Roman"/>
                  </w:rPr>
                </m:ctrlPr>
              </m:sSubPr>
              <m:e>
                <m:r>
                  <m:rPr>
                    <m:nor/>
                  </m:rPr>
                  <w:rPr>
                    <w:rFonts w:ascii="Times New Roman" w:hAnsi="Times New Roman" w:cs="Times New Roman"/>
                  </w:rPr>
                  <m:t>]</m:t>
                </m:r>
              </m:e>
              <m:sub>
                <m:r>
                  <m:rPr>
                    <m:nor/>
                  </m:rPr>
                  <w:rPr>
                    <w:rFonts w:ascii="Times New Roman" w:hAnsi="Times New Roman" w:cs="Times New Roman"/>
                  </w:rPr>
                  <m:t>Residual</m:t>
                </m:r>
              </m:sub>
            </m:sSub>
            <m:r>
              <m:rPr>
                <m:nor/>
              </m:rPr>
              <w:rPr>
                <w:rFonts w:ascii="Times New Roman" w:hAnsi="Times New Roman" w:cs="Times New Roman"/>
              </w:rPr>
              <m:t>)×100</m:t>
            </m:r>
          </m:num>
          <m:den>
            <m:sSub>
              <m:sSubPr>
                <m:ctrlPr>
                  <w:rPr>
                    <w:rFonts w:ascii="Cambria Math" w:hAnsi="Cambria Math" w:cs="Times New Roman"/>
                  </w:rPr>
                </m:ctrlPr>
              </m:sSubPr>
              <m:e>
                <m:d>
                  <m:dPr>
                    <m:begChr m:val="["/>
                    <m:endChr m:val="]"/>
                    <m:ctrlPr>
                      <w:rPr>
                        <w:rFonts w:ascii="Cambria Math" w:hAnsi="Cambria Math" w:cs="Times New Roman"/>
                      </w:rPr>
                    </m:ctrlPr>
                  </m:dPr>
                  <m:e>
                    <m:r>
                      <m:rPr>
                        <m:nor/>
                      </m:rPr>
                      <w:rPr>
                        <w:rFonts w:ascii="Times New Roman" w:hAnsi="Times New Roman" w:cs="Times New Roman"/>
                      </w:rPr>
                      <m:t>Element</m:t>
                    </m:r>
                  </m:e>
                </m:d>
              </m:e>
              <m:sub>
                <m:r>
                  <m:rPr>
                    <m:nor/>
                  </m:rPr>
                  <w:rPr>
                    <w:rFonts w:ascii="Times New Roman" w:hAnsi="Times New Roman" w:cs="Times New Roman"/>
                  </w:rPr>
                  <m:t>Total</m:t>
                </m:r>
              </m:sub>
            </m:sSub>
          </m:den>
        </m:f>
      </m:oMath>
      <w:r w:rsidRPr="00192E10">
        <w:rPr>
          <w:rFonts w:ascii="Times New Roman" w:hAnsi="Times New Roman" w:cs="Times New Roman"/>
        </w:rPr>
        <w:tab/>
        <w:t xml:space="preserve"> </w:t>
      </w:r>
      <w:r w:rsidRPr="00192E10">
        <w:rPr>
          <w:rFonts w:ascii="Times New Roman" w:hAnsi="Times New Roman" w:cs="Times New Roman"/>
        </w:rPr>
        <w:tab/>
        <w:t>(4)</w:t>
      </w:r>
    </w:p>
    <w:p w14:paraId="0D1F600C"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color w:val="000000"/>
        </w:rPr>
      </w:pPr>
      <w:r w:rsidRPr="00192E10">
        <w:rPr>
          <w:rFonts w:ascii="Times New Roman" w:eastAsia="Arial" w:hAnsi="Times New Roman" w:cs="Times New Roman"/>
          <w:b/>
          <w:bCs/>
        </w:rPr>
        <w:t xml:space="preserve">2.10. </w:t>
      </w:r>
      <w:r w:rsidRPr="00192E10">
        <w:rPr>
          <w:rFonts w:ascii="Times New Roman" w:eastAsia="Arial" w:hAnsi="Times New Roman" w:cs="Times New Roman"/>
          <w:b/>
          <w:bCs/>
          <w:color w:val="000000"/>
        </w:rPr>
        <w:t xml:space="preserve">Statistical analysis </w:t>
      </w:r>
    </w:p>
    <w:p w14:paraId="07B4525A"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color w:val="000000"/>
        </w:rPr>
      </w:pPr>
      <w:r w:rsidRPr="00192E10">
        <w:rPr>
          <w:rFonts w:ascii="Times New Roman" w:eastAsia="Arial" w:hAnsi="Times New Roman" w:cs="Times New Roman"/>
          <w:color w:val="000000"/>
        </w:rPr>
        <w:t>Analysis of variance (ANOVA) was performed to evaluate differences in iron bioaccessibility among food products subjected to different treatments and to assess the efficacy of the treatments in enhancing iron bioaccessibility and the in vitro dialysable iron fraction. Statistical significance was set at p &lt; 0.05.</w:t>
      </w:r>
    </w:p>
    <w:p w14:paraId="2BC7FDB2" w14:textId="77777777" w:rsidR="007F5FA4" w:rsidRPr="00192E10" w:rsidRDefault="007F5FA4" w:rsidP="007F5FA4">
      <w:pPr>
        <w:pBdr>
          <w:top w:val="nil"/>
          <w:left w:val="nil"/>
          <w:bottom w:val="nil"/>
          <w:right w:val="nil"/>
          <w:between w:val="nil"/>
        </w:pBdr>
        <w:spacing w:after="0" w:line="240" w:lineRule="auto"/>
        <w:jc w:val="both"/>
        <w:rPr>
          <w:rFonts w:ascii="Times New Roman" w:eastAsia="Arial" w:hAnsi="Times New Roman" w:cs="Times New Roman"/>
          <w:b/>
          <w:bCs/>
        </w:rPr>
      </w:pPr>
      <w:r w:rsidRPr="00192E10">
        <w:rPr>
          <w:rFonts w:ascii="Times New Roman" w:eastAsia="Arial" w:hAnsi="Times New Roman" w:cs="Times New Roman"/>
          <w:b/>
          <w:bCs/>
        </w:rPr>
        <w:t>Results and Discussion:</w:t>
      </w:r>
    </w:p>
    <w:p w14:paraId="325C5594" w14:textId="77777777" w:rsidR="007F5FA4" w:rsidRPr="00192E10" w:rsidRDefault="007F5FA4" w:rsidP="007F5FA4">
      <w:pPr>
        <w:pBdr>
          <w:top w:val="nil"/>
          <w:left w:val="nil"/>
          <w:bottom w:val="nil"/>
          <w:right w:val="nil"/>
          <w:between w:val="nil"/>
        </w:pBdr>
        <w:spacing w:after="0" w:line="240" w:lineRule="auto"/>
        <w:jc w:val="center"/>
        <w:rPr>
          <w:rFonts w:ascii="Times New Roman" w:eastAsia="Arial" w:hAnsi="Times New Roman" w:cs="Times New Roman"/>
          <w:b/>
          <w:bCs/>
        </w:rPr>
      </w:pPr>
      <w:r w:rsidRPr="00192E10">
        <w:rPr>
          <w:rFonts w:ascii="Times New Roman" w:eastAsia="Arial" w:hAnsi="Times New Roman" w:cs="Times New Roman"/>
          <w:b/>
          <w:bCs/>
        </w:rPr>
        <w:t>Table 4: Total Iron Content of the selected recipes</w:t>
      </w:r>
    </w:p>
    <w:tbl>
      <w:tblPr>
        <w:tblStyle w:val="TableGrid"/>
        <w:tblW w:w="5000" w:type="pct"/>
        <w:tblLook w:val="04A0" w:firstRow="1" w:lastRow="0" w:firstColumn="1" w:lastColumn="0" w:noHBand="0" w:noVBand="1"/>
      </w:tblPr>
      <w:tblGrid>
        <w:gridCol w:w="830"/>
        <w:gridCol w:w="4268"/>
        <w:gridCol w:w="1985"/>
        <w:gridCol w:w="1933"/>
      </w:tblGrid>
      <w:tr w:rsidR="007F5FA4" w:rsidRPr="00192E10" w14:paraId="116C0667" w14:textId="77777777" w:rsidTr="009202C2">
        <w:tc>
          <w:tcPr>
            <w:tcW w:w="460" w:type="pct"/>
            <w:vAlign w:val="center"/>
          </w:tcPr>
          <w:p w14:paraId="1B4BE649" w14:textId="77777777" w:rsidR="007F5FA4" w:rsidRPr="00192E10" w:rsidRDefault="007F5FA4" w:rsidP="009202C2">
            <w:pPr>
              <w:spacing w:line="240" w:lineRule="auto"/>
              <w:jc w:val="both"/>
              <w:rPr>
                <w:rFonts w:ascii="Times New Roman" w:eastAsia="Arial" w:hAnsi="Times New Roman" w:cs="Times New Roman"/>
                <w:b/>
                <w:bCs/>
              </w:rPr>
            </w:pPr>
            <w:proofErr w:type="spellStart"/>
            <w:r w:rsidRPr="00192E10">
              <w:rPr>
                <w:rFonts w:ascii="Times New Roman" w:eastAsia="Arial" w:hAnsi="Times New Roman" w:cs="Times New Roman"/>
                <w:b/>
                <w:bCs/>
              </w:rPr>
              <w:t>S.No</w:t>
            </w:r>
            <w:proofErr w:type="spellEnd"/>
            <w:r w:rsidRPr="00192E10">
              <w:rPr>
                <w:rFonts w:ascii="Times New Roman" w:eastAsia="Arial" w:hAnsi="Times New Roman" w:cs="Times New Roman"/>
                <w:b/>
                <w:bCs/>
              </w:rPr>
              <w:t>.</w:t>
            </w:r>
          </w:p>
        </w:tc>
        <w:tc>
          <w:tcPr>
            <w:tcW w:w="2367" w:type="pct"/>
            <w:vAlign w:val="center"/>
          </w:tcPr>
          <w:p w14:paraId="49CE37FD"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eastAsia="Arial" w:hAnsi="Times New Roman" w:cs="Times New Roman"/>
                <w:b/>
                <w:bCs/>
              </w:rPr>
              <w:t>Name of the Food Recipe</w:t>
            </w:r>
          </w:p>
        </w:tc>
        <w:tc>
          <w:tcPr>
            <w:tcW w:w="1101" w:type="pct"/>
            <w:vAlign w:val="center"/>
          </w:tcPr>
          <w:p w14:paraId="0746CAF7"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eastAsia="Arial" w:hAnsi="Times New Roman" w:cs="Times New Roman"/>
                <w:b/>
                <w:bCs/>
              </w:rPr>
              <w:t>Total Iron (mg)</w:t>
            </w:r>
          </w:p>
          <w:p w14:paraId="41E52858"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eastAsia="Arial" w:hAnsi="Times New Roman" w:cs="Times New Roman"/>
                <w:b/>
                <w:bCs/>
              </w:rPr>
              <w:t>IFCT Values</w:t>
            </w:r>
          </w:p>
        </w:tc>
        <w:tc>
          <w:tcPr>
            <w:tcW w:w="1072" w:type="pct"/>
            <w:vAlign w:val="center"/>
          </w:tcPr>
          <w:p w14:paraId="0F497DCE"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eastAsia="Arial" w:hAnsi="Times New Roman" w:cs="Times New Roman"/>
                <w:b/>
                <w:bCs/>
              </w:rPr>
              <w:t>Total Iron (mg/100g)</w:t>
            </w:r>
          </w:p>
        </w:tc>
      </w:tr>
      <w:tr w:rsidR="007F5FA4" w:rsidRPr="00192E10" w14:paraId="34A7761D" w14:textId="77777777" w:rsidTr="009202C2">
        <w:tc>
          <w:tcPr>
            <w:tcW w:w="460" w:type="pct"/>
          </w:tcPr>
          <w:p w14:paraId="783E6A97" w14:textId="77777777" w:rsidR="007F5FA4" w:rsidRPr="00192E10" w:rsidRDefault="007F5FA4" w:rsidP="007F5FA4">
            <w:pPr>
              <w:pStyle w:val="ListParagraph"/>
              <w:numPr>
                <w:ilvl w:val="0"/>
                <w:numId w:val="4"/>
              </w:numPr>
              <w:spacing w:line="240" w:lineRule="auto"/>
              <w:jc w:val="both"/>
              <w:rPr>
                <w:rFonts w:ascii="Times New Roman" w:eastAsia="Arial" w:hAnsi="Times New Roman" w:cs="Times New Roman"/>
              </w:rPr>
            </w:pPr>
          </w:p>
        </w:tc>
        <w:tc>
          <w:tcPr>
            <w:tcW w:w="2367" w:type="pct"/>
          </w:tcPr>
          <w:p w14:paraId="0D8C2682"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hAnsi="Times New Roman" w:cs="Times New Roman"/>
              </w:rPr>
              <w:t>Curry leaves Chutney with rice (CLR)</w:t>
            </w:r>
          </w:p>
        </w:tc>
        <w:tc>
          <w:tcPr>
            <w:tcW w:w="1101" w:type="pct"/>
            <w:vAlign w:val="center"/>
          </w:tcPr>
          <w:p w14:paraId="54AE023F" w14:textId="77777777" w:rsidR="007F5FA4" w:rsidRPr="00192E10" w:rsidRDefault="007F5FA4" w:rsidP="009202C2">
            <w:pPr>
              <w:spacing w:line="240" w:lineRule="auto"/>
              <w:jc w:val="both"/>
              <w:rPr>
                <w:rFonts w:ascii="Times New Roman" w:hAnsi="Times New Roman" w:cs="Times New Roman"/>
              </w:rPr>
            </w:pPr>
            <w:r w:rsidRPr="00192E10">
              <w:rPr>
                <w:rFonts w:ascii="Times New Roman" w:eastAsia="Arial" w:hAnsi="Times New Roman" w:cs="Times New Roman"/>
              </w:rPr>
              <w:t>8.387</w:t>
            </w:r>
          </w:p>
        </w:tc>
        <w:tc>
          <w:tcPr>
            <w:tcW w:w="1072" w:type="pct"/>
            <w:vAlign w:val="center"/>
          </w:tcPr>
          <w:p w14:paraId="32990D7E"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hAnsi="Times New Roman" w:cs="Times New Roman"/>
              </w:rPr>
              <w:t>7.12 ± 0.02*</w:t>
            </w:r>
          </w:p>
        </w:tc>
      </w:tr>
      <w:tr w:rsidR="007F5FA4" w:rsidRPr="00192E10" w14:paraId="5DB9708E" w14:textId="77777777" w:rsidTr="009202C2">
        <w:tc>
          <w:tcPr>
            <w:tcW w:w="460" w:type="pct"/>
          </w:tcPr>
          <w:p w14:paraId="176AFA20" w14:textId="77777777" w:rsidR="007F5FA4" w:rsidRPr="00192E10" w:rsidRDefault="007F5FA4" w:rsidP="007F5FA4">
            <w:pPr>
              <w:pStyle w:val="ListParagraph"/>
              <w:numPr>
                <w:ilvl w:val="0"/>
                <w:numId w:val="4"/>
              </w:numPr>
              <w:spacing w:line="240" w:lineRule="auto"/>
              <w:jc w:val="both"/>
              <w:rPr>
                <w:rFonts w:ascii="Times New Roman" w:eastAsia="Arial" w:hAnsi="Times New Roman" w:cs="Times New Roman"/>
              </w:rPr>
            </w:pPr>
          </w:p>
        </w:tc>
        <w:tc>
          <w:tcPr>
            <w:tcW w:w="2367" w:type="pct"/>
          </w:tcPr>
          <w:p w14:paraId="7E0A4AF4"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hAnsi="Times New Roman" w:cs="Times New Roman"/>
              </w:rPr>
              <w:t>Mint leaves chutney with rice (MCR)</w:t>
            </w:r>
          </w:p>
        </w:tc>
        <w:tc>
          <w:tcPr>
            <w:tcW w:w="1101" w:type="pct"/>
            <w:vAlign w:val="center"/>
          </w:tcPr>
          <w:p w14:paraId="6BEA6EB8" w14:textId="77777777" w:rsidR="007F5FA4" w:rsidRPr="00192E10" w:rsidRDefault="007F5FA4" w:rsidP="009202C2">
            <w:pPr>
              <w:spacing w:line="240" w:lineRule="auto"/>
              <w:jc w:val="both"/>
              <w:rPr>
                <w:rFonts w:ascii="Times New Roman" w:hAnsi="Times New Roman" w:cs="Times New Roman"/>
              </w:rPr>
            </w:pPr>
            <w:r w:rsidRPr="00192E10">
              <w:rPr>
                <w:rFonts w:ascii="Times New Roman" w:eastAsia="Arial" w:hAnsi="Times New Roman" w:cs="Times New Roman"/>
              </w:rPr>
              <w:t>8.337</w:t>
            </w:r>
          </w:p>
        </w:tc>
        <w:tc>
          <w:tcPr>
            <w:tcW w:w="1072" w:type="pct"/>
            <w:vAlign w:val="center"/>
          </w:tcPr>
          <w:p w14:paraId="1BA68142"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hAnsi="Times New Roman" w:cs="Times New Roman"/>
              </w:rPr>
              <w:t>7.08 ± 0.01*</w:t>
            </w:r>
          </w:p>
        </w:tc>
      </w:tr>
      <w:tr w:rsidR="007F5FA4" w:rsidRPr="00192E10" w14:paraId="39A45D43" w14:textId="77777777" w:rsidTr="009202C2">
        <w:tc>
          <w:tcPr>
            <w:tcW w:w="460" w:type="pct"/>
          </w:tcPr>
          <w:p w14:paraId="2E1FDE8A" w14:textId="77777777" w:rsidR="007F5FA4" w:rsidRPr="00192E10" w:rsidRDefault="007F5FA4" w:rsidP="007F5FA4">
            <w:pPr>
              <w:pStyle w:val="ListParagraph"/>
              <w:numPr>
                <w:ilvl w:val="0"/>
                <w:numId w:val="4"/>
              </w:numPr>
              <w:spacing w:line="240" w:lineRule="auto"/>
              <w:jc w:val="both"/>
              <w:rPr>
                <w:rFonts w:ascii="Times New Roman" w:eastAsia="Arial" w:hAnsi="Times New Roman" w:cs="Times New Roman"/>
              </w:rPr>
            </w:pPr>
          </w:p>
        </w:tc>
        <w:tc>
          <w:tcPr>
            <w:tcW w:w="2367" w:type="pct"/>
          </w:tcPr>
          <w:p w14:paraId="17A91DA4"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hAnsi="Times New Roman" w:cs="Times New Roman"/>
              </w:rPr>
              <w:t>Tamarind Rasam with rice (RR)</w:t>
            </w:r>
          </w:p>
        </w:tc>
        <w:tc>
          <w:tcPr>
            <w:tcW w:w="1101" w:type="pct"/>
            <w:vAlign w:val="center"/>
          </w:tcPr>
          <w:p w14:paraId="4DE2D752" w14:textId="77777777" w:rsidR="007F5FA4" w:rsidRPr="00192E10" w:rsidRDefault="007F5FA4" w:rsidP="009202C2">
            <w:pPr>
              <w:spacing w:line="240" w:lineRule="auto"/>
              <w:jc w:val="both"/>
              <w:rPr>
                <w:rFonts w:ascii="Times New Roman" w:hAnsi="Times New Roman" w:cs="Times New Roman"/>
              </w:rPr>
            </w:pPr>
            <w:r w:rsidRPr="00192E10">
              <w:rPr>
                <w:rFonts w:ascii="Times New Roman" w:eastAsia="Arial" w:hAnsi="Times New Roman" w:cs="Times New Roman"/>
              </w:rPr>
              <w:t>4.721</w:t>
            </w:r>
          </w:p>
        </w:tc>
        <w:tc>
          <w:tcPr>
            <w:tcW w:w="1072" w:type="pct"/>
            <w:vAlign w:val="center"/>
          </w:tcPr>
          <w:p w14:paraId="126B4E37"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hAnsi="Times New Roman" w:cs="Times New Roman"/>
              </w:rPr>
              <w:t>4.43 ± 0.01*</w:t>
            </w:r>
          </w:p>
        </w:tc>
      </w:tr>
      <w:tr w:rsidR="007F5FA4" w:rsidRPr="00192E10" w14:paraId="71B0163E" w14:textId="77777777" w:rsidTr="009202C2">
        <w:tc>
          <w:tcPr>
            <w:tcW w:w="460" w:type="pct"/>
          </w:tcPr>
          <w:p w14:paraId="719A9F8A" w14:textId="77777777" w:rsidR="007F5FA4" w:rsidRPr="00192E10" w:rsidRDefault="007F5FA4" w:rsidP="007F5FA4">
            <w:pPr>
              <w:pStyle w:val="ListParagraph"/>
              <w:numPr>
                <w:ilvl w:val="0"/>
                <w:numId w:val="4"/>
              </w:numPr>
              <w:spacing w:line="240" w:lineRule="auto"/>
              <w:jc w:val="both"/>
              <w:rPr>
                <w:rFonts w:ascii="Times New Roman" w:eastAsia="Arial" w:hAnsi="Times New Roman" w:cs="Times New Roman"/>
              </w:rPr>
            </w:pPr>
          </w:p>
        </w:tc>
        <w:tc>
          <w:tcPr>
            <w:tcW w:w="2367" w:type="pct"/>
          </w:tcPr>
          <w:p w14:paraId="53E766EB"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hAnsi="Times New Roman" w:cs="Times New Roman"/>
              </w:rPr>
              <w:t xml:space="preserve">Red Amaranth </w:t>
            </w:r>
            <w:proofErr w:type="spellStart"/>
            <w:r w:rsidRPr="00192E10">
              <w:rPr>
                <w:rFonts w:ascii="Times New Roman" w:hAnsi="Times New Roman" w:cs="Times New Roman"/>
              </w:rPr>
              <w:t>Kadayal</w:t>
            </w:r>
            <w:proofErr w:type="spellEnd"/>
            <w:r w:rsidRPr="00192E10">
              <w:rPr>
                <w:rFonts w:ascii="Times New Roman" w:hAnsi="Times New Roman" w:cs="Times New Roman"/>
              </w:rPr>
              <w:t xml:space="preserve"> with rice (AKR)</w:t>
            </w:r>
          </w:p>
        </w:tc>
        <w:tc>
          <w:tcPr>
            <w:tcW w:w="1101" w:type="pct"/>
            <w:vAlign w:val="center"/>
          </w:tcPr>
          <w:p w14:paraId="6F6433E3" w14:textId="77777777" w:rsidR="007F5FA4" w:rsidRPr="00192E10" w:rsidRDefault="007F5FA4" w:rsidP="009202C2">
            <w:pPr>
              <w:spacing w:line="240" w:lineRule="auto"/>
              <w:jc w:val="both"/>
              <w:rPr>
                <w:rFonts w:ascii="Times New Roman" w:hAnsi="Times New Roman" w:cs="Times New Roman"/>
              </w:rPr>
            </w:pPr>
            <w:r w:rsidRPr="00192E10">
              <w:rPr>
                <w:rFonts w:ascii="Times New Roman" w:eastAsia="Arial" w:hAnsi="Times New Roman" w:cs="Times New Roman"/>
              </w:rPr>
              <w:t>8.417</w:t>
            </w:r>
          </w:p>
        </w:tc>
        <w:tc>
          <w:tcPr>
            <w:tcW w:w="1072" w:type="pct"/>
            <w:vAlign w:val="center"/>
          </w:tcPr>
          <w:p w14:paraId="72278898" w14:textId="77777777" w:rsidR="007F5FA4" w:rsidRPr="00192E10" w:rsidRDefault="007F5FA4" w:rsidP="009202C2">
            <w:pPr>
              <w:spacing w:line="240" w:lineRule="auto"/>
              <w:jc w:val="both"/>
              <w:rPr>
                <w:rFonts w:ascii="Times New Roman" w:eastAsia="Arial" w:hAnsi="Times New Roman" w:cs="Times New Roman"/>
                <w:b/>
                <w:bCs/>
              </w:rPr>
            </w:pPr>
            <w:r w:rsidRPr="00192E10">
              <w:rPr>
                <w:rFonts w:ascii="Times New Roman" w:hAnsi="Times New Roman" w:cs="Times New Roman"/>
              </w:rPr>
              <w:t>7.79 ± 0.02*</w:t>
            </w:r>
          </w:p>
        </w:tc>
      </w:tr>
    </w:tbl>
    <w:p w14:paraId="0B523F70" w14:textId="77777777" w:rsidR="007F5FA4" w:rsidRPr="00192E10" w:rsidRDefault="007F5FA4" w:rsidP="007F5FA4">
      <w:pPr>
        <w:spacing w:after="0" w:line="240" w:lineRule="auto"/>
        <w:jc w:val="both"/>
        <w:rPr>
          <w:rFonts w:ascii="Times New Roman" w:eastAsia="Arial" w:hAnsi="Times New Roman" w:cs="Times New Roman"/>
        </w:rPr>
      </w:pPr>
      <w:r w:rsidRPr="00192E10">
        <w:rPr>
          <w:rFonts w:ascii="Times New Roman" w:eastAsia="Arial" w:hAnsi="Times New Roman" w:cs="Times New Roman"/>
        </w:rPr>
        <w:t xml:space="preserve">*Significant difference at p&lt;0.05 level.                                                                                       </w:t>
      </w:r>
    </w:p>
    <w:p w14:paraId="6D58695A" w14:textId="77777777" w:rsidR="007F5FA4" w:rsidRPr="00192E10" w:rsidRDefault="007F5FA4" w:rsidP="007F5FA4">
      <w:pPr>
        <w:spacing w:after="0" w:line="240" w:lineRule="auto"/>
        <w:jc w:val="both"/>
        <w:rPr>
          <w:rFonts w:ascii="Times New Roman" w:eastAsia="Times New Roman" w:hAnsi="Times New Roman" w:cs="Times New Roman"/>
        </w:rPr>
      </w:pPr>
      <w:r w:rsidRPr="00192E10">
        <w:rPr>
          <w:rFonts w:ascii="Times New Roman" w:eastAsia="Times New Roman" w:hAnsi="Times New Roman" w:cs="Times New Roman"/>
        </w:rPr>
        <w:t xml:space="preserve">Curry leaves chutney with rice (CLR) and mint leaves chutney with rice (MCR) recorded nearly identical iron levels of 8.39 and 8.34 mg per serving, respectively. The total iron content of the selected rice-based recipes (Table 4) ranged from 4.72 mg in tamarind rasam with rice (RR) to 8.42 mg in red amaranth kadayal with rice (AKR). These results are consistent with the high iron density of the principal leafy ingredients (curry leaves, 8.67 mg/100 g; mint leaves, 8.56 mg/100 g; and red amaranth, 7.25 mg/100 g) reported in the Indian Food Composition Tables. They also show that substituting iron-rich chutney- or kadayal-based accompaniments for plain rice increases the meal-level iron content. The agreement between the IFCT-derived values and the measured total iron values (CLR: 8.387 mg and 7.12 ± 0.02 mg/100 g; MCR: 8.337 mg and 7.08 ± 0.01 mg/100 g) indicates that household-scale preparation did not result in substantial iron loss, possibly because of the low water-to-solid ratio and the relatively short cooking time typical of these chutney–rice systems (Longvah </w:t>
      </w:r>
      <w:r w:rsidRPr="00192E10">
        <w:rPr>
          <w:rFonts w:ascii="Times New Roman" w:eastAsia="Times New Roman" w:hAnsi="Times New Roman" w:cs="Times New Roman"/>
          <w:i/>
        </w:rPr>
        <w:t>et al.</w:t>
      </w:r>
      <w:r w:rsidRPr="00192E10">
        <w:rPr>
          <w:rFonts w:ascii="Times New Roman" w:eastAsia="Times New Roman" w:hAnsi="Times New Roman" w:cs="Times New Roman"/>
        </w:rPr>
        <w:t>, 2017).</w:t>
      </w:r>
    </w:p>
    <w:p w14:paraId="73CE8E57" w14:textId="77777777" w:rsidR="007F5FA4" w:rsidRPr="00192E10" w:rsidRDefault="007F5FA4" w:rsidP="007F5FA4">
      <w:pPr>
        <w:spacing w:after="0" w:line="240" w:lineRule="auto"/>
        <w:jc w:val="both"/>
        <w:rPr>
          <w:rFonts w:ascii="Times New Roman" w:eastAsia="Times New Roman" w:hAnsi="Times New Roman" w:cs="Times New Roman"/>
        </w:rPr>
      </w:pPr>
      <w:r w:rsidRPr="00192E10">
        <w:rPr>
          <w:rFonts w:ascii="Times New Roman" w:eastAsia="Times New Roman" w:hAnsi="Times New Roman" w:cs="Times New Roman"/>
        </w:rPr>
        <w:t xml:space="preserve">AKR had the highest total iron content among the four recipes (8.417 mg per serving; 7.79 ± 0.02 mg/100 g), which is consistent with research showing that amaranth-rich preparations can increase the iron content of meals while retaining a bioaccessible iron fraction during in vitro digestion (Nyonje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2021). Putri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(2024) found that the iron content of </w:t>
      </w:r>
      <w:r w:rsidRPr="00192E10">
        <w:rPr>
          <w:rFonts w:ascii="Times New Roman" w:eastAsia="Times New Roman" w:hAnsi="Times New Roman" w:cs="Times New Roman"/>
          <w:i/>
        </w:rPr>
        <w:t>Amaranthus tricolor L.</w:t>
      </w:r>
      <w:r w:rsidRPr="00192E10">
        <w:rPr>
          <w:rFonts w:ascii="Times New Roman" w:eastAsia="Times New Roman" w:hAnsi="Times New Roman" w:cs="Times New Roman"/>
        </w:rPr>
        <w:t xml:space="preserve"> wet noodles ranged from 18.4 to 22.7 mg/100 g, with the higher values attributed to </w:t>
      </w:r>
      <w:r w:rsidRPr="00192E10">
        <w:rPr>
          <w:rFonts w:ascii="Times New Roman" w:eastAsia="Times New Roman" w:hAnsi="Times New Roman" w:cs="Times New Roman"/>
        </w:rPr>
        <w:lastRenderedPageBreak/>
        <w:t>the addition of red spinach. In contrast, despite the high intrinsic iron concentration of tamarind (9.16 mg/100 g), RR had the lowest iron content (4.721 mg per serving; 4.43 ± 0.01 mg/100 g) because of the smaller serving mass and the limited amount of tamarind pulp (12 g).</w:t>
      </w:r>
    </w:p>
    <w:p w14:paraId="56378821" w14:textId="77777777" w:rsidR="007F5FA4" w:rsidRPr="00192E10" w:rsidRDefault="007F5FA4" w:rsidP="007F5FA4">
      <w:pPr>
        <w:spacing w:after="0" w:line="240" w:lineRule="auto"/>
        <w:jc w:val="both"/>
        <w:rPr>
          <w:rFonts w:ascii="Times New Roman" w:eastAsia="Times New Roman" w:hAnsi="Times New Roman" w:cs="Times New Roman"/>
        </w:rPr>
      </w:pPr>
      <w:r w:rsidRPr="00192E10">
        <w:rPr>
          <w:rFonts w:ascii="Times New Roman" w:eastAsia="Times New Roman" w:hAnsi="Times New Roman" w:cs="Times New Roman"/>
        </w:rPr>
        <w:t>Studies of tamarind-based rasam and functional rasam-type preparations, in which iron levels are moderate but the acidic nature of tamarind may improve iron solubility and bioaccessibility relative to other ingredients in the meal (Devarajan &amp; Mohanmarugaraja, 2017), are consistent with the lower but nutritionally relevant iron content of RR (4.72 mg per serving). Mamatha and Prakash (2016) reported that up to 70% of iron was bioaccessible in iron-fortified tamarind-based rasam, compared with 30–37% in control formulations. This finding highlights the dual role of tamarind as a modest iron source and an acidity-mediated enhancer of iron absorption.</w:t>
      </w:r>
    </w:p>
    <w:p w14:paraId="2B6E42D1" w14:textId="77777777" w:rsidR="007F5FA4" w:rsidRPr="00192E10" w:rsidRDefault="007F5FA4" w:rsidP="007F5FA4">
      <w:pPr>
        <w:spacing w:after="0" w:line="240" w:lineRule="auto"/>
        <w:jc w:val="center"/>
        <w:rPr>
          <w:rFonts w:ascii="Times New Roman" w:hAnsi="Times New Roman" w:cs="Times New Roman"/>
          <w:color w:val="27251E"/>
        </w:rPr>
      </w:pPr>
      <w:r w:rsidRPr="00192E10">
        <w:rPr>
          <w:rFonts w:ascii="Times New Roman" w:eastAsia="Arial" w:hAnsi="Times New Roman" w:cs="Times New Roman"/>
          <w:b/>
          <w:bCs/>
        </w:rPr>
        <w:t xml:space="preserve">Table 5: In vitro </w:t>
      </w:r>
      <w:r w:rsidR="00245AC3" w:rsidRPr="00192E10">
        <w:rPr>
          <w:rFonts w:ascii="Times New Roman" w:eastAsia="Arial" w:hAnsi="Times New Roman" w:cs="Times New Roman"/>
          <w:b/>
          <w:bCs/>
        </w:rPr>
        <w:t>Dialyzable Iron Fraction</w:t>
      </w:r>
      <w:r w:rsidRPr="00192E10">
        <w:rPr>
          <w:rFonts w:ascii="Times New Roman" w:eastAsia="Arial" w:hAnsi="Times New Roman" w:cs="Times New Roman"/>
          <w:b/>
          <w:bCs/>
        </w:rPr>
        <w:t xml:space="preserve">, </w:t>
      </w:r>
      <w:proofErr w:type="spellStart"/>
      <w:r w:rsidRPr="00192E10">
        <w:rPr>
          <w:rFonts w:ascii="Times New Roman" w:eastAsia="Arial" w:hAnsi="Times New Roman" w:cs="Times New Roman"/>
          <w:b/>
          <w:bCs/>
        </w:rPr>
        <w:t>Bioaccessible</w:t>
      </w:r>
      <w:proofErr w:type="spellEnd"/>
      <w:r w:rsidRPr="00192E10">
        <w:rPr>
          <w:rFonts w:ascii="Times New Roman" w:eastAsia="Arial" w:hAnsi="Times New Roman" w:cs="Times New Roman"/>
          <w:b/>
          <w:bCs/>
        </w:rPr>
        <w:t xml:space="preserve"> and Residual Iron Content of selected recipes</w:t>
      </w:r>
    </w:p>
    <w:tbl>
      <w:tblPr>
        <w:tblStyle w:val="TableGrid"/>
        <w:tblW w:w="5000" w:type="pct"/>
        <w:tblLook w:val="04A0" w:firstRow="1" w:lastRow="0" w:firstColumn="1" w:lastColumn="0" w:noHBand="0" w:noVBand="1"/>
      </w:tblPr>
      <w:tblGrid>
        <w:gridCol w:w="2084"/>
        <w:gridCol w:w="2559"/>
        <w:gridCol w:w="2207"/>
        <w:gridCol w:w="2166"/>
      </w:tblGrid>
      <w:tr w:rsidR="007F5FA4" w:rsidRPr="00192E10" w14:paraId="1E6DE590" w14:textId="77777777" w:rsidTr="009202C2">
        <w:tc>
          <w:tcPr>
            <w:tcW w:w="1156" w:type="pct"/>
            <w:vAlign w:val="center"/>
          </w:tcPr>
          <w:p w14:paraId="400603D3" w14:textId="77777777" w:rsidR="007F5FA4" w:rsidRPr="00192E10" w:rsidRDefault="007F5FA4" w:rsidP="009202C2">
            <w:pPr>
              <w:spacing w:line="240" w:lineRule="auto"/>
              <w:jc w:val="center"/>
              <w:rPr>
                <w:rFonts w:ascii="Times New Roman" w:eastAsia="Arial" w:hAnsi="Times New Roman" w:cs="Times New Roman"/>
                <w:b/>
                <w:bCs/>
              </w:rPr>
            </w:pPr>
            <w:r w:rsidRPr="00192E10">
              <w:rPr>
                <w:rFonts w:ascii="Times New Roman" w:eastAsia="Arial" w:hAnsi="Times New Roman" w:cs="Times New Roman"/>
                <w:b/>
                <w:bCs/>
                <w:color w:val="222222"/>
              </w:rPr>
              <w:t>Sample</w:t>
            </w:r>
          </w:p>
        </w:tc>
        <w:tc>
          <w:tcPr>
            <w:tcW w:w="1419" w:type="pct"/>
            <w:vAlign w:val="center"/>
          </w:tcPr>
          <w:p w14:paraId="41CD7C76" w14:textId="77777777" w:rsidR="007F5FA4" w:rsidRPr="00192E10" w:rsidRDefault="00245AC3" w:rsidP="009202C2">
            <w:pPr>
              <w:spacing w:line="240" w:lineRule="auto"/>
              <w:jc w:val="center"/>
              <w:rPr>
                <w:rFonts w:ascii="Times New Roman" w:eastAsia="Arial" w:hAnsi="Times New Roman" w:cs="Times New Roman"/>
                <w:b/>
                <w:bCs/>
              </w:rPr>
            </w:pPr>
            <w:r w:rsidRPr="00192E10">
              <w:rPr>
                <w:rFonts w:ascii="Times New Roman" w:eastAsia="Arial" w:hAnsi="Times New Roman" w:cs="Times New Roman"/>
                <w:b/>
                <w:bCs/>
              </w:rPr>
              <w:t>Dialyzable Iron Fraction</w:t>
            </w:r>
            <w:r w:rsidRPr="00192E10">
              <w:rPr>
                <w:rFonts w:ascii="Times New Roman" w:eastAsia="Roboto" w:hAnsi="Times New Roman" w:cs="Times New Roman"/>
                <w:b/>
                <w:bCs/>
                <w:color w:val="27251E"/>
              </w:rPr>
              <w:t xml:space="preserve"> </w:t>
            </w:r>
            <w:r w:rsidR="007F5FA4" w:rsidRPr="00192E10">
              <w:rPr>
                <w:rFonts w:ascii="Times New Roman" w:eastAsia="Roboto" w:hAnsi="Times New Roman" w:cs="Times New Roman"/>
                <w:b/>
                <w:bCs/>
                <w:color w:val="27251E"/>
              </w:rPr>
              <w:t>(mg)</w:t>
            </w:r>
          </w:p>
        </w:tc>
        <w:tc>
          <w:tcPr>
            <w:tcW w:w="1224" w:type="pct"/>
            <w:vAlign w:val="center"/>
          </w:tcPr>
          <w:p w14:paraId="032C874C" w14:textId="77777777" w:rsidR="007F5FA4" w:rsidRPr="00192E10" w:rsidRDefault="007F5FA4" w:rsidP="009202C2">
            <w:pPr>
              <w:spacing w:line="240" w:lineRule="auto"/>
              <w:jc w:val="center"/>
              <w:rPr>
                <w:rFonts w:ascii="Times New Roman" w:eastAsia="Roboto" w:hAnsi="Times New Roman" w:cs="Times New Roman"/>
                <w:b/>
                <w:bCs/>
                <w:color w:val="27251E"/>
              </w:rPr>
            </w:pPr>
            <w:proofErr w:type="spellStart"/>
            <w:r w:rsidRPr="00192E10">
              <w:rPr>
                <w:rFonts w:ascii="Times New Roman" w:eastAsia="Roboto" w:hAnsi="Times New Roman" w:cs="Times New Roman"/>
                <w:b/>
                <w:bCs/>
                <w:color w:val="27251E"/>
              </w:rPr>
              <w:t>Bioaccessible</w:t>
            </w:r>
            <w:proofErr w:type="spellEnd"/>
            <w:r w:rsidRPr="00192E10">
              <w:rPr>
                <w:rFonts w:ascii="Times New Roman" w:eastAsia="Roboto" w:hAnsi="Times New Roman" w:cs="Times New Roman"/>
                <w:b/>
                <w:bCs/>
                <w:color w:val="27251E"/>
              </w:rPr>
              <w:t xml:space="preserve"> Iron (mg)</w:t>
            </w:r>
          </w:p>
        </w:tc>
        <w:tc>
          <w:tcPr>
            <w:tcW w:w="1201" w:type="pct"/>
            <w:vAlign w:val="center"/>
          </w:tcPr>
          <w:p w14:paraId="5E4F2C93" w14:textId="77777777" w:rsidR="007F5FA4" w:rsidRPr="00192E10" w:rsidRDefault="007F5FA4" w:rsidP="009202C2">
            <w:pPr>
              <w:spacing w:line="240" w:lineRule="auto"/>
              <w:jc w:val="center"/>
              <w:rPr>
                <w:rFonts w:ascii="Times New Roman" w:eastAsia="Arial" w:hAnsi="Times New Roman" w:cs="Times New Roman"/>
                <w:b/>
                <w:bCs/>
              </w:rPr>
            </w:pPr>
            <w:r w:rsidRPr="00192E10">
              <w:rPr>
                <w:rFonts w:ascii="Times New Roman" w:eastAsia="Roboto" w:hAnsi="Times New Roman" w:cs="Times New Roman"/>
                <w:b/>
                <w:bCs/>
                <w:color w:val="27251E"/>
              </w:rPr>
              <w:t>Residual Iron (mg)</w:t>
            </w:r>
          </w:p>
        </w:tc>
      </w:tr>
      <w:tr w:rsidR="007F5FA4" w:rsidRPr="00192E10" w14:paraId="1B31E210" w14:textId="77777777" w:rsidTr="009202C2">
        <w:tc>
          <w:tcPr>
            <w:tcW w:w="1156" w:type="pct"/>
            <w:vAlign w:val="bottom"/>
          </w:tcPr>
          <w:p w14:paraId="790C8DD7"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CLR</w:t>
            </w:r>
          </w:p>
        </w:tc>
        <w:tc>
          <w:tcPr>
            <w:tcW w:w="1419" w:type="pct"/>
            <w:vAlign w:val="bottom"/>
          </w:tcPr>
          <w:p w14:paraId="71AA6AB6"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2.12 ± 0.04</w:t>
            </w:r>
            <w:r w:rsidRPr="00192E10">
              <w:rPr>
                <w:rFonts w:ascii="Times New Roman" w:eastAsia="Arial" w:hAnsi="Times New Roman" w:cs="Times New Roman"/>
                <w:vertAlign w:val="superscript"/>
              </w:rPr>
              <w:t>a</w:t>
            </w:r>
          </w:p>
        </w:tc>
        <w:tc>
          <w:tcPr>
            <w:tcW w:w="1224" w:type="pct"/>
            <w:vAlign w:val="bottom"/>
          </w:tcPr>
          <w:p w14:paraId="31CCC0D4"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2.08±0.01</w:t>
            </w:r>
            <w:r w:rsidRPr="00192E10">
              <w:rPr>
                <w:rFonts w:ascii="Times New Roman" w:eastAsia="Arial" w:hAnsi="Times New Roman" w:cs="Times New Roman"/>
                <w:vertAlign w:val="superscript"/>
              </w:rPr>
              <w:t>a</w:t>
            </w:r>
          </w:p>
        </w:tc>
        <w:tc>
          <w:tcPr>
            <w:tcW w:w="1201" w:type="pct"/>
            <w:vAlign w:val="bottom"/>
          </w:tcPr>
          <w:p w14:paraId="170E5079"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2.22 ± 0.01</w:t>
            </w:r>
            <w:r w:rsidRPr="00192E10">
              <w:rPr>
                <w:rFonts w:ascii="Times New Roman" w:eastAsia="Arial" w:hAnsi="Times New Roman" w:cs="Times New Roman"/>
                <w:vertAlign w:val="superscript"/>
              </w:rPr>
              <w:t>a</w:t>
            </w:r>
          </w:p>
        </w:tc>
      </w:tr>
      <w:tr w:rsidR="007F5FA4" w:rsidRPr="00192E10" w14:paraId="1585FDDA" w14:textId="77777777" w:rsidTr="009202C2">
        <w:tc>
          <w:tcPr>
            <w:tcW w:w="1156" w:type="pct"/>
            <w:vAlign w:val="bottom"/>
          </w:tcPr>
          <w:p w14:paraId="63BA4AD0"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CLR + FJ</w:t>
            </w:r>
          </w:p>
        </w:tc>
        <w:tc>
          <w:tcPr>
            <w:tcW w:w="1419" w:type="pct"/>
            <w:vAlign w:val="bottom"/>
          </w:tcPr>
          <w:p w14:paraId="7CD506F1"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2.22 ± 0.01</w:t>
            </w:r>
            <w:r w:rsidRPr="00192E10">
              <w:rPr>
                <w:rFonts w:ascii="Times New Roman" w:eastAsia="Arial" w:hAnsi="Times New Roman" w:cs="Times New Roman"/>
                <w:vertAlign w:val="superscript"/>
              </w:rPr>
              <w:t>b</w:t>
            </w:r>
          </w:p>
        </w:tc>
        <w:tc>
          <w:tcPr>
            <w:tcW w:w="1224" w:type="pct"/>
            <w:vAlign w:val="bottom"/>
          </w:tcPr>
          <w:p w14:paraId="137855A6"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2.16 ± 0.01</w:t>
            </w:r>
            <w:r w:rsidRPr="00192E10">
              <w:rPr>
                <w:rFonts w:ascii="Times New Roman" w:eastAsia="Arial" w:hAnsi="Times New Roman" w:cs="Times New Roman"/>
                <w:vertAlign w:val="superscript"/>
              </w:rPr>
              <w:t>b</w:t>
            </w:r>
          </w:p>
        </w:tc>
        <w:tc>
          <w:tcPr>
            <w:tcW w:w="1201" w:type="pct"/>
            <w:vAlign w:val="bottom"/>
          </w:tcPr>
          <w:p w14:paraId="0A7A6BCB"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2.30 ± 0.02</w:t>
            </w:r>
            <w:r w:rsidRPr="00192E10">
              <w:rPr>
                <w:rFonts w:ascii="Times New Roman" w:eastAsia="Arial" w:hAnsi="Times New Roman" w:cs="Times New Roman"/>
                <w:vertAlign w:val="superscript"/>
              </w:rPr>
              <w:t>b</w:t>
            </w:r>
          </w:p>
        </w:tc>
      </w:tr>
      <w:tr w:rsidR="007F5FA4" w:rsidRPr="00192E10" w14:paraId="0AD8DD3F" w14:textId="77777777" w:rsidTr="009202C2">
        <w:tc>
          <w:tcPr>
            <w:tcW w:w="1156" w:type="pct"/>
            <w:vAlign w:val="bottom"/>
          </w:tcPr>
          <w:p w14:paraId="50684306"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CLR + CU</w:t>
            </w:r>
          </w:p>
        </w:tc>
        <w:tc>
          <w:tcPr>
            <w:tcW w:w="1419" w:type="pct"/>
            <w:vAlign w:val="bottom"/>
          </w:tcPr>
          <w:p w14:paraId="4AE02B2D"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2.30 ± 0.02</w:t>
            </w:r>
            <w:r w:rsidRPr="00192E10">
              <w:rPr>
                <w:rFonts w:ascii="Times New Roman" w:eastAsia="Arial" w:hAnsi="Times New Roman" w:cs="Times New Roman"/>
                <w:vertAlign w:val="superscript"/>
              </w:rPr>
              <w:t>c</w:t>
            </w:r>
          </w:p>
        </w:tc>
        <w:tc>
          <w:tcPr>
            <w:tcW w:w="1224" w:type="pct"/>
            <w:vAlign w:val="bottom"/>
          </w:tcPr>
          <w:p w14:paraId="14E529B4"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2.24 ± 0.01</w:t>
            </w:r>
            <w:r w:rsidRPr="00192E10">
              <w:rPr>
                <w:rFonts w:ascii="Times New Roman" w:eastAsia="Arial" w:hAnsi="Times New Roman" w:cs="Times New Roman"/>
                <w:vertAlign w:val="superscript"/>
              </w:rPr>
              <w:t>d</w:t>
            </w:r>
          </w:p>
        </w:tc>
        <w:tc>
          <w:tcPr>
            <w:tcW w:w="1201" w:type="pct"/>
            <w:vAlign w:val="bottom"/>
          </w:tcPr>
          <w:p w14:paraId="367D9564"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2.51 ± 0.02</w:t>
            </w:r>
            <w:r w:rsidRPr="00192E10">
              <w:rPr>
                <w:rFonts w:ascii="Times New Roman" w:eastAsia="Arial" w:hAnsi="Times New Roman" w:cs="Times New Roman"/>
                <w:vertAlign w:val="superscript"/>
              </w:rPr>
              <w:t>d</w:t>
            </w:r>
          </w:p>
        </w:tc>
      </w:tr>
      <w:tr w:rsidR="007F5FA4" w:rsidRPr="00192E10" w14:paraId="4DBFEE2F" w14:textId="77777777" w:rsidTr="009202C2">
        <w:tc>
          <w:tcPr>
            <w:tcW w:w="1156" w:type="pct"/>
            <w:vAlign w:val="bottom"/>
          </w:tcPr>
          <w:p w14:paraId="3CAC6B0A"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color w:val="222222"/>
              </w:rPr>
              <w:t>CLR + FJ + CU</w:t>
            </w:r>
          </w:p>
        </w:tc>
        <w:tc>
          <w:tcPr>
            <w:tcW w:w="1419" w:type="pct"/>
            <w:vAlign w:val="bottom"/>
          </w:tcPr>
          <w:p w14:paraId="3D933E77"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2.24 ± 0.02</w:t>
            </w:r>
            <w:r w:rsidRPr="00192E10">
              <w:rPr>
                <w:rFonts w:ascii="Times New Roman" w:eastAsia="Arial" w:hAnsi="Times New Roman" w:cs="Times New Roman"/>
                <w:vertAlign w:val="superscript"/>
              </w:rPr>
              <w:t>b</w:t>
            </w:r>
          </w:p>
        </w:tc>
        <w:tc>
          <w:tcPr>
            <w:tcW w:w="1224" w:type="pct"/>
            <w:vAlign w:val="bottom"/>
          </w:tcPr>
          <w:p w14:paraId="54D04148"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2.19 ± 0.01</w:t>
            </w:r>
            <w:r w:rsidRPr="00192E10">
              <w:rPr>
                <w:rFonts w:ascii="Times New Roman" w:eastAsia="Arial" w:hAnsi="Times New Roman" w:cs="Times New Roman"/>
                <w:vertAlign w:val="superscript"/>
              </w:rPr>
              <w:t>c</w:t>
            </w:r>
          </w:p>
        </w:tc>
        <w:tc>
          <w:tcPr>
            <w:tcW w:w="1201" w:type="pct"/>
            <w:vAlign w:val="bottom"/>
          </w:tcPr>
          <w:p w14:paraId="54655021"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2.40 ± 0.02</w:t>
            </w:r>
            <w:r w:rsidRPr="00192E10">
              <w:rPr>
                <w:rFonts w:ascii="Times New Roman" w:eastAsia="Arial" w:hAnsi="Times New Roman" w:cs="Times New Roman"/>
                <w:vertAlign w:val="superscript"/>
              </w:rPr>
              <w:t>c</w:t>
            </w:r>
          </w:p>
        </w:tc>
      </w:tr>
      <w:tr w:rsidR="007F5FA4" w:rsidRPr="00192E10" w14:paraId="45603059" w14:textId="77777777" w:rsidTr="009202C2">
        <w:tc>
          <w:tcPr>
            <w:tcW w:w="1156" w:type="pct"/>
            <w:vAlign w:val="bottom"/>
          </w:tcPr>
          <w:p w14:paraId="57216600" w14:textId="77777777" w:rsidR="007F5FA4" w:rsidRPr="00192E10" w:rsidRDefault="007F5FA4" w:rsidP="009202C2">
            <w:pPr>
              <w:spacing w:line="240" w:lineRule="auto"/>
              <w:jc w:val="both"/>
              <w:rPr>
                <w:rFonts w:ascii="Times New Roman" w:eastAsia="Arial" w:hAnsi="Times New Roman" w:cs="Times New Roman"/>
                <w:color w:val="222222"/>
              </w:rPr>
            </w:pPr>
            <w:r w:rsidRPr="00192E10">
              <w:rPr>
                <w:rFonts w:ascii="Times New Roman" w:eastAsia="Arial" w:hAnsi="Times New Roman" w:cs="Times New Roman"/>
                <w:color w:val="222222"/>
              </w:rPr>
              <w:t>MCR</w:t>
            </w:r>
          </w:p>
        </w:tc>
        <w:tc>
          <w:tcPr>
            <w:tcW w:w="1419" w:type="pct"/>
            <w:vAlign w:val="bottom"/>
          </w:tcPr>
          <w:p w14:paraId="3753018A"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2.02 ± 0.01</w:t>
            </w:r>
            <w:r w:rsidRPr="00192E10">
              <w:rPr>
                <w:rFonts w:ascii="Times New Roman" w:eastAsia="Arial" w:hAnsi="Times New Roman" w:cs="Times New Roman"/>
                <w:vertAlign w:val="superscript"/>
              </w:rPr>
              <w:t>a</w:t>
            </w:r>
          </w:p>
        </w:tc>
        <w:tc>
          <w:tcPr>
            <w:tcW w:w="1224" w:type="pct"/>
            <w:vAlign w:val="bottom"/>
          </w:tcPr>
          <w:p w14:paraId="066EE86C"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2.08 ± 0.01</w:t>
            </w:r>
            <w:r w:rsidRPr="00192E10">
              <w:rPr>
                <w:rFonts w:ascii="Times New Roman" w:eastAsia="Arial" w:hAnsi="Times New Roman" w:cs="Times New Roman"/>
                <w:vertAlign w:val="superscript"/>
              </w:rPr>
              <w:t>a</w:t>
            </w:r>
          </w:p>
        </w:tc>
        <w:tc>
          <w:tcPr>
            <w:tcW w:w="1201" w:type="pct"/>
            <w:vAlign w:val="bottom"/>
          </w:tcPr>
          <w:p w14:paraId="67D7302E"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2.09 ± 0.02</w:t>
            </w:r>
            <w:r w:rsidRPr="00192E10">
              <w:rPr>
                <w:rFonts w:ascii="Times New Roman" w:eastAsia="Arial" w:hAnsi="Times New Roman" w:cs="Times New Roman"/>
                <w:vertAlign w:val="superscript"/>
              </w:rPr>
              <w:t>a</w:t>
            </w:r>
          </w:p>
        </w:tc>
      </w:tr>
      <w:tr w:rsidR="007F5FA4" w:rsidRPr="00192E10" w14:paraId="7402DF4B" w14:textId="77777777" w:rsidTr="009202C2">
        <w:tc>
          <w:tcPr>
            <w:tcW w:w="1156" w:type="pct"/>
            <w:vAlign w:val="bottom"/>
          </w:tcPr>
          <w:p w14:paraId="162BA5CB" w14:textId="77777777" w:rsidR="007F5FA4" w:rsidRPr="00192E10" w:rsidRDefault="007F5FA4" w:rsidP="009202C2">
            <w:pPr>
              <w:spacing w:line="240" w:lineRule="auto"/>
              <w:jc w:val="both"/>
              <w:rPr>
                <w:rFonts w:ascii="Times New Roman" w:eastAsia="Arial" w:hAnsi="Times New Roman" w:cs="Times New Roman"/>
                <w:color w:val="222222"/>
              </w:rPr>
            </w:pPr>
            <w:r w:rsidRPr="00192E10">
              <w:rPr>
                <w:rFonts w:ascii="Times New Roman" w:eastAsia="Arial" w:hAnsi="Times New Roman" w:cs="Times New Roman"/>
                <w:color w:val="222222"/>
              </w:rPr>
              <w:t>MCR + FJ</w:t>
            </w:r>
          </w:p>
        </w:tc>
        <w:tc>
          <w:tcPr>
            <w:tcW w:w="1419" w:type="pct"/>
            <w:vAlign w:val="bottom"/>
          </w:tcPr>
          <w:p w14:paraId="23841FF5"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2.06 ± 0.01</w:t>
            </w:r>
            <w:r w:rsidRPr="00192E10">
              <w:rPr>
                <w:rFonts w:ascii="Times New Roman" w:eastAsia="Arial" w:hAnsi="Times New Roman" w:cs="Times New Roman"/>
                <w:vertAlign w:val="superscript"/>
              </w:rPr>
              <w:t>b</w:t>
            </w:r>
          </w:p>
        </w:tc>
        <w:tc>
          <w:tcPr>
            <w:tcW w:w="1224" w:type="pct"/>
            <w:vAlign w:val="bottom"/>
          </w:tcPr>
          <w:p w14:paraId="1ECAD139"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2.13 ± 0.01</w:t>
            </w:r>
            <w:r w:rsidRPr="00192E10">
              <w:rPr>
                <w:rFonts w:ascii="Times New Roman" w:eastAsia="Arial" w:hAnsi="Times New Roman" w:cs="Times New Roman"/>
                <w:vertAlign w:val="superscript"/>
              </w:rPr>
              <w:t>b</w:t>
            </w:r>
          </w:p>
        </w:tc>
        <w:tc>
          <w:tcPr>
            <w:tcW w:w="1201" w:type="pct"/>
            <w:vAlign w:val="bottom"/>
          </w:tcPr>
          <w:p w14:paraId="65C93BAA"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2.18 ± 0.01</w:t>
            </w:r>
            <w:r w:rsidRPr="00192E10">
              <w:rPr>
                <w:rFonts w:ascii="Times New Roman" w:eastAsia="Arial" w:hAnsi="Times New Roman" w:cs="Times New Roman"/>
                <w:vertAlign w:val="superscript"/>
              </w:rPr>
              <w:t>b</w:t>
            </w:r>
          </w:p>
        </w:tc>
      </w:tr>
      <w:tr w:rsidR="007F5FA4" w:rsidRPr="00192E10" w14:paraId="3C1AE205" w14:textId="77777777" w:rsidTr="009202C2">
        <w:tc>
          <w:tcPr>
            <w:tcW w:w="1156" w:type="pct"/>
            <w:vAlign w:val="bottom"/>
          </w:tcPr>
          <w:p w14:paraId="2D3D27B9" w14:textId="77777777" w:rsidR="007F5FA4" w:rsidRPr="00192E10" w:rsidRDefault="007F5FA4" w:rsidP="009202C2">
            <w:pPr>
              <w:spacing w:line="240" w:lineRule="auto"/>
              <w:jc w:val="both"/>
              <w:rPr>
                <w:rFonts w:ascii="Times New Roman" w:eastAsia="Arial" w:hAnsi="Times New Roman" w:cs="Times New Roman"/>
                <w:color w:val="222222"/>
              </w:rPr>
            </w:pPr>
            <w:r w:rsidRPr="00192E10">
              <w:rPr>
                <w:rFonts w:ascii="Times New Roman" w:eastAsia="Arial" w:hAnsi="Times New Roman" w:cs="Times New Roman"/>
                <w:color w:val="222222"/>
              </w:rPr>
              <w:t>MCR + CU</w:t>
            </w:r>
          </w:p>
        </w:tc>
        <w:tc>
          <w:tcPr>
            <w:tcW w:w="1419" w:type="pct"/>
            <w:vAlign w:val="bottom"/>
          </w:tcPr>
          <w:p w14:paraId="1E29B834"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2.13 ± 0.01</w:t>
            </w:r>
            <w:r w:rsidRPr="00192E10">
              <w:rPr>
                <w:rFonts w:ascii="Times New Roman" w:eastAsia="Arial" w:hAnsi="Times New Roman" w:cs="Times New Roman"/>
                <w:vertAlign w:val="superscript"/>
              </w:rPr>
              <w:t>d</w:t>
            </w:r>
          </w:p>
        </w:tc>
        <w:tc>
          <w:tcPr>
            <w:tcW w:w="1224" w:type="pct"/>
            <w:vAlign w:val="bottom"/>
          </w:tcPr>
          <w:p w14:paraId="418C6E1E"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2.33 ± 0.01</w:t>
            </w:r>
            <w:r w:rsidRPr="00192E10">
              <w:rPr>
                <w:rFonts w:ascii="Times New Roman" w:eastAsia="Arial" w:hAnsi="Times New Roman" w:cs="Times New Roman"/>
                <w:vertAlign w:val="superscript"/>
              </w:rPr>
              <w:t>d</w:t>
            </w:r>
          </w:p>
        </w:tc>
        <w:tc>
          <w:tcPr>
            <w:tcW w:w="1201" w:type="pct"/>
            <w:vAlign w:val="bottom"/>
          </w:tcPr>
          <w:p w14:paraId="43695CD3"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2.24 ± 0.01</w:t>
            </w:r>
            <w:r w:rsidRPr="00192E10">
              <w:rPr>
                <w:rFonts w:ascii="Times New Roman" w:eastAsia="Arial" w:hAnsi="Times New Roman" w:cs="Times New Roman"/>
                <w:vertAlign w:val="superscript"/>
              </w:rPr>
              <w:t>c</w:t>
            </w:r>
          </w:p>
        </w:tc>
      </w:tr>
      <w:tr w:rsidR="007F5FA4" w:rsidRPr="00192E10" w14:paraId="388365BE" w14:textId="77777777" w:rsidTr="009202C2">
        <w:tc>
          <w:tcPr>
            <w:tcW w:w="1156" w:type="pct"/>
            <w:vAlign w:val="bottom"/>
          </w:tcPr>
          <w:p w14:paraId="6E5DABB6" w14:textId="77777777" w:rsidR="007F5FA4" w:rsidRPr="00192E10" w:rsidRDefault="007F5FA4" w:rsidP="009202C2">
            <w:pPr>
              <w:spacing w:line="240" w:lineRule="auto"/>
              <w:jc w:val="both"/>
              <w:rPr>
                <w:rFonts w:ascii="Times New Roman" w:eastAsia="Arial" w:hAnsi="Times New Roman" w:cs="Times New Roman"/>
                <w:color w:val="222222"/>
              </w:rPr>
            </w:pPr>
            <w:r w:rsidRPr="00192E10">
              <w:rPr>
                <w:rFonts w:ascii="Times New Roman" w:eastAsia="Arial" w:hAnsi="Times New Roman" w:cs="Times New Roman"/>
                <w:color w:val="222222"/>
              </w:rPr>
              <w:t>MCR+ FJ + CU</w:t>
            </w:r>
          </w:p>
        </w:tc>
        <w:tc>
          <w:tcPr>
            <w:tcW w:w="1419" w:type="pct"/>
            <w:vAlign w:val="bottom"/>
          </w:tcPr>
          <w:p w14:paraId="1A91536A"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2.10 ± 0.01</w:t>
            </w:r>
            <w:r w:rsidRPr="00192E10">
              <w:rPr>
                <w:rFonts w:ascii="Times New Roman" w:eastAsia="Arial" w:hAnsi="Times New Roman" w:cs="Times New Roman"/>
                <w:vertAlign w:val="superscript"/>
              </w:rPr>
              <w:t>c</w:t>
            </w:r>
          </w:p>
        </w:tc>
        <w:tc>
          <w:tcPr>
            <w:tcW w:w="1224" w:type="pct"/>
            <w:vAlign w:val="bottom"/>
          </w:tcPr>
          <w:p w14:paraId="5439CB5E"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2.19 ± 0.01</w:t>
            </w:r>
            <w:r w:rsidRPr="00192E10">
              <w:rPr>
                <w:rFonts w:ascii="Times New Roman" w:eastAsia="Arial" w:hAnsi="Times New Roman" w:cs="Times New Roman"/>
                <w:vertAlign w:val="superscript"/>
              </w:rPr>
              <w:t>c</w:t>
            </w:r>
          </w:p>
        </w:tc>
        <w:tc>
          <w:tcPr>
            <w:tcW w:w="1201" w:type="pct"/>
            <w:vAlign w:val="bottom"/>
          </w:tcPr>
          <w:p w14:paraId="483BC863"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2.20 ± 0.01</w:t>
            </w:r>
            <w:r w:rsidRPr="00192E10">
              <w:rPr>
                <w:rFonts w:ascii="Times New Roman" w:eastAsia="Arial" w:hAnsi="Times New Roman" w:cs="Times New Roman"/>
                <w:vertAlign w:val="superscript"/>
              </w:rPr>
              <w:t>b</w:t>
            </w:r>
          </w:p>
        </w:tc>
      </w:tr>
      <w:tr w:rsidR="007F5FA4" w:rsidRPr="00192E10" w14:paraId="39C02364" w14:textId="77777777" w:rsidTr="009202C2">
        <w:tc>
          <w:tcPr>
            <w:tcW w:w="1156" w:type="pct"/>
            <w:vAlign w:val="bottom"/>
          </w:tcPr>
          <w:p w14:paraId="23E2F375" w14:textId="77777777" w:rsidR="007F5FA4" w:rsidRPr="00192E10" w:rsidRDefault="007F5FA4" w:rsidP="009202C2">
            <w:pPr>
              <w:spacing w:line="240" w:lineRule="auto"/>
              <w:jc w:val="both"/>
              <w:rPr>
                <w:rFonts w:ascii="Times New Roman" w:eastAsia="Arial" w:hAnsi="Times New Roman" w:cs="Times New Roman"/>
                <w:color w:val="222222"/>
              </w:rPr>
            </w:pPr>
            <w:r w:rsidRPr="00192E10">
              <w:rPr>
                <w:rFonts w:ascii="Times New Roman" w:eastAsia="Arial" w:hAnsi="Times New Roman" w:cs="Times New Roman"/>
                <w:color w:val="222222"/>
              </w:rPr>
              <w:t>RR</w:t>
            </w:r>
          </w:p>
        </w:tc>
        <w:tc>
          <w:tcPr>
            <w:tcW w:w="1419" w:type="pct"/>
            <w:vAlign w:val="bottom"/>
          </w:tcPr>
          <w:p w14:paraId="54A28347"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1.30 ± 0.01</w:t>
            </w:r>
            <w:r w:rsidRPr="00192E10">
              <w:rPr>
                <w:rFonts w:ascii="Times New Roman" w:eastAsia="Arial" w:hAnsi="Times New Roman" w:cs="Times New Roman"/>
                <w:vertAlign w:val="superscript"/>
              </w:rPr>
              <w:t>a</w:t>
            </w:r>
          </w:p>
        </w:tc>
        <w:tc>
          <w:tcPr>
            <w:tcW w:w="1224" w:type="pct"/>
            <w:vAlign w:val="bottom"/>
          </w:tcPr>
          <w:p w14:paraId="79932856"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1.35 ± 0.00</w:t>
            </w:r>
            <w:r w:rsidRPr="00192E10">
              <w:rPr>
                <w:rFonts w:ascii="Times New Roman" w:eastAsia="Arial" w:hAnsi="Times New Roman" w:cs="Times New Roman"/>
                <w:vertAlign w:val="superscript"/>
              </w:rPr>
              <w:t>a</w:t>
            </w:r>
          </w:p>
        </w:tc>
        <w:tc>
          <w:tcPr>
            <w:tcW w:w="1201" w:type="pct"/>
            <w:vAlign w:val="bottom"/>
          </w:tcPr>
          <w:p w14:paraId="1D7F5A83"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1.30 ± 0.05</w:t>
            </w:r>
            <w:r w:rsidRPr="00192E10">
              <w:rPr>
                <w:rFonts w:ascii="Times New Roman" w:eastAsia="Arial" w:hAnsi="Times New Roman" w:cs="Times New Roman"/>
                <w:vertAlign w:val="superscript"/>
              </w:rPr>
              <w:t>a</w:t>
            </w:r>
          </w:p>
        </w:tc>
      </w:tr>
      <w:tr w:rsidR="007F5FA4" w:rsidRPr="00192E10" w14:paraId="5EDFC673" w14:textId="77777777" w:rsidTr="009202C2">
        <w:tc>
          <w:tcPr>
            <w:tcW w:w="1156" w:type="pct"/>
            <w:vAlign w:val="bottom"/>
          </w:tcPr>
          <w:p w14:paraId="1B1A77F7" w14:textId="77777777" w:rsidR="007F5FA4" w:rsidRPr="00192E10" w:rsidRDefault="007F5FA4" w:rsidP="009202C2">
            <w:pPr>
              <w:spacing w:line="240" w:lineRule="auto"/>
              <w:jc w:val="both"/>
              <w:rPr>
                <w:rFonts w:ascii="Times New Roman" w:eastAsia="Arial" w:hAnsi="Times New Roman" w:cs="Times New Roman"/>
                <w:color w:val="222222"/>
              </w:rPr>
            </w:pPr>
            <w:r w:rsidRPr="00192E10">
              <w:rPr>
                <w:rFonts w:ascii="Times New Roman" w:eastAsia="Arial" w:hAnsi="Times New Roman" w:cs="Times New Roman"/>
                <w:color w:val="222222"/>
              </w:rPr>
              <w:t>RR + FJ</w:t>
            </w:r>
          </w:p>
        </w:tc>
        <w:tc>
          <w:tcPr>
            <w:tcW w:w="1419" w:type="pct"/>
            <w:vAlign w:val="bottom"/>
          </w:tcPr>
          <w:p w14:paraId="617900E4"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1.36 ± 0.01</w:t>
            </w:r>
            <w:r w:rsidRPr="00192E10">
              <w:rPr>
                <w:rFonts w:ascii="Times New Roman" w:eastAsia="Arial" w:hAnsi="Times New Roman" w:cs="Times New Roman"/>
                <w:vertAlign w:val="superscript"/>
              </w:rPr>
              <w:t>b</w:t>
            </w:r>
          </w:p>
        </w:tc>
        <w:tc>
          <w:tcPr>
            <w:tcW w:w="1224" w:type="pct"/>
            <w:vAlign w:val="bottom"/>
          </w:tcPr>
          <w:p w14:paraId="7A241393"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 xml:space="preserve">1.37 ± </w:t>
            </w:r>
            <w:proofErr w:type="gramStart"/>
            <w:r w:rsidRPr="00192E10">
              <w:rPr>
                <w:rFonts w:ascii="Times New Roman" w:eastAsia="Arial" w:hAnsi="Times New Roman" w:cs="Times New Roman"/>
              </w:rPr>
              <w:t>0.00</w:t>
            </w:r>
            <w:r w:rsidRPr="00192E10">
              <w:rPr>
                <w:rFonts w:ascii="Times New Roman" w:eastAsia="Arial" w:hAnsi="Times New Roman" w:cs="Times New Roman"/>
                <w:vertAlign w:val="superscript"/>
              </w:rPr>
              <w:t>a.b</w:t>
            </w:r>
            <w:proofErr w:type="gramEnd"/>
          </w:p>
        </w:tc>
        <w:tc>
          <w:tcPr>
            <w:tcW w:w="1201" w:type="pct"/>
            <w:vAlign w:val="bottom"/>
          </w:tcPr>
          <w:p w14:paraId="550FEC0E"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1.41 ± 0.02</w:t>
            </w:r>
            <w:r w:rsidRPr="00192E10">
              <w:rPr>
                <w:rFonts w:ascii="Times New Roman" w:eastAsia="Arial" w:hAnsi="Times New Roman" w:cs="Times New Roman"/>
                <w:vertAlign w:val="superscript"/>
              </w:rPr>
              <w:t>b</w:t>
            </w:r>
          </w:p>
        </w:tc>
      </w:tr>
      <w:tr w:rsidR="007F5FA4" w:rsidRPr="00192E10" w14:paraId="566B0309" w14:textId="77777777" w:rsidTr="009202C2">
        <w:tc>
          <w:tcPr>
            <w:tcW w:w="1156" w:type="pct"/>
            <w:vAlign w:val="bottom"/>
          </w:tcPr>
          <w:p w14:paraId="49CD2329" w14:textId="77777777" w:rsidR="007F5FA4" w:rsidRPr="00192E10" w:rsidRDefault="007F5FA4" w:rsidP="009202C2">
            <w:pPr>
              <w:spacing w:line="240" w:lineRule="auto"/>
              <w:jc w:val="both"/>
              <w:rPr>
                <w:rFonts w:ascii="Times New Roman" w:eastAsia="Arial" w:hAnsi="Times New Roman" w:cs="Times New Roman"/>
                <w:color w:val="222222"/>
              </w:rPr>
            </w:pPr>
            <w:r w:rsidRPr="00192E10">
              <w:rPr>
                <w:rFonts w:ascii="Times New Roman" w:eastAsia="Arial" w:hAnsi="Times New Roman" w:cs="Times New Roman"/>
                <w:color w:val="222222"/>
              </w:rPr>
              <w:t>RR + CU</w:t>
            </w:r>
          </w:p>
        </w:tc>
        <w:tc>
          <w:tcPr>
            <w:tcW w:w="1419" w:type="pct"/>
            <w:vAlign w:val="bottom"/>
          </w:tcPr>
          <w:p w14:paraId="5DCABF9F"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1.49 ± 0.01</w:t>
            </w:r>
            <w:r w:rsidRPr="00192E10">
              <w:rPr>
                <w:rFonts w:ascii="Times New Roman" w:eastAsia="Arial" w:hAnsi="Times New Roman" w:cs="Times New Roman"/>
                <w:vertAlign w:val="superscript"/>
              </w:rPr>
              <w:t>d</w:t>
            </w:r>
          </w:p>
        </w:tc>
        <w:tc>
          <w:tcPr>
            <w:tcW w:w="1224" w:type="pct"/>
            <w:vAlign w:val="bottom"/>
          </w:tcPr>
          <w:p w14:paraId="46262DE6"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1.44 ± 0.01</w:t>
            </w:r>
            <w:r w:rsidRPr="00192E10">
              <w:rPr>
                <w:rFonts w:ascii="Times New Roman" w:eastAsia="Arial" w:hAnsi="Times New Roman" w:cs="Times New Roman"/>
                <w:vertAlign w:val="superscript"/>
              </w:rPr>
              <w:t>c</w:t>
            </w:r>
          </w:p>
        </w:tc>
        <w:tc>
          <w:tcPr>
            <w:tcW w:w="1201" w:type="pct"/>
            <w:vAlign w:val="bottom"/>
          </w:tcPr>
          <w:p w14:paraId="41BBA30D"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1.46 ± 0.00</w:t>
            </w:r>
            <w:r w:rsidRPr="00192E10">
              <w:rPr>
                <w:rFonts w:ascii="Times New Roman" w:eastAsia="Arial" w:hAnsi="Times New Roman" w:cs="Times New Roman"/>
                <w:vertAlign w:val="superscript"/>
              </w:rPr>
              <w:t>b</w:t>
            </w:r>
          </w:p>
        </w:tc>
      </w:tr>
      <w:tr w:rsidR="007F5FA4" w:rsidRPr="00192E10" w14:paraId="76202CF8" w14:textId="77777777" w:rsidTr="009202C2">
        <w:tc>
          <w:tcPr>
            <w:tcW w:w="1156" w:type="pct"/>
            <w:vAlign w:val="bottom"/>
          </w:tcPr>
          <w:p w14:paraId="62605DE3" w14:textId="77777777" w:rsidR="007F5FA4" w:rsidRPr="00192E10" w:rsidRDefault="007F5FA4" w:rsidP="009202C2">
            <w:pPr>
              <w:spacing w:line="240" w:lineRule="auto"/>
              <w:jc w:val="both"/>
              <w:rPr>
                <w:rFonts w:ascii="Times New Roman" w:eastAsia="Arial" w:hAnsi="Times New Roman" w:cs="Times New Roman"/>
                <w:color w:val="222222"/>
              </w:rPr>
            </w:pPr>
            <w:r w:rsidRPr="00192E10">
              <w:rPr>
                <w:rFonts w:ascii="Times New Roman" w:eastAsia="Arial" w:hAnsi="Times New Roman" w:cs="Times New Roman"/>
                <w:color w:val="222222"/>
              </w:rPr>
              <w:t>RR + FJ + CU</w:t>
            </w:r>
          </w:p>
        </w:tc>
        <w:tc>
          <w:tcPr>
            <w:tcW w:w="1419" w:type="pct"/>
            <w:vAlign w:val="bottom"/>
          </w:tcPr>
          <w:p w14:paraId="25FEC3B4"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1.45 ± 0.01</w:t>
            </w:r>
            <w:r w:rsidRPr="00192E10">
              <w:rPr>
                <w:rFonts w:ascii="Times New Roman" w:eastAsia="Arial" w:hAnsi="Times New Roman" w:cs="Times New Roman"/>
                <w:vertAlign w:val="superscript"/>
              </w:rPr>
              <w:t>c</w:t>
            </w:r>
          </w:p>
        </w:tc>
        <w:tc>
          <w:tcPr>
            <w:tcW w:w="1224" w:type="pct"/>
            <w:vAlign w:val="bottom"/>
          </w:tcPr>
          <w:p w14:paraId="39A69BFE"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 xml:space="preserve">1.41 ± </w:t>
            </w:r>
            <w:proofErr w:type="gramStart"/>
            <w:r w:rsidRPr="00192E10">
              <w:rPr>
                <w:rFonts w:ascii="Times New Roman" w:eastAsia="Arial" w:hAnsi="Times New Roman" w:cs="Times New Roman"/>
              </w:rPr>
              <w:t>0.05</w:t>
            </w:r>
            <w:r w:rsidRPr="00192E10">
              <w:rPr>
                <w:rFonts w:ascii="Times New Roman" w:eastAsia="Arial" w:hAnsi="Times New Roman" w:cs="Times New Roman"/>
                <w:vertAlign w:val="superscript"/>
              </w:rPr>
              <w:t>b,c</w:t>
            </w:r>
            <w:proofErr w:type="gramEnd"/>
          </w:p>
        </w:tc>
        <w:tc>
          <w:tcPr>
            <w:tcW w:w="1201" w:type="pct"/>
            <w:vAlign w:val="bottom"/>
          </w:tcPr>
          <w:p w14:paraId="47BB43AD"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1.44 ± 0.00</w:t>
            </w:r>
            <w:r w:rsidRPr="00192E10">
              <w:rPr>
                <w:rFonts w:ascii="Times New Roman" w:eastAsia="Arial" w:hAnsi="Times New Roman" w:cs="Times New Roman"/>
                <w:vertAlign w:val="superscript"/>
              </w:rPr>
              <w:t>b</w:t>
            </w:r>
          </w:p>
        </w:tc>
      </w:tr>
      <w:tr w:rsidR="007F5FA4" w:rsidRPr="00192E10" w14:paraId="649AA242" w14:textId="77777777" w:rsidTr="009202C2">
        <w:tc>
          <w:tcPr>
            <w:tcW w:w="1156" w:type="pct"/>
            <w:vAlign w:val="bottom"/>
          </w:tcPr>
          <w:p w14:paraId="4B6A203A" w14:textId="77777777" w:rsidR="007F5FA4" w:rsidRPr="00192E10" w:rsidRDefault="007F5FA4" w:rsidP="009202C2">
            <w:pPr>
              <w:spacing w:line="240" w:lineRule="auto"/>
              <w:jc w:val="both"/>
              <w:rPr>
                <w:rFonts w:ascii="Times New Roman" w:eastAsia="Arial" w:hAnsi="Times New Roman" w:cs="Times New Roman"/>
                <w:color w:val="222222"/>
              </w:rPr>
            </w:pPr>
            <w:r w:rsidRPr="00192E10">
              <w:rPr>
                <w:rFonts w:ascii="Times New Roman" w:eastAsia="Arial" w:hAnsi="Times New Roman" w:cs="Times New Roman"/>
                <w:color w:val="222222"/>
              </w:rPr>
              <w:t>AKR</w:t>
            </w:r>
          </w:p>
        </w:tc>
        <w:tc>
          <w:tcPr>
            <w:tcW w:w="1419" w:type="pct"/>
            <w:vAlign w:val="bottom"/>
          </w:tcPr>
          <w:p w14:paraId="41632DE8"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2.34 ± 0.01</w:t>
            </w:r>
            <w:r w:rsidRPr="00192E10">
              <w:rPr>
                <w:rFonts w:ascii="Times New Roman" w:eastAsia="Arial" w:hAnsi="Times New Roman" w:cs="Times New Roman"/>
                <w:vertAlign w:val="superscript"/>
              </w:rPr>
              <w:t>a</w:t>
            </w:r>
          </w:p>
        </w:tc>
        <w:tc>
          <w:tcPr>
            <w:tcW w:w="1224" w:type="pct"/>
            <w:vAlign w:val="bottom"/>
          </w:tcPr>
          <w:p w14:paraId="14E4F925"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2.39 ± 0.01</w:t>
            </w:r>
            <w:r w:rsidRPr="00192E10">
              <w:rPr>
                <w:rFonts w:ascii="Times New Roman" w:eastAsia="Arial" w:hAnsi="Times New Roman" w:cs="Times New Roman"/>
                <w:vertAlign w:val="superscript"/>
              </w:rPr>
              <w:t>a</w:t>
            </w:r>
          </w:p>
        </w:tc>
        <w:tc>
          <w:tcPr>
            <w:tcW w:w="1201" w:type="pct"/>
            <w:vAlign w:val="bottom"/>
          </w:tcPr>
          <w:p w14:paraId="2F36CE71"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2.40 ± 0.02</w:t>
            </w:r>
            <w:r w:rsidRPr="00192E10">
              <w:rPr>
                <w:rFonts w:ascii="Times New Roman" w:eastAsia="Arial" w:hAnsi="Times New Roman" w:cs="Times New Roman"/>
                <w:vertAlign w:val="superscript"/>
              </w:rPr>
              <w:t>a</w:t>
            </w:r>
          </w:p>
        </w:tc>
      </w:tr>
      <w:tr w:rsidR="007F5FA4" w:rsidRPr="00192E10" w14:paraId="2A2240E0" w14:textId="77777777" w:rsidTr="009202C2">
        <w:tc>
          <w:tcPr>
            <w:tcW w:w="1156" w:type="pct"/>
            <w:vAlign w:val="bottom"/>
          </w:tcPr>
          <w:p w14:paraId="1B4FBCAF" w14:textId="77777777" w:rsidR="007F5FA4" w:rsidRPr="00192E10" w:rsidRDefault="007F5FA4" w:rsidP="009202C2">
            <w:pPr>
              <w:spacing w:line="240" w:lineRule="auto"/>
              <w:jc w:val="both"/>
              <w:rPr>
                <w:rFonts w:ascii="Times New Roman" w:eastAsia="Arial" w:hAnsi="Times New Roman" w:cs="Times New Roman"/>
                <w:color w:val="222222"/>
              </w:rPr>
            </w:pPr>
            <w:r w:rsidRPr="00192E10">
              <w:rPr>
                <w:rFonts w:ascii="Times New Roman" w:eastAsia="Arial" w:hAnsi="Times New Roman" w:cs="Times New Roman"/>
                <w:color w:val="222222"/>
              </w:rPr>
              <w:t>AKR + FJ</w:t>
            </w:r>
          </w:p>
        </w:tc>
        <w:tc>
          <w:tcPr>
            <w:tcW w:w="1419" w:type="pct"/>
            <w:vAlign w:val="bottom"/>
          </w:tcPr>
          <w:p w14:paraId="5D063EF8"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2.42 ± 0.01</w:t>
            </w:r>
            <w:r w:rsidRPr="00192E10">
              <w:rPr>
                <w:rFonts w:ascii="Times New Roman" w:eastAsia="Arial" w:hAnsi="Times New Roman" w:cs="Times New Roman"/>
                <w:vertAlign w:val="superscript"/>
              </w:rPr>
              <w:t>b</w:t>
            </w:r>
          </w:p>
        </w:tc>
        <w:tc>
          <w:tcPr>
            <w:tcW w:w="1224" w:type="pct"/>
            <w:vAlign w:val="bottom"/>
          </w:tcPr>
          <w:p w14:paraId="53AA8F2D"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2.44 ± 0.01</w:t>
            </w:r>
            <w:r w:rsidRPr="00192E10">
              <w:rPr>
                <w:rFonts w:ascii="Times New Roman" w:eastAsia="Arial" w:hAnsi="Times New Roman" w:cs="Times New Roman"/>
                <w:vertAlign w:val="superscript"/>
              </w:rPr>
              <w:t>b</w:t>
            </w:r>
          </w:p>
        </w:tc>
        <w:tc>
          <w:tcPr>
            <w:tcW w:w="1201" w:type="pct"/>
            <w:vAlign w:val="bottom"/>
          </w:tcPr>
          <w:p w14:paraId="51439E71"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2.46 ± 0.01</w:t>
            </w:r>
            <w:r w:rsidRPr="00192E10">
              <w:rPr>
                <w:rFonts w:ascii="Times New Roman" w:eastAsia="Arial" w:hAnsi="Times New Roman" w:cs="Times New Roman"/>
                <w:vertAlign w:val="superscript"/>
              </w:rPr>
              <w:t>b</w:t>
            </w:r>
          </w:p>
        </w:tc>
      </w:tr>
      <w:tr w:rsidR="007F5FA4" w:rsidRPr="00192E10" w14:paraId="0A90D165" w14:textId="77777777" w:rsidTr="009202C2">
        <w:tc>
          <w:tcPr>
            <w:tcW w:w="1156" w:type="pct"/>
            <w:vAlign w:val="bottom"/>
          </w:tcPr>
          <w:p w14:paraId="7F1F9375" w14:textId="77777777" w:rsidR="007F5FA4" w:rsidRPr="00192E10" w:rsidRDefault="007F5FA4" w:rsidP="009202C2">
            <w:pPr>
              <w:spacing w:line="240" w:lineRule="auto"/>
              <w:jc w:val="both"/>
              <w:rPr>
                <w:rFonts w:ascii="Times New Roman" w:eastAsia="Arial" w:hAnsi="Times New Roman" w:cs="Times New Roman"/>
                <w:color w:val="222222"/>
              </w:rPr>
            </w:pPr>
            <w:r w:rsidRPr="00192E10">
              <w:rPr>
                <w:rFonts w:ascii="Times New Roman" w:eastAsia="Arial" w:hAnsi="Times New Roman" w:cs="Times New Roman"/>
                <w:color w:val="222222"/>
              </w:rPr>
              <w:t>AKR + CU</w:t>
            </w:r>
          </w:p>
        </w:tc>
        <w:tc>
          <w:tcPr>
            <w:tcW w:w="1419" w:type="pct"/>
            <w:vAlign w:val="bottom"/>
          </w:tcPr>
          <w:p w14:paraId="7968F7A5"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2.52 ± 0.01</w:t>
            </w:r>
            <w:r w:rsidRPr="00192E10">
              <w:rPr>
                <w:rFonts w:ascii="Times New Roman" w:eastAsia="Arial" w:hAnsi="Times New Roman" w:cs="Times New Roman"/>
                <w:vertAlign w:val="superscript"/>
              </w:rPr>
              <w:t>d</w:t>
            </w:r>
          </w:p>
        </w:tc>
        <w:tc>
          <w:tcPr>
            <w:tcW w:w="1224" w:type="pct"/>
            <w:vAlign w:val="bottom"/>
          </w:tcPr>
          <w:p w14:paraId="4AF176CB"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2.52 ± 0.02</w:t>
            </w:r>
            <w:r w:rsidRPr="00192E10">
              <w:rPr>
                <w:rFonts w:ascii="Times New Roman" w:eastAsia="Arial" w:hAnsi="Times New Roman" w:cs="Times New Roman"/>
                <w:vertAlign w:val="superscript"/>
              </w:rPr>
              <w:t>c</w:t>
            </w:r>
          </w:p>
        </w:tc>
        <w:tc>
          <w:tcPr>
            <w:tcW w:w="1201" w:type="pct"/>
            <w:vAlign w:val="bottom"/>
          </w:tcPr>
          <w:p w14:paraId="2C671B58"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2.53 ± 0.01</w:t>
            </w:r>
            <w:r w:rsidRPr="00192E10">
              <w:rPr>
                <w:rFonts w:ascii="Times New Roman" w:eastAsia="Arial" w:hAnsi="Times New Roman" w:cs="Times New Roman"/>
                <w:vertAlign w:val="superscript"/>
              </w:rPr>
              <w:t>c</w:t>
            </w:r>
          </w:p>
        </w:tc>
      </w:tr>
      <w:tr w:rsidR="007F5FA4" w:rsidRPr="00192E10" w14:paraId="4D5FA4AF" w14:textId="77777777" w:rsidTr="009202C2">
        <w:tc>
          <w:tcPr>
            <w:tcW w:w="1156" w:type="pct"/>
            <w:vAlign w:val="bottom"/>
          </w:tcPr>
          <w:p w14:paraId="70BDBBAC" w14:textId="77777777" w:rsidR="007F5FA4" w:rsidRPr="00192E10" w:rsidRDefault="007F5FA4" w:rsidP="009202C2">
            <w:pPr>
              <w:spacing w:line="240" w:lineRule="auto"/>
              <w:jc w:val="both"/>
              <w:rPr>
                <w:rFonts w:ascii="Times New Roman" w:eastAsia="Arial" w:hAnsi="Times New Roman" w:cs="Times New Roman"/>
                <w:color w:val="222222"/>
              </w:rPr>
            </w:pPr>
            <w:r w:rsidRPr="00192E10">
              <w:rPr>
                <w:rFonts w:ascii="Times New Roman" w:eastAsia="Arial" w:hAnsi="Times New Roman" w:cs="Times New Roman"/>
                <w:color w:val="222222"/>
              </w:rPr>
              <w:t>AKR + FJ + CU</w:t>
            </w:r>
          </w:p>
        </w:tc>
        <w:tc>
          <w:tcPr>
            <w:tcW w:w="1419" w:type="pct"/>
            <w:vAlign w:val="bottom"/>
          </w:tcPr>
          <w:p w14:paraId="39D5A73A"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2.48 ± 0.01</w:t>
            </w:r>
            <w:r w:rsidRPr="00192E10">
              <w:rPr>
                <w:rFonts w:ascii="Times New Roman" w:eastAsia="Arial" w:hAnsi="Times New Roman" w:cs="Times New Roman"/>
                <w:vertAlign w:val="superscript"/>
              </w:rPr>
              <w:t>c</w:t>
            </w:r>
          </w:p>
        </w:tc>
        <w:tc>
          <w:tcPr>
            <w:tcW w:w="1224" w:type="pct"/>
            <w:vAlign w:val="bottom"/>
          </w:tcPr>
          <w:p w14:paraId="547D2BB8"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2.50 ± 0.01</w:t>
            </w:r>
            <w:r w:rsidRPr="00192E10">
              <w:rPr>
                <w:rFonts w:ascii="Times New Roman" w:eastAsia="Arial" w:hAnsi="Times New Roman" w:cs="Times New Roman"/>
                <w:vertAlign w:val="superscript"/>
              </w:rPr>
              <w:t>c</w:t>
            </w:r>
          </w:p>
        </w:tc>
        <w:tc>
          <w:tcPr>
            <w:tcW w:w="1201" w:type="pct"/>
            <w:vAlign w:val="bottom"/>
          </w:tcPr>
          <w:p w14:paraId="61030EE7" w14:textId="77777777" w:rsidR="007F5FA4" w:rsidRPr="00192E10" w:rsidRDefault="007F5FA4" w:rsidP="009202C2">
            <w:pPr>
              <w:spacing w:line="240" w:lineRule="auto"/>
              <w:jc w:val="both"/>
              <w:rPr>
                <w:rFonts w:ascii="Times New Roman" w:eastAsia="Arial" w:hAnsi="Times New Roman" w:cs="Times New Roman"/>
              </w:rPr>
            </w:pPr>
            <w:r w:rsidRPr="00192E10">
              <w:rPr>
                <w:rFonts w:ascii="Times New Roman" w:eastAsia="Arial" w:hAnsi="Times New Roman" w:cs="Times New Roman"/>
              </w:rPr>
              <w:t>2.51 ± 0.01</w:t>
            </w:r>
            <w:r w:rsidRPr="00192E10">
              <w:rPr>
                <w:rFonts w:ascii="Times New Roman" w:eastAsia="Arial" w:hAnsi="Times New Roman" w:cs="Times New Roman"/>
                <w:vertAlign w:val="superscript"/>
              </w:rPr>
              <w:t>c</w:t>
            </w:r>
          </w:p>
        </w:tc>
      </w:tr>
    </w:tbl>
    <w:p w14:paraId="693DB593" w14:textId="77777777" w:rsidR="007F5FA4" w:rsidRPr="00192E10" w:rsidRDefault="007F5FA4" w:rsidP="007F5FA4">
      <w:pPr>
        <w:spacing w:after="0" w:line="240" w:lineRule="auto"/>
        <w:jc w:val="both"/>
        <w:rPr>
          <w:rFonts w:ascii="Times New Roman" w:eastAsia="Arial" w:hAnsi="Times New Roman" w:cs="Times New Roman"/>
        </w:rPr>
      </w:pPr>
      <w:proofErr w:type="spellStart"/>
      <w:proofErr w:type="gramStart"/>
      <w:r w:rsidRPr="00192E10">
        <w:rPr>
          <w:rFonts w:ascii="Times New Roman" w:eastAsia="Arial" w:hAnsi="Times New Roman" w:cs="Times New Roman"/>
        </w:rPr>
        <w:t>a,b</w:t>
      </w:r>
      <w:proofErr w:type="gramEnd"/>
      <w:r w:rsidRPr="00192E10">
        <w:rPr>
          <w:rFonts w:ascii="Times New Roman" w:eastAsia="Arial" w:hAnsi="Times New Roman" w:cs="Times New Roman"/>
        </w:rPr>
        <w:t>,</w:t>
      </w:r>
      <w:proofErr w:type="gramStart"/>
      <w:r w:rsidRPr="00192E10">
        <w:rPr>
          <w:rFonts w:ascii="Times New Roman" w:eastAsia="Arial" w:hAnsi="Times New Roman" w:cs="Times New Roman"/>
        </w:rPr>
        <w:t>c,d</w:t>
      </w:r>
      <w:proofErr w:type="spellEnd"/>
      <w:proofErr w:type="gramEnd"/>
      <w:r w:rsidRPr="00192E10">
        <w:rPr>
          <w:rFonts w:ascii="Times New Roman" w:eastAsia="Arial" w:hAnsi="Times New Roman" w:cs="Times New Roman"/>
        </w:rPr>
        <w:t xml:space="preserve"> denotes the significant difference at </w:t>
      </w:r>
      <w:r w:rsidRPr="00192E10">
        <w:rPr>
          <w:rFonts w:ascii="Times New Roman" w:eastAsia="Arial" w:hAnsi="Times New Roman" w:cs="Times New Roman"/>
          <w:i/>
          <w:iCs/>
        </w:rPr>
        <w:t>p&lt;0.05</w:t>
      </w:r>
      <w:r w:rsidRPr="00192E10">
        <w:rPr>
          <w:rFonts w:ascii="Times New Roman" w:eastAsia="Arial" w:hAnsi="Times New Roman" w:cs="Times New Roman"/>
        </w:rPr>
        <w:t xml:space="preserve"> level.</w:t>
      </w:r>
    </w:p>
    <w:p w14:paraId="7F6BA6BC" w14:textId="78DABFB8" w:rsidR="007F5FA4" w:rsidRPr="00192E10" w:rsidRDefault="007F5FA4" w:rsidP="007F5FA4">
      <w:pPr>
        <w:spacing w:after="0" w:line="240" w:lineRule="auto"/>
        <w:jc w:val="both"/>
        <w:rPr>
          <w:rFonts w:ascii="Times New Roman" w:eastAsia="Times New Roman" w:hAnsi="Times New Roman" w:cs="Times New Roman"/>
        </w:rPr>
      </w:pPr>
      <w:r w:rsidRPr="00192E10">
        <w:rPr>
          <w:rFonts w:ascii="Times New Roman" w:eastAsia="Times New Roman" w:hAnsi="Times New Roman" w:cs="Times New Roman"/>
        </w:rPr>
        <w:t xml:space="preserve">Table 5 presents the dialysable, bioaccessible, and residual iron fractions for the four rice-based dishes—Curry Leaves Chutney with Rice (CLR), Mint Leaves Chutney with Rice (MCR), Tamarind Rasam with Rice (RR), and Red Amaranth Kadayal with Rice (AKR)—under four treatment conditions: control (base recipe only), fruit juice addition (FJ; </w:t>
      </w:r>
      <w:r w:rsidRPr="00192E10">
        <w:rPr>
          <w:rFonts w:ascii="Times New Roman" w:eastAsia="Times New Roman" w:hAnsi="Times New Roman" w:cs="Times New Roman"/>
          <w:i/>
        </w:rPr>
        <w:t>Emblica officinalis</w:t>
      </w:r>
      <w:r w:rsidRPr="00192E10">
        <w:rPr>
          <w:rFonts w:ascii="Times New Roman" w:eastAsia="Times New Roman" w:hAnsi="Times New Roman" w:cs="Times New Roman"/>
        </w:rPr>
        <w:t xml:space="preserve"> juice), curd addition (CU), and combined FJ + CU treatment. The data show that the addition of FJ, CU, or FJ + CU shifted iron partitioning towards the bioaccessible and dialysable fractions. This suggests that both the acidic, ascorbate-rich juice and the curd improved iron solubilisation and dialysability from the rice-based matrices under simulated gastrointestinal conditions. Across all recipes, the CU-treated samples consistently showed the highest bioaccessible and in vitro dialysable iron values, indicating that curd-associated pH and metabolite effects were greater than the effect of fruit juice acidity alone in mobilising iron from cereal–legume–leaf meal matrices (Pawale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2025; </w:t>
      </w:r>
      <w:r w:rsidR="00421268" w:rsidRPr="00421268">
        <w:rPr>
          <w:rFonts w:ascii="Times New Roman" w:eastAsia="Times New Roman" w:hAnsi="Times New Roman" w:cs="Times New Roman"/>
        </w:rPr>
        <w:t>Zhang</w:t>
      </w:r>
      <w:r w:rsidR="00421268">
        <w:rPr>
          <w:rFonts w:ascii="Times New Roman" w:eastAsia="Times New Roman" w:hAnsi="Times New Roman" w:cs="Times New Roman"/>
        </w:rPr>
        <w:t xml:space="preserve"> et al.</w:t>
      </w:r>
      <w:r w:rsidRPr="00192E10">
        <w:rPr>
          <w:rFonts w:ascii="Times New Roman" w:eastAsia="Times New Roman" w:hAnsi="Times New Roman" w:cs="Times New Roman"/>
        </w:rPr>
        <w:t>, 202</w:t>
      </w:r>
      <w:r w:rsidR="00421268">
        <w:rPr>
          <w:rFonts w:ascii="Times New Roman" w:eastAsia="Times New Roman" w:hAnsi="Times New Roman" w:cs="Times New Roman"/>
        </w:rPr>
        <w:t>1</w:t>
      </w:r>
      <w:r w:rsidRPr="00192E10">
        <w:rPr>
          <w:rFonts w:ascii="Times New Roman" w:eastAsia="Times New Roman" w:hAnsi="Times New Roman" w:cs="Times New Roman"/>
        </w:rPr>
        <w:t>).</w:t>
      </w:r>
    </w:p>
    <w:p w14:paraId="5FE86E6F" w14:textId="77777777" w:rsidR="007F5FA4" w:rsidRPr="00192E10" w:rsidRDefault="007F5FA4" w:rsidP="007F5FA4">
      <w:pPr>
        <w:spacing w:after="0" w:line="240" w:lineRule="auto"/>
        <w:jc w:val="both"/>
        <w:rPr>
          <w:rFonts w:ascii="Times New Roman" w:eastAsia="Times New Roman" w:hAnsi="Times New Roman" w:cs="Times New Roman"/>
        </w:rPr>
      </w:pPr>
      <w:r w:rsidRPr="00192E10">
        <w:rPr>
          <w:rFonts w:ascii="Times New Roman" w:eastAsia="Times New Roman" w:hAnsi="Times New Roman" w:cs="Times New Roman"/>
        </w:rPr>
        <w:t xml:space="preserve">The dialysable iron fraction (2.1–2.2 mg) and bioaccessible iron level (2.08 mg) in the CLR and MCR control samples were comparable, indicating similar iron-density profiles and matrix compositions in the two leafy chutney–rice systems. The ferric-reducing and chelating activities of ascorbic acid and organic acids from </w:t>
      </w:r>
      <w:r w:rsidRPr="00192E10">
        <w:rPr>
          <w:rFonts w:ascii="Times New Roman" w:eastAsia="Times New Roman" w:hAnsi="Times New Roman" w:cs="Times New Roman"/>
          <w:i/>
        </w:rPr>
        <w:t>Emblica officinalis</w:t>
      </w:r>
      <w:r w:rsidRPr="00192E10">
        <w:rPr>
          <w:rFonts w:ascii="Times New Roman" w:eastAsia="Times New Roman" w:hAnsi="Times New Roman" w:cs="Times New Roman"/>
        </w:rPr>
        <w:t xml:space="preserve">, which can convert Fe³⁺ to the more soluble Fe²⁺ form and partially mitigate binding to phytate-rich residues, are consistent with the small but significant increases in bioaccessibility and the dialysable iron </w:t>
      </w:r>
      <w:r w:rsidRPr="00192E10">
        <w:rPr>
          <w:rFonts w:ascii="Times New Roman" w:eastAsia="Times New Roman" w:hAnsi="Times New Roman" w:cs="Times New Roman"/>
        </w:rPr>
        <w:lastRenderedPageBreak/>
        <w:t xml:space="preserve">fraction observed following FJ addition (Zhang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2021; Hassan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2025; Kalantre </w:t>
      </w:r>
      <w:r w:rsidRPr="00192E10">
        <w:rPr>
          <w:rFonts w:ascii="Times New Roman" w:eastAsia="Times New Roman" w:hAnsi="Times New Roman" w:cs="Times New Roman"/>
          <w:i/>
        </w:rPr>
        <w:t>et al.</w:t>
      </w:r>
      <w:r w:rsidRPr="00192E10">
        <w:rPr>
          <w:rFonts w:ascii="Times New Roman" w:eastAsia="Times New Roman" w:hAnsi="Times New Roman" w:cs="Times New Roman"/>
        </w:rPr>
        <w:t>, 2026).</w:t>
      </w:r>
    </w:p>
    <w:p w14:paraId="72E18724" w14:textId="77777777" w:rsidR="007F5FA4" w:rsidRPr="00192E10" w:rsidRDefault="007F5FA4" w:rsidP="007F5FA4">
      <w:pPr>
        <w:spacing w:after="0" w:line="240" w:lineRule="auto"/>
        <w:jc w:val="both"/>
        <w:rPr>
          <w:rFonts w:ascii="Times New Roman" w:eastAsia="Times New Roman" w:hAnsi="Times New Roman" w:cs="Times New Roman"/>
        </w:rPr>
      </w:pPr>
      <w:r w:rsidRPr="00192E10">
        <w:rPr>
          <w:rFonts w:ascii="Times New Roman" w:eastAsia="Times New Roman" w:hAnsi="Times New Roman" w:cs="Times New Roman"/>
        </w:rPr>
        <w:t xml:space="preserve">The proposition that curd-derived probiotics improve iron solubilisation by lowering intestinal pH and increasing ferric-reducing activity is supported by the significantly greater increases observed with CU treatment. CLR + CU recorded 2.24 mg of bioaccessible iron and 2.30 mg of dialysable iron, whereas MCR + CU attained 2.33 mg of bioaccessible iron and 2.13 mg of dialysable iron (Rusu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2020; Ciont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2025). The combined FJ + CU treatment produced intermediate values that were higher than those of the control and FJ-only treatments but lower than those of CU alone. This pattern suggests a non-additive interaction between the two treatments (Sun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2024; Hu </w:t>
      </w:r>
      <w:r w:rsidRPr="00192E10">
        <w:rPr>
          <w:rFonts w:ascii="Times New Roman" w:eastAsia="Times New Roman" w:hAnsi="Times New Roman" w:cs="Times New Roman"/>
          <w:i/>
        </w:rPr>
        <w:t>et al.</w:t>
      </w:r>
      <w:r w:rsidRPr="00192E10">
        <w:rPr>
          <w:rFonts w:ascii="Times New Roman" w:eastAsia="Times New Roman" w:hAnsi="Times New Roman" w:cs="Times New Roman"/>
        </w:rPr>
        <w:t>, 2024).</w:t>
      </w:r>
    </w:p>
    <w:p w14:paraId="510A62B8" w14:textId="77777777" w:rsidR="007F5FA4" w:rsidRPr="00192E10" w:rsidRDefault="007F5FA4" w:rsidP="007F5FA4">
      <w:pPr>
        <w:spacing w:after="0" w:line="240" w:lineRule="auto"/>
        <w:jc w:val="both"/>
        <w:rPr>
          <w:rFonts w:ascii="Times New Roman" w:hAnsi="Times New Roman" w:cs="Times New Roman"/>
        </w:rPr>
      </w:pPr>
      <w:r w:rsidRPr="00192E10">
        <w:rPr>
          <w:rFonts w:ascii="Times New Roman" w:eastAsia="Times New Roman" w:hAnsi="Times New Roman" w:cs="Times New Roman"/>
        </w:rPr>
        <w:t>For RR, the lower absolute bioaccessible and dialysable iron fractions (1.3–1.4 mg in the control) reflect the lower baseline total iron content (4.72 mg per serving); however, the same directional pattern was observed. FJ, CU, and FJ + CU increased both fractions, with CU again producing the largest effect. This finding suggests that curd enhanced iron solubilisation even in a tamarind-dominated rasam matrix, in which the iron content was lower and the acid load was already high. This effect may be associated with modification of the physicochemical environment at the interface between the liquid rasam and the rice grains. The CU-enriched sample (AKR + CU) reached the highest values (2.52 mg for each fraction), supporting the role of curd in enhancing the dialysable iron fraction under simulated gastrointestinal conditions. AKR, which had the highest total iron content (8.417 mg per serving), also showed the largest absolute bioaccessible and dialysable iron values.</w:t>
      </w:r>
    </w:p>
    <w:p w14:paraId="167A0364" w14:textId="77777777" w:rsidR="007F5FA4" w:rsidRPr="00192E10" w:rsidRDefault="007F5FA4" w:rsidP="007F5FA4">
      <w:pPr>
        <w:spacing w:after="0" w:line="240" w:lineRule="auto"/>
        <w:jc w:val="both"/>
        <w:rPr>
          <w:rFonts w:ascii="Times New Roman" w:hAnsi="Times New Roman" w:cs="Times New Roman"/>
        </w:rPr>
      </w:pPr>
      <w:r w:rsidRPr="00192E10">
        <w:rPr>
          <w:rFonts w:ascii="Times New Roman" w:eastAsia="Times New Roman" w:hAnsi="Times New Roman" w:cs="Times New Roman"/>
        </w:rPr>
        <w:t xml:space="preserve">Despite simulated gastric and intestinal digestion, a small but consistent fraction of iron remained in the residual solid fraction across all recipes, suggesting that not all iron was released from the phytate- and fibre-rich cereal–legume–leaf matrix. Rather than being fully precipitated or strongly chelated, iron may have persisted in a more soluble or weakly bound form within the digestible matrix, as indicated by the modest increase in residual iron observed in CU-treated samples. This behaviour may be associated with probiotic-mediated pH regulation and the production of microbial metabolites, such as organic acids, which support iron solubility and reduce precipitation during the intestinal phase (Skrypnik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2019; Vonderheid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2019; Bermúdez-Humarán </w:t>
      </w:r>
      <w:r w:rsidRPr="00192E10">
        <w:rPr>
          <w:rFonts w:ascii="Times New Roman" w:eastAsia="Times New Roman" w:hAnsi="Times New Roman" w:cs="Times New Roman"/>
          <w:i/>
        </w:rPr>
        <w:t>et al.</w:t>
      </w:r>
      <w:r w:rsidRPr="00192E10">
        <w:rPr>
          <w:rFonts w:ascii="Times New Roman" w:eastAsia="Times New Roman" w:hAnsi="Times New Roman" w:cs="Times New Roman"/>
        </w:rPr>
        <w:t>, 2024).</w:t>
      </w:r>
    </w:p>
    <w:p w14:paraId="61E0BEEF" w14:textId="77777777" w:rsidR="007F5FA4" w:rsidRPr="00192E10" w:rsidRDefault="007F5FA4" w:rsidP="007F5FA4">
      <w:pPr>
        <w:spacing w:after="0" w:line="240" w:lineRule="auto"/>
        <w:jc w:val="both"/>
        <w:rPr>
          <w:rFonts w:ascii="Times New Roman" w:eastAsia="Arial" w:hAnsi="Times New Roman" w:cs="Times New Roman"/>
          <w:b/>
          <w:bCs/>
        </w:rPr>
      </w:pPr>
      <w:r w:rsidRPr="00192E10">
        <w:rPr>
          <w:rFonts w:ascii="Times New Roman" w:hAnsi="Times New Roman" w:cs="Times New Roman"/>
          <w:noProof/>
        </w:rPr>
        <w:drawing>
          <wp:inline distT="0" distB="0" distL="0" distR="0" wp14:anchorId="366D0B48" wp14:editId="10569955">
            <wp:extent cx="5731510" cy="2407920"/>
            <wp:effectExtent l="0" t="0" r="2540" b="11430"/>
            <wp:docPr id="1870091175" name="Chart 1">
              <a:extLst xmlns:a="http://schemas.openxmlformats.org/drawingml/2006/main">
                <a:ext uri="{FF2B5EF4-FFF2-40B4-BE49-F238E27FC236}">
                  <a16:creationId xmlns:a16="http://schemas.microsoft.com/office/drawing/2014/main" id="{413EDA27-50F7-6274-7F94-17F8B9F04D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609CC17" w14:textId="77777777" w:rsidR="007F5FA4" w:rsidRPr="00192E10" w:rsidRDefault="007F5FA4" w:rsidP="007F5FA4">
      <w:pPr>
        <w:spacing w:after="0" w:line="240" w:lineRule="auto"/>
        <w:jc w:val="center"/>
        <w:rPr>
          <w:rFonts w:ascii="Times New Roman" w:eastAsia="Arial" w:hAnsi="Times New Roman" w:cs="Times New Roman"/>
          <w:b/>
          <w:bCs/>
        </w:rPr>
      </w:pPr>
      <w:r w:rsidRPr="00192E10">
        <w:rPr>
          <w:rFonts w:ascii="Times New Roman" w:eastAsia="Arial" w:hAnsi="Times New Roman" w:cs="Times New Roman"/>
          <w:b/>
          <w:bCs/>
        </w:rPr>
        <w:t xml:space="preserve">Fig.1: Percentage of In vitro </w:t>
      </w:r>
      <w:r w:rsidR="002936B9" w:rsidRPr="00192E10">
        <w:rPr>
          <w:rFonts w:ascii="Times New Roman" w:eastAsia="Times New Roman" w:hAnsi="Times New Roman" w:cs="Times New Roman"/>
          <w:b/>
          <w:bCs/>
        </w:rPr>
        <w:t>Dialyzable Iron Fraction</w:t>
      </w:r>
      <w:r w:rsidRPr="00192E10">
        <w:rPr>
          <w:rFonts w:ascii="Times New Roman" w:eastAsia="Arial" w:hAnsi="Times New Roman" w:cs="Times New Roman"/>
          <w:b/>
          <w:bCs/>
        </w:rPr>
        <w:t xml:space="preserve">, </w:t>
      </w:r>
      <w:proofErr w:type="spellStart"/>
      <w:r w:rsidRPr="00192E10">
        <w:rPr>
          <w:rFonts w:ascii="Times New Roman" w:eastAsia="Arial" w:hAnsi="Times New Roman" w:cs="Times New Roman"/>
          <w:b/>
          <w:bCs/>
        </w:rPr>
        <w:t>Bioaccessibility</w:t>
      </w:r>
      <w:proofErr w:type="spellEnd"/>
      <w:r w:rsidRPr="00192E10">
        <w:rPr>
          <w:rFonts w:ascii="Times New Roman" w:eastAsia="Arial" w:hAnsi="Times New Roman" w:cs="Times New Roman"/>
          <w:b/>
          <w:bCs/>
        </w:rPr>
        <w:t xml:space="preserve"> and Residual Iron Content of selected recipes</w:t>
      </w:r>
    </w:p>
    <w:p w14:paraId="40E74C19" w14:textId="77777777" w:rsidR="007F5FA4" w:rsidRPr="00192E10" w:rsidRDefault="007F5FA4" w:rsidP="007F5FA4">
      <w:pPr>
        <w:spacing w:after="0" w:line="240" w:lineRule="auto"/>
        <w:jc w:val="both"/>
        <w:rPr>
          <w:rFonts w:ascii="Times New Roman" w:eastAsia="Times New Roman" w:hAnsi="Times New Roman" w:cs="Times New Roman"/>
        </w:rPr>
      </w:pPr>
      <w:r w:rsidRPr="00192E10">
        <w:rPr>
          <w:rFonts w:ascii="Times New Roman" w:eastAsia="Times New Roman" w:hAnsi="Times New Roman" w:cs="Times New Roman"/>
        </w:rPr>
        <w:t xml:space="preserve">Figure 1 shows the percentage distribution of dialysable, bioaccessible, and residual iron in the selected recipes. The percentages of dialysable and bioaccessible iron in CU-treated samples were significantly greater than those in the corresponding control samples. RR + CU, CLR + CU, and MCR + CU showed high percentage bioaccessible iron values, suggesting that CU </w:t>
      </w:r>
      <w:r w:rsidRPr="00192E10">
        <w:rPr>
          <w:rFonts w:ascii="Times New Roman" w:eastAsia="Times New Roman" w:hAnsi="Times New Roman" w:cs="Times New Roman"/>
        </w:rPr>
        <w:lastRenderedPageBreak/>
        <w:t xml:space="preserve">supplementation enhanced iron release during simulated gastrointestinal digestion. Improved mineral solubilisation and reduced interactions with inhibitory substances in the food matrix may have contributed to the increased iron release (Shahidi &amp; Pan, 2022; Punetha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2026). According to Dini (2026), fermentation-derived organic acids and probiotic activity improve iron solubility by lowering pH and maintaining iron in a soluble form throughout digestion. Liu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(2026) further reported that lactic acid bacterial fermentation increased the antioxidant activity of wheat germ extract during in vitro and in vivo digestion.</w:t>
      </w:r>
    </w:p>
    <w:p w14:paraId="045F2856" w14:textId="77777777" w:rsidR="007F5FA4" w:rsidRPr="00192E10" w:rsidRDefault="007F5FA4" w:rsidP="007F5FA4">
      <w:pPr>
        <w:spacing w:after="0" w:line="240" w:lineRule="auto"/>
        <w:jc w:val="both"/>
        <w:rPr>
          <w:rFonts w:ascii="Times New Roman" w:eastAsia="Times New Roman" w:hAnsi="Times New Roman" w:cs="Times New Roman"/>
        </w:rPr>
      </w:pPr>
      <w:r w:rsidRPr="00192E10">
        <w:rPr>
          <w:rFonts w:ascii="Times New Roman" w:eastAsia="Times New Roman" w:hAnsi="Times New Roman" w:cs="Times New Roman"/>
        </w:rPr>
        <w:t>Similarly, the dialysable iron fraction increased in CU-treated samples, indicating that a greater proportion of iron diffused across the dialysis membrane and remained potentially available for absorption under simulated gastrointestinal conditions. All treatments showed modest residual iron values, indicating that only a small proportion remained in the residual fraction after digestion. The modest increase in residual iron observed in CU-treated samples suggests that some iron may have remained loosely bound rather than being fully precipitated. This phenomenon may be associated with probiotic-mediated pH modulation and microbial metabolite production, which can reduce iron precipitation and enhance mineral stability during digestion.</w:t>
      </w:r>
    </w:p>
    <w:p w14:paraId="519B2922" w14:textId="77777777" w:rsidR="007F5FA4" w:rsidRPr="00192E10" w:rsidRDefault="007F5FA4" w:rsidP="007F5FA4">
      <w:pPr>
        <w:spacing w:after="0" w:line="240" w:lineRule="auto"/>
        <w:jc w:val="both"/>
        <w:rPr>
          <w:rFonts w:ascii="Times New Roman" w:eastAsia="Times New Roman" w:hAnsi="Times New Roman" w:cs="Times New Roman"/>
        </w:rPr>
      </w:pPr>
    </w:p>
    <w:p w14:paraId="4885D88A" w14:textId="77777777" w:rsidR="007F5FA4" w:rsidRPr="00192E10" w:rsidRDefault="007F5FA4" w:rsidP="007F5FA4">
      <w:pPr>
        <w:spacing w:after="0" w:line="240" w:lineRule="auto"/>
        <w:jc w:val="center"/>
        <w:rPr>
          <w:rFonts w:ascii="Times New Roman" w:eastAsia="Arial" w:hAnsi="Times New Roman" w:cs="Times New Roman"/>
          <w:b/>
          <w:bCs/>
        </w:rPr>
      </w:pPr>
      <w:r w:rsidRPr="00192E10">
        <w:rPr>
          <w:rFonts w:ascii="Times New Roman" w:hAnsi="Times New Roman" w:cs="Times New Roman"/>
          <w:noProof/>
        </w:rPr>
        <w:drawing>
          <wp:inline distT="0" distB="0" distL="0" distR="0" wp14:anchorId="654512FD" wp14:editId="25F66E32">
            <wp:extent cx="4572000" cy="2743200"/>
            <wp:effectExtent l="0" t="0" r="0" b="0"/>
            <wp:docPr id="1076169525" name="Chart 1">
              <a:extLst xmlns:a="http://schemas.openxmlformats.org/drawingml/2006/main">
                <a:ext uri="{FF2B5EF4-FFF2-40B4-BE49-F238E27FC236}">
                  <a16:creationId xmlns:a16="http://schemas.microsoft.com/office/drawing/2014/main" id="{1719F361-42E9-A4E1-B17D-600E920E6D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D10225" w14:textId="77777777" w:rsidR="007F5FA4" w:rsidRPr="00192E10" w:rsidRDefault="007F5FA4" w:rsidP="007F5FA4">
      <w:pPr>
        <w:spacing w:after="0" w:line="240" w:lineRule="auto"/>
        <w:jc w:val="center"/>
        <w:rPr>
          <w:rFonts w:ascii="Times New Roman" w:eastAsia="Arial" w:hAnsi="Times New Roman" w:cs="Times New Roman"/>
          <w:b/>
          <w:bCs/>
        </w:rPr>
      </w:pPr>
      <w:r w:rsidRPr="00192E10">
        <w:rPr>
          <w:rFonts w:ascii="Times New Roman" w:eastAsia="Arial" w:hAnsi="Times New Roman" w:cs="Times New Roman"/>
          <w:b/>
          <w:bCs/>
        </w:rPr>
        <w:t>Fig.2: Mass Balance</w:t>
      </w:r>
    </w:p>
    <w:p w14:paraId="5A4C2161" w14:textId="77777777" w:rsidR="007F5FA4" w:rsidRPr="00192E10" w:rsidRDefault="007F5FA4" w:rsidP="007F5FA4">
      <w:pPr>
        <w:spacing w:after="0" w:line="240" w:lineRule="auto"/>
        <w:jc w:val="both"/>
        <w:rPr>
          <w:rFonts w:ascii="Times New Roman" w:eastAsia="Times New Roman" w:hAnsi="Times New Roman" w:cs="Times New Roman"/>
        </w:rPr>
      </w:pPr>
      <w:r w:rsidRPr="00192E10">
        <w:rPr>
          <w:rFonts w:ascii="Times New Roman" w:eastAsia="Times New Roman" w:hAnsi="Times New Roman" w:cs="Times New Roman"/>
        </w:rPr>
        <w:t xml:space="preserve">The mass-balance analysis shown in Figure 2 yielded iron recovery values ranging from 87.43% to 99.10% across the formulations. These values indicate that most of the iron was recovered during in vitro digestion and quantification. CU-supplemented samples generally showed marginally higher recovery than their corresponding control samples, indicating greater iron retention within the measured fractions. This increase may be associated with improved iron solubilisation and stability in the simulated gastrointestinal environment. Comparable recovery ranges have been considered acceptable in mineral bioaccessibility studies using simulated digestion models (Affonfere </w:t>
      </w:r>
      <w:r w:rsidRPr="00192E10">
        <w:rPr>
          <w:rFonts w:ascii="Times New Roman" w:eastAsia="Times New Roman" w:hAnsi="Times New Roman" w:cs="Times New Roman"/>
          <w:i/>
        </w:rPr>
        <w:t>et al.</w:t>
      </w:r>
      <w:r w:rsidRPr="00192E10">
        <w:rPr>
          <w:rFonts w:ascii="Times New Roman" w:eastAsia="Times New Roman" w:hAnsi="Times New Roman" w:cs="Times New Roman"/>
        </w:rPr>
        <w:t xml:space="preserve">, 2023; Bawiec </w:t>
      </w:r>
      <w:r w:rsidRPr="00192E10">
        <w:rPr>
          <w:rFonts w:ascii="Times New Roman" w:eastAsia="Times New Roman" w:hAnsi="Times New Roman" w:cs="Times New Roman"/>
          <w:i/>
        </w:rPr>
        <w:t>et al.</w:t>
      </w:r>
      <w:r w:rsidRPr="00192E10">
        <w:rPr>
          <w:rFonts w:ascii="Times New Roman" w:eastAsia="Times New Roman" w:hAnsi="Times New Roman" w:cs="Times New Roman"/>
        </w:rPr>
        <w:t>, 2026).</w:t>
      </w:r>
    </w:p>
    <w:p w14:paraId="35A95B35" w14:textId="77777777" w:rsidR="007F5FA4" w:rsidRPr="00192E10" w:rsidRDefault="007F5FA4" w:rsidP="007F5FA4">
      <w:pPr>
        <w:spacing w:after="0" w:line="240" w:lineRule="auto"/>
        <w:jc w:val="both"/>
        <w:rPr>
          <w:rFonts w:ascii="Times New Roman" w:eastAsia="Times New Roman" w:hAnsi="Times New Roman" w:cs="Times New Roman"/>
        </w:rPr>
      </w:pPr>
      <w:r w:rsidRPr="00192E10">
        <w:rPr>
          <w:rFonts w:ascii="Times New Roman" w:eastAsia="Times New Roman" w:hAnsi="Times New Roman" w:cs="Times New Roman"/>
        </w:rPr>
        <w:t>Small deviations above or below complete recovery may result from matrix interference, analytical variability, or differences in extraction efficiency during digestion. Nevertheless, the mass-balance data indicate that the distribution of iron among the dialysable, bioaccessible, and residual fractions was largely accounted for by the digestion and dialysis procedures. These results provide further evidence that CU treatment preserved iron in soluble and recoverable forms during digestion. The greater iron recovery observed in treated samples may support the development of food formulations intended to improve in vitro iron dialysability, although further validation using cell-culture, animal, or human studies is required.</w:t>
      </w:r>
    </w:p>
    <w:p w14:paraId="3D1CD958" w14:textId="77777777" w:rsidR="008033C1" w:rsidRPr="00192E10" w:rsidRDefault="008033C1" w:rsidP="008033C1">
      <w:pPr>
        <w:spacing w:before="100" w:beforeAutospacing="1" w:after="100" w:afterAutospacing="1" w:line="240" w:lineRule="auto"/>
        <w:outlineLvl w:val="1"/>
        <w:rPr>
          <w:rFonts w:ascii="Times New Roman" w:eastAsia="Times New Roman" w:hAnsi="Times New Roman" w:cs="Times New Roman"/>
          <w:b/>
          <w:bCs/>
          <w:sz w:val="36"/>
          <w:szCs w:val="36"/>
          <w:lang w:val="en-US" w:eastAsia="en-US" w:bidi="ar-SA"/>
        </w:rPr>
      </w:pPr>
      <w:r w:rsidRPr="00192E10">
        <w:rPr>
          <w:rFonts w:ascii="Times New Roman" w:eastAsia="Times New Roman" w:hAnsi="Times New Roman" w:cs="Times New Roman"/>
          <w:b/>
          <w:bCs/>
          <w:sz w:val="36"/>
          <w:szCs w:val="36"/>
          <w:lang w:val="en-US" w:eastAsia="en-US" w:bidi="ar-SA"/>
        </w:rPr>
        <w:lastRenderedPageBreak/>
        <w:t>Conclusions</w:t>
      </w:r>
    </w:p>
    <w:p w14:paraId="6E4279E1" w14:textId="77777777" w:rsidR="008F1199" w:rsidRDefault="008F1199" w:rsidP="008033C1">
      <w:pPr>
        <w:spacing w:before="100" w:beforeAutospacing="1" w:after="100" w:afterAutospacing="1" w:line="240" w:lineRule="auto"/>
        <w:outlineLvl w:val="1"/>
      </w:pPr>
      <w:r>
        <w:t xml:space="preserve">The simulated gastrointestinal digestion findings demonstrate that both the food matrix and the added treatment influenced the distribution of iron among the dialysable, </w:t>
      </w:r>
      <w:proofErr w:type="spellStart"/>
      <w:r>
        <w:t>bioaccessible</w:t>
      </w:r>
      <w:proofErr w:type="spellEnd"/>
      <w:r>
        <w:t xml:space="preserve">, and residual fractions. Curd supplementation generally resulted in the highest dialysable and </w:t>
      </w:r>
      <w:proofErr w:type="spellStart"/>
      <w:r>
        <w:t>bioaccessible</w:t>
      </w:r>
      <w:proofErr w:type="spellEnd"/>
      <w:r>
        <w:t xml:space="preserve"> iron values across the four rice-based foods. Red amaranth </w:t>
      </w:r>
      <w:proofErr w:type="spellStart"/>
      <w:r>
        <w:t>kadayal</w:t>
      </w:r>
      <w:proofErr w:type="spellEnd"/>
      <w:r>
        <w:t xml:space="preserve"> with rice produced the greatest absolute iron release, consistent with its higher total iron content, whereas tamarind rasam with rice showed the lowest values. </w:t>
      </w:r>
      <w:proofErr w:type="spellStart"/>
      <w:r>
        <w:rPr>
          <w:rStyle w:val="Emphasis"/>
        </w:rPr>
        <w:t>Emblica</w:t>
      </w:r>
      <w:proofErr w:type="spellEnd"/>
      <w:r>
        <w:rPr>
          <w:rStyle w:val="Emphasis"/>
        </w:rPr>
        <w:t xml:space="preserve"> officinalis</w:t>
      </w:r>
      <w:r>
        <w:t xml:space="preserve"> juice produced modest improvements compared with the respective controls, while the combined juice-and-curd treatment did not surpass curd alone. Mass-balance recovery remained within 87.43–99.10%, indicating that most of the measured iron was accounted for across the collected fractions. These results are restricted to the applied </w:t>
      </w:r>
      <w:r>
        <w:rPr>
          <w:rStyle w:val="Emphasis"/>
        </w:rPr>
        <w:t>in vitro</w:t>
      </w:r>
      <w:r>
        <w:t xml:space="preserve"> digestion and dialysis model and should not be interpreted as evidence of intestinal absorption or clinical benefit. Further validation using chemically characterised ingredients and biological models is required before dietary or health implications can be established.</w:t>
      </w:r>
    </w:p>
    <w:p w14:paraId="7FA75ECF" w14:textId="5AAE5D69" w:rsidR="008033C1" w:rsidRPr="00192E10" w:rsidRDefault="008033C1" w:rsidP="008033C1">
      <w:pPr>
        <w:spacing w:before="100" w:beforeAutospacing="1" w:after="100" w:afterAutospacing="1" w:line="240" w:lineRule="auto"/>
        <w:outlineLvl w:val="1"/>
        <w:rPr>
          <w:rFonts w:ascii="Times New Roman" w:eastAsia="Times New Roman" w:hAnsi="Times New Roman" w:cs="Times New Roman"/>
          <w:b/>
          <w:bCs/>
          <w:sz w:val="36"/>
          <w:szCs w:val="36"/>
          <w:lang w:val="en-US" w:eastAsia="en-US" w:bidi="ar-SA"/>
        </w:rPr>
      </w:pPr>
      <w:r w:rsidRPr="00192E10">
        <w:rPr>
          <w:rFonts w:ascii="Times New Roman" w:eastAsia="Times New Roman" w:hAnsi="Times New Roman" w:cs="Times New Roman"/>
          <w:b/>
          <w:bCs/>
          <w:sz w:val="36"/>
          <w:szCs w:val="36"/>
          <w:lang w:val="en-US" w:eastAsia="en-US" w:bidi="ar-SA"/>
        </w:rPr>
        <w:t>Limitations</w:t>
      </w:r>
    </w:p>
    <w:p w14:paraId="3F5946FC" w14:textId="77777777" w:rsidR="002F3295" w:rsidRDefault="002F3295" w:rsidP="008033C1">
      <w:pPr>
        <w:spacing w:before="100" w:beforeAutospacing="1" w:after="100" w:afterAutospacing="1" w:line="240" w:lineRule="auto"/>
      </w:pPr>
      <w:r>
        <w:t xml:space="preserve">This study was conducted using an </w:t>
      </w:r>
      <w:r>
        <w:rPr>
          <w:rStyle w:val="Emphasis"/>
        </w:rPr>
        <w:t>in vitro</w:t>
      </w:r>
      <w:r>
        <w:t xml:space="preserve"> gastrointestinal digestion and dialysis model; therefore, the findings represent iron </w:t>
      </w:r>
      <w:proofErr w:type="spellStart"/>
      <w:r>
        <w:t>bioaccessibility</w:t>
      </w:r>
      <w:proofErr w:type="spellEnd"/>
      <w:r>
        <w:t xml:space="preserve"> and </w:t>
      </w:r>
      <w:proofErr w:type="spellStart"/>
      <w:r>
        <w:t>dialysability</w:t>
      </w:r>
      <w:proofErr w:type="spellEnd"/>
      <w:r>
        <w:t xml:space="preserve"> under simulated conditions rather than actual human absorption. The results were also limited to the selected rice-based recipes and the specific quantities of </w:t>
      </w:r>
      <w:proofErr w:type="spellStart"/>
      <w:r>
        <w:rPr>
          <w:rStyle w:val="Emphasis"/>
        </w:rPr>
        <w:t>Emblica</w:t>
      </w:r>
      <w:proofErr w:type="spellEnd"/>
      <w:r>
        <w:rPr>
          <w:rStyle w:val="Emphasis"/>
        </w:rPr>
        <w:t xml:space="preserve"> officinalis</w:t>
      </w:r>
      <w:r>
        <w:t xml:space="preserve"> juice and curd used. Further studies using cell-based, animal, or human models are needed to confirm the physiological relevance of these findings.</w:t>
      </w:r>
    </w:p>
    <w:p w14:paraId="6D599AC0" w14:textId="6A64FD60" w:rsidR="00352C1C" w:rsidRPr="00192E10" w:rsidRDefault="00352C1C" w:rsidP="008033C1">
      <w:pPr>
        <w:spacing w:before="100" w:beforeAutospacing="1" w:after="100" w:afterAutospacing="1" w:line="240" w:lineRule="auto"/>
        <w:rPr>
          <w:rFonts w:ascii="Times New Roman" w:eastAsia="Times New Roman" w:hAnsi="Times New Roman" w:cs="Times New Roman"/>
          <w:b/>
          <w:bCs/>
          <w:sz w:val="36"/>
          <w:szCs w:val="36"/>
          <w:lang w:val="en-US" w:eastAsia="en-US" w:bidi="ar-SA"/>
        </w:rPr>
      </w:pPr>
      <w:r w:rsidRPr="00192E10">
        <w:rPr>
          <w:rFonts w:ascii="Times New Roman" w:eastAsia="Times New Roman" w:hAnsi="Times New Roman" w:cs="Times New Roman"/>
          <w:b/>
          <w:bCs/>
          <w:sz w:val="36"/>
          <w:szCs w:val="36"/>
          <w:lang w:val="en-US" w:eastAsia="en-US" w:bidi="ar-SA"/>
        </w:rPr>
        <w:t>Acknowledgement</w:t>
      </w:r>
    </w:p>
    <w:p w14:paraId="21929FE7" w14:textId="77777777" w:rsidR="00352C1C" w:rsidRPr="00192E10" w:rsidRDefault="00352C1C" w:rsidP="00352C1C">
      <w:pPr>
        <w:spacing w:before="100" w:beforeAutospacing="1" w:after="100" w:afterAutospacing="1" w:line="240" w:lineRule="auto"/>
        <w:rPr>
          <w:rFonts w:ascii="Times New Roman" w:eastAsia="Times New Roman" w:hAnsi="Times New Roman" w:cs="Times New Roman"/>
          <w:lang w:val="en-GB" w:eastAsia="en-US" w:bidi="ar-SA"/>
        </w:rPr>
      </w:pPr>
      <w:r w:rsidRPr="00192E10">
        <w:rPr>
          <w:rFonts w:ascii="Times New Roman" w:eastAsia="Times New Roman" w:hAnsi="Times New Roman" w:cs="Times New Roman"/>
          <w:lang w:val="en-GB" w:eastAsia="en-US" w:bidi="ar-SA"/>
        </w:rPr>
        <w:t xml:space="preserve">The Department of Food Science and Nutrition at </w:t>
      </w:r>
      <w:proofErr w:type="spellStart"/>
      <w:r w:rsidRPr="00192E10">
        <w:rPr>
          <w:rFonts w:ascii="Times New Roman" w:eastAsia="Times New Roman" w:hAnsi="Times New Roman" w:cs="Times New Roman"/>
          <w:lang w:val="en-GB" w:eastAsia="en-US" w:bidi="ar-SA"/>
        </w:rPr>
        <w:t>Periyar</w:t>
      </w:r>
      <w:proofErr w:type="spellEnd"/>
      <w:r w:rsidRPr="00192E10">
        <w:rPr>
          <w:rFonts w:ascii="Times New Roman" w:eastAsia="Times New Roman" w:hAnsi="Times New Roman" w:cs="Times New Roman"/>
          <w:lang w:val="en-GB" w:eastAsia="en-US" w:bidi="ar-SA"/>
        </w:rPr>
        <w:t xml:space="preserve"> University in Salem, Tamil Nadu, India, is acknowledged by the authors for providing facilities and assistance during this study. </w:t>
      </w:r>
    </w:p>
    <w:p w14:paraId="110D26FB" w14:textId="77777777" w:rsidR="00352C1C" w:rsidRPr="00192E10" w:rsidRDefault="00352C1C" w:rsidP="008033C1">
      <w:pPr>
        <w:spacing w:before="100" w:beforeAutospacing="1" w:after="100" w:afterAutospacing="1" w:line="240" w:lineRule="auto"/>
        <w:rPr>
          <w:rFonts w:ascii="Times New Roman" w:eastAsia="Times New Roman" w:hAnsi="Times New Roman" w:cs="Times New Roman"/>
          <w:lang w:val="en-US" w:eastAsia="en-US" w:bidi="ar-SA"/>
        </w:rPr>
      </w:pPr>
    </w:p>
    <w:p w14:paraId="409D184A" w14:textId="77777777" w:rsidR="008033C1" w:rsidRPr="00192E10" w:rsidRDefault="008033C1" w:rsidP="008033C1">
      <w:pPr>
        <w:spacing w:after="200" w:line="276" w:lineRule="auto"/>
        <w:rPr>
          <w:rFonts w:cs="Times New Roman"/>
          <w:sz w:val="22"/>
          <w:szCs w:val="22"/>
          <w:lang w:val="en-GB" w:eastAsia="en-US" w:bidi="ar-SA"/>
          <w14:ligatures w14:val="standardContextual"/>
        </w:rPr>
      </w:pPr>
    </w:p>
    <w:p w14:paraId="65B9B60F" w14:textId="77777777" w:rsidR="00214048" w:rsidRPr="00192E10" w:rsidRDefault="00214048" w:rsidP="00214048">
      <w:pPr>
        <w:spacing w:after="0" w:line="240" w:lineRule="auto"/>
        <w:rPr>
          <w:rFonts w:ascii="Times New Roman" w:hAnsi="Times New Roman" w:cs="Times New Roman"/>
          <w:b/>
          <w:sz w:val="22"/>
          <w:szCs w:val="22"/>
          <w:lang w:val="en-US" w:eastAsia="en-US" w:bidi="ar-SA"/>
        </w:rPr>
      </w:pPr>
      <w:r w:rsidRPr="00192E10">
        <w:rPr>
          <w:rFonts w:ascii="Times New Roman" w:hAnsi="Times New Roman" w:cs="Times New Roman"/>
          <w:b/>
          <w:sz w:val="22"/>
          <w:szCs w:val="22"/>
          <w:lang w:val="en-US" w:eastAsia="en-US" w:bidi="ar-SA"/>
        </w:rPr>
        <w:t>Declaration of AI Use</w:t>
      </w:r>
    </w:p>
    <w:p w14:paraId="208A3BDC" w14:textId="77777777" w:rsidR="00214048" w:rsidRPr="00192E10" w:rsidRDefault="00214048" w:rsidP="00214048">
      <w:pPr>
        <w:spacing w:after="0" w:line="240" w:lineRule="auto"/>
        <w:rPr>
          <w:rFonts w:ascii="Times New Roman" w:hAnsi="Times New Roman" w:cs="Times New Roman"/>
          <w:sz w:val="22"/>
          <w:szCs w:val="22"/>
          <w:lang w:val="en-US" w:eastAsia="en-US" w:bidi="ar-SA"/>
        </w:rPr>
      </w:pPr>
    </w:p>
    <w:p w14:paraId="72273BAA" w14:textId="77777777" w:rsidR="00214048" w:rsidRPr="00192E10" w:rsidRDefault="00214048" w:rsidP="00214048">
      <w:pPr>
        <w:spacing w:after="0" w:line="240" w:lineRule="auto"/>
        <w:jc w:val="both"/>
        <w:rPr>
          <w:rFonts w:ascii="Times New Roman" w:hAnsi="Times New Roman" w:cs="Times New Roman"/>
          <w:sz w:val="22"/>
          <w:szCs w:val="22"/>
          <w:lang w:val="en-US" w:eastAsia="en-US" w:bidi="ar-SA"/>
        </w:rPr>
      </w:pPr>
      <w:r w:rsidRPr="00192E10">
        <w:rPr>
          <w:rFonts w:ascii="Times New Roman" w:hAnsi="Times New Roman" w:cs="Times New Roman"/>
          <w:sz w:val="22"/>
          <w:szCs w:val="22"/>
          <w:lang w:val="en-US" w:eastAsia="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628D34E" w14:textId="77777777" w:rsidR="00214048" w:rsidRPr="00192E10" w:rsidRDefault="00214048" w:rsidP="007F5FA4">
      <w:pPr>
        <w:spacing w:after="0" w:line="240" w:lineRule="auto"/>
        <w:jc w:val="both"/>
        <w:rPr>
          <w:rFonts w:ascii="Times New Roman" w:eastAsia="Arial" w:hAnsi="Times New Roman" w:cs="Times New Roman"/>
          <w:b/>
          <w:bCs/>
        </w:rPr>
      </w:pPr>
    </w:p>
    <w:p w14:paraId="473F3C90" w14:textId="77777777" w:rsidR="00214048" w:rsidRDefault="00214048" w:rsidP="007F5FA4">
      <w:pPr>
        <w:spacing w:after="0" w:line="240" w:lineRule="auto"/>
        <w:jc w:val="both"/>
        <w:rPr>
          <w:rFonts w:ascii="Times New Roman" w:eastAsia="Arial" w:hAnsi="Times New Roman" w:cs="Times New Roman"/>
          <w:b/>
          <w:bCs/>
        </w:rPr>
      </w:pPr>
    </w:p>
    <w:p w14:paraId="20E3ED38" w14:textId="77777777" w:rsidR="005432DA" w:rsidRDefault="005432DA" w:rsidP="007F5FA4">
      <w:pPr>
        <w:spacing w:after="0" w:line="240" w:lineRule="auto"/>
        <w:jc w:val="both"/>
        <w:rPr>
          <w:rFonts w:ascii="Times New Roman" w:eastAsia="Arial" w:hAnsi="Times New Roman" w:cs="Times New Roman"/>
          <w:b/>
          <w:bCs/>
        </w:rPr>
      </w:pPr>
    </w:p>
    <w:p w14:paraId="0258557F" w14:textId="77777777" w:rsidR="005432DA" w:rsidRPr="00192E10" w:rsidRDefault="005432DA" w:rsidP="007F5FA4">
      <w:pPr>
        <w:spacing w:after="0" w:line="240" w:lineRule="auto"/>
        <w:jc w:val="both"/>
        <w:rPr>
          <w:rFonts w:ascii="Times New Roman" w:eastAsia="Arial" w:hAnsi="Times New Roman" w:cs="Times New Roman"/>
          <w:b/>
          <w:bCs/>
        </w:rPr>
      </w:pPr>
    </w:p>
    <w:p w14:paraId="6003495C" w14:textId="77777777" w:rsidR="007F5FA4" w:rsidRPr="00192E10" w:rsidRDefault="007F5FA4" w:rsidP="007F5FA4">
      <w:pPr>
        <w:spacing w:after="0" w:line="240" w:lineRule="auto"/>
        <w:jc w:val="both"/>
        <w:rPr>
          <w:rFonts w:ascii="Times New Roman" w:eastAsia="Arial" w:hAnsi="Times New Roman" w:cs="Times New Roman"/>
          <w:b/>
          <w:bCs/>
        </w:rPr>
      </w:pPr>
      <w:r w:rsidRPr="00192E10">
        <w:rPr>
          <w:rFonts w:ascii="Times New Roman" w:eastAsia="Arial" w:hAnsi="Times New Roman" w:cs="Times New Roman"/>
          <w:b/>
          <w:bCs/>
        </w:rPr>
        <w:lastRenderedPageBreak/>
        <w:t>References</w:t>
      </w:r>
    </w:p>
    <w:p w14:paraId="79224195" w14:textId="77777777" w:rsidR="000F7AED" w:rsidRPr="00192E10" w:rsidRDefault="000F7AED" w:rsidP="007F5FA4">
      <w:pPr>
        <w:spacing w:after="0" w:line="240" w:lineRule="auto"/>
        <w:jc w:val="both"/>
        <w:rPr>
          <w:rFonts w:ascii="Times New Roman" w:eastAsia="Arial" w:hAnsi="Times New Roman" w:cs="Times New Roman"/>
          <w:b/>
          <w:bCs/>
        </w:rPr>
      </w:pPr>
    </w:p>
    <w:p w14:paraId="4CE8B79A"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proofErr w:type="spellStart"/>
      <w:r w:rsidRPr="00421268">
        <w:rPr>
          <w:rFonts w:ascii="Times New Roman" w:eastAsia="Times New Roman" w:hAnsi="Times New Roman" w:cs="Times New Roman"/>
          <w:lang w:val="en-US" w:eastAsia="en-US" w:bidi="ar-SA"/>
        </w:rPr>
        <w:t>Affonfere</w:t>
      </w:r>
      <w:proofErr w:type="spellEnd"/>
      <w:r w:rsidRPr="00421268">
        <w:rPr>
          <w:rFonts w:ascii="Times New Roman" w:eastAsia="Times New Roman" w:hAnsi="Times New Roman" w:cs="Times New Roman"/>
          <w:lang w:val="en-US" w:eastAsia="en-US" w:bidi="ar-SA"/>
        </w:rPr>
        <w:t xml:space="preserve">, M., </w:t>
      </w:r>
      <w:proofErr w:type="spellStart"/>
      <w:r w:rsidRPr="00421268">
        <w:rPr>
          <w:rFonts w:ascii="Times New Roman" w:eastAsia="Times New Roman" w:hAnsi="Times New Roman" w:cs="Times New Roman"/>
          <w:lang w:val="en-US" w:eastAsia="en-US" w:bidi="ar-SA"/>
        </w:rPr>
        <w:t>Chadare</w:t>
      </w:r>
      <w:proofErr w:type="spellEnd"/>
      <w:r w:rsidRPr="00421268">
        <w:rPr>
          <w:rFonts w:ascii="Times New Roman" w:eastAsia="Times New Roman" w:hAnsi="Times New Roman" w:cs="Times New Roman"/>
          <w:lang w:val="en-US" w:eastAsia="en-US" w:bidi="ar-SA"/>
        </w:rPr>
        <w:t xml:space="preserve">, F. J., </w:t>
      </w:r>
      <w:proofErr w:type="spellStart"/>
      <w:r w:rsidRPr="00421268">
        <w:rPr>
          <w:rFonts w:ascii="Times New Roman" w:eastAsia="Times New Roman" w:hAnsi="Times New Roman" w:cs="Times New Roman"/>
          <w:lang w:val="en-US" w:eastAsia="en-US" w:bidi="ar-SA"/>
        </w:rPr>
        <w:t>Fassinou</w:t>
      </w:r>
      <w:proofErr w:type="spellEnd"/>
      <w:r w:rsidRPr="00421268">
        <w:rPr>
          <w:rFonts w:ascii="Times New Roman" w:eastAsia="Times New Roman" w:hAnsi="Times New Roman" w:cs="Times New Roman"/>
          <w:lang w:val="en-US" w:eastAsia="en-US" w:bidi="ar-SA"/>
        </w:rPr>
        <w:t xml:space="preserve">, F. T. K., Linnemann, A. R., &amp; Duodu, K. G. (2023). In vitro digestibility methods and factors affecting mineral bioavailability: A review. </w:t>
      </w:r>
      <w:r w:rsidRPr="00421268">
        <w:rPr>
          <w:rFonts w:ascii="Times New Roman" w:eastAsia="Times New Roman" w:hAnsi="Times New Roman" w:cs="Times New Roman"/>
          <w:i/>
          <w:iCs/>
          <w:lang w:val="en-US" w:eastAsia="en-US" w:bidi="ar-SA"/>
        </w:rPr>
        <w:t>Food Reviews International, 39</w:t>
      </w:r>
      <w:r w:rsidRPr="00421268">
        <w:rPr>
          <w:rFonts w:ascii="Times New Roman" w:eastAsia="Times New Roman" w:hAnsi="Times New Roman" w:cs="Times New Roman"/>
          <w:lang w:val="en-US" w:eastAsia="en-US" w:bidi="ar-SA"/>
        </w:rPr>
        <w:t xml:space="preserve">, 1014–1042. </w:t>
      </w:r>
      <w:hyperlink r:id="rId9" w:history="1">
        <w:r w:rsidRPr="00421268">
          <w:rPr>
            <w:rFonts w:ascii="Times New Roman" w:eastAsia="Times New Roman" w:hAnsi="Times New Roman" w:cs="Times New Roman"/>
            <w:color w:val="0000FF"/>
            <w:u w:val="single"/>
            <w:lang w:val="en-US" w:eastAsia="en-US" w:bidi="ar-SA"/>
          </w:rPr>
          <w:t>https://doi.org/10.1080/87559129.2021.1928692</w:t>
        </w:r>
      </w:hyperlink>
    </w:p>
    <w:p w14:paraId="16D85A1A"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Akter, T., Akhter, Q. S., Amran, M. S., Lisa, S. H., Sultana, A., Sultana, F., Ahmad, R., Kamal, S. T., Habib, T. B., &amp; Rahman, F. (2020). </w:t>
      </w:r>
      <w:proofErr w:type="spellStart"/>
      <w:r w:rsidRPr="00421268">
        <w:rPr>
          <w:rFonts w:ascii="Times New Roman" w:eastAsia="Times New Roman" w:hAnsi="Times New Roman" w:cs="Times New Roman"/>
          <w:lang w:val="en-US" w:eastAsia="en-US" w:bidi="ar-SA"/>
        </w:rPr>
        <w:t>Haematopoietic</w:t>
      </w:r>
      <w:proofErr w:type="spellEnd"/>
      <w:r w:rsidRPr="00421268">
        <w:rPr>
          <w:rFonts w:ascii="Times New Roman" w:eastAsia="Times New Roman" w:hAnsi="Times New Roman" w:cs="Times New Roman"/>
          <w:lang w:val="en-US" w:eastAsia="en-US" w:bidi="ar-SA"/>
        </w:rPr>
        <w:t xml:space="preserve"> effects of </w:t>
      </w:r>
      <w:proofErr w:type="spellStart"/>
      <w:r w:rsidRPr="00421268">
        <w:rPr>
          <w:rFonts w:ascii="Times New Roman" w:eastAsia="Times New Roman" w:hAnsi="Times New Roman" w:cs="Times New Roman"/>
          <w:lang w:val="en-US" w:eastAsia="en-US" w:bidi="ar-SA"/>
        </w:rPr>
        <w:t>amloki</w:t>
      </w:r>
      <w:proofErr w:type="spellEnd"/>
      <w:r w:rsidRPr="00421268">
        <w:rPr>
          <w:rFonts w:ascii="Times New Roman" w:eastAsia="Times New Roman" w:hAnsi="Times New Roman" w:cs="Times New Roman"/>
          <w:lang w:val="en-US" w:eastAsia="en-US" w:bidi="ar-SA"/>
        </w:rPr>
        <w:t xml:space="preserve"> (</w:t>
      </w:r>
      <w:proofErr w:type="spellStart"/>
      <w:r w:rsidRPr="00421268">
        <w:rPr>
          <w:rFonts w:ascii="Times New Roman" w:eastAsia="Times New Roman" w:hAnsi="Times New Roman" w:cs="Times New Roman"/>
          <w:i/>
          <w:iCs/>
          <w:lang w:val="en-US" w:eastAsia="en-US" w:bidi="ar-SA"/>
        </w:rPr>
        <w:t>Emblica</w:t>
      </w:r>
      <w:proofErr w:type="spellEnd"/>
      <w:r w:rsidRPr="00421268">
        <w:rPr>
          <w:rFonts w:ascii="Times New Roman" w:eastAsia="Times New Roman" w:hAnsi="Times New Roman" w:cs="Times New Roman"/>
          <w:i/>
          <w:iCs/>
          <w:lang w:val="en-US" w:eastAsia="en-US" w:bidi="ar-SA"/>
        </w:rPr>
        <w:t xml:space="preserve"> officinalis</w:t>
      </w:r>
      <w:r w:rsidRPr="00421268">
        <w:rPr>
          <w:rFonts w:ascii="Times New Roman" w:eastAsia="Times New Roman" w:hAnsi="Times New Roman" w:cs="Times New Roman"/>
          <w:lang w:val="en-US" w:eastAsia="en-US" w:bidi="ar-SA"/>
        </w:rPr>
        <w:t xml:space="preserve">) in pregnancy with iron deficiency </w:t>
      </w:r>
      <w:proofErr w:type="spellStart"/>
      <w:r w:rsidRPr="00421268">
        <w:rPr>
          <w:rFonts w:ascii="Times New Roman" w:eastAsia="Times New Roman" w:hAnsi="Times New Roman" w:cs="Times New Roman"/>
          <w:lang w:val="en-US" w:eastAsia="en-US" w:bidi="ar-SA"/>
        </w:rPr>
        <w:t>anaemia</w:t>
      </w:r>
      <w:proofErr w:type="spellEnd"/>
      <w:r w:rsidRPr="00421268">
        <w:rPr>
          <w:rFonts w:ascii="Times New Roman" w:eastAsia="Times New Roman" w:hAnsi="Times New Roman" w:cs="Times New Roman"/>
          <w:lang w:val="en-US" w:eastAsia="en-US" w:bidi="ar-SA"/>
        </w:rPr>
        <w:t xml:space="preserve">. </w:t>
      </w:r>
      <w:r w:rsidRPr="00421268">
        <w:rPr>
          <w:rFonts w:ascii="Times New Roman" w:eastAsia="Times New Roman" w:hAnsi="Times New Roman" w:cs="Times New Roman"/>
          <w:i/>
          <w:iCs/>
          <w:lang w:val="en-US" w:eastAsia="en-US" w:bidi="ar-SA"/>
        </w:rPr>
        <w:t>Journal of Biosciences and Medicines, 8</w:t>
      </w:r>
      <w:r w:rsidRPr="00421268">
        <w:rPr>
          <w:rFonts w:ascii="Times New Roman" w:eastAsia="Times New Roman" w:hAnsi="Times New Roman" w:cs="Times New Roman"/>
          <w:lang w:val="en-US" w:eastAsia="en-US" w:bidi="ar-SA"/>
        </w:rPr>
        <w:t xml:space="preserve">(12), 157–165. </w:t>
      </w:r>
      <w:hyperlink r:id="rId10" w:history="1">
        <w:r w:rsidRPr="00421268">
          <w:rPr>
            <w:rFonts w:ascii="Times New Roman" w:eastAsia="Times New Roman" w:hAnsi="Times New Roman" w:cs="Times New Roman"/>
            <w:color w:val="0000FF"/>
            <w:u w:val="single"/>
            <w:lang w:val="en-US" w:eastAsia="en-US" w:bidi="ar-SA"/>
          </w:rPr>
          <w:t>https://doi.org/10.4236/jbm.2020.812015</w:t>
        </w:r>
      </w:hyperlink>
    </w:p>
    <w:p w14:paraId="3829251F" w14:textId="6110AB4F"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Zhang, Y. Y., Stockmann, R., Ng, K., &amp; </w:t>
      </w:r>
      <w:proofErr w:type="spellStart"/>
      <w:r w:rsidRPr="00421268">
        <w:rPr>
          <w:rFonts w:ascii="Times New Roman" w:eastAsia="Times New Roman" w:hAnsi="Times New Roman" w:cs="Times New Roman"/>
          <w:lang w:val="en-US" w:eastAsia="en-US" w:bidi="ar-SA"/>
        </w:rPr>
        <w:t>Ajlouni</w:t>
      </w:r>
      <w:proofErr w:type="spellEnd"/>
      <w:r w:rsidRPr="00421268">
        <w:rPr>
          <w:rFonts w:ascii="Times New Roman" w:eastAsia="Times New Roman" w:hAnsi="Times New Roman" w:cs="Times New Roman"/>
          <w:lang w:val="en-US" w:eastAsia="en-US" w:bidi="ar-SA"/>
        </w:rPr>
        <w:t xml:space="preserve">, S. (2021). Opportunities for plant-derived enhancers of iron, zinc, and calcium bioavailability: A review. Comprehensive Reviews in Food Science and Food Safety, 20, 652–685. </w:t>
      </w:r>
      <w:hyperlink r:id="rId11" w:history="1">
        <w:r w:rsidRPr="00421268">
          <w:rPr>
            <w:rFonts w:ascii="Times New Roman" w:eastAsia="Times New Roman" w:hAnsi="Times New Roman" w:cs="Times New Roman"/>
            <w:color w:val="0000FF"/>
            <w:u w:val="single"/>
            <w:lang w:val="en-US" w:eastAsia="en-US" w:bidi="ar-SA"/>
          </w:rPr>
          <w:t>https://doi.org/10.1111/1541-4337.12669</w:t>
        </w:r>
      </w:hyperlink>
    </w:p>
    <w:p w14:paraId="1D81E7C9"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Bawiec, P., Jaworowska, A., Sawicki, J., Czop, M., Tokarczyk, J., Helon, P., &amp; Koch, W. (2026). Influence of diet on </w:t>
      </w:r>
      <w:proofErr w:type="spellStart"/>
      <w:r w:rsidRPr="00421268">
        <w:rPr>
          <w:rFonts w:ascii="Times New Roman" w:eastAsia="Times New Roman" w:hAnsi="Times New Roman" w:cs="Times New Roman"/>
          <w:lang w:val="en-US" w:eastAsia="en-US" w:bidi="ar-SA"/>
        </w:rPr>
        <w:t>bioaccessibility</w:t>
      </w:r>
      <w:proofErr w:type="spellEnd"/>
      <w:r w:rsidRPr="00421268">
        <w:rPr>
          <w:rFonts w:ascii="Times New Roman" w:eastAsia="Times New Roman" w:hAnsi="Times New Roman" w:cs="Times New Roman"/>
          <w:lang w:val="en-US" w:eastAsia="en-US" w:bidi="ar-SA"/>
        </w:rPr>
        <w:t xml:space="preserve"> of iron from dietary supplements and medicinal products—Results of an in vitro digestion model and analytical determinations. </w:t>
      </w:r>
      <w:r w:rsidRPr="00421268">
        <w:rPr>
          <w:rFonts w:ascii="Times New Roman" w:eastAsia="Times New Roman" w:hAnsi="Times New Roman" w:cs="Times New Roman"/>
          <w:i/>
          <w:iCs/>
          <w:lang w:val="en-US" w:eastAsia="en-US" w:bidi="ar-SA"/>
        </w:rPr>
        <w:t>Nutrients, 18</w:t>
      </w:r>
      <w:r w:rsidRPr="00421268">
        <w:rPr>
          <w:rFonts w:ascii="Times New Roman" w:eastAsia="Times New Roman" w:hAnsi="Times New Roman" w:cs="Times New Roman"/>
          <w:lang w:val="en-US" w:eastAsia="en-US" w:bidi="ar-SA"/>
        </w:rPr>
        <w:t xml:space="preserve">(8), Article 1219. </w:t>
      </w:r>
      <w:hyperlink r:id="rId12" w:history="1">
        <w:r w:rsidRPr="00421268">
          <w:rPr>
            <w:rFonts w:ascii="Times New Roman" w:eastAsia="Times New Roman" w:hAnsi="Times New Roman" w:cs="Times New Roman"/>
            <w:color w:val="0000FF"/>
            <w:u w:val="single"/>
            <w:lang w:val="en-US" w:eastAsia="en-US" w:bidi="ar-SA"/>
          </w:rPr>
          <w:t>https://doi.org/10.3390/nu18081219</w:t>
        </w:r>
      </w:hyperlink>
    </w:p>
    <w:p w14:paraId="1BA5D57A"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Bermúdez-</w:t>
      </w:r>
      <w:proofErr w:type="spellStart"/>
      <w:r w:rsidRPr="00421268">
        <w:rPr>
          <w:rFonts w:ascii="Times New Roman" w:eastAsia="Times New Roman" w:hAnsi="Times New Roman" w:cs="Times New Roman"/>
          <w:lang w:val="en-US" w:eastAsia="en-US" w:bidi="ar-SA"/>
        </w:rPr>
        <w:t>Humarán</w:t>
      </w:r>
      <w:proofErr w:type="spellEnd"/>
      <w:r w:rsidRPr="00421268">
        <w:rPr>
          <w:rFonts w:ascii="Times New Roman" w:eastAsia="Times New Roman" w:hAnsi="Times New Roman" w:cs="Times New Roman"/>
          <w:lang w:val="en-US" w:eastAsia="en-US" w:bidi="ar-SA"/>
        </w:rPr>
        <w:t xml:space="preserve">, L. G., </w:t>
      </w:r>
      <w:proofErr w:type="spellStart"/>
      <w:r w:rsidRPr="00421268">
        <w:rPr>
          <w:rFonts w:ascii="Times New Roman" w:eastAsia="Times New Roman" w:hAnsi="Times New Roman" w:cs="Times New Roman"/>
          <w:lang w:val="en-US" w:eastAsia="en-US" w:bidi="ar-SA"/>
        </w:rPr>
        <w:t>Chassaing</w:t>
      </w:r>
      <w:proofErr w:type="spellEnd"/>
      <w:r w:rsidRPr="00421268">
        <w:rPr>
          <w:rFonts w:ascii="Times New Roman" w:eastAsia="Times New Roman" w:hAnsi="Times New Roman" w:cs="Times New Roman"/>
          <w:lang w:val="en-US" w:eastAsia="en-US" w:bidi="ar-SA"/>
        </w:rPr>
        <w:t xml:space="preserve">, B., &amp; Langella, P. (2024). Exploring the interaction and impact of probiotic and commensal bacteria on vitamins, minerals, and short-chain fatty acid metabolism. </w:t>
      </w:r>
      <w:r w:rsidRPr="00421268">
        <w:rPr>
          <w:rFonts w:ascii="Times New Roman" w:eastAsia="Times New Roman" w:hAnsi="Times New Roman" w:cs="Times New Roman"/>
          <w:i/>
          <w:iCs/>
          <w:lang w:val="en-US" w:eastAsia="en-US" w:bidi="ar-SA"/>
        </w:rPr>
        <w:t>Microbial Cell Factories, 23</w:t>
      </w:r>
      <w:r w:rsidRPr="00421268">
        <w:rPr>
          <w:rFonts w:ascii="Times New Roman" w:eastAsia="Times New Roman" w:hAnsi="Times New Roman" w:cs="Times New Roman"/>
          <w:lang w:val="en-US" w:eastAsia="en-US" w:bidi="ar-SA"/>
        </w:rPr>
        <w:t xml:space="preserve">, Article 172. </w:t>
      </w:r>
      <w:hyperlink r:id="rId13" w:history="1">
        <w:r w:rsidRPr="00421268">
          <w:rPr>
            <w:rFonts w:ascii="Times New Roman" w:eastAsia="Times New Roman" w:hAnsi="Times New Roman" w:cs="Times New Roman"/>
            <w:color w:val="0000FF"/>
            <w:u w:val="single"/>
            <w:lang w:val="en-US" w:eastAsia="en-US" w:bidi="ar-SA"/>
          </w:rPr>
          <w:t>https://doi.org/10.1186/s12934-024-02449-3</w:t>
        </w:r>
      </w:hyperlink>
    </w:p>
    <w:p w14:paraId="43FB596D"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Bloor, S. R., Schutte, R., &amp; Hobson, A. R. (2021). Oral iron supplementation—Gastrointestinal side effects and the impact on the gut microbiota. </w:t>
      </w:r>
      <w:r w:rsidRPr="00421268">
        <w:rPr>
          <w:rFonts w:ascii="Times New Roman" w:eastAsia="Times New Roman" w:hAnsi="Times New Roman" w:cs="Times New Roman"/>
          <w:i/>
          <w:iCs/>
          <w:lang w:val="en-US" w:eastAsia="en-US" w:bidi="ar-SA"/>
        </w:rPr>
        <w:t>Microbiology Research, 12</w:t>
      </w:r>
      <w:r w:rsidRPr="00421268">
        <w:rPr>
          <w:rFonts w:ascii="Times New Roman" w:eastAsia="Times New Roman" w:hAnsi="Times New Roman" w:cs="Times New Roman"/>
          <w:lang w:val="en-US" w:eastAsia="en-US" w:bidi="ar-SA"/>
        </w:rPr>
        <w:t xml:space="preserve">(2), 491–502. </w:t>
      </w:r>
      <w:hyperlink r:id="rId14" w:history="1">
        <w:r w:rsidRPr="00421268">
          <w:rPr>
            <w:rFonts w:ascii="Times New Roman" w:eastAsia="Times New Roman" w:hAnsi="Times New Roman" w:cs="Times New Roman"/>
            <w:color w:val="0000FF"/>
            <w:u w:val="single"/>
            <w:lang w:val="en-US" w:eastAsia="en-US" w:bidi="ar-SA"/>
          </w:rPr>
          <w:t>https://doi.org/10.3390/microbiolres12020033</w:t>
        </w:r>
      </w:hyperlink>
    </w:p>
    <w:p w14:paraId="1CA2759A"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proofErr w:type="spellStart"/>
      <w:r w:rsidRPr="00421268">
        <w:rPr>
          <w:rFonts w:ascii="Times New Roman" w:eastAsia="Times New Roman" w:hAnsi="Times New Roman" w:cs="Times New Roman"/>
          <w:lang w:val="en-US" w:eastAsia="en-US" w:bidi="ar-SA"/>
        </w:rPr>
        <w:t>Ciont</w:t>
      </w:r>
      <w:proofErr w:type="spellEnd"/>
      <w:r w:rsidRPr="00421268">
        <w:rPr>
          <w:rFonts w:ascii="Times New Roman" w:eastAsia="Times New Roman" w:hAnsi="Times New Roman" w:cs="Times New Roman"/>
          <w:lang w:val="en-US" w:eastAsia="en-US" w:bidi="ar-SA"/>
        </w:rPr>
        <w:t xml:space="preserve">, C., Mesaros, A., </w:t>
      </w:r>
      <w:proofErr w:type="spellStart"/>
      <w:r w:rsidRPr="00421268">
        <w:rPr>
          <w:rFonts w:ascii="Times New Roman" w:eastAsia="Times New Roman" w:hAnsi="Times New Roman" w:cs="Times New Roman"/>
          <w:lang w:val="en-US" w:eastAsia="en-US" w:bidi="ar-SA"/>
        </w:rPr>
        <w:t>Cocean</w:t>
      </w:r>
      <w:proofErr w:type="spellEnd"/>
      <w:r w:rsidRPr="00421268">
        <w:rPr>
          <w:rFonts w:ascii="Times New Roman" w:eastAsia="Times New Roman" w:hAnsi="Times New Roman" w:cs="Times New Roman"/>
          <w:lang w:val="en-US" w:eastAsia="en-US" w:bidi="ar-SA"/>
        </w:rPr>
        <w:t xml:space="preserve">, A. M., Varvara, R. A., Simon, E., Barbu-Tudoran, L., et al. (2025). Bioconversion of </w:t>
      </w:r>
      <w:proofErr w:type="spellStart"/>
      <w:r w:rsidRPr="00421268">
        <w:rPr>
          <w:rFonts w:ascii="Times New Roman" w:eastAsia="Times New Roman" w:hAnsi="Times New Roman" w:cs="Times New Roman"/>
          <w:lang w:val="en-US" w:eastAsia="en-US" w:bidi="ar-SA"/>
        </w:rPr>
        <w:t>Fe₃O</w:t>
      </w:r>
      <w:proofErr w:type="spellEnd"/>
      <w:r w:rsidRPr="00421268">
        <w:rPr>
          <w:rFonts w:ascii="Times New Roman" w:eastAsia="Times New Roman" w:hAnsi="Times New Roman" w:cs="Times New Roman"/>
          <w:lang w:val="en-US" w:eastAsia="en-US" w:bidi="ar-SA"/>
        </w:rPr>
        <w:t xml:space="preserve">₄ nanoparticles by probiotics. </w:t>
      </w:r>
      <w:r w:rsidRPr="00421268">
        <w:rPr>
          <w:rFonts w:ascii="Times New Roman" w:eastAsia="Times New Roman" w:hAnsi="Times New Roman" w:cs="Times New Roman"/>
          <w:i/>
          <w:iCs/>
          <w:lang w:val="en-US" w:eastAsia="en-US" w:bidi="ar-SA"/>
        </w:rPr>
        <w:t>Pharmaceuticals, 18</w:t>
      </w:r>
      <w:r w:rsidRPr="00421268">
        <w:rPr>
          <w:rFonts w:ascii="Times New Roman" w:eastAsia="Times New Roman" w:hAnsi="Times New Roman" w:cs="Times New Roman"/>
          <w:lang w:val="en-US" w:eastAsia="en-US" w:bidi="ar-SA"/>
        </w:rPr>
        <w:t xml:space="preserve">(4), Article 542. </w:t>
      </w:r>
      <w:hyperlink r:id="rId15" w:history="1">
        <w:r w:rsidRPr="00421268">
          <w:rPr>
            <w:rFonts w:ascii="Times New Roman" w:eastAsia="Times New Roman" w:hAnsi="Times New Roman" w:cs="Times New Roman"/>
            <w:color w:val="0000FF"/>
            <w:u w:val="single"/>
            <w:lang w:val="en-US" w:eastAsia="en-US" w:bidi="ar-SA"/>
          </w:rPr>
          <w:t>https://doi.org/10.3390/ph18040542</w:t>
        </w:r>
      </w:hyperlink>
    </w:p>
    <w:p w14:paraId="1F8667F8"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nl-BE" w:eastAsia="en-US" w:bidi="ar-SA"/>
        </w:rPr>
        <w:t xml:space="preserve">Devarajan, A., &amp; Mohanmarugaraja, M. K. (2017). </w:t>
      </w:r>
      <w:r w:rsidRPr="00421268">
        <w:rPr>
          <w:rFonts w:ascii="Times New Roman" w:eastAsia="Times New Roman" w:hAnsi="Times New Roman" w:cs="Times New Roman"/>
          <w:lang w:val="en-US" w:eastAsia="en-US" w:bidi="ar-SA"/>
        </w:rPr>
        <w:t xml:space="preserve">A comprehensive review on rasam: A South Indian traditional functional food. </w:t>
      </w:r>
      <w:r w:rsidRPr="00421268">
        <w:rPr>
          <w:rFonts w:ascii="Times New Roman" w:eastAsia="Times New Roman" w:hAnsi="Times New Roman" w:cs="Times New Roman"/>
          <w:i/>
          <w:iCs/>
          <w:lang w:val="en-US" w:eastAsia="en-US" w:bidi="ar-SA"/>
        </w:rPr>
        <w:t>Pharmacognosy Reviews, 11</w:t>
      </w:r>
      <w:r w:rsidRPr="00421268">
        <w:rPr>
          <w:rFonts w:ascii="Times New Roman" w:eastAsia="Times New Roman" w:hAnsi="Times New Roman" w:cs="Times New Roman"/>
          <w:lang w:val="en-US" w:eastAsia="en-US" w:bidi="ar-SA"/>
        </w:rPr>
        <w:t xml:space="preserve">(22), 73–82. </w:t>
      </w:r>
      <w:hyperlink r:id="rId16" w:history="1">
        <w:r w:rsidRPr="00421268">
          <w:rPr>
            <w:rFonts w:ascii="Times New Roman" w:eastAsia="Times New Roman" w:hAnsi="Times New Roman" w:cs="Times New Roman"/>
            <w:color w:val="0000FF"/>
            <w:u w:val="single"/>
            <w:lang w:val="en-US" w:eastAsia="en-US" w:bidi="ar-SA"/>
          </w:rPr>
          <w:t>https://doi.org/10.4103/phrev.phrev_13_17</w:t>
        </w:r>
      </w:hyperlink>
    </w:p>
    <w:p w14:paraId="024F5277"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Dini, I. (2026). Probiotics and fermented foods in human nutrition. </w:t>
      </w:r>
      <w:r w:rsidRPr="00421268">
        <w:rPr>
          <w:rFonts w:ascii="Times New Roman" w:eastAsia="Times New Roman" w:hAnsi="Times New Roman" w:cs="Times New Roman"/>
          <w:i/>
          <w:iCs/>
          <w:lang w:val="en-US" w:eastAsia="en-US" w:bidi="ar-SA"/>
        </w:rPr>
        <w:t>Molecules, 31</w:t>
      </w:r>
      <w:r w:rsidRPr="00421268">
        <w:rPr>
          <w:rFonts w:ascii="Times New Roman" w:eastAsia="Times New Roman" w:hAnsi="Times New Roman" w:cs="Times New Roman"/>
          <w:lang w:val="en-US" w:eastAsia="en-US" w:bidi="ar-SA"/>
        </w:rPr>
        <w:t xml:space="preserve">(8), Article 1353. </w:t>
      </w:r>
      <w:hyperlink r:id="rId17" w:history="1">
        <w:r w:rsidRPr="00421268">
          <w:rPr>
            <w:rFonts w:ascii="Times New Roman" w:eastAsia="Times New Roman" w:hAnsi="Times New Roman" w:cs="Times New Roman"/>
            <w:color w:val="0000FF"/>
            <w:u w:val="single"/>
            <w:lang w:val="en-US" w:eastAsia="en-US" w:bidi="ar-SA"/>
          </w:rPr>
          <w:t>https://doi.org/10.3390/molecules31081353</w:t>
        </w:r>
      </w:hyperlink>
    </w:p>
    <w:p w14:paraId="381B49A4"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Gandhi, K., Gautam, P. B., Sharma, R., Mann, B., &amp; Kumar, K. (2022). Effect of incorporation of an iron–whey protein concentrate (Fe–WPC) conjugate on the physicochemical characteristics of </w:t>
      </w:r>
      <w:proofErr w:type="spellStart"/>
      <w:r w:rsidRPr="00421268">
        <w:rPr>
          <w:rFonts w:ascii="Times New Roman" w:eastAsia="Times New Roman" w:hAnsi="Times New Roman" w:cs="Times New Roman"/>
          <w:lang w:val="en-US" w:eastAsia="en-US" w:bidi="ar-SA"/>
        </w:rPr>
        <w:t>dahi</w:t>
      </w:r>
      <w:proofErr w:type="spellEnd"/>
      <w:r w:rsidRPr="00421268">
        <w:rPr>
          <w:rFonts w:ascii="Times New Roman" w:eastAsia="Times New Roman" w:hAnsi="Times New Roman" w:cs="Times New Roman"/>
          <w:lang w:val="en-US" w:eastAsia="en-US" w:bidi="ar-SA"/>
        </w:rPr>
        <w:t xml:space="preserve"> (curd). </w:t>
      </w:r>
      <w:r w:rsidRPr="00421268">
        <w:rPr>
          <w:rFonts w:ascii="Times New Roman" w:eastAsia="Times New Roman" w:hAnsi="Times New Roman" w:cs="Times New Roman"/>
          <w:i/>
          <w:iCs/>
          <w:lang w:val="en-US" w:eastAsia="en-US" w:bidi="ar-SA"/>
        </w:rPr>
        <w:t>Journal of Food Science and Technology, 59</w:t>
      </w:r>
      <w:r w:rsidRPr="00421268">
        <w:rPr>
          <w:rFonts w:ascii="Times New Roman" w:eastAsia="Times New Roman" w:hAnsi="Times New Roman" w:cs="Times New Roman"/>
          <w:lang w:val="en-US" w:eastAsia="en-US" w:bidi="ar-SA"/>
        </w:rPr>
        <w:t xml:space="preserve">, 478–487. </w:t>
      </w:r>
      <w:hyperlink r:id="rId18" w:history="1">
        <w:r w:rsidRPr="00421268">
          <w:rPr>
            <w:rFonts w:ascii="Times New Roman" w:eastAsia="Times New Roman" w:hAnsi="Times New Roman" w:cs="Times New Roman"/>
            <w:color w:val="0000FF"/>
            <w:u w:val="single"/>
            <w:lang w:val="en-US" w:eastAsia="en-US" w:bidi="ar-SA"/>
          </w:rPr>
          <w:t>https://doi.org/10.1007/s13197-021-05030-7</w:t>
        </w:r>
      </w:hyperlink>
    </w:p>
    <w:p w14:paraId="09E4EB15"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Garcés, V., Rodríguez-Nogales, A., González, A., Gálvez, N., Rodríguez-Cabezas, M. E., García-Martín, M. L., et al. (2018). Bacteria-carried iron oxide nanoparticles for the </w:t>
      </w:r>
      <w:r w:rsidRPr="00421268">
        <w:rPr>
          <w:rFonts w:ascii="Times New Roman" w:eastAsia="Times New Roman" w:hAnsi="Times New Roman" w:cs="Times New Roman"/>
          <w:lang w:val="en-US" w:eastAsia="en-US" w:bidi="ar-SA"/>
        </w:rPr>
        <w:lastRenderedPageBreak/>
        <w:t xml:space="preserve">treatment of </w:t>
      </w:r>
      <w:proofErr w:type="spellStart"/>
      <w:r w:rsidRPr="00421268">
        <w:rPr>
          <w:rFonts w:ascii="Times New Roman" w:eastAsia="Times New Roman" w:hAnsi="Times New Roman" w:cs="Times New Roman"/>
          <w:lang w:val="en-US" w:eastAsia="en-US" w:bidi="ar-SA"/>
        </w:rPr>
        <w:t>anaemia</w:t>
      </w:r>
      <w:proofErr w:type="spellEnd"/>
      <w:r w:rsidRPr="00421268">
        <w:rPr>
          <w:rFonts w:ascii="Times New Roman" w:eastAsia="Times New Roman" w:hAnsi="Times New Roman" w:cs="Times New Roman"/>
          <w:lang w:val="en-US" w:eastAsia="en-US" w:bidi="ar-SA"/>
        </w:rPr>
        <w:t xml:space="preserve">. </w:t>
      </w:r>
      <w:r w:rsidRPr="00421268">
        <w:rPr>
          <w:rFonts w:ascii="Times New Roman" w:eastAsia="Times New Roman" w:hAnsi="Times New Roman" w:cs="Times New Roman"/>
          <w:i/>
          <w:iCs/>
          <w:lang w:val="en-US" w:eastAsia="en-US" w:bidi="ar-SA"/>
        </w:rPr>
        <w:t>Bioconjugate Chemistry, 29</w:t>
      </w:r>
      <w:r w:rsidRPr="00421268">
        <w:rPr>
          <w:rFonts w:ascii="Times New Roman" w:eastAsia="Times New Roman" w:hAnsi="Times New Roman" w:cs="Times New Roman"/>
          <w:lang w:val="en-US" w:eastAsia="en-US" w:bidi="ar-SA"/>
        </w:rPr>
        <w:t xml:space="preserve">, 1785–1791. </w:t>
      </w:r>
      <w:hyperlink r:id="rId19" w:history="1">
        <w:r w:rsidRPr="00421268">
          <w:rPr>
            <w:rFonts w:ascii="Times New Roman" w:eastAsia="Times New Roman" w:hAnsi="Times New Roman" w:cs="Times New Roman"/>
            <w:color w:val="0000FF"/>
            <w:u w:val="single"/>
            <w:lang w:val="en-US" w:eastAsia="en-US" w:bidi="ar-SA"/>
          </w:rPr>
          <w:t>https://doi.org/10.1021/acs.bioconjchem.8b00245</w:t>
        </w:r>
      </w:hyperlink>
    </w:p>
    <w:p w14:paraId="2E1B2839"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Gupta, S., Lakshmi, A. J., &amp; Prakash, J. (2006). In vitro bioavailability of calcium and iron from selected green leafy vegetables. </w:t>
      </w:r>
      <w:r w:rsidRPr="00421268">
        <w:rPr>
          <w:rFonts w:ascii="Times New Roman" w:eastAsia="Times New Roman" w:hAnsi="Times New Roman" w:cs="Times New Roman"/>
          <w:i/>
          <w:iCs/>
          <w:lang w:val="en-US" w:eastAsia="en-US" w:bidi="ar-SA"/>
        </w:rPr>
        <w:t>Journal of the Science of Food and Agriculture, 86</w:t>
      </w:r>
      <w:r w:rsidRPr="00421268">
        <w:rPr>
          <w:rFonts w:ascii="Times New Roman" w:eastAsia="Times New Roman" w:hAnsi="Times New Roman" w:cs="Times New Roman"/>
          <w:lang w:val="en-US" w:eastAsia="en-US" w:bidi="ar-SA"/>
        </w:rPr>
        <w:t xml:space="preserve">, 2147–2152. </w:t>
      </w:r>
      <w:hyperlink r:id="rId20" w:history="1">
        <w:r w:rsidRPr="00421268">
          <w:rPr>
            <w:rFonts w:ascii="Times New Roman" w:eastAsia="Times New Roman" w:hAnsi="Times New Roman" w:cs="Times New Roman"/>
            <w:color w:val="0000FF"/>
            <w:u w:val="single"/>
            <w:lang w:val="en-US" w:eastAsia="en-US" w:bidi="ar-SA"/>
          </w:rPr>
          <w:t>https://doi.org/10.1002/jsfa.2589</w:t>
        </w:r>
      </w:hyperlink>
    </w:p>
    <w:p w14:paraId="62E2D0E5"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Hassan, S. A., Yin, N., Xiao, P., Arshad, M., Cai, X., Aadil, R. M., et al. (2025). Emerging strategies to boost mineral </w:t>
      </w:r>
      <w:proofErr w:type="spellStart"/>
      <w:r w:rsidRPr="00421268">
        <w:rPr>
          <w:rFonts w:ascii="Times New Roman" w:eastAsia="Times New Roman" w:hAnsi="Times New Roman" w:cs="Times New Roman"/>
          <w:lang w:val="en-US" w:eastAsia="en-US" w:bidi="ar-SA"/>
        </w:rPr>
        <w:t>bioaccessibility</w:t>
      </w:r>
      <w:proofErr w:type="spellEnd"/>
      <w:r w:rsidRPr="00421268">
        <w:rPr>
          <w:rFonts w:ascii="Times New Roman" w:eastAsia="Times New Roman" w:hAnsi="Times New Roman" w:cs="Times New Roman"/>
          <w:lang w:val="en-US" w:eastAsia="en-US" w:bidi="ar-SA"/>
        </w:rPr>
        <w:t xml:space="preserve"> in foods: Current trends and innovations. </w:t>
      </w:r>
      <w:r w:rsidRPr="00421268">
        <w:rPr>
          <w:rFonts w:ascii="Times New Roman" w:eastAsia="Times New Roman" w:hAnsi="Times New Roman" w:cs="Times New Roman"/>
          <w:i/>
          <w:iCs/>
          <w:lang w:val="en-US" w:eastAsia="en-US" w:bidi="ar-SA"/>
        </w:rPr>
        <w:t>Food Reviews International</w:t>
      </w:r>
      <w:r w:rsidRPr="00421268">
        <w:rPr>
          <w:rFonts w:ascii="Times New Roman" w:eastAsia="Times New Roman" w:hAnsi="Times New Roman" w:cs="Times New Roman"/>
          <w:lang w:val="en-US" w:eastAsia="en-US" w:bidi="ar-SA"/>
        </w:rPr>
        <w:t xml:space="preserve">, 1–24. </w:t>
      </w:r>
      <w:hyperlink r:id="rId21" w:history="1">
        <w:r w:rsidRPr="00421268">
          <w:rPr>
            <w:rFonts w:ascii="Times New Roman" w:eastAsia="Times New Roman" w:hAnsi="Times New Roman" w:cs="Times New Roman"/>
            <w:color w:val="0000FF"/>
            <w:u w:val="single"/>
            <w:lang w:val="en-US" w:eastAsia="en-US" w:bidi="ar-SA"/>
          </w:rPr>
          <w:t>https://doi.org/10.1080/87559129.2025.2589372</w:t>
        </w:r>
      </w:hyperlink>
    </w:p>
    <w:p w14:paraId="3274D841"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Hoppe, M., </w:t>
      </w:r>
      <w:proofErr w:type="spellStart"/>
      <w:r w:rsidRPr="00421268">
        <w:rPr>
          <w:rFonts w:ascii="Times New Roman" w:eastAsia="Times New Roman" w:hAnsi="Times New Roman" w:cs="Times New Roman"/>
          <w:lang w:val="en-US" w:eastAsia="en-US" w:bidi="ar-SA"/>
        </w:rPr>
        <w:t>Önning</w:t>
      </w:r>
      <w:proofErr w:type="spellEnd"/>
      <w:r w:rsidRPr="00421268">
        <w:rPr>
          <w:rFonts w:ascii="Times New Roman" w:eastAsia="Times New Roman" w:hAnsi="Times New Roman" w:cs="Times New Roman"/>
          <w:lang w:val="en-US" w:eastAsia="en-US" w:bidi="ar-SA"/>
        </w:rPr>
        <w:t xml:space="preserve">, G., &amp; </w:t>
      </w:r>
      <w:proofErr w:type="spellStart"/>
      <w:r w:rsidRPr="00421268">
        <w:rPr>
          <w:rFonts w:ascii="Times New Roman" w:eastAsia="Times New Roman" w:hAnsi="Times New Roman" w:cs="Times New Roman"/>
          <w:lang w:val="en-US" w:eastAsia="en-US" w:bidi="ar-SA"/>
        </w:rPr>
        <w:t>Hulthén</w:t>
      </w:r>
      <w:proofErr w:type="spellEnd"/>
      <w:r w:rsidRPr="00421268">
        <w:rPr>
          <w:rFonts w:ascii="Times New Roman" w:eastAsia="Times New Roman" w:hAnsi="Times New Roman" w:cs="Times New Roman"/>
          <w:lang w:val="en-US" w:eastAsia="en-US" w:bidi="ar-SA"/>
        </w:rPr>
        <w:t xml:space="preserve">, L. (2017). Freeze-dried </w:t>
      </w:r>
      <w:r w:rsidRPr="00421268">
        <w:rPr>
          <w:rFonts w:ascii="Times New Roman" w:eastAsia="Times New Roman" w:hAnsi="Times New Roman" w:cs="Times New Roman"/>
          <w:i/>
          <w:iCs/>
          <w:lang w:val="en-US" w:eastAsia="en-US" w:bidi="ar-SA"/>
        </w:rPr>
        <w:t>Lactobacillus plantarum</w:t>
      </w:r>
      <w:r w:rsidRPr="00421268">
        <w:rPr>
          <w:rFonts w:ascii="Times New Roman" w:eastAsia="Times New Roman" w:hAnsi="Times New Roman" w:cs="Times New Roman"/>
          <w:lang w:val="en-US" w:eastAsia="en-US" w:bidi="ar-SA"/>
        </w:rPr>
        <w:t xml:space="preserve"> 299v increases iron absorption in young females: Double-isotope sequential single-blind studies in menstruating women. </w:t>
      </w:r>
      <w:r w:rsidRPr="00421268">
        <w:rPr>
          <w:rFonts w:ascii="Times New Roman" w:eastAsia="Times New Roman" w:hAnsi="Times New Roman" w:cs="Times New Roman"/>
          <w:i/>
          <w:iCs/>
          <w:lang w:val="en-US" w:eastAsia="en-US" w:bidi="ar-SA"/>
        </w:rPr>
        <w:t>PLOS ONE, 12</w:t>
      </w:r>
      <w:r w:rsidRPr="00421268">
        <w:rPr>
          <w:rFonts w:ascii="Times New Roman" w:eastAsia="Times New Roman" w:hAnsi="Times New Roman" w:cs="Times New Roman"/>
          <w:lang w:val="en-US" w:eastAsia="en-US" w:bidi="ar-SA"/>
        </w:rPr>
        <w:t xml:space="preserve">(12), Article e0189141. </w:t>
      </w:r>
      <w:hyperlink r:id="rId22" w:history="1">
        <w:r w:rsidRPr="00421268">
          <w:rPr>
            <w:rFonts w:ascii="Times New Roman" w:eastAsia="Times New Roman" w:hAnsi="Times New Roman" w:cs="Times New Roman"/>
            <w:color w:val="0000FF"/>
            <w:u w:val="single"/>
            <w:lang w:val="en-US" w:eastAsia="en-US" w:bidi="ar-SA"/>
          </w:rPr>
          <w:t>https://doi.org/10.1371/journal.pone.0189141</w:t>
        </w:r>
      </w:hyperlink>
    </w:p>
    <w:p w14:paraId="47990124"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Hoppe, M., </w:t>
      </w:r>
      <w:proofErr w:type="spellStart"/>
      <w:r w:rsidRPr="00421268">
        <w:rPr>
          <w:rFonts w:ascii="Times New Roman" w:eastAsia="Times New Roman" w:hAnsi="Times New Roman" w:cs="Times New Roman"/>
          <w:lang w:val="en-US" w:eastAsia="en-US" w:bidi="ar-SA"/>
        </w:rPr>
        <w:t>Önning</w:t>
      </w:r>
      <w:proofErr w:type="spellEnd"/>
      <w:r w:rsidRPr="00421268">
        <w:rPr>
          <w:rFonts w:ascii="Times New Roman" w:eastAsia="Times New Roman" w:hAnsi="Times New Roman" w:cs="Times New Roman"/>
          <w:lang w:val="en-US" w:eastAsia="en-US" w:bidi="ar-SA"/>
        </w:rPr>
        <w:t xml:space="preserve">, G., Berggren, A., &amp; </w:t>
      </w:r>
      <w:proofErr w:type="spellStart"/>
      <w:r w:rsidRPr="00421268">
        <w:rPr>
          <w:rFonts w:ascii="Times New Roman" w:eastAsia="Times New Roman" w:hAnsi="Times New Roman" w:cs="Times New Roman"/>
          <w:lang w:val="en-US" w:eastAsia="en-US" w:bidi="ar-SA"/>
        </w:rPr>
        <w:t>Hulthén</w:t>
      </w:r>
      <w:proofErr w:type="spellEnd"/>
      <w:r w:rsidRPr="00421268">
        <w:rPr>
          <w:rFonts w:ascii="Times New Roman" w:eastAsia="Times New Roman" w:hAnsi="Times New Roman" w:cs="Times New Roman"/>
          <w:lang w:val="en-US" w:eastAsia="en-US" w:bidi="ar-SA"/>
        </w:rPr>
        <w:t xml:space="preserve">, L. (2015). Probiotic strain </w:t>
      </w:r>
      <w:r w:rsidRPr="00421268">
        <w:rPr>
          <w:rFonts w:ascii="Times New Roman" w:eastAsia="Times New Roman" w:hAnsi="Times New Roman" w:cs="Times New Roman"/>
          <w:i/>
          <w:iCs/>
          <w:lang w:val="en-US" w:eastAsia="en-US" w:bidi="ar-SA"/>
        </w:rPr>
        <w:t>Lactobacillus plantarum</w:t>
      </w:r>
      <w:r w:rsidRPr="00421268">
        <w:rPr>
          <w:rFonts w:ascii="Times New Roman" w:eastAsia="Times New Roman" w:hAnsi="Times New Roman" w:cs="Times New Roman"/>
          <w:lang w:val="en-US" w:eastAsia="en-US" w:bidi="ar-SA"/>
        </w:rPr>
        <w:t xml:space="preserve"> 299v increases iron absorption from an iron-supplemented fruit drink: A double-isotope crossover single-blind study in women of reproductive age. </w:t>
      </w:r>
      <w:r w:rsidRPr="00421268">
        <w:rPr>
          <w:rFonts w:ascii="Times New Roman" w:eastAsia="Times New Roman" w:hAnsi="Times New Roman" w:cs="Times New Roman"/>
          <w:i/>
          <w:iCs/>
          <w:lang w:val="en-US" w:eastAsia="en-US" w:bidi="ar-SA"/>
        </w:rPr>
        <w:t>British Journal of Nutrition, 114</w:t>
      </w:r>
      <w:r w:rsidRPr="00421268">
        <w:rPr>
          <w:rFonts w:ascii="Times New Roman" w:eastAsia="Times New Roman" w:hAnsi="Times New Roman" w:cs="Times New Roman"/>
          <w:lang w:val="en-US" w:eastAsia="en-US" w:bidi="ar-SA"/>
        </w:rPr>
        <w:t xml:space="preserve">, 1195–1202. </w:t>
      </w:r>
      <w:hyperlink r:id="rId23" w:history="1">
        <w:r w:rsidRPr="00421268">
          <w:rPr>
            <w:rFonts w:ascii="Times New Roman" w:eastAsia="Times New Roman" w:hAnsi="Times New Roman" w:cs="Times New Roman"/>
            <w:color w:val="0000FF"/>
            <w:u w:val="single"/>
            <w:lang w:val="en-US" w:eastAsia="en-US" w:bidi="ar-SA"/>
          </w:rPr>
          <w:t>https://doi.org/10.1017/S000711451500241X</w:t>
        </w:r>
      </w:hyperlink>
    </w:p>
    <w:p w14:paraId="53CD9F83"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nl-BE" w:eastAsia="en-US" w:bidi="ar-SA"/>
        </w:rPr>
        <w:t xml:space="preserve">Hu, Q., Liu, Y., Fei, Y., Zhang, J., Yin, S., Zou, H., &amp; Zhu, F. (2024). </w:t>
      </w:r>
      <w:r w:rsidRPr="00421268">
        <w:rPr>
          <w:rFonts w:ascii="Times New Roman" w:eastAsia="Times New Roman" w:hAnsi="Times New Roman" w:cs="Times New Roman"/>
          <w:lang w:val="en-US" w:eastAsia="en-US" w:bidi="ar-SA"/>
        </w:rPr>
        <w:t xml:space="preserve">Efficacy of probiotic, prebiotic, and </w:t>
      </w:r>
      <w:proofErr w:type="spellStart"/>
      <w:r w:rsidRPr="00421268">
        <w:rPr>
          <w:rFonts w:ascii="Times New Roman" w:eastAsia="Times New Roman" w:hAnsi="Times New Roman" w:cs="Times New Roman"/>
          <w:lang w:val="en-US" w:eastAsia="en-US" w:bidi="ar-SA"/>
        </w:rPr>
        <w:t>synbiotics</w:t>
      </w:r>
      <w:proofErr w:type="spellEnd"/>
      <w:r w:rsidRPr="00421268">
        <w:rPr>
          <w:rFonts w:ascii="Times New Roman" w:eastAsia="Times New Roman" w:hAnsi="Times New Roman" w:cs="Times New Roman"/>
          <w:lang w:val="en-US" w:eastAsia="en-US" w:bidi="ar-SA"/>
        </w:rPr>
        <w:t xml:space="preserve"> supplements in individuals with anemia: A systematic review and meta-analysis of randomized controlled trials. </w:t>
      </w:r>
      <w:r w:rsidRPr="00421268">
        <w:rPr>
          <w:rFonts w:ascii="Times New Roman" w:eastAsia="Times New Roman" w:hAnsi="Times New Roman" w:cs="Times New Roman"/>
          <w:i/>
          <w:iCs/>
          <w:lang w:val="en-US" w:eastAsia="en-US" w:bidi="ar-SA"/>
        </w:rPr>
        <w:t>BMC Gastroenterology, 24</w:t>
      </w:r>
      <w:r w:rsidRPr="00421268">
        <w:rPr>
          <w:rFonts w:ascii="Times New Roman" w:eastAsia="Times New Roman" w:hAnsi="Times New Roman" w:cs="Times New Roman"/>
          <w:lang w:val="en-US" w:eastAsia="en-US" w:bidi="ar-SA"/>
        </w:rPr>
        <w:t xml:space="preserve">, Article 472. </w:t>
      </w:r>
      <w:hyperlink r:id="rId24" w:history="1">
        <w:r w:rsidRPr="00421268">
          <w:rPr>
            <w:rFonts w:ascii="Times New Roman" w:eastAsia="Times New Roman" w:hAnsi="Times New Roman" w:cs="Times New Roman"/>
            <w:color w:val="0000FF"/>
            <w:u w:val="single"/>
            <w:lang w:val="en-US" w:eastAsia="en-US" w:bidi="ar-SA"/>
          </w:rPr>
          <w:t>https://doi.org/10.1186/s12876-024-03562-8</w:t>
        </w:r>
      </w:hyperlink>
    </w:p>
    <w:p w14:paraId="126D51D7"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nl-BE" w:eastAsia="en-US" w:bidi="ar-SA"/>
        </w:rPr>
        <w:t xml:space="preserve">Jiang, P., Yang, J., Mao, Y., Wu, L., Li, X., Bian, X., et al. </w:t>
      </w:r>
      <w:r w:rsidRPr="00421268">
        <w:rPr>
          <w:rFonts w:ascii="Times New Roman" w:eastAsia="Times New Roman" w:hAnsi="Times New Roman" w:cs="Times New Roman"/>
          <w:lang w:val="en-US" w:eastAsia="en-US" w:bidi="ar-SA"/>
        </w:rPr>
        <w:t xml:space="preserve">(2026). </w:t>
      </w:r>
      <w:r w:rsidRPr="00421268">
        <w:rPr>
          <w:rFonts w:ascii="Times New Roman" w:eastAsia="Times New Roman" w:hAnsi="Times New Roman" w:cs="Times New Roman"/>
          <w:i/>
          <w:iCs/>
          <w:lang w:val="en-US" w:eastAsia="en-US" w:bidi="ar-SA"/>
        </w:rPr>
        <w:t xml:space="preserve">Bifidobacterium </w:t>
      </w:r>
      <w:proofErr w:type="spellStart"/>
      <w:r w:rsidRPr="00421268">
        <w:rPr>
          <w:rFonts w:ascii="Times New Roman" w:eastAsia="Times New Roman" w:hAnsi="Times New Roman" w:cs="Times New Roman"/>
          <w:i/>
          <w:iCs/>
          <w:lang w:val="en-US" w:eastAsia="en-US" w:bidi="ar-SA"/>
        </w:rPr>
        <w:t>animalis</w:t>
      </w:r>
      <w:proofErr w:type="spellEnd"/>
      <w:r w:rsidRPr="00421268">
        <w:rPr>
          <w:rFonts w:ascii="Times New Roman" w:eastAsia="Times New Roman" w:hAnsi="Times New Roman" w:cs="Times New Roman"/>
          <w:lang w:val="en-US" w:eastAsia="en-US" w:bidi="ar-SA"/>
        </w:rPr>
        <w:t xml:space="preserve"> subsp. </w:t>
      </w:r>
      <w:r w:rsidRPr="00421268">
        <w:rPr>
          <w:rFonts w:ascii="Times New Roman" w:eastAsia="Times New Roman" w:hAnsi="Times New Roman" w:cs="Times New Roman"/>
          <w:i/>
          <w:iCs/>
          <w:lang w:val="en-US" w:eastAsia="en-US" w:bidi="ar-SA"/>
        </w:rPr>
        <w:t>lactis</w:t>
      </w:r>
      <w:r w:rsidRPr="00421268">
        <w:rPr>
          <w:rFonts w:ascii="Times New Roman" w:eastAsia="Times New Roman" w:hAnsi="Times New Roman" w:cs="Times New Roman"/>
          <w:lang w:val="en-US" w:eastAsia="en-US" w:bidi="ar-SA"/>
        </w:rPr>
        <w:t xml:space="preserve"> Ca360 promotes oral iron repletion, alters the gut microbiota, and regulates host metabolism and inflammatory status in a murine model of iron deficiency </w:t>
      </w:r>
      <w:proofErr w:type="spellStart"/>
      <w:r w:rsidRPr="00421268">
        <w:rPr>
          <w:rFonts w:ascii="Times New Roman" w:eastAsia="Times New Roman" w:hAnsi="Times New Roman" w:cs="Times New Roman"/>
          <w:lang w:val="en-US" w:eastAsia="en-US" w:bidi="ar-SA"/>
        </w:rPr>
        <w:t>anaemia</w:t>
      </w:r>
      <w:proofErr w:type="spellEnd"/>
      <w:r w:rsidRPr="00421268">
        <w:rPr>
          <w:rFonts w:ascii="Times New Roman" w:eastAsia="Times New Roman" w:hAnsi="Times New Roman" w:cs="Times New Roman"/>
          <w:lang w:val="en-US" w:eastAsia="en-US" w:bidi="ar-SA"/>
        </w:rPr>
        <w:t xml:space="preserve"> caused by a low-iron diet. </w:t>
      </w:r>
      <w:r w:rsidRPr="00421268">
        <w:rPr>
          <w:rFonts w:ascii="Times New Roman" w:eastAsia="Times New Roman" w:hAnsi="Times New Roman" w:cs="Times New Roman"/>
          <w:i/>
          <w:iCs/>
          <w:lang w:val="en-US" w:eastAsia="en-US" w:bidi="ar-SA"/>
        </w:rPr>
        <w:t>Nutrients, 18</w:t>
      </w:r>
      <w:r w:rsidRPr="00421268">
        <w:rPr>
          <w:rFonts w:ascii="Times New Roman" w:eastAsia="Times New Roman" w:hAnsi="Times New Roman" w:cs="Times New Roman"/>
          <w:lang w:val="en-US" w:eastAsia="en-US" w:bidi="ar-SA"/>
        </w:rPr>
        <w:t xml:space="preserve">(6), Article 900. </w:t>
      </w:r>
      <w:hyperlink r:id="rId25" w:history="1">
        <w:r w:rsidRPr="00421268">
          <w:rPr>
            <w:rFonts w:ascii="Times New Roman" w:eastAsia="Times New Roman" w:hAnsi="Times New Roman" w:cs="Times New Roman"/>
            <w:color w:val="0000FF"/>
            <w:u w:val="single"/>
            <w:lang w:val="en-US" w:eastAsia="en-US" w:bidi="ar-SA"/>
          </w:rPr>
          <w:t>https://doi.org/10.3390/nu18060900</w:t>
        </w:r>
      </w:hyperlink>
    </w:p>
    <w:p w14:paraId="06E95224"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Júnior, C. A. L., Oliveira, S. R., </w:t>
      </w:r>
      <w:proofErr w:type="spellStart"/>
      <w:r w:rsidRPr="00421268">
        <w:rPr>
          <w:rFonts w:ascii="Times New Roman" w:eastAsia="Times New Roman" w:hAnsi="Times New Roman" w:cs="Times New Roman"/>
          <w:lang w:val="en-US" w:eastAsia="en-US" w:bidi="ar-SA"/>
        </w:rPr>
        <w:t>Mazzafera</w:t>
      </w:r>
      <w:proofErr w:type="spellEnd"/>
      <w:r w:rsidRPr="00421268">
        <w:rPr>
          <w:rFonts w:ascii="Times New Roman" w:eastAsia="Times New Roman" w:hAnsi="Times New Roman" w:cs="Times New Roman"/>
          <w:lang w:val="en-US" w:eastAsia="en-US" w:bidi="ar-SA"/>
        </w:rPr>
        <w:t xml:space="preserve">, P., &amp; Arruda, M. A. Z. (2016). Expanding information about the influence of cadmium on sunflower metabolism: Evaluation of total, bioavailable, and </w:t>
      </w:r>
      <w:proofErr w:type="spellStart"/>
      <w:r w:rsidRPr="00421268">
        <w:rPr>
          <w:rFonts w:ascii="Times New Roman" w:eastAsia="Times New Roman" w:hAnsi="Times New Roman" w:cs="Times New Roman"/>
          <w:lang w:val="en-US" w:eastAsia="en-US" w:bidi="ar-SA"/>
        </w:rPr>
        <w:t>bioaccessible</w:t>
      </w:r>
      <w:proofErr w:type="spellEnd"/>
      <w:r w:rsidRPr="00421268">
        <w:rPr>
          <w:rFonts w:ascii="Times New Roman" w:eastAsia="Times New Roman" w:hAnsi="Times New Roman" w:cs="Times New Roman"/>
          <w:lang w:val="en-US" w:eastAsia="en-US" w:bidi="ar-SA"/>
        </w:rPr>
        <w:t xml:space="preserve"> contents and </w:t>
      </w:r>
      <w:proofErr w:type="spellStart"/>
      <w:r w:rsidRPr="00421268">
        <w:rPr>
          <w:rFonts w:ascii="Times New Roman" w:eastAsia="Times New Roman" w:hAnsi="Times New Roman" w:cs="Times New Roman"/>
          <w:lang w:val="en-US" w:eastAsia="en-US" w:bidi="ar-SA"/>
        </w:rPr>
        <w:t>metallobiomolecules</w:t>
      </w:r>
      <w:proofErr w:type="spellEnd"/>
      <w:r w:rsidRPr="00421268">
        <w:rPr>
          <w:rFonts w:ascii="Times New Roman" w:eastAsia="Times New Roman" w:hAnsi="Times New Roman" w:cs="Times New Roman"/>
          <w:lang w:val="en-US" w:eastAsia="en-US" w:bidi="ar-SA"/>
        </w:rPr>
        <w:t xml:space="preserve"> in sunflower seeds. </w:t>
      </w:r>
      <w:r w:rsidRPr="00421268">
        <w:rPr>
          <w:rFonts w:ascii="Times New Roman" w:eastAsia="Times New Roman" w:hAnsi="Times New Roman" w:cs="Times New Roman"/>
          <w:i/>
          <w:iCs/>
          <w:lang w:val="en-US" w:eastAsia="en-US" w:bidi="ar-SA"/>
        </w:rPr>
        <w:t>Environmental and Experimental Botany, 125</w:t>
      </w:r>
      <w:r w:rsidRPr="00421268">
        <w:rPr>
          <w:rFonts w:ascii="Times New Roman" w:eastAsia="Times New Roman" w:hAnsi="Times New Roman" w:cs="Times New Roman"/>
          <w:lang w:val="en-US" w:eastAsia="en-US" w:bidi="ar-SA"/>
        </w:rPr>
        <w:t xml:space="preserve">, 87–97. </w:t>
      </w:r>
      <w:hyperlink r:id="rId26" w:history="1">
        <w:r w:rsidRPr="00421268">
          <w:rPr>
            <w:rFonts w:ascii="Times New Roman" w:eastAsia="Times New Roman" w:hAnsi="Times New Roman" w:cs="Times New Roman"/>
            <w:color w:val="0000FF"/>
            <w:u w:val="single"/>
            <w:lang w:val="en-US" w:eastAsia="en-US" w:bidi="ar-SA"/>
          </w:rPr>
          <w:t>https://doi.org/10.1016/j.envexpbot.2016.02.003</w:t>
        </w:r>
      </w:hyperlink>
    </w:p>
    <w:p w14:paraId="4000E8EC"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proofErr w:type="spellStart"/>
      <w:r w:rsidRPr="00421268">
        <w:rPr>
          <w:rFonts w:ascii="Times New Roman" w:eastAsia="Times New Roman" w:hAnsi="Times New Roman" w:cs="Times New Roman"/>
          <w:lang w:val="en-US" w:eastAsia="en-US" w:bidi="ar-SA"/>
        </w:rPr>
        <w:t>Kalantre</w:t>
      </w:r>
      <w:proofErr w:type="spellEnd"/>
      <w:r w:rsidRPr="00421268">
        <w:rPr>
          <w:rFonts w:ascii="Times New Roman" w:eastAsia="Times New Roman" w:hAnsi="Times New Roman" w:cs="Times New Roman"/>
          <w:lang w:val="en-US" w:eastAsia="en-US" w:bidi="ar-SA"/>
        </w:rPr>
        <w:t xml:space="preserve">, S., Suthar, S. B., Ramesh, N. B., Sarin, P., Rai, S., Banjara, S. K., et al. (2026). A review of the role and applications of adjuvants in enhancing mineral </w:t>
      </w:r>
      <w:proofErr w:type="spellStart"/>
      <w:r w:rsidRPr="00421268">
        <w:rPr>
          <w:rFonts w:ascii="Times New Roman" w:eastAsia="Times New Roman" w:hAnsi="Times New Roman" w:cs="Times New Roman"/>
          <w:lang w:val="en-US" w:eastAsia="en-US" w:bidi="ar-SA"/>
        </w:rPr>
        <w:t>bioaccessibility</w:t>
      </w:r>
      <w:proofErr w:type="spellEnd"/>
      <w:r w:rsidRPr="00421268">
        <w:rPr>
          <w:rFonts w:ascii="Times New Roman" w:eastAsia="Times New Roman" w:hAnsi="Times New Roman" w:cs="Times New Roman"/>
          <w:lang w:val="en-US" w:eastAsia="en-US" w:bidi="ar-SA"/>
        </w:rPr>
        <w:t xml:space="preserve"> in cereals. </w:t>
      </w:r>
      <w:r w:rsidRPr="00421268">
        <w:rPr>
          <w:rFonts w:ascii="Times New Roman" w:eastAsia="Times New Roman" w:hAnsi="Times New Roman" w:cs="Times New Roman"/>
          <w:i/>
          <w:iCs/>
          <w:lang w:val="en-US" w:eastAsia="en-US" w:bidi="ar-SA"/>
        </w:rPr>
        <w:t>Food Science and Biotechnology</w:t>
      </w:r>
      <w:r w:rsidRPr="00421268">
        <w:rPr>
          <w:rFonts w:ascii="Times New Roman" w:eastAsia="Times New Roman" w:hAnsi="Times New Roman" w:cs="Times New Roman"/>
          <w:lang w:val="en-US" w:eastAsia="en-US" w:bidi="ar-SA"/>
        </w:rPr>
        <w:t xml:space="preserve">, 1–22. </w:t>
      </w:r>
      <w:hyperlink r:id="rId27" w:history="1">
        <w:r w:rsidRPr="00421268">
          <w:rPr>
            <w:rFonts w:ascii="Times New Roman" w:eastAsia="Times New Roman" w:hAnsi="Times New Roman" w:cs="Times New Roman"/>
            <w:color w:val="0000FF"/>
            <w:u w:val="single"/>
            <w:lang w:val="en-US" w:eastAsia="en-US" w:bidi="ar-SA"/>
          </w:rPr>
          <w:t>https://doi.org/10.1007/s10068-026-02120-0</w:t>
        </w:r>
      </w:hyperlink>
    </w:p>
    <w:p w14:paraId="7DF48843"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Kaur, N., Agarwal, A., &amp; Sabharwal, M. (2022). Food fortification strategies to deliver nutrients for the management of iron deficiency </w:t>
      </w:r>
      <w:proofErr w:type="spellStart"/>
      <w:r w:rsidRPr="00421268">
        <w:rPr>
          <w:rFonts w:ascii="Times New Roman" w:eastAsia="Times New Roman" w:hAnsi="Times New Roman" w:cs="Times New Roman"/>
          <w:lang w:val="en-US" w:eastAsia="en-US" w:bidi="ar-SA"/>
        </w:rPr>
        <w:t>anaemia</w:t>
      </w:r>
      <w:proofErr w:type="spellEnd"/>
      <w:r w:rsidRPr="00421268">
        <w:rPr>
          <w:rFonts w:ascii="Times New Roman" w:eastAsia="Times New Roman" w:hAnsi="Times New Roman" w:cs="Times New Roman"/>
          <w:lang w:val="en-US" w:eastAsia="en-US" w:bidi="ar-SA"/>
        </w:rPr>
        <w:t xml:space="preserve">. </w:t>
      </w:r>
      <w:r w:rsidRPr="00421268">
        <w:rPr>
          <w:rFonts w:ascii="Times New Roman" w:eastAsia="Times New Roman" w:hAnsi="Times New Roman" w:cs="Times New Roman"/>
          <w:i/>
          <w:iCs/>
          <w:lang w:val="en-US" w:eastAsia="en-US" w:bidi="ar-SA"/>
        </w:rPr>
        <w:t>Current Research in Food Science, 5</w:t>
      </w:r>
      <w:r w:rsidRPr="00421268">
        <w:rPr>
          <w:rFonts w:ascii="Times New Roman" w:eastAsia="Times New Roman" w:hAnsi="Times New Roman" w:cs="Times New Roman"/>
          <w:lang w:val="en-US" w:eastAsia="en-US" w:bidi="ar-SA"/>
        </w:rPr>
        <w:t xml:space="preserve">, 2094–2107. </w:t>
      </w:r>
      <w:hyperlink r:id="rId28" w:history="1">
        <w:r w:rsidRPr="00421268">
          <w:rPr>
            <w:rFonts w:ascii="Times New Roman" w:eastAsia="Times New Roman" w:hAnsi="Times New Roman" w:cs="Times New Roman"/>
            <w:color w:val="0000FF"/>
            <w:u w:val="single"/>
            <w:lang w:val="en-US" w:eastAsia="en-US" w:bidi="ar-SA"/>
          </w:rPr>
          <w:t>https://doi.org/10.1016/j.crfs.2022.10.020</w:t>
        </w:r>
      </w:hyperlink>
    </w:p>
    <w:p w14:paraId="291C6D13"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nl-BE" w:eastAsia="en-US" w:bidi="ar-SA"/>
        </w:rPr>
        <w:t xml:space="preserve">Khodaii, Z., Zadeh, M. N., Kamali, J., &amp; Natanzi, M. M. (2019). </w:t>
      </w:r>
      <w:r w:rsidRPr="00421268">
        <w:rPr>
          <w:rFonts w:ascii="Times New Roman" w:eastAsia="Times New Roman" w:hAnsi="Times New Roman" w:cs="Times New Roman"/>
          <w:lang w:val="en-US" w:eastAsia="en-US" w:bidi="ar-SA"/>
        </w:rPr>
        <w:t xml:space="preserve">Enhanced iron absorption from lactic acid-fermented bread: An in vivo/ex vivo study. </w:t>
      </w:r>
      <w:r w:rsidRPr="00421268">
        <w:rPr>
          <w:rFonts w:ascii="Times New Roman" w:eastAsia="Times New Roman" w:hAnsi="Times New Roman" w:cs="Times New Roman"/>
          <w:i/>
          <w:iCs/>
          <w:lang w:val="en-US" w:eastAsia="en-US" w:bidi="ar-SA"/>
        </w:rPr>
        <w:t>Gene Reports, 15</w:t>
      </w:r>
      <w:r w:rsidRPr="00421268">
        <w:rPr>
          <w:rFonts w:ascii="Times New Roman" w:eastAsia="Times New Roman" w:hAnsi="Times New Roman" w:cs="Times New Roman"/>
          <w:lang w:val="en-US" w:eastAsia="en-US" w:bidi="ar-SA"/>
        </w:rPr>
        <w:t xml:space="preserve">, Article 100389. </w:t>
      </w:r>
      <w:hyperlink r:id="rId29" w:history="1">
        <w:r w:rsidRPr="00421268">
          <w:rPr>
            <w:rFonts w:ascii="Times New Roman" w:eastAsia="Times New Roman" w:hAnsi="Times New Roman" w:cs="Times New Roman"/>
            <w:color w:val="0000FF"/>
            <w:u w:val="single"/>
            <w:lang w:val="en-US" w:eastAsia="en-US" w:bidi="ar-SA"/>
          </w:rPr>
          <w:t>https://doi.org/10.1016/j.genrep.2019.100389</w:t>
        </w:r>
      </w:hyperlink>
    </w:p>
    <w:p w14:paraId="429139C2"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nl-BE" w:eastAsia="en-US" w:bidi="ar-SA"/>
        </w:rPr>
      </w:pPr>
      <w:r w:rsidRPr="00421268">
        <w:rPr>
          <w:rFonts w:ascii="Times New Roman" w:eastAsia="Times New Roman" w:hAnsi="Times New Roman" w:cs="Times New Roman"/>
          <w:lang w:val="en-US" w:eastAsia="en-US" w:bidi="ar-SA"/>
        </w:rPr>
        <w:lastRenderedPageBreak/>
        <w:t xml:space="preserve">Kumar, A., &amp; Brookes, M. J. (2020). Iron therapy in inflammatory bowel disease. </w:t>
      </w:r>
      <w:r w:rsidRPr="00421268">
        <w:rPr>
          <w:rFonts w:ascii="Times New Roman" w:eastAsia="Times New Roman" w:hAnsi="Times New Roman" w:cs="Times New Roman"/>
          <w:i/>
          <w:iCs/>
          <w:lang w:val="nl-BE" w:eastAsia="en-US" w:bidi="ar-SA"/>
        </w:rPr>
        <w:t>Nutrients, 12</w:t>
      </w:r>
      <w:r w:rsidRPr="00421268">
        <w:rPr>
          <w:rFonts w:ascii="Times New Roman" w:eastAsia="Times New Roman" w:hAnsi="Times New Roman" w:cs="Times New Roman"/>
          <w:lang w:val="nl-BE" w:eastAsia="en-US" w:bidi="ar-SA"/>
        </w:rPr>
        <w:t xml:space="preserve">(11), Article 3478. </w:t>
      </w:r>
      <w:r w:rsidRPr="00421268">
        <w:rPr>
          <w:rFonts w:ascii="Times New Roman" w:eastAsia="Times New Roman" w:hAnsi="Times New Roman" w:cs="Times New Roman"/>
          <w:lang w:val="en-US" w:eastAsia="en-US" w:bidi="ar-SA"/>
        </w:rPr>
        <w:fldChar w:fldCharType="begin"/>
      </w:r>
      <w:r w:rsidRPr="00421268">
        <w:rPr>
          <w:rFonts w:ascii="Times New Roman" w:eastAsia="Times New Roman" w:hAnsi="Times New Roman" w:cs="Times New Roman"/>
          <w:lang w:val="nl-BE" w:eastAsia="en-US" w:bidi="ar-SA"/>
        </w:rPr>
        <w:instrText>HYPERLINK "https://doi.org/10.3390/nu12113478"</w:instrText>
      </w:r>
      <w:r w:rsidRPr="00421268">
        <w:rPr>
          <w:rFonts w:ascii="Times New Roman" w:eastAsia="Times New Roman" w:hAnsi="Times New Roman" w:cs="Times New Roman"/>
          <w:lang w:val="en-US" w:eastAsia="en-US" w:bidi="ar-SA"/>
        </w:rPr>
      </w:r>
      <w:r w:rsidRPr="00421268">
        <w:rPr>
          <w:rFonts w:ascii="Times New Roman" w:eastAsia="Times New Roman" w:hAnsi="Times New Roman" w:cs="Times New Roman"/>
          <w:lang w:val="en-US" w:eastAsia="en-US" w:bidi="ar-SA"/>
        </w:rPr>
        <w:fldChar w:fldCharType="separate"/>
      </w:r>
      <w:r w:rsidRPr="00421268">
        <w:rPr>
          <w:rFonts w:ascii="Times New Roman" w:eastAsia="Times New Roman" w:hAnsi="Times New Roman" w:cs="Times New Roman"/>
          <w:color w:val="0000FF"/>
          <w:u w:val="single"/>
          <w:lang w:val="nl-BE" w:eastAsia="en-US" w:bidi="ar-SA"/>
        </w:rPr>
        <w:t>https://doi.org/10.3390/nu12113478</w:t>
      </w:r>
      <w:r w:rsidRPr="00421268">
        <w:rPr>
          <w:rFonts w:ascii="Times New Roman" w:eastAsia="Times New Roman" w:hAnsi="Times New Roman" w:cs="Times New Roman"/>
          <w:lang w:val="en-US" w:eastAsia="en-US" w:bidi="ar-SA"/>
        </w:rPr>
        <w:fldChar w:fldCharType="end"/>
      </w:r>
    </w:p>
    <w:p w14:paraId="3593054C" w14:textId="2847E1B6"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nl-BE" w:eastAsia="en-US" w:bidi="ar-SA"/>
        </w:rPr>
        <w:t xml:space="preserve">Hu, Q., Liu, Y., Fei, Y., Zhang, J., Yin, S., Zou, H., &amp; Zhu, F. (2024). </w:t>
      </w:r>
      <w:r w:rsidRPr="00421268">
        <w:rPr>
          <w:rFonts w:ascii="Times New Roman" w:eastAsia="Times New Roman" w:hAnsi="Times New Roman" w:cs="Times New Roman"/>
          <w:lang w:val="en-US" w:eastAsia="en-US" w:bidi="ar-SA"/>
        </w:rPr>
        <w:t xml:space="preserve">Efficacy of probiotic, prebiotic, and </w:t>
      </w:r>
      <w:proofErr w:type="spellStart"/>
      <w:r w:rsidRPr="00421268">
        <w:rPr>
          <w:rFonts w:ascii="Times New Roman" w:eastAsia="Times New Roman" w:hAnsi="Times New Roman" w:cs="Times New Roman"/>
          <w:lang w:val="en-US" w:eastAsia="en-US" w:bidi="ar-SA"/>
        </w:rPr>
        <w:t>synbiotics</w:t>
      </w:r>
      <w:proofErr w:type="spellEnd"/>
      <w:r w:rsidRPr="00421268">
        <w:rPr>
          <w:rFonts w:ascii="Times New Roman" w:eastAsia="Times New Roman" w:hAnsi="Times New Roman" w:cs="Times New Roman"/>
          <w:lang w:val="en-US" w:eastAsia="en-US" w:bidi="ar-SA"/>
        </w:rPr>
        <w:t xml:space="preserve"> supplements in individuals with anemia: A systematic review and meta-analysis of randomized controlled trials. BMC Gastroenterology, 24, Article 472. </w:t>
      </w:r>
      <w:hyperlink r:id="rId30" w:history="1">
        <w:r w:rsidRPr="00421268">
          <w:rPr>
            <w:rFonts w:ascii="Times New Roman" w:eastAsia="Times New Roman" w:hAnsi="Times New Roman" w:cs="Times New Roman"/>
            <w:color w:val="0000FF"/>
            <w:u w:val="single"/>
            <w:lang w:val="en-US" w:eastAsia="en-US" w:bidi="ar-SA"/>
          </w:rPr>
          <w:t>https://doi.org/10.1186/s12876-024-03562-8</w:t>
        </w:r>
      </w:hyperlink>
    </w:p>
    <w:p w14:paraId="643EF5A5"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nl-BE" w:eastAsia="en-US" w:bidi="ar-SA"/>
        </w:rPr>
        <w:t xml:space="preserve">Liu, Z., Liang, D., Wang, X., Yu, S., Fu, D., Ma, Y., et al. </w:t>
      </w:r>
      <w:r w:rsidRPr="00421268">
        <w:rPr>
          <w:rFonts w:ascii="Times New Roman" w:eastAsia="Times New Roman" w:hAnsi="Times New Roman" w:cs="Times New Roman"/>
          <w:lang w:val="en-US" w:eastAsia="en-US" w:bidi="ar-SA"/>
        </w:rPr>
        <w:t xml:space="preserve">(2026). Structural and metabolic </w:t>
      </w:r>
      <w:proofErr w:type="spellStart"/>
      <w:r w:rsidRPr="00421268">
        <w:rPr>
          <w:rFonts w:ascii="Times New Roman" w:eastAsia="Times New Roman" w:hAnsi="Times New Roman" w:cs="Times New Roman"/>
          <w:lang w:val="en-US" w:eastAsia="en-US" w:bidi="ar-SA"/>
        </w:rPr>
        <w:t>remodelling</w:t>
      </w:r>
      <w:proofErr w:type="spellEnd"/>
      <w:r w:rsidRPr="00421268">
        <w:rPr>
          <w:rFonts w:ascii="Times New Roman" w:eastAsia="Times New Roman" w:hAnsi="Times New Roman" w:cs="Times New Roman"/>
          <w:lang w:val="en-US" w:eastAsia="en-US" w:bidi="ar-SA"/>
        </w:rPr>
        <w:t xml:space="preserve"> of mixed lactic acid bacteria-fermented wheat germ and </w:t>
      </w:r>
      <w:proofErr w:type="spellStart"/>
      <w:r w:rsidRPr="00421268">
        <w:rPr>
          <w:rFonts w:ascii="Times New Roman" w:eastAsia="Times New Roman" w:hAnsi="Times New Roman" w:cs="Times New Roman"/>
          <w:lang w:val="en-US" w:eastAsia="en-US" w:bidi="ar-SA"/>
        </w:rPr>
        <w:t>its</w:t>
      </w:r>
      <w:proofErr w:type="spellEnd"/>
      <w:r w:rsidRPr="00421268">
        <w:rPr>
          <w:rFonts w:ascii="Times New Roman" w:eastAsia="Times New Roman" w:hAnsi="Times New Roman" w:cs="Times New Roman"/>
          <w:lang w:val="en-US" w:eastAsia="en-US" w:bidi="ar-SA"/>
        </w:rPr>
        <w:t xml:space="preserve"> in vitro and in vivo digestive stability. </w:t>
      </w:r>
      <w:r w:rsidRPr="00421268">
        <w:rPr>
          <w:rFonts w:ascii="Times New Roman" w:eastAsia="Times New Roman" w:hAnsi="Times New Roman" w:cs="Times New Roman"/>
          <w:i/>
          <w:iCs/>
          <w:lang w:val="en-US" w:eastAsia="en-US" w:bidi="ar-SA"/>
        </w:rPr>
        <w:t>Foods, 15</w:t>
      </w:r>
      <w:r w:rsidRPr="00421268">
        <w:rPr>
          <w:rFonts w:ascii="Times New Roman" w:eastAsia="Times New Roman" w:hAnsi="Times New Roman" w:cs="Times New Roman"/>
          <w:lang w:val="en-US" w:eastAsia="en-US" w:bidi="ar-SA"/>
        </w:rPr>
        <w:t xml:space="preserve">(4), Article 750. </w:t>
      </w:r>
      <w:hyperlink r:id="rId31" w:history="1">
        <w:r w:rsidRPr="00421268">
          <w:rPr>
            <w:rFonts w:ascii="Times New Roman" w:eastAsia="Times New Roman" w:hAnsi="Times New Roman" w:cs="Times New Roman"/>
            <w:color w:val="0000FF"/>
            <w:u w:val="single"/>
            <w:lang w:val="en-US" w:eastAsia="en-US" w:bidi="ar-SA"/>
          </w:rPr>
          <w:t>https://doi.org/10.3390/foods15040750</w:t>
        </w:r>
      </w:hyperlink>
    </w:p>
    <w:p w14:paraId="5E62AE41"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proofErr w:type="spellStart"/>
      <w:r w:rsidRPr="00421268">
        <w:rPr>
          <w:rFonts w:ascii="Times New Roman" w:eastAsia="Times New Roman" w:hAnsi="Times New Roman" w:cs="Times New Roman"/>
          <w:lang w:val="en-US" w:eastAsia="en-US" w:bidi="ar-SA"/>
        </w:rPr>
        <w:t>Longvah</w:t>
      </w:r>
      <w:proofErr w:type="spellEnd"/>
      <w:r w:rsidRPr="00421268">
        <w:rPr>
          <w:rFonts w:ascii="Times New Roman" w:eastAsia="Times New Roman" w:hAnsi="Times New Roman" w:cs="Times New Roman"/>
          <w:lang w:val="en-US" w:eastAsia="en-US" w:bidi="ar-SA"/>
        </w:rPr>
        <w:t xml:space="preserve">, T., Ananthan, I., </w:t>
      </w:r>
      <w:proofErr w:type="spellStart"/>
      <w:r w:rsidRPr="00421268">
        <w:rPr>
          <w:rFonts w:ascii="Times New Roman" w:eastAsia="Times New Roman" w:hAnsi="Times New Roman" w:cs="Times New Roman"/>
          <w:lang w:val="en-US" w:eastAsia="en-US" w:bidi="ar-SA"/>
        </w:rPr>
        <w:t>Bhaskarachary</w:t>
      </w:r>
      <w:proofErr w:type="spellEnd"/>
      <w:r w:rsidRPr="00421268">
        <w:rPr>
          <w:rFonts w:ascii="Times New Roman" w:eastAsia="Times New Roman" w:hAnsi="Times New Roman" w:cs="Times New Roman"/>
          <w:lang w:val="en-US" w:eastAsia="en-US" w:bidi="ar-SA"/>
        </w:rPr>
        <w:t xml:space="preserve">, K., &amp; Venkaiah, K. (2017). </w:t>
      </w:r>
      <w:r w:rsidRPr="00421268">
        <w:rPr>
          <w:rFonts w:ascii="Times New Roman" w:eastAsia="Times New Roman" w:hAnsi="Times New Roman" w:cs="Times New Roman"/>
          <w:i/>
          <w:iCs/>
          <w:lang w:val="en-US" w:eastAsia="en-US" w:bidi="ar-SA"/>
        </w:rPr>
        <w:t>Indian food composition tables</w:t>
      </w:r>
      <w:r w:rsidRPr="00421268">
        <w:rPr>
          <w:rFonts w:ascii="Times New Roman" w:eastAsia="Times New Roman" w:hAnsi="Times New Roman" w:cs="Times New Roman"/>
          <w:lang w:val="en-US" w:eastAsia="en-US" w:bidi="ar-SA"/>
        </w:rPr>
        <w:t xml:space="preserve">. National Institute of Nutrition, Indian Council of Medical Research. </w:t>
      </w:r>
      <w:hyperlink r:id="rId32" w:history="1">
        <w:r w:rsidRPr="00421268">
          <w:rPr>
            <w:rFonts w:ascii="Times New Roman" w:eastAsia="Times New Roman" w:hAnsi="Times New Roman" w:cs="Times New Roman"/>
            <w:color w:val="0000FF"/>
            <w:u w:val="single"/>
            <w:lang w:val="en-US" w:eastAsia="en-US" w:bidi="ar-SA"/>
          </w:rPr>
          <w:t>https://www.nin.res.in/downloads/IFCT%202017%20Book.pdf</w:t>
        </w:r>
      </w:hyperlink>
    </w:p>
    <w:p w14:paraId="0AC3E25C" w14:textId="68AAD23D"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nl-BE" w:eastAsia="en-US" w:bidi="ar-SA"/>
        </w:rPr>
        <w:t xml:space="preserve">Luten, J., Crews, H., Flynn, A., Van Dael, P., Kastenmayer, P., Hurrell, R., et al. </w:t>
      </w:r>
      <w:r w:rsidRPr="00421268">
        <w:rPr>
          <w:rFonts w:ascii="Times New Roman" w:eastAsia="Times New Roman" w:hAnsi="Times New Roman" w:cs="Times New Roman"/>
          <w:lang w:val="en-US" w:eastAsia="en-US" w:bidi="ar-SA"/>
        </w:rPr>
        <w:t xml:space="preserve">(1996). Interlaboratory trial on the determination of in vitro iron </w:t>
      </w:r>
      <w:proofErr w:type="spellStart"/>
      <w:r w:rsidRPr="00421268">
        <w:rPr>
          <w:rFonts w:ascii="Times New Roman" w:eastAsia="Times New Roman" w:hAnsi="Times New Roman" w:cs="Times New Roman"/>
          <w:lang w:val="en-US" w:eastAsia="en-US" w:bidi="ar-SA"/>
        </w:rPr>
        <w:t>dialysability</w:t>
      </w:r>
      <w:proofErr w:type="spellEnd"/>
      <w:r w:rsidRPr="00421268">
        <w:rPr>
          <w:rFonts w:ascii="Times New Roman" w:eastAsia="Times New Roman" w:hAnsi="Times New Roman" w:cs="Times New Roman"/>
          <w:lang w:val="en-US" w:eastAsia="en-US" w:bidi="ar-SA"/>
        </w:rPr>
        <w:t xml:space="preserve"> from food. </w:t>
      </w:r>
      <w:r w:rsidRPr="00421268">
        <w:rPr>
          <w:rFonts w:ascii="Times New Roman" w:eastAsia="Times New Roman" w:hAnsi="Times New Roman" w:cs="Times New Roman"/>
          <w:i/>
          <w:iCs/>
          <w:lang w:val="en-US" w:eastAsia="en-US" w:bidi="ar-SA"/>
        </w:rPr>
        <w:t>Journal of the Science of Food and Agriculture, 71</w:t>
      </w:r>
      <w:r w:rsidRPr="00421268">
        <w:rPr>
          <w:rFonts w:ascii="Times New Roman" w:eastAsia="Times New Roman" w:hAnsi="Times New Roman" w:cs="Times New Roman"/>
          <w:lang w:val="en-US" w:eastAsia="en-US" w:bidi="ar-SA"/>
        </w:rPr>
        <w:t xml:space="preserve">, 415–424. </w:t>
      </w:r>
    </w:p>
    <w:p w14:paraId="17CFA8BC"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Mamatha, C., &amp; Prakash, J. (2016). Formulation of iron-fortified masala powders and assessment of nutritional and sensory qualities. </w:t>
      </w:r>
      <w:r w:rsidRPr="00421268">
        <w:rPr>
          <w:rFonts w:ascii="Times New Roman" w:eastAsia="Times New Roman" w:hAnsi="Times New Roman" w:cs="Times New Roman"/>
          <w:i/>
          <w:iCs/>
          <w:lang w:val="en-US" w:eastAsia="en-US" w:bidi="ar-SA"/>
        </w:rPr>
        <w:t>Indian Journal of Nutrition and Dietetics, 53</w:t>
      </w:r>
      <w:r w:rsidRPr="00421268">
        <w:rPr>
          <w:rFonts w:ascii="Times New Roman" w:eastAsia="Times New Roman" w:hAnsi="Times New Roman" w:cs="Times New Roman"/>
          <w:lang w:val="en-US" w:eastAsia="en-US" w:bidi="ar-SA"/>
        </w:rPr>
        <w:t xml:space="preserve">(3), 330–342. </w:t>
      </w:r>
      <w:hyperlink r:id="rId33" w:history="1">
        <w:r w:rsidRPr="00421268">
          <w:rPr>
            <w:rFonts w:ascii="Times New Roman" w:eastAsia="Times New Roman" w:hAnsi="Times New Roman" w:cs="Times New Roman"/>
            <w:color w:val="0000FF"/>
            <w:u w:val="single"/>
            <w:lang w:val="en-US" w:eastAsia="en-US" w:bidi="ar-SA"/>
          </w:rPr>
          <w:t>https://doi.org/10.21048/ijnd.2016.53.3.5316</w:t>
        </w:r>
      </w:hyperlink>
    </w:p>
    <w:p w14:paraId="1488E873"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Mayer Labba, I. C., Steinhausen, H., Almius, L., Bach Knudsen, K. E., &amp; Sandberg, A. S. (2022). Nutritional composition and estimated iron and zinc bioavailability of meat substitutes available on the Swedish market. </w:t>
      </w:r>
      <w:r w:rsidRPr="00421268">
        <w:rPr>
          <w:rFonts w:ascii="Times New Roman" w:eastAsia="Times New Roman" w:hAnsi="Times New Roman" w:cs="Times New Roman"/>
          <w:i/>
          <w:iCs/>
          <w:lang w:val="en-US" w:eastAsia="en-US" w:bidi="ar-SA"/>
        </w:rPr>
        <w:t>Nutrients, 14</w:t>
      </w:r>
      <w:r w:rsidRPr="00421268">
        <w:rPr>
          <w:rFonts w:ascii="Times New Roman" w:eastAsia="Times New Roman" w:hAnsi="Times New Roman" w:cs="Times New Roman"/>
          <w:lang w:val="en-US" w:eastAsia="en-US" w:bidi="ar-SA"/>
        </w:rPr>
        <w:t xml:space="preserve">(19), Article 3903. </w:t>
      </w:r>
      <w:hyperlink r:id="rId34" w:history="1">
        <w:r w:rsidRPr="00421268">
          <w:rPr>
            <w:rFonts w:ascii="Times New Roman" w:eastAsia="Times New Roman" w:hAnsi="Times New Roman" w:cs="Times New Roman"/>
            <w:color w:val="0000FF"/>
            <w:u w:val="single"/>
            <w:lang w:val="en-US" w:eastAsia="en-US" w:bidi="ar-SA"/>
          </w:rPr>
          <w:t>https://doi.org/10.3390/nu14193903</w:t>
        </w:r>
      </w:hyperlink>
    </w:p>
    <w:p w14:paraId="634A4770"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proofErr w:type="spellStart"/>
      <w:r w:rsidRPr="00421268">
        <w:rPr>
          <w:rFonts w:ascii="Times New Roman" w:eastAsia="Times New Roman" w:hAnsi="Times New Roman" w:cs="Times New Roman"/>
          <w:lang w:val="en-US" w:eastAsia="en-US" w:bidi="ar-SA"/>
        </w:rPr>
        <w:t>Nyonje</w:t>
      </w:r>
      <w:proofErr w:type="spellEnd"/>
      <w:r w:rsidRPr="00421268">
        <w:rPr>
          <w:rFonts w:ascii="Times New Roman" w:eastAsia="Times New Roman" w:hAnsi="Times New Roman" w:cs="Times New Roman"/>
          <w:lang w:val="en-US" w:eastAsia="en-US" w:bidi="ar-SA"/>
        </w:rPr>
        <w:t xml:space="preserve">, W. A., Yang, R.-Y., Wu, W.-J., Makokha, A. O., Owino, W. O., &amp; </w:t>
      </w:r>
      <w:proofErr w:type="spellStart"/>
      <w:r w:rsidRPr="00421268">
        <w:rPr>
          <w:rFonts w:ascii="Times New Roman" w:eastAsia="Times New Roman" w:hAnsi="Times New Roman" w:cs="Times New Roman"/>
          <w:lang w:val="en-US" w:eastAsia="en-US" w:bidi="ar-SA"/>
        </w:rPr>
        <w:t>Abukutsa</w:t>
      </w:r>
      <w:proofErr w:type="spellEnd"/>
      <w:r w:rsidRPr="00421268">
        <w:rPr>
          <w:rFonts w:ascii="Times New Roman" w:eastAsia="Times New Roman" w:hAnsi="Times New Roman" w:cs="Times New Roman"/>
          <w:lang w:val="en-US" w:eastAsia="en-US" w:bidi="ar-SA"/>
        </w:rPr>
        <w:t xml:space="preserve">-Onyango, M. O. (2021). Enhancing the nutritional quality of vegetable amaranth through specific food preparation methods. </w:t>
      </w:r>
      <w:r w:rsidRPr="00421268">
        <w:rPr>
          <w:rFonts w:ascii="Times New Roman" w:eastAsia="Times New Roman" w:hAnsi="Times New Roman" w:cs="Times New Roman"/>
          <w:i/>
          <w:iCs/>
          <w:lang w:val="en-US" w:eastAsia="en-US" w:bidi="ar-SA"/>
        </w:rPr>
        <w:t>Journal of Food Research, 10</w:t>
      </w:r>
      <w:r w:rsidRPr="00421268">
        <w:rPr>
          <w:rFonts w:ascii="Times New Roman" w:eastAsia="Times New Roman" w:hAnsi="Times New Roman" w:cs="Times New Roman"/>
          <w:lang w:val="en-US" w:eastAsia="en-US" w:bidi="ar-SA"/>
        </w:rPr>
        <w:t xml:space="preserve">(4), 42. </w:t>
      </w:r>
      <w:hyperlink r:id="rId35" w:history="1">
        <w:r w:rsidRPr="00421268">
          <w:rPr>
            <w:rFonts w:ascii="Times New Roman" w:eastAsia="Times New Roman" w:hAnsi="Times New Roman" w:cs="Times New Roman"/>
            <w:color w:val="0000FF"/>
            <w:u w:val="single"/>
            <w:lang w:val="en-US" w:eastAsia="en-US" w:bidi="ar-SA"/>
          </w:rPr>
          <w:t>https://doi.org/10.5539/jfr.v10n4p42</w:t>
        </w:r>
      </w:hyperlink>
    </w:p>
    <w:p w14:paraId="33A36E5A"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Oliveira, S. R., Chacon-Madrid, K., Arruda, M. A. Z., &amp; Júnior, F. B. (2019). In vitro gastrointestinal digestion to evaluate the total, </w:t>
      </w:r>
      <w:proofErr w:type="spellStart"/>
      <w:r w:rsidRPr="00421268">
        <w:rPr>
          <w:rFonts w:ascii="Times New Roman" w:eastAsia="Times New Roman" w:hAnsi="Times New Roman" w:cs="Times New Roman"/>
          <w:lang w:val="en-US" w:eastAsia="en-US" w:bidi="ar-SA"/>
        </w:rPr>
        <w:t>bioaccessible</w:t>
      </w:r>
      <w:proofErr w:type="spellEnd"/>
      <w:r w:rsidRPr="00421268">
        <w:rPr>
          <w:rFonts w:ascii="Times New Roman" w:eastAsia="Times New Roman" w:hAnsi="Times New Roman" w:cs="Times New Roman"/>
          <w:lang w:val="en-US" w:eastAsia="en-US" w:bidi="ar-SA"/>
        </w:rPr>
        <w:t>, and bioavailable concentrations of iron and manganese in açaí (</w:t>
      </w:r>
      <w:r w:rsidRPr="00421268">
        <w:rPr>
          <w:rFonts w:ascii="Times New Roman" w:eastAsia="Times New Roman" w:hAnsi="Times New Roman" w:cs="Times New Roman"/>
          <w:i/>
          <w:iCs/>
          <w:lang w:val="en-US" w:eastAsia="en-US" w:bidi="ar-SA"/>
        </w:rPr>
        <w:t>Euterpe oleracea</w:t>
      </w:r>
      <w:r w:rsidRPr="00421268">
        <w:rPr>
          <w:rFonts w:ascii="Times New Roman" w:eastAsia="Times New Roman" w:hAnsi="Times New Roman" w:cs="Times New Roman"/>
          <w:lang w:val="en-US" w:eastAsia="en-US" w:bidi="ar-SA"/>
        </w:rPr>
        <w:t xml:space="preserve"> Mart.) pulps. </w:t>
      </w:r>
      <w:r w:rsidRPr="00421268">
        <w:rPr>
          <w:rFonts w:ascii="Times New Roman" w:eastAsia="Times New Roman" w:hAnsi="Times New Roman" w:cs="Times New Roman"/>
          <w:i/>
          <w:iCs/>
          <w:lang w:val="en-US" w:eastAsia="en-US" w:bidi="ar-SA"/>
        </w:rPr>
        <w:t>Journal of Trace Elements in Medicine and Biology, 53</w:t>
      </w:r>
      <w:r w:rsidRPr="00421268">
        <w:rPr>
          <w:rFonts w:ascii="Times New Roman" w:eastAsia="Times New Roman" w:hAnsi="Times New Roman" w:cs="Times New Roman"/>
          <w:lang w:val="en-US" w:eastAsia="en-US" w:bidi="ar-SA"/>
        </w:rPr>
        <w:t xml:space="preserve">, 27–33. </w:t>
      </w:r>
      <w:hyperlink r:id="rId36" w:history="1">
        <w:r w:rsidRPr="00421268">
          <w:rPr>
            <w:rFonts w:ascii="Times New Roman" w:eastAsia="Times New Roman" w:hAnsi="Times New Roman" w:cs="Times New Roman"/>
            <w:color w:val="0000FF"/>
            <w:u w:val="single"/>
            <w:lang w:val="en-US" w:eastAsia="en-US" w:bidi="ar-SA"/>
          </w:rPr>
          <w:t>https://doi.org/10.1016/j.jtemb.2019.01.016</w:t>
        </w:r>
      </w:hyperlink>
    </w:p>
    <w:p w14:paraId="1FCD444B"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nl-BE" w:eastAsia="en-US" w:bidi="ar-SA"/>
        </w:rPr>
        <w:t xml:space="preserve">Pasricha, S.-R., Tye-Din, J., Muckenthaler, M. U., &amp; Swinkels, D. W. (2021). </w:t>
      </w:r>
      <w:r w:rsidRPr="00421268">
        <w:rPr>
          <w:rFonts w:ascii="Times New Roman" w:eastAsia="Times New Roman" w:hAnsi="Times New Roman" w:cs="Times New Roman"/>
          <w:lang w:val="en-US" w:eastAsia="en-US" w:bidi="ar-SA"/>
        </w:rPr>
        <w:t xml:space="preserve">Iron deficiency. </w:t>
      </w:r>
      <w:r w:rsidRPr="00421268">
        <w:rPr>
          <w:rFonts w:ascii="Times New Roman" w:eastAsia="Times New Roman" w:hAnsi="Times New Roman" w:cs="Times New Roman"/>
          <w:i/>
          <w:iCs/>
          <w:lang w:val="en-US" w:eastAsia="en-US" w:bidi="ar-SA"/>
        </w:rPr>
        <w:t>The Lancet, 397</w:t>
      </w:r>
      <w:r w:rsidRPr="00421268">
        <w:rPr>
          <w:rFonts w:ascii="Times New Roman" w:eastAsia="Times New Roman" w:hAnsi="Times New Roman" w:cs="Times New Roman"/>
          <w:lang w:val="en-US" w:eastAsia="en-US" w:bidi="ar-SA"/>
        </w:rPr>
        <w:t xml:space="preserve">, 233–248. </w:t>
      </w:r>
      <w:hyperlink r:id="rId37" w:history="1">
        <w:r w:rsidRPr="00421268">
          <w:rPr>
            <w:rFonts w:ascii="Times New Roman" w:eastAsia="Times New Roman" w:hAnsi="Times New Roman" w:cs="Times New Roman"/>
            <w:color w:val="0000FF"/>
            <w:u w:val="single"/>
            <w:lang w:val="en-US" w:eastAsia="en-US" w:bidi="ar-SA"/>
          </w:rPr>
          <w:t>https://doi.org/10.1016/S0140-6736(20)32594-0</w:t>
        </w:r>
      </w:hyperlink>
    </w:p>
    <w:p w14:paraId="20C1C3AB"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proofErr w:type="spellStart"/>
      <w:r w:rsidRPr="00421268">
        <w:rPr>
          <w:rFonts w:ascii="Times New Roman" w:eastAsia="Times New Roman" w:hAnsi="Times New Roman" w:cs="Times New Roman"/>
          <w:lang w:val="en-US" w:eastAsia="en-US" w:bidi="ar-SA"/>
        </w:rPr>
        <w:t>Pawale</w:t>
      </w:r>
      <w:proofErr w:type="spellEnd"/>
      <w:r w:rsidRPr="00421268">
        <w:rPr>
          <w:rFonts w:ascii="Times New Roman" w:eastAsia="Times New Roman" w:hAnsi="Times New Roman" w:cs="Times New Roman"/>
          <w:lang w:val="en-US" w:eastAsia="en-US" w:bidi="ar-SA"/>
        </w:rPr>
        <w:t xml:space="preserve">, A. V., </w:t>
      </w:r>
      <w:proofErr w:type="spellStart"/>
      <w:r w:rsidRPr="00421268">
        <w:rPr>
          <w:rFonts w:ascii="Times New Roman" w:eastAsia="Times New Roman" w:hAnsi="Times New Roman" w:cs="Times New Roman"/>
          <w:lang w:val="en-US" w:eastAsia="en-US" w:bidi="ar-SA"/>
        </w:rPr>
        <w:t>Alaguthevar</w:t>
      </w:r>
      <w:proofErr w:type="spellEnd"/>
      <w:r w:rsidRPr="00421268">
        <w:rPr>
          <w:rFonts w:ascii="Times New Roman" w:eastAsia="Times New Roman" w:hAnsi="Times New Roman" w:cs="Times New Roman"/>
          <w:lang w:val="en-US" w:eastAsia="en-US" w:bidi="ar-SA"/>
        </w:rPr>
        <w:t xml:space="preserve">, R., Murugesan, B., </w:t>
      </w:r>
      <w:proofErr w:type="spellStart"/>
      <w:r w:rsidRPr="00421268">
        <w:rPr>
          <w:rFonts w:ascii="Times New Roman" w:eastAsia="Times New Roman" w:hAnsi="Times New Roman" w:cs="Times New Roman"/>
          <w:lang w:val="en-US" w:eastAsia="en-US" w:bidi="ar-SA"/>
        </w:rPr>
        <w:t>Subburamu</w:t>
      </w:r>
      <w:proofErr w:type="spellEnd"/>
      <w:r w:rsidRPr="00421268">
        <w:rPr>
          <w:rFonts w:ascii="Times New Roman" w:eastAsia="Times New Roman" w:hAnsi="Times New Roman" w:cs="Times New Roman"/>
          <w:lang w:val="en-US" w:eastAsia="en-US" w:bidi="ar-SA"/>
        </w:rPr>
        <w:t xml:space="preserve">, K., Alagarsamy, S., &amp; Rhim, J.-W. (2025). Millet-based functional foods: A comprehensive review of lactic acid bacteria in biofortification, fermentation mechanisms, and non-thermal pretreatment strategies for metabolite pathway modulation. </w:t>
      </w:r>
      <w:r w:rsidRPr="00421268">
        <w:rPr>
          <w:rFonts w:ascii="Times New Roman" w:eastAsia="Times New Roman" w:hAnsi="Times New Roman" w:cs="Times New Roman"/>
          <w:i/>
          <w:iCs/>
          <w:lang w:val="en-US" w:eastAsia="en-US" w:bidi="ar-SA"/>
        </w:rPr>
        <w:t>Journal of Food Process Engineering, 48</w:t>
      </w:r>
      <w:r w:rsidRPr="00421268">
        <w:rPr>
          <w:rFonts w:ascii="Times New Roman" w:eastAsia="Times New Roman" w:hAnsi="Times New Roman" w:cs="Times New Roman"/>
          <w:lang w:val="en-US" w:eastAsia="en-US" w:bidi="ar-SA"/>
        </w:rPr>
        <w:t xml:space="preserve">, Article e70282. </w:t>
      </w:r>
      <w:hyperlink r:id="rId38" w:history="1">
        <w:r w:rsidRPr="00421268">
          <w:rPr>
            <w:rFonts w:ascii="Times New Roman" w:eastAsia="Times New Roman" w:hAnsi="Times New Roman" w:cs="Times New Roman"/>
            <w:color w:val="0000FF"/>
            <w:u w:val="single"/>
            <w:lang w:val="en-US" w:eastAsia="en-US" w:bidi="ar-SA"/>
          </w:rPr>
          <w:t>https://doi.org/10.1111/jfpe.70282</w:t>
        </w:r>
      </w:hyperlink>
    </w:p>
    <w:p w14:paraId="447C4978"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lastRenderedPageBreak/>
        <w:t xml:space="preserve">Periyasamy, K. (2020). Influence of wet digestion methods on total iron content in single and combined juices of </w:t>
      </w:r>
      <w:r w:rsidRPr="00421268">
        <w:rPr>
          <w:rFonts w:ascii="Times New Roman" w:eastAsia="Times New Roman" w:hAnsi="Times New Roman" w:cs="Times New Roman"/>
          <w:i/>
          <w:iCs/>
          <w:lang w:val="en-US" w:eastAsia="en-US" w:bidi="ar-SA"/>
        </w:rPr>
        <w:t xml:space="preserve">Solanum </w:t>
      </w:r>
      <w:proofErr w:type="spellStart"/>
      <w:r w:rsidRPr="00421268">
        <w:rPr>
          <w:rFonts w:ascii="Times New Roman" w:eastAsia="Times New Roman" w:hAnsi="Times New Roman" w:cs="Times New Roman"/>
          <w:i/>
          <w:iCs/>
          <w:lang w:val="en-US" w:eastAsia="en-US" w:bidi="ar-SA"/>
        </w:rPr>
        <w:t>anguivi</w:t>
      </w:r>
      <w:proofErr w:type="spellEnd"/>
      <w:r w:rsidRPr="00421268">
        <w:rPr>
          <w:rFonts w:ascii="Times New Roman" w:eastAsia="Times New Roman" w:hAnsi="Times New Roman" w:cs="Times New Roman"/>
          <w:lang w:val="en-US" w:eastAsia="en-US" w:bidi="ar-SA"/>
        </w:rPr>
        <w:t xml:space="preserve"> L. and </w:t>
      </w:r>
      <w:proofErr w:type="spellStart"/>
      <w:r w:rsidRPr="00421268">
        <w:rPr>
          <w:rFonts w:ascii="Times New Roman" w:eastAsia="Times New Roman" w:hAnsi="Times New Roman" w:cs="Times New Roman"/>
          <w:i/>
          <w:iCs/>
          <w:lang w:val="en-US" w:eastAsia="en-US" w:bidi="ar-SA"/>
        </w:rPr>
        <w:t>Emblica</w:t>
      </w:r>
      <w:proofErr w:type="spellEnd"/>
      <w:r w:rsidRPr="00421268">
        <w:rPr>
          <w:rFonts w:ascii="Times New Roman" w:eastAsia="Times New Roman" w:hAnsi="Times New Roman" w:cs="Times New Roman"/>
          <w:i/>
          <w:iCs/>
          <w:lang w:val="en-US" w:eastAsia="en-US" w:bidi="ar-SA"/>
        </w:rPr>
        <w:t xml:space="preserve"> officinalis</w:t>
      </w:r>
      <w:r w:rsidRPr="00421268">
        <w:rPr>
          <w:rFonts w:ascii="Times New Roman" w:eastAsia="Times New Roman" w:hAnsi="Times New Roman" w:cs="Times New Roman"/>
          <w:lang w:val="en-US" w:eastAsia="en-US" w:bidi="ar-SA"/>
        </w:rPr>
        <w:t xml:space="preserve">. </w:t>
      </w:r>
      <w:r w:rsidRPr="00421268">
        <w:rPr>
          <w:rFonts w:ascii="Times New Roman" w:eastAsia="Times New Roman" w:hAnsi="Times New Roman" w:cs="Times New Roman"/>
          <w:i/>
          <w:iCs/>
          <w:lang w:val="en-US" w:eastAsia="en-US" w:bidi="ar-SA"/>
        </w:rPr>
        <w:t>International Journal of Pharmaceutical Research, 12</w:t>
      </w:r>
      <w:r w:rsidRPr="00421268">
        <w:rPr>
          <w:rFonts w:ascii="Times New Roman" w:eastAsia="Times New Roman" w:hAnsi="Times New Roman" w:cs="Times New Roman"/>
          <w:lang w:val="en-US" w:eastAsia="en-US" w:bidi="ar-SA"/>
        </w:rPr>
        <w:t xml:space="preserve">(4). </w:t>
      </w:r>
      <w:hyperlink r:id="rId39" w:history="1">
        <w:r w:rsidRPr="00421268">
          <w:rPr>
            <w:rFonts w:ascii="Times New Roman" w:eastAsia="Times New Roman" w:hAnsi="Times New Roman" w:cs="Times New Roman"/>
            <w:color w:val="0000FF"/>
            <w:u w:val="single"/>
            <w:lang w:val="en-US" w:eastAsia="en-US" w:bidi="ar-SA"/>
          </w:rPr>
          <w:t>https://doi.org/10.31838/ijpr/2020.12.04.082</w:t>
        </w:r>
      </w:hyperlink>
    </w:p>
    <w:p w14:paraId="6F1B4BF8"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Punetha, P., O’Callaghan, T. F., &amp; McCarthy, E. K. (2026). Micronutrients in future diets: Considerations for dietary iron and food-matrix effects on bioavailability. </w:t>
      </w:r>
      <w:r w:rsidRPr="00421268">
        <w:rPr>
          <w:rFonts w:ascii="Times New Roman" w:eastAsia="Times New Roman" w:hAnsi="Times New Roman" w:cs="Times New Roman"/>
          <w:i/>
          <w:iCs/>
          <w:lang w:val="en-US" w:eastAsia="en-US" w:bidi="ar-SA"/>
        </w:rPr>
        <w:t>Molecular Nutrition &amp; Food Research, 70</w:t>
      </w:r>
      <w:r w:rsidRPr="00421268">
        <w:rPr>
          <w:rFonts w:ascii="Times New Roman" w:eastAsia="Times New Roman" w:hAnsi="Times New Roman" w:cs="Times New Roman"/>
          <w:lang w:val="en-US" w:eastAsia="en-US" w:bidi="ar-SA"/>
        </w:rPr>
        <w:t xml:space="preserve">, Article e70483. </w:t>
      </w:r>
      <w:hyperlink r:id="rId40" w:history="1">
        <w:r w:rsidRPr="00421268">
          <w:rPr>
            <w:rFonts w:ascii="Times New Roman" w:eastAsia="Times New Roman" w:hAnsi="Times New Roman" w:cs="Times New Roman"/>
            <w:color w:val="0000FF"/>
            <w:u w:val="single"/>
            <w:lang w:val="en-US" w:eastAsia="en-US" w:bidi="ar-SA"/>
          </w:rPr>
          <w:t>https://doi.org/10.1002/mnfr.70483</w:t>
        </w:r>
      </w:hyperlink>
    </w:p>
    <w:p w14:paraId="053E5EF6"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Putri, H. O., </w:t>
      </w:r>
      <w:proofErr w:type="spellStart"/>
      <w:r w:rsidRPr="00421268">
        <w:rPr>
          <w:rFonts w:ascii="Times New Roman" w:eastAsia="Times New Roman" w:hAnsi="Times New Roman" w:cs="Times New Roman"/>
          <w:lang w:val="en-US" w:eastAsia="en-US" w:bidi="ar-SA"/>
        </w:rPr>
        <w:t>Arrazy</w:t>
      </w:r>
      <w:proofErr w:type="spellEnd"/>
      <w:r w:rsidRPr="00421268">
        <w:rPr>
          <w:rFonts w:ascii="Times New Roman" w:eastAsia="Times New Roman" w:hAnsi="Times New Roman" w:cs="Times New Roman"/>
          <w:lang w:val="en-US" w:eastAsia="en-US" w:bidi="ar-SA"/>
        </w:rPr>
        <w:t>, S., &amp; Wahyudi, W. (2024). Substitution of red amaranth flour (</w:t>
      </w:r>
      <w:r w:rsidRPr="00421268">
        <w:rPr>
          <w:rFonts w:ascii="Times New Roman" w:eastAsia="Times New Roman" w:hAnsi="Times New Roman" w:cs="Times New Roman"/>
          <w:i/>
          <w:iCs/>
          <w:lang w:val="en-US" w:eastAsia="en-US" w:bidi="ar-SA"/>
        </w:rPr>
        <w:t>Amaranthus tricolor</w:t>
      </w:r>
      <w:r w:rsidRPr="00421268">
        <w:rPr>
          <w:rFonts w:ascii="Times New Roman" w:eastAsia="Times New Roman" w:hAnsi="Times New Roman" w:cs="Times New Roman"/>
          <w:lang w:val="en-US" w:eastAsia="en-US" w:bidi="ar-SA"/>
        </w:rPr>
        <w:t xml:space="preserve"> L.) in the manufacture of wet noodles as a high-iron food. </w:t>
      </w:r>
      <w:r w:rsidRPr="00421268">
        <w:rPr>
          <w:rFonts w:ascii="Times New Roman" w:eastAsia="Times New Roman" w:hAnsi="Times New Roman" w:cs="Times New Roman"/>
          <w:i/>
          <w:iCs/>
          <w:lang w:val="en-US" w:eastAsia="en-US" w:bidi="ar-SA"/>
        </w:rPr>
        <w:t>Indonesian Journal of Global Health Research, 6</w:t>
      </w:r>
      <w:r w:rsidRPr="00421268">
        <w:rPr>
          <w:rFonts w:ascii="Times New Roman" w:eastAsia="Times New Roman" w:hAnsi="Times New Roman" w:cs="Times New Roman"/>
          <w:lang w:val="en-US" w:eastAsia="en-US" w:bidi="ar-SA"/>
        </w:rPr>
        <w:t xml:space="preserve">, 1653–1662. </w:t>
      </w:r>
      <w:hyperlink r:id="rId41" w:history="1">
        <w:r w:rsidRPr="00421268">
          <w:rPr>
            <w:rFonts w:ascii="Times New Roman" w:eastAsia="Times New Roman" w:hAnsi="Times New Roman" w:cs="Times New Roman"/>
            <w:color w:val="0000FF"/>
            <w:u w:val="single"/>
            <w:lang w:val="en-US" w:eastAsia="en-US" w:bidi="ar-SA"/>
          </w:rPr>
          <w:t>https://doi.org/10.37287/ijghr.v6i3.3392</w:t>
        </w:r>
      </w:hyperlink>
    </w:p>
    <w:p w14:paraId="44CDAC34"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Rusu, I. G., </w:t>
      </w:r>
      <w:proofErr w:type="spellStart"/>
      <w:r w:rsidRPr="00421268">
        <w:rPr>
          <w:rFonts w:ascii="Times New Roman" w:eastAsia="Times New Roman" w:hAnsi="Times New Roman" w:cs="Times New Roman"/>
          <w:lang w:val="en-US" w:eastAsia="en-US" w:bidi="ar-SA"/>
        </w:rPr>
        <w:t>Suharoschi</w:t>
      </w:r>
      <w:proofErr w:type="spellEnd"/>
      <w:r w:rsidRPr="00421268">
        <w:rPr>
          <w:rFonts w:ascii="Times New Roman" w:eastAsia="Times New Roman" w:hAnsi="Times New Roman" w:cs="Times New Roman"/>
          <w:lang w:val="en-US" w:eastAsia="en-US" w:bidi="ar-SA"/>
        </w:rPr>
        <w:t xml:space="preserve">, R., </w:t>
      </w:r>
      <w:proofErr w:type="spellStart"/>
      <w:r w:rsidRPr="00421268">
        <w:rPr>
          <w:rFonts w:ascii="Times New Roman" w:eastAsia="Times New Roman" w:hAnsi="Times New Roman" w:cs="Times New Roman"/>
          <w:lang w:val="en-US" w:eastAsia="en-US" w:bidi="ar-SA"/>
        </w:rPr>
        <w:t>Vodnar</w:t>
      </w:r>
      <w:proofErr w:type="spellEnd"/>
      <w:r w:rsidRPr="00421268">
        <w:rPr>
          <w:rFonts w:ascii="Times New Roman" w:eastAsia="Times New Roman" w:hAnsi="Times New Roman" w:cs="Times New Roman"/>
          <w:lang w:val="en-US" w:eastAsia="en-US" w:bidi="ar-SA"/>
        </w:rPr>
        <w:t xml:space="preserve">, D. C., Pop, C. R., </w:t>
      </w:r>
      <w:proofErr w:type="spellStart"/>
      <w:r w:rsidRPr="00421268">
        <w:rPr>
          <w:rFonts w:ascii="Times New Roman" w:eastAsia="Times New Roman" w:hAnsi="Times New Roman" w:cs="Times New Roman"/>
          <w:lang w:val="en-US" w:eastAsia="en-US" w:bidi="ar-SA"/>
        </w:rPr>
        <w:t>Socaci</w:t>
      </w:r>
      <w:proofErr w:type="spellEnd"/>
      <w:r w:rsidRPr="00421268">
        <w:rPr>
          <w:rFonts w:ascii="Times New Roman" w:eastAsia="Times New Roman" w:hAnsi="Times New Roman" w:cs="Times New Roman"/>
          <w:lang w:val="en-US" w:eastAsia="en-US" w:bidi="ar-SA"/>
        </w:rPr>
        <w:t xml:space="preserve">, S. A., </w:t>
      </w:r>
      <w:proofErr w:type="spellStart"/>
      <w:r w:rsidRPr="00421268">
        <w:rPr>
          <w:rFonts w:ascii="Times New Roman" w:eastAsia="Times New Roman" w:hAnsi="Times New Roman" w:cs="Times New Roman"/>
          <w:lang w:val="en-US" w:eastAsia="en-US" w:bidi="ar-SA"/>
        </w:rPr>
        <w:t>Vulturar</w:t>
      </w:r>
      <w:proofErr w:type="spellEnd"/>
      <w:r w:rsidRPr="00421268">
        <w:rPr>
          <w:rFonts w:ascii="Times New Roman" w:eastAsia="Times New Roman" w:hAnsi="Times New Roman" w:cs="Times New Roman"/>
          <w:lang w:val="en-US" w:eastAsia="en-US" w:bidi="ar-SA"/>
        </w:rPr>
        <w:t xml:space="preserve">, R., et al. (2020). Influence of iron supplementation on the gut microbiota and the effect of probiotic intake in iron deficiency: A literature-based review. </w:t>
      </w:r>
      <w:r w:rsidRPr="00421268">
        <w:rPr>
          <w:rFonts w:ascii="Times New Roman" w:eastAsia="Times New Roman" w:hAnsi="Times New Roman" w:cs="Times New Roman"/>
          <w:i/>
          <w:iCs/>
          <w:lang w:val="en-US" w:eastAsia="en-US" w:bidi="ar-SA"/>
        </w:rPr>
        <w:t>Nutrients, 12</w:t>
      </w:r>
      <w:r w:rsidRPr="00421268">
        <w:rPr>
          <w:rFonts w:ascii="Times New Roman" w:eastAsia="Times New Roman" w:hAnsi="Times New Roman" w:cs="Times New Roman"/>
          <w:lang w:val="en-US" w:eastAsia="en-US" w:bidi="ar-SA"/>
        </w:rPr>
        <w:t xml:space="preserve">(7), Article 1993. </w:t>
      </w:r>
      <w:hyperlink r:id="rId42" w:history="1">
        <w:r w:rsidRPr="00421268">
          <w:rPr>
            <w:rFonts w:ascii="Times New Roman" w:eastAsia="Times New Roman" w:hAnsi="Times New Roman" w:cs="Times New Roman"/>
            <w:color w:val="0000FF"/>
            <w:u w:val="single"/>
            <w:lang w:val="en-US" w:eastAsia="en-US" w:bidi="ar-SA"/>
          </w:rPr>
          <w:t>https://doi.org/10.3390/nu12071993</w:t>
        </w:r>
      </w:hyperlink>
    </w:p>
    <w:p w14:paraId="21542082"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Shahidi, F., &amp; Pan, Y. (2022). Influence of the food matrix and food processing on the chemical interaction and </w:t>
      </w:r>
      <w:proofErr w:type="spellStart"/>
      <w:r w:rsidRPr="00421268">
        <w:rPr>
          <w:rFonts w:ascii="Times New Roman" w:eastAsia="Times New Roman" w:hAnsi="Times New Roman" w:cs="Times New Roman"/>
          <w:lang w:val="en-US" w:eastAsia="en-US" w:bidi="ar-SA"/>
        </w:rPr>
        <w:t>bioaccessibility</w:t>
      </w:r>
      <w:proofErr w:type="spellEnd"/>
      <w:r w:rsidRPr="00421268">
        <w:rPr>
          <w:rFonts w:ascii="Times New Roman" w:eastAsia="Times New Roman" w:hAnsi="Times New Roman" w:cs="Times New Roman"/>
          <w:lang w:val="en-US" w:eastAsia="en-US" w:bidi="ar-SA"/>
        </w:rPr>
        <w:t xml:space="preserve"> of dietary phytochemicals: A review. </w:t>
      </w:r>
      <w:r w:rsidRPr="00421268">
        <w:rPr>
          <w:rFonts w:ascii="Times New Roman" w:eastAsia="Times New Roman" w:hAnsi="Times New Roman" w:cs="Times New Roman"/>
          <w:i/>
          <w:iCs/>
          <w:lang w:val="en-US" w:eastAsia="en-US" w:bidi="ar-SA"/>
        </w:rPr>
        <w:t>Critical Reviews in Food Science and Nutrition, 62</w:t>
      </w:r>
      <w:r w:rsidRPr="00421268">
        <w:rPr>
          <w:rFonts w:ascii="Times New Roman" w:eastAsia="Times New Roman" w:hAnsi="Times New Roman" w:cs="Times New Roman"/>
          <w:lang w:val="en-US" w:eastAsia="en-US" w:bidi="ar-SA"/>
        </w:rPr>
        <w:t xml:space="preserve">, 6421–6445. </w:t>
      </w:r>
      <w:hyperlink r:id="rId43" w:history="1">
        <w:r w:rsidRPr="00421268">
          <w:rPr>
            <w:rFonts w:ascii="Times New Roman" w:eastAsia="Times New Roman" w:hAnsi="Times New Roman" w:cs="Times New Roman"/>
            <w:color w:val="0000FF"/>
            <w:u w:val="single"/>
            <w:lang w:val="en-US" w:eastAsia="en-US" w:bidi="ar-SA"/>
          </w:rPr>
          <w:t>https://doi.org/10.1080/10408398.2021.1901650</w:t>
        </w:r>
      </w:hyperlink>
    </w:p>
    <w:p w14:paraId="336FD7FF"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nl-BE" w:eastAsia="en-US" w:bidi="ar-SA"/>
        </w:rPr>
        <w:t xml:space="preserve">Shangpliang, H. N. J., &amp; Tamang, J. P. (2023). </w:t>
      </w:r>
      <w:r w:rsidRPr="00421268">
        <w:rPr>
          <w:rFonts w:ascii="Times New Roman" w:eastAsia="Times New Roman" w:hAnsi="Times New Roman" w:cs="Times New Roman"/>
          <w:lang w:val="en-US" w:eastAsia="en-US" w:bidi="ar-SA"/>
        </w:rPr>
        <w:t xml:space="preserve">Metagenome-assembled genomes for biomarkers of </w:t>
      </w:r>
      <w:proofErr w:type="spellStart"/>
      <w:r w:rsidRPr="00421268">
        <w:rPr>
          <w:rFonts w:ascii="Times New Roman" w:eastAsia="Times New Roman" w:hAnsi="Times New Roman" w:cs="Times New Roman"/>
          <w:lang w:val="en-US" w:eastAsia="en-US" w:bidi="ar-SA"/>
        </w:rPr>
        <w:t>biofunctionalities</w:t>
      </w:r>
      <w:proofErr w:type="spellEnd"/>
      <w:r w:rsidRPr="00421268">
        <w:rPr>
          <w:rFonts w:ascii="Times New Roman" w:eastAsia="Times New Roman" w:hAnsi="Times New Roman" w:cs="Times New Roman"/>
          <w:lang w:val="en-US" w:eastAsia="en-US" w:bidi="ar-SA"/>
        </w:rPr>
        <w:t xml:space="preserve"> in Laal </w:t>
      </w:r>
      <w:proofErr w:type="spellStart"/>
      <w:r w:rsidRPr="00421268">
        <w:rPr>
          <w:rFonts w:ascii="Times New Roman" w:eastAsia="Times New Roman" w:hAnsi="Times New Roman" w:cs="Times New Roman"/>
          <w:lang w:val="en-US" w:eastAsia="en-US" w:bidi="ar-SA"/>
        </w:rPr>
        <w:t>dahi</w:t>
      </w:r>
      <w:proofErr w:type="spellEnd"/>
      <w:r w:rsidRPr="00421268">
        <w:rPr>
          <w:rFonts w:ascii="Times New Roman" w:eastAsia="Times New Roman" w:hAnsi="Times New Roman" w:cs="Times New Roman"/>
          <w:lang w:val="en-US" w:eastAsia="en-US" w:bidi="ar-SA"/>
        </w:rPr>
        <w:t xml:space="preserve">, an Indian ethnic fermented milk product. </w:t>
      </w:r>
      <w:r w:rsidRPr="00421268">
        <w:rPr>
          <w:rFonts w:ascii="Times New Roman" w:eastAsia="Times New Roman" w:hAnsi="Times New Roman" w:cs="Times New Roman"/>
          <w:i/>
          <w:iCs/>
          <w:lang w:val="en-US" w:eastAsia="en-US" w:bidi="ar-SA"/>
        </w:rPr>
        <w:t>International Journal of Food Microbiology, 402</w:t>
      </w:r>
      <w:r w:rsidRPr="00421268">
        <w:rPr>
          <w:rFonts w:ascii="Times New Roman" w:eastAsia="Times New Roman" w:hAnsi="Times New Roman" w:cs="Times New Roman"/>
          <w:lang w:val="en-US" w:eastAsia="en-US" w:bidi="ar-SA"/>
        </w:rPr>
        <w:t xml:space="preserve">, Article 110300. </w:t>
      </w:r>
      <w:hyperlink r:id="rId44" w:history="1">
        <w:r w:rsidRPr="00421268">
          <w:rPr>
            <w:rFonts w:ascii="Times New Roman" w:eastAsia="Times New Roman" w:hAnsi="Times New Roman" w:cs="Times New Roman"/>
            <w:color w:val="0000FF"/>
            <w:u w:val="single"/>
            <w:lang w:val="en-US" w:eastAsia="en-US" w:bidi="ar-SA"/>
          </w:rPr>
          <w:t>https://doi.org/10.1016/j.ijfoodmicro.2023.110300</w:t>
        </w:r>
      </w:hyperlink>
    </w:p>
    <w:p w14:paraId="6AA006A4" w14:textId="6B1931E5"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Akter, T., Akhter, Q. S., Amran, M. S., Lisa, S. H., Sultana, A., Sultana, F., Ahmad, R., Kamal, S. T., Habib, T. B., &amp; Rahman, F. (2020). </w:t>
      </w:r>
      <w:proofErr w:type="spellStart"/>
      <w:r w:rsidRPr="00421268">
        <w:rPr>
          <w:rFonts w:ascii="Times New Roman" w:eastAsia="Times New Roman" w:hAnsi="Times New Roman" w:cs="Times New Roman"/>
          <w:lang w:val="en-US" w:eastAsia="en-US" w:bidi="ar-SA"/>
        </w:rPr>
        <w:t>Haematopoietic</w:t>
      </w:r>
      <w:proofErr w:type="spellEnd"/>
      <w:r w:rsidRPr="00421268">
        <w:rPr>
          <w:rFonts w:ascii="Times New Roman" w:eastAsia="Times New Roman" w:hAnsi="Times New Roman" w:cs="Times New Roman"/>
          <w:lang w:val="en-US" w:eastAsia="en-US" w:bidi="ar-SA"/>
        </w:rPr>
        <w:t xml:space="preserve"> effects of </w:t>
      </w:r>
      <w:proofErr w:type="spellStart"/>
      <w:r w:rsidRPr="00421268">
        <w:rPr>
          <w:rFonts w:ascii="Times New Roman" w:eastAsia="Times New Roman" w:hAnsi="Times New Roman" w:cs="Times New Roman"/>
          <w:lang w:val="en-US" w:eastAsia="en-US" w:bidi="ar-SA"/>
        </w:rPr>
        <w:t>amloki</w:t>
      </w:r>
      <w:proofErr w:type="spellEnd"/>
      <w:r w:rsidRPr="00421268">
        <w:rPr>
          <w:rFonts w:ascii="Times New Roman" w:eastAsia="Times New Roman" w:hAnsi="Times New Roman" w:cs="Times New Roman"/>
          <w:lang w:val="en-US" w:eastAsia="en-US" w:bidi="ar-SA"/>
        </w:rPr>
        <w:t xml:space="preserve"> (</w:t>
      </w:r>
      <w:proofErr w:type="spellStart"/>
      <w:r w:rsidRPr="00421268">
        <w:rPr>
          <w:rFonts w:ascii="Times New Roman" w:eastAsia="Times New Roman" w:hAnsi="Times New Roman" w:cs="Times New Roman"/>
          <w:lang w:val="en-US" w:eastAsia="en-US" w:bidi="ar-SA"/>
        </w:rPr>
        <w:t>Emblica</w:t>
      </w:r>
      <w:proofErr w:type="spellEnd"/>
      <w:r w:rsidRPr="00421268">
        <w:rPr>
          <w:rFonts w:ascii="Times New Roman" w:eastAsia="Times New Roman" w:hAnsi="Times New Roman" w:cs="Times New Roman"/>
          <w:lang w:val="en-US" w:eastAsia="en-US" w:bidi="ar-SA"/>
        </w:rPr>
        <w:t xml:space="preserve"> officinalis) in pregnancy with iron deficiency </w:t>
      </w:r>
      <w:proofErr w:type="spellStart"/>
      <w:r w:rsidRPr="00421268">
        <w:rPr>
          <w:rFonts w:ascii="Times New Roman" w:eastAsia="Times New Roman" w:hAnsi="Times New Roman" w:cs="Times New Roman"/>
          <w:lang w:val="en-US" w:eastAsia="en-US" w:bidi="ar-SA"/>
        </w:rPr>
        <w:t>anaemia</w:t>
      </w:r>
      <w:proofErr w:type="spellEnd"/>
      <w:r w:rsidRPr="00421268">
        <w:rPr>
          <w:rFonts w:ascii="Times New Roman" w:eastAsia="Times New Roman" w:hAnsi="Times New Roman" w:cs="Times New Roman"/>
          <w:lang w:val="en-US" w:eastAsia="en-US" w:bidi="ar-SA"/>
        </w:rPr>
        <w:t xml:space="preserve">. Journal of Biosciences and Medicines, 8(12), 157–165. </w:t>
      </w:r>
      <w:hyperlink r:id="rId45" w:history="1">
        <w:r w:rsidRPr="00421268">
          <w:rPr>
            <w:rFonts w:ascii="Times New Roman" w:eastAsia="Times New Roman" w:hAnsi="Times New Roman" w:cs="Times New Roman"/>
            <w:color w:val="0000FF"/>
            <w:u w:val="single"/>
            <w:lang w:val="en-US" w:eastAsia="en-US" w:bidi="ar-SA"/>
          </w:rPr>
          <w:t>https://doi.org/10.4236/jbm.2020.812015</w:t>
        </w:r>
      </w:hyperlink>
    </w:p>
    <w:p w14:paraId="182BBE43"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proofErr w:type="spellStart"/>
      <w:r w:rsidRPr="00421268">
        <w:rPr>
          <w:rFonts w:ascii="Times New Roman" w:eastAsia="Times New Roman" w:hAnsi="Times New Roman" w:cs="Times New Roman"/>
          <w:lang w:val="en-US" w:eastAsia="en-US" w:bidi="ar-SA"/>
        </w:rPr>
        <w:t>Skrypnik</w:t>
      </w:r>
      <w:proofErr w:type="spellEnd"/>
      <w:r w:rsidRPr="00421268">
        <w:rPr>
          <w:rFonts w:ascii="Times New Roman" w:eastAsia="Times New Roman" w:hAnsi="Times New Roman" w:cs="Times New Roman"/>
          <w:lang w:val="en-US" w:eastAsia="en-US" w:bidi="ar-SA"/>
        </w:rPr>
        <w:t xml:space="preserve">, K., Bogdański, P., Schmidt, M., &amp; </w:t>
      </w:r>
      <w:proofErr w:type="spellStart"/>
      <w:r w:rsidRPr="00421268">
        <w:rPr>
          <w:rFonts w:ascii="Times New Roman" w:eastAsia="Times New Roman" w:hAnsi="Times New Roman" w:cs="Times New Roman"/>
          <w:lang w:val="en-US" w:eastAsia="en-US" w:bidi="ar-SA"/>
        </w:rPr>
        <w:t>Suliburska</w:t>
      </w:r>
      <w:proofErr w:type="spellEnd"/>
      <w:r w:rsidRPr="00421268">
        <w:rPr>
          <w:rFonts w:ascii="Times New Roman" w:eastAsia="Times New Roman" w:hAnsi="Times New Roman" w:cs="Times New Roman"/>
          <w:lang w:val="en-US" w:eastAsia="en-US" w:bidi="ar-SA"/>
        </w:rPr>
        <w:t xml:space="preserve">, J. (2019). The effect of multispecies probiotic supplementation on iron status in rats. </w:t>
      </w:r>
      <w:r w:rsidRPr="00421268">
        <w:rPr>
          <w:rFonts w:ascii="Times New Roman" w:eastAsia="Times New Roman" w:hAnsi="Times New Roman" w:cs="Times New Roman"/>
          <w:i/>
          <w:iCs/>
          <w:lang w:val="en-US" w:eastAsia="en-US" w:bidi="ar-SA"/>
        </w:rPr>
        <w:t>Biological Trace Element Research, 192</w:t>
      </w:r>
      <w:r w:rsidRPr="00421268">
        <w:rPr>
          <w:rFonts w:ascii="Times New Roman" w:eastAsia="Times New Roman" w:hAnsi="Times New Roman" w:cs="Times New Roman"/>
          <w:lang w:val="en-US" w:eastAsia="en-US" w:bidi="ar-SA"/>
        </w:rPr>
        <w:t xml:space="preserve">, 234–243. </w:t>
      </w:r>
      <w:hyperlink r:id="rId46" w:history="1">
        <w:r w:rsidRPr="00421268">
          <w:rPr>
            <w:rFonts w:ascii="Times New Roman" w:eastAsia="Times New Roman" w:hAnsi="Times New Roman" w:cs="Times New Roman"/>
            <w:color w:val="0000FF"/>
            <w:u w:val="single"/>
            <w:lang w:val="en-US" w:eastAsia="en-US" w:bidi="ar-SA"/>
          </w:rPr>
          <w:t>https://doi.org/10.1007/s12011-019-1658-1</w:t>
        </w:r>
      </w:hyperlink>
    </w:p>
    <w:p w14:paraId="612ECD68"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nl-BE" w:eastAsia="en-US" w:bidi="ar-SA"/>
        </w:rPr>
        <w:t xml:space="preserve">Sun, B., Tan, B., Zhang, P., Zhu, L., Wei, H., Huang, T., Li, C., &amp; Yang, W. (2024). </w:t>
      </w:r>
      <w:r w:rsidRPr="00421268">
        <w:rPr>
          <w:rFonts w:ascii="Times New Roman" w:eastAsia="Times New Roman" w:hAnsi="Times New Roman" w:cs="Times New Roman"/>
          <w:lang w:val="en-US" w:eastAsia="en-US" w:bidi="ar-SA"/>
        </w:rPr>
        <w:t xml:space="preserve">Iron deficiency </w:t>
      </w:r>
      <w:proofErr w:type="spellStart"/>
      <w:r w:rsidRPr="00421268">
        <w:rPr>
          <w:rFonts w:ascii="Times New Roman" w:eastAsia="Times New Roman" w:hAnsi="Times New Roman" w:cs="Times New Roman"/>
          <w:lang w:val="en-US" w:eastAsia="en-US" w:bidi="ar-SA"/>
        </w:rPr>
        <w:t>anaemia</w:t>
      </w:r>
      <w:proofErr w:type="spellEnd"/>
      <w:r w:rsidRPr="00421268">
        <w:rPr>
          <w:rFonts w:ascii="Times New Roman" w:eastAsia="Times New Roman" w:hAnsi="Times New Roman" w:cs="Times New Roman"/>
          <w:lang w:val="en-US" w:eastAsia="en-US" w:bidi="ar-SA"/>
        </w:rPr>
        <w:t xml:space="preserve">: A critical review of iron absorption, supplementation, and its influence on the gut microbiota. </w:t>
      </w:r>
      <w:r w:rsidRPr="00421268">
        <w:rPr>
          <w:rFonts w:ascii="Times New Roman" w:eastAsia="Times New Roman" w:hAnsi="Times New Roman" w:cs="Times New Roman"/>
          <w:i/>
          <w:iCs/>
          <w:lang w:val="en-US" w:eastAsia="en-US" w:bidi="ar-SA"/>
        </w:rPr>
        <w:t>Food &amp; Function, 15</w:t>
      </w:r>
      <w:r w:rsidRPr="00421268">
        <w:rPr>
          <w:rFonts w:ascii="Times New Roman" w:eastAsia="Times New Roman" w:hAnsi="Times New Roman" w:cs="Times New Roman"/>
          <w:lang w:val="en-US" w:eastAsia="en-US" w:bidi="ar-SA"/>
        </w:rPr>
        <w:t xml:space="preserve">, 1144–1157. </w:t>
      </w:r>
      <w:hyperlink r:id="rId47" w:history="1">
        <w:r w:rsidRPr="00421268">
          <w:rPr>
            <w:rFonts w:ascii="Times New Roman" w:eastAsia="Times New Roman" w:hAnsi="Times New Roman" w:cs="Times New Roman"/>
            <w:color w:val="0000FF"/>
            <w:u w:val="single"/>
            <w:lang w:val="en-US" w:eastAsia="en-US" w:bidi="ar-SA"/>
          </w:rPr>
          <w:t>https://doi.org/10.1039/D3FO04644C</w:t>
        </w:r>
      </w:hyperlink>
    </w:p>
    <w:p w14:paraId="5B8AEA0B"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nl-BE" w:eastAsia="en-US" w:bidi="ar-SA"/>
        </w:rPr>
        <w:t xml:space="preserve">Tamang, J. P., Kharnaior, P., &amp; Halami, P. M. (2024). </w:t>
      </w:r>
      <w:r w:rsidRPr="00421268">
        <w:rPr>
          <w:rFonts w:ascii="Times New Roman" w:eastAsia="Times New Roman" w:hAnsi="Times New Roman" w:cs="Times New Roman"/>
          <w:lang w:val="en-US" w:eastAsia="en-US" w:bidi="ar-SA"/>
        </w:rPr>
        <w:t xml:space="preserve">Lactic acid bacteria in some Indian fermented foods and their predictive functional profiles. </w:t>
      </w:r>
      <w:r w:rsidRPr="00421268">
        <w:rPr>
          <w:rFonts w:ascii="Times New Roman" w:eastAsia="Times New Roman" w:hAnsi="Times New Roman" w:cs="Times New Roman"/>
          <w:i/>
          <w:iCs/>
          <w:lang w:val="en-US" w:eastAsia="en-US" w:bidi="ar-SA"/>
        </w:rPr>
        <w:t>Brazilian Journal of Microbiology</w:t>
      </w:r>
      <w:r w:rsidRPr="00421268">
        <w:rPr>
          <w:rFonts w:ascii="Times New Roman" w:eastAsia="Times New Roman" w:hAnsi="Times New Roman" w:cs="Times New Roman"/>
          <w:lang w:val="en-US" w:eastAsia="en-US" w:bidi="ar-SA"/>
        </w:rPr>
        <w:t xml:space="preserve">. </w:t>
      </w:r>
      <w:hyperlink r:id="rId48" w:history="1">
        <w:r w:rsidRPr="00421268">
          <w:rPr>
            <w:rFonts w:ascii="Times New Roman" w:eastAsia="Times New Roman" w:hAnsi="Times New Roman" w:cs="Times New Roman"/>
            <w:color w:val="0000FF"/>
            <w:u w:val="single"/>
            <w:lang w:val="en-US" w:eastAsia="en-US" w:bidi="ar-SA"/>
          </w:rPr>
          <w:t>https://doi.org/10.1007/s42770-024-01251-y</w:t>
        </w:r>
      </w:hyperlink>
    </w:p>
    <w:p w14:paraId="7B418AF9"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proofErr w:type="spellStart"/>
      <w:r w:rsidRPr="00421268">
        <w:rPr>
          <w:rFonts w:ascii="Times New Roman" w:eastAsia="Times New Roman" w:hAnsi="Times New Roman" w:cs="Times New Roman"/>
          <w:lang w:val="en-US" w:eastAsia="en-US" w:bidi="ar-SA"/>
        </w:rPr>
        <w:t>Turawa</w:t>
      </w:r>
      <w:proofErr w:type="spellEnd"/>
      <w:r w:rsidRPr="00421268">
        <w:rPr>
          <w:rFonts w:ascii="Times New Roman" w:eastAsia="Times New Roman" w:hAnsi="Times New Roman" w:cs="Times New Roman"/>
          <w:lang w:val="en-US" w:eastAsia="en-US" w:bidi="ar-SA"/>
        </w:rPr>
        <w:t xml:space="preserve">, E., </w:t>
      </w:r>
      <w:proofErr w:type="spellStart"/>
      <w:r w:rsidRPr="00421268">
        <w:rPr>
          <w:rFonts w:ascii="Times New Roman" w:eastAsia="Times New Roman" w:hAnsi="Times New Roman" w:cs="Times New Roman"/>
          <w:lang w:val="en-US" w:eastAsia="en-US" w:bidi="ar-SA"/>
        </w:rPr>
        <w:t>Awotiwon</w:t>
      </w:r>
      <w:proofErr w:type="spellEnd"/>
      <w:r w:rsidRPr="00421268">
        <w:rPr>
          <w:rFonts w:ascii="Times New Roman" w:eastAsia="Times New Roman" w:hAnsi="Times New Roman" w:cs="Times New Roman"/>
          <w:lang w:val="en-US" w:eastAsia="en-US" w:bidi="ar-SA"/>
        </w:rPr>
        <w:t xml:space="preserve">, O., </w:t>
      </w:r>
      <w:proofErr w:type="spellStart"/>
      <w:r w:rsidRPr="00421268">
        <w:rPr>
          <w:rFonts w:ascii="Times New Roman" w:eastAsia="Times New Roman" w:hAnsi="Times New Roman" w:cs="Times New Roman"/>
          <w:lang w:val="en-US" w:eastAsia="en-US" w:bidi="ar-SA"/>
        </w:rPr>
        <w:t>Dhansay</w:t>
      </w:r>
      <w:proofErr w:type="spellEnd"/>
      <w:r w:rsidRPr="00421268">
        <w:rPr>
          <w:rFonts w:ascii="Times New Roman" w:eastAsia="Times New Roman" w:hAnsi="Times New Roman" w:cs="Times New Roman"/>
          <w:lang w:val="en-US" w:eastAsia="en-US" w:bidi="ar-SA"/>
        </w:rPr>
        <w:t xml:space="preserve">, M. A., </w:t>
      </w:r>
      <w:proofErr w:type="spellStart"/>
      <w:r w:rsidRPr="00421268">
        <w:rPr>
          <w:rFonts w:ascii="Times New Roman" w:eastAsia="Times New Roman" w:hAnsi="Times New Roman" w:cs="Times New Roman"/>
          <w:lang w:val="en-US" w:eastAsia="en-US" w:bidi="ar-SA"/>
        </w:rPr>
        <w:t>Cois</w:t>
      </w:r>
      <w:proofErr w:type="spellEnd"/>
      <w:r w:rsidRPr="00421268">
        <w:rPr>
          <w:rFonts w:ascii="Times New Roman" w:eastAsia="Times New Roman" w:hAnsi="Times New Roman" w:cs="Times New Roman"/>
          <w:lang w:val="en-US" w:eastAsia="en-US" w:bidi="ar-SA"/>
        </w:rPr>
        <w:t xml:space="preserve">, A., </w:t>
      </w:r>
      <w:proofErr w:type="spellStart"/>
      <w:r w:rsidRPr="00421268">
        <w:rPr>
          <w:rFonts w:ascii="Times New Roman" w:eastAsia="Times New Roman" w:hAnsi="Times New Roman" w:cs="Times New Roman"/>
          <w:lang w:val="en-US" w:eastAsia="en-US" w:bidi="ar-SA"/>
        </w:rPr>
        <w:t>Labadarios</w:t>
      </w:r>
      <w:proofErr w:type="spellEnd"/>
      <w:r w:rsidRPr="00421268">
        <w:rPr>
          <w:rFonts w:ascii="Times New Roman" w:eastAsia="Times New Roman" w:hAnsi="Times New Roman" w:cs="Times New Roman"/>
          <w:lang w:val="en-US" w:eastAsia="en-US" w:bidi="ar-SA"/>
        </w:rPr>
        <w:t xml:space="preserve">, D., Bradshaw, D., &amp; Pillay-van Wyk, V. (2021). Prevalence of </w:t>
      </w:r>
      <w:proofErr w:type="spellStart"/>
      <w:r w:rsidRPr="00421268">
        <w:rPr>
          <w:rFonts w:ascii="Times New Roman" w:eastAsia="Times New Roman" w:hAnsi="Times New Roman" w:cs="Times New Roman"/>
          <w:lang w:val="en-US" w:eastAsia="en-US" w:bidi="ar-SA"/>
        </w:rPr>
        <w:t>anaemia</w:t>
      </w:r>
      <w:proofErr w:type="spellEnd"/>
      <w:r w:rsidRPr="00421268">
        <w:rPr>
          <w:rFonts w:ascii="Times New Roman" w:eastAsia="Times New Roman" w:hAnsi="Times New Roman" w:cs="Times New Roman"/>
          <w:lang w:val="en-US" w:eastAsia="en-US" w:bidi="ar-SA"/>
        </w:rPr>
        <w:t xml:space="preserve">, iron deficiency, and iron deficiency </w:t>
      </w:r>
      <w:proofErr w:type="spellStart"/>
      <w:r w:rsidRPr="00421268">
        <w:rPr>
          <w:rFonts w:ascii="Times New Roman" w:eastAsia="Times New Roman" w:hAnsi="Times New Roman" w:cs="Times New Roman"/>
          <w:lang w:val="en-US" w:eastAsia="en-US" w:bidi="ar-SA"/>
        </w:rPr>
        <w:t>anaemia</w:t>
      </w:r>
      <w:proofErr w:type="spellEnd"/>
      <w:r w:rsidRPr="00421268">
        <w:rPr>
          <w:rFonts w:ascii="Times New Roman" w:eastAsia="Times New Roman" w:hAnsi="Times New Roman" w:cs="Times New Roman"/>
          <w:lang w:val="en-US" w:eastAsia="en-US" w:bidi="ar-SA"/>
        </w:rPr>
        <w:t xml:space="preserve"> in women of reproductive age and children under 5 years of age in South Africa (1997–</w:t>
      </w:r>
      <w:r w:rsidRPr="00421268">
        <w:rPr>
          <w:rFonts w:ascii="Times New Roman" w:eastAsia="Times New Roman" w:hAnsi="Times New Roman" w:cs="Times New Roman"/>
          <w:lang w:val="en-US" w:eastAsia="en-US" w:bidi="ar-SA"/>
        </w:rPr>
        <w:lastRenderedPageBreak/>
        <w:t xml:space="preserve">2021): A systematic review. </w:t>
      </w:r>
      <w:r w:rsidRPr="00421268">
        <w:rPr>
          <w:rFonts w:ascii="Times New Roman" w:eastAsia="Times New Roman" w:hAnsi="Times New Roman" w:cs="Times New Roman"/>
          <w:i/>
          <w:iCs/>
          <w:lang w:val="en-US" w:eastAsia="en-US" w:bidi="ar-SA"/>
        </w:rPr>
        <w:t>International Journal of Environmental Research and Public Health, 18</w:t>
      </w:r>
      <w:r w:rsidRPr="00421268">
        <w:rPr>
          <w:rFonts w:ascii="Times New Roman" w:eastAsia="Times New Roman" w:hAnsi="Times New Roman" w:cs="Times New Roman"/>
          <w:lang w:val="en-US" w:eastAsia="en-US" w:bidi="ar-SA"/>
        </w:rPr>
        <w:t xml:space="preserve">(23), Article 12799. </w:t>
      </w:r>
      <w:hyperlink r:id="rId49" w:history="1">
        <w:r w:rsidRPr="00421268">
          <w:rPr>
            <w:rFonts w:ascii="Times New Roman" w:eastAsia="Times New Roman" w:hAnsi="Times New Roman" w:cs="Times New Roman"/>
            <w:color w:val="0000FF"/>
            <w:u w:val="single"/>
            <w:lang w:val="en-US" w:eastAsia="en-US" w:bidi="ar-SA"/>
          </w:rPr>
          <w:t>https://doi.org/10.3390/ijerph182312799</w:t>
        </w:r>
      </w:hyperlink>
    </w:p>
    <w:p w14:paraId="1C7D70A4" w14:textId="409C1B19"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Vamsee Veena, A., Jyothi, Y., Rina Pokhrel, R. G., &amp; Yadav, V. (2015). Comparative </w:t>
      </w:r>
      <w:proofErr w:type="spellStart"/>
      <w:r w:rsidRPr="00421268">
        <w:rPr>
          <w:rFonts w:ascii="Times New Roman" w:eastAsia="Times New Roman" w:hAnsi="Times New Roman" w:cs="Times New Roman"/>
          <w:lang w:val="en-US" w:eastAsia="en-US" w:bidi="ar-SA"/>
        </w:rPr>
        <w:t>antianaemic</w:t>
      </w:r>
      <w:proofErr w:type="spellEnd"/>
      <w:r w:rsidRPr="00421268">
        <w:rPr>
          <w:rFonts w:ascii="Times New Roman" w:eastAsia="Times New Roman" w:hAnsi="Times New Roman" w:cs="Times New Roman"/>
          <w:lang w:val="en-US" w:eastAsia="en-US" w:bidi="ar-SA"/>
        </w:rPr>
        <w:t xml:space="preserve"> activity of </w:t>
      </w:r>
      <w:proofErr w:type="spellStart"/>
      <w:r w:rsidRPr="00421268">
        <w:rPr>
          <w:rFonts w:ascii="Times New Roman" w:eastAsia="Times New Roman" w:hAnsi="Times New Roman" w:cs="Times New Roman"/>
          <w:i/>
          <w:iCs/>
          <w:lang w:val="en-US" w:eastAsia="en-US" w:bidi="ar-SA"/>
        </w:rPr>
        <w:t>Azadirachta</w:t>
      </w:r>
      <w:proofErr w:type="spellEnd"/>
      <w:r w:rsidRPr="00421268">
        <w:rPr>
          <w:rFonts w:ascii="Times New Roman" w:eastAsia="Times New Roman" w:hAnsi="Times New Roman" w:cs="Times New Roman"/>
          <w:i/>
          <w:iCs/>
          <w:lang w:val="en-US" w:eastAsia="en-US" w:bidi="ar-SA"/>
        </w:rPr>
        <w:t xml:space="preserve"> indica</w:t>
      </w:r>
      <w:r w:rsidRPr="00421268">
        <w:rPr>
          <w:rFonts w:ascii="Times New Roman" w:eastAsia="Times New Roman" w:hAnsi="Times New Roman" w:cs="Times New Roman"/>
          <w:lang w:val="en-US" w:eastAsia="en-US" w:bidi="ar-SA"/>
        </w:rPr>
        <w:t xml:space="preserve"> leaves and their combination with </w:t>
      </w:r>
      <w:proofErr w:type="spellStart"/>
      <w:r w:rsidRPr="00421268">
        <w:rPr>
          <w:rFonts w:ascii="Times New Roman" w:eastAsia="Times New Roman" w:hAnsi="Times New Roman" w:cs="Times New Roman"/>
          <w:i/>
          <w:iCs/>
          <w:lang w:val="en-US" w:eastAsia="en-US" w:bidi="ar-SA"/>
        </w:rPr>
        <w:t>Emblica</w:t>
      </w:r>
      <w:proofErr w:type="spellEnd"/>
      <w:r w:rsidRPr="00421268">
        <w:rPr>
          <w:rFonts w:ascii="Times New Roman" w:eastAsia="Times New Roman" w:hAnsi="Times New Roman" w:cs="Times New Roman"/>
          <w:i/>
          <w:iCs/>
          <w:lang w:val="en-US" w:eastAsia="en-US" w:bidi="ar-SA"/>
        </w:rPr>
        <w:t xml:space="preserve"> officinalis</w:t>
      </w:r>
      <w:r w:rsidRPr="00421268">
        <w:rPr>
          <w:rFonts w:ascii="Times New Roman" w:eastAsia="Times New Roman" w:hAnsi="Times New Roman" w:cs="Times New Roman"/>
          <w:lang w:val="en-US" w:eastAsia="en-US" w:bidi="ar-SA"/>
        </w:rPr>
        <w:t xml:space="preserve"> in </w:t>
      </w:r>
      <w:proofErr w:type="spellStart"/>
      <w:r w:rsidRPr="00421268">
        <w:rPr>
          <w:rFonts w:ascii="Times New Roman" w:eastAsia="Times New Roman" w:hAnsi="Times New Roman" w:cs="Times New Roman"/>
          <w:lang w:val="en-US" w:eastAsia="en-US" w:bidi="ar-SA"/>
        </w:rPr>
        <w:t>phenylhydrazine</w:t>
      </w:r>
      <w:proofErr w:type="spellEnd"/>
      <w:r w:rsidRPr="00421268">
        <w:rPr>
          <w:rFonts w:ascii="Times New Roman" w:eastAsia="Times New Roman" w:hAnsi="Times New Roman" w:cs="Times New Roman"/>
          <w:lang w:val="en-US" w:eastAsia="en-US" w:bidi="ar-SA"/>
        </w:rPr>
        <w:t xml:space="preserve">-induced </w:t>
      </w:r>
      <w:proofErr w:type="spellStart"/>
      <w:r w:rsidRPr="00421268">
        <w:rPr>
          <w:rFonts w:ascii="Times New Roman" w:eastAsia="Times New Roman" w:hAnsi="Times New Roman" w:cs="Times New Roman"/>
          <w:lang w:val="en-US" w:eastAsia="en-US" w:bidi="ar-SA"/>
        </w:rPr>
        <w:t>anaemia</w:t>
      </w:r>
      <w:proofErr w:type="spellEnd"/>
      <w:r w:rsidRPr="00421268">
        <w:rPr>
          <w:rFonts w:ascii="Times New Roman" w:eastAsia="Times New Roman" w:hAnsi="Times New Roman" w:cs="Times New Roman"/>
          <w:lang w:val="en-US" w:eastAsia="en-US" w:bidi="ar-SA"/>
        </w:rPr>
        <w:t xml:space="preserve"> in rats. </w:t>
      </w:r>
      <w:r w:rsidRPr="00421268">
        <w:rPr>
          <w:rFonts w:ascii="Times New Roman" w:eastAsia="Times New Roman" w:hAnsi="Times New Roman" w:cs="Times New Roman"/>
          <w:i/>
          <w:iCs/>
          <w:lang w:val="en-US" w:eastAsia="en-US" w:bidi="ar-SA"/>
        </w:rPr>
        <w:t>Journal of Chemical and Pharmaceutical Research, 7</w:t>
      </w:r>
      <w:r w:rsidRPr="00421268">
        <w:rPr>
          <w:rFonts w:ascii="Times New Roman" w:eastAsia="Times New Roman" w:hAnsi="Times New Roman" w:cs="Times New Roman"/>
          <w:lang w:val="en-US" w:eastAsia="en-US" w:bidi="ar-SA"/>
        </w:rPr>
        <w:t xml:space="preserve">, 1019–1022. </w:t>
      </w:r>
    </w:p>
    <w:p w14:paraId="1356F290"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proofErr w:type="spellStart"/>
      <w:r w:rsidRPr="00421268">
        <w:rPr>
          <w:rFonts w:ascii="Times New Roman" w:eastAsia="Times New Roman" w:hAnsi="Times New Roman" w:cs="Times New Roman"/>
          <w:lang w:val="en-US" w:eastAsia="en-US" w:bidi="ar-SA"/>
        </w:rPr>
        <w:t>Varshanath</w:t>
      </w:r>
      <w:proofErr w:type="spellEnd"/>
      <w:r w:rsidRPr="00421268">
        <w:rPr>
          <w:rFonts w:ascii="Times New Roman" w:eastAsia="Times New Roman" w:hAnsi="Times New Roman" w:cs="Times New Roman"/>
          <w:lang w:val="en-US" w:eastAsia="en-US" w:bidi="ar-SA"/>
        </w:rPr>
        <w:t xml:space="preserve">, B., Robin, D. T., Meera, S., Dileep, A., Archana, S., Chandran, N., &amp; Rani, M. V. (2026). Enhancement of iron, zinc, and calcium </w:t>
      </w:r>
      <w:proofErr w:type="spellStart"/>
      <w:r w:rsidRPr="00421268">
        <w:rPr>
          <w:rFonts w:ascii="Times New Roman" w:eastAsia="Times New Roman" w:hAnsi="Times New Roman" w:cs="Times New Roman"/>
          <w:lang w:val="en-US" w:eastAsia="en-US" w:bidi="ar-SA"/>
        </w:rPr>
        <w:t>bioaccessibility</w:t>
      </w:r>
      <w:proofErr w:type="spellEnd"/>
      <w:r w:rsidRPr="00421268">
        <w:rPr>
          <w:rFonts w:ascii="Times New Roman" w:eastAsia="Times New Roman" w:hAnsi="Times New Roman" w:cs="Times New Roman"/>
          <w:lang w:val="en-US" w:eastAsia="en-US" w:bidi="ar-SA"/>
        </w:rPr>
        <w:t xml:space="preserve"> and bioavailability in green gram (</w:t>
      </w:r>
      <w:r w:rsidRPr="00421268">
        <w:rPr>
          <w:rFonts w:ascii="Times New Roman" w:eastAsia="Times New Roman" w:hAnsi="Times New Roman" w:cs="Times New Roman"/>
          <w:i/>
          <w:iCs/>
          <w:lang w:val="en-US" w:eastAsia="en-US" w:bidi="ar-SA"/>
        </w:rPr>
        <w:t>Vigna radiata</w:t>
      </w:r>
      <w:r w:rsidRPr="00421268">
        <w:rPr>
          <w:rFonts w:ascii="Times New Roman" w:eastAsia="Times New Roman" w:hAnsi="Times New Roman" w:cs="Times New Roman"/>
          <w:lang w:val="en-US" w:eastAsia="en-US" w:bidi="ar-SA"/>
        </w:rPr>
        <w:t xml:space="preserve"> L.) supplemented with buttermilk through phytate reduction: An in vitro dietary evaluation. </w:t>
      </w:r>
      <w:r w:rsidRPr="00421268">
        <w:rPr>
          <w:rFonts w:ascii="Times New Roman" w:eastAsia="Times New Roman" w:hAnsi="Times New Roman" w:cs="Times New Roman"/>
          <w:i/>
          <w:iCs/>
          <w:lang w:val="en-US" w:eastAsia="en-US" w:bidi="ar-SA"/>
        </w:rPr>
        <w:t>Frontiers in Nutrition, 13</w:t>
      </w:r>
      <w:r w:rsidRPr="00421268">
        <w:rPr>
          <w:rFonts w:ascii="Times New Roman" w:eastAsia="Times New Roman" w:hAnsi="Times New Roman" w:cs="Times New Roman"/>
          <w:lang w:val="en-US" w:eastAsia="en-US" w:bidi="ar-SA"/>
        </w:rPr>
        <w:t xml:space="preserve">, Article 1756171. </w:t>
      </w:r>
      <w:hyperlink r:id="rId50" w:history="1">
        <w:r w:rsidRPr="00421268">
          <w:rPr>
            <w:rFonts w:ascii="Times New Roman" w:eastAsia="Times New Roman" w:hAnsi="Times New Roman" w:cs="Times New Roman"/>
            <w:color w:val="0000FF"/>
            <w:u w:val="single"/>
            <w:lang w:val="en-US" w:eastAsia="en-US" w:bidi="ar-SA"/>
          </w:rPr>
          <w:t>https://doi.org/10.3389/fnut.2026.1756171</w:t>
        </w:r>
      </w:hyperlink>
    </w:p>
    <w:p w14:paraId="09A42D85"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nl-BE" w:eastAsia="en-US" w:bidi="ar-SA"/>
        </w:rPr>
        <w:t xml:space="preserve">Vonderheid, S. C., Tussing-Humphreys, L., Park, C., Pauls, H., Hemphill, N. O., LaBomascus, B., et al. </w:t>
      </w:r>
      <w:r w:rsidRPr="00421268">
        <w:rPr>
          <w:rFonts w:ascii="Times New Roman" w:eastAsia="Times New Roman" w:hAnsi="Times New Roman" w:cs="Times New Roman"/>
          <w:lang w:val="en-US" w:eastAsia="en-US" w:bidi="ar-SA"/>
        </w:rPr>
        <w:t xml:space="preserve">(2019). A systematic review and meta-analysis of the effects of probiotic species on iron absorption and iron status. </w:t>
      </w:r>
      <w:r w:rsidRPr="00421268">
        <w:rPr>
          <w:rFonts w:ascii="Times New Roman" w:eastAsia="Times New Roman" w:hAnsi="Times New Roman" w:cs="Times New Roman"/>
          <w:i/>
          <w:iCs/>
          <w:lang w:val="en-US" w:eastAsia="en-US" w:bidi="ar-SA"/>
        </w:rPr>
        <w:t>Nutrients, 11</w:t>
      </w:r>
      <w:r w:rsidRPr="00421268">
        <w:rPr>
          <w:rFonts w:ascii="Times New Roman" w:eastAsia="Times New Roman" w:hAnsi="Times New Roman" w:cs="Times New Roman"/>
          <w:lang w:val="en-US" w:eastAsia="en-US" w:bidi="ar-SA"/>
        </w:rPr>
        <w:t xml:space="preserve">(12), Article 2938. </w:t>
      </w:r>
      <w:hyperlink r:id="rId51" w:history="1">
        <w:r w:rsidRPr="00421268">
          <w:rPr>
            <w:rFonts w:ascii="Times New Roman" w:eastAsia="Times New Roman" w:hAnsi="Times New Roman" w:cs="Times New Roman"/>
            <w:color w:val="0000FF"/>
            <w:u w:val="single"/>
            <w:lang w:val="en-US" w:eastAsia="en-US" w:bidi="ar-SA"/>
          </w:rPr>
          <w:t>https://doi.org/10.3390/nu11122938</w:t>
        </w:r>
      </w:hyperlink>
    </w:p>
    <w:p w14:paraId="7A730B6C"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World Health Organization. (n.d.). </w:t>
      </w:r>
      <w:proofErr w:type="spellStart"/>
      <w:r w:rsidRPr="00421268">
        <w:rPr>
          <w:rFonts w:ascii="Times New Roman" w:eastAsia="Times New Roman" w:hAnsi="Times New Roman" w:cs="Times New Roman"/>
          <w:i/>
          <w:iCs/>
          <w:lang w:val="en-US" w:eastAsia="en-US" w:bidi="ar-SA"/>
        </w:rPr>
        <w:t>Anaemia</w:t>
      </w:r>
      <w:proofErr w:type="spellEnd"/>
      <w:r w:rsidRPr="00421268">
        <w:rPr>
          <w:rFonts w:ascii="Times New Roman" w:eastAsia="Times New Roman" w:hAnsi="Times New Roman" w:cs="Times New Roman"/>
          <w:i/>
          <w:iCs/>
          <w:lang w:val="en-US" w:eastAsia="en-US" w:bidi="ar-SA"/>
        </w:rPr>
        <w:t xml:space="preserve"> in women of reproductive age (aged 15–49), prevalence (%), by pregnancy status</w:t>
      </w:r>
      <w:r w:rsidRPr="00421268">
        <w:rPr>
          <w:rFonts w:ascii="Times New Roman" w:eastAsia="Times New Roman" w:hAnsi="Times New Roman" w:cs="Times New Roman"/>
          <w:lang w:val="en-US" w:eastAsia="en-US" w:bidi="ar-SA"/>
        </w:rPr>
        <w:t xml:space="preserve">. </w:t>
      </w:r>
      <w:hyperlink r:id="rId52" w:history="1">
        <w:r w:rsidRPr="00421268">
          <w:rPr>
            <w:rFonts w:ascii="Times New Roman" w:eastAsia="Times New Roman" w:hAnsi="Times New Roman" w:cs="Times New Roman"/>
            <w:color w:val="0000FF"/>
            <w:u w:val="single"/>
            <w:lang w:val="en-US" w:eastAsia="en-US" w:bidi="ar-SA"/>
          </w:rPr>
          <w:t>https://www.who.int/data/gho/data/indicators/indicator-details/GHO/prevalence-of-anaemia-in-women-of-reproductive-age-%28-%29</w:t>
        </w:r>
      </w:hyperlink>
    </w:p>
    <w:p w14:paraId="12C828FE" w14:textId="77777777" w:rsidR="00421268" w:rsidRPr="00421268" w:rsidRDefault="00421268" w:rsidP="00421268">
      <w:pPr>
        <w:spacing w:before="100" w:beforeAutospacing="1" w:after="100" w:afterAutospacing="1" w:line="240" w:lineRule="auto"/>
        <w:ind w:left="540" w:hanging="540"/>
        <w:jc w:val="both"/>
        <w:rPr>
          <w:rFonts w:ascii="Times New Roman" w:eastAsia="Times New Roman" w:hAnsi="Times New Roman" w:cs="Times New Roman"/>
          <w:lang w:val="en-US" w:eastAsia="en-US" w:bidi="ar-SA"/>
        </w:rPr>
      </w:pPr>
      <w:r w:rsidRPr="00421268">
        <w:rPr>
          <w:rFonts w:ascii="Times New Roman" w:eastAsia="Times New Roman" w:hAnsi="Times New Roman" w:cs="Times New Roman"/>
          <w:lang w:val="en-US" w:eastAsia="en-US" w:bidi="ar-SA"/>
        </w:rPr>
        <w:t xml:space="preserve">Zhang, Y. Y., Stockmann, R., Ng, K., &amp; </w:t>
      </w:r>
      <w:proofErr w:type="spellStart"/>
      <w:r w:rsidRPr="00421268">
        <w:rPr>
          <w:rFonts w:ascii="Times New Roman" w:eastAsia="Times New Roman" w:hAnsi="Times New Roman" w:cs="Times New Roman"/>
          <w:lang w:val="en-US" w:eastAsia="en-US" w:bidi="ar-SA"/>
        </w:rPr>
        <w:t>Ajlouni</w:t>
      </w:r>
      <w:proofErr w:type="spellEnd"/>
      <w:r w:rsidRPr="00421268">
        <w:rPr>
          <w:rFonts w:ascii="Times New Roman" w:eastAsia="Times New Roman" w:hAnsi="Times New Roman" w:cs="Times New Roman"/>
          <w:lang w:val="en-US" w:eastAsia="en-US" w:bidi="ar-SA"/>
        </w:rPr>
        <w:t xml:space="preserve">, S. (2021). Opportunities for plant-derived enhancers of iron, zinc, and calcium bioavailability: A review. </w:t>
      </w:r>
      <w:r w:rsidRPr="00421268">
        <w:rPr>
          <w:rFonts w:ascii="Times New Roman" w:eastAsia="Times New Roman" w:hAnsi="Times New Roman" w:cs="Times New Roman"/>
          <w:i/>
          <w:iCs/>
          <w:lang w:val="en-US" w:eastAsia="en-US" w:bidi="ar-SA"/>
        </w:rPr>
        <w:t>Comprehensive Reviews in Food Science and Food Safety, 20</w:t>
      </w:r>
      <w:r w:rsidRPr="00421268">
        <w:rPr>
          <w:rFonts w:ascii="Times New Roman" w:eastAsia="Times New Roman" w:hAnsi="Times New Roman" w:cs="Times New Roman"/>
          <w:lang w:val="en-US" w:eastAsia="en-US" w:bidi="ar-SA"/>
        </w:rPr>
        <w:t xml:space="preserve">, 652–685. </w:t>
      </w:r>
      <w:hyperlink r:id="rId53" w:history="1">
        <w:r w:rsidRPr="00421268">
          <w:rPr>
            <w:rFonts w:ascii="Times New Roman" w:eastAsia="Times New Roman" w:hAnsi="Times New Roman" w:cs="Times New Roman"/>
            <w:color w:val="0000FF"/>
            <w:u w:val="single"/>
            <w:lang w:val="en-US" w:eastAsia="en-US" w:bidi="ar-SA"/>
          </w:rPr>
          <w:t>https://doi.org/10.1111/1541-4337.12669</w:t>
        </w:r>
      </w:hyperlink>
    </w:p>
    <w:p w14:paraId="280C062F" w14:textId="0282B8B7" w:rsidR="00983E44" w:rsidRPr="00421268" w:rsidRDefault="00983E44">
      <w:pPr>
        <w:rPr>
          <w:lang w:val="en-US"/>
        </w:rPr>
      </w:pPr>
    </w:p>
    <w:sectPr w:rsidR="00983E44" w:rsidRPr="00421268" w:rsidSect="007F5FA4">
      <w:headerReference w:type="even" r:id="rId54"/>
      <w:headerReference w:type="default" r:id="rId55"/>
      <w:footerReference w:type="even" r:id="rId56"/>
      <w:footerReference w:type="default" r:id="rId57"/>
      <w:headerReference w:type="first" r:id="rId58"/>
      <w:footerReference w:type="first" r:id="rId5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EFC11" w14:textId="77777777" w:rsidR="003B5B86" w:rsidRDefault="003B5B86">
      <w:pPr>
        <w:spacing w:after="0" w:line="240" w:lineRule="auto"/>
      </w:pPr>
      <w:r>
        <w:separator/>
      </w:r>
    </w:p>
  </w:endnote>
  <w:endnote w:type="continuationSeparator" w:id="0">
    <w:p w14:paraId="7A72AD2D" w14:textId="77777777" w:rsidR="003B5B86" w:rsidRDefault="003B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2B915" w14:textId="77777777" w:rsidR="004C3615" w:rsidRDefault="004C3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BB8E" w14:textId="77777777" w:rsidR="007F5FA4" w:rsidRDefault="007F5F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C31B1" w14:textId="77777777" w:rsidR="004C3615" w:rsidRDefault="004C3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F6B55" w14:textId="77777777" w:rsidR="003B5B86" w:rsidRDefault="003B5B86">
      <w:pPr>
        <w:spacing w:after="0" w:line="240" w:lineRule="auto"/>
      </w:pPr>
      <w:r>
        <w:separator/>
      </w:r>
    </w:p>
  </w:footnote>
  <w:footnote w:type="continuationSeparator" w:id="0">
    <w:p w14:paraId="12FB98D8" w14:textId="77777777" w:rsidR="003B5B86" w:rsidRDefault="003B5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9733E" w14:textId="77777777" w:rsidR="004C3615" w:rsidRDefault="00000000">
    <w:pPr>
      <w:pStyle w:val="Header"/>
    </w:pPr>
    <w:r>
      <w:rPr>
        <w:noProof/>
      </w:rPr>
      <w:pict w14:anchorId="0C6D00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6125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B59D" w14:textId="77777777" w:rsidR="007F5FA4" w:rsidRDefault="00000000">
    <w:r>
      <w:rPr>
        <w:noProof/>
      </w:rPr>
      <w:pict w14:anchorId="5D1806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6125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8FA3" w14:textId="77777777" w:rsidR="004C3615" w:rsidRDefault="00000000">
    <w:pPr>
      <w:pStyle w:val="Header"/>
    </w:pPr>
    <w:r>
      <w:rPr>
        <w:noProof/>
      </w:rPr>
      <w:pict w14:anchorId="49ED7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6125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3FD6"/>
    <w:multiLevelType w:val="multilevel"/>
    <w:tmpl w:val="5F6C2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8002CE"/>
    <w:multiLevelType w:val="multilevel"/>
    <w:tmpl w:val="5DAABD7C"/>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F0131"/>
    <w:multiLevelType w:val="hybridMultilevel"/>
    <w:tmpl w:val="D0C4770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B1B129E"/>
    <w:multiLevelType w:val="multilevel"/>
    <w:tmpl w:val="5DAABD7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A72F96"/>
    <w:multiLevelType w:val="hybridMultilevel"/>
    <w:tmpl w:val="9D4ACB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06094A"/>
    <w:multiLevelType w:val="multilevel"/>
    <w:tmpl w:val="0106B22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 w15:restartNumberingAfterBreak="0">
    <w:nsid w:val="30D34362"/>
    <w:multiLevelType w:val="multilevel"/>
    <w:tmpl w:val="9E06C5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7B30A9"/>
    <w:multiLevelType w:val="multilevel"/>
    <w:tmpl w:val="5DAAB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9D01DE"/>
    <w:multiLevelType w:val="multilevel"/>
    <w:tmpl w:val="A378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C605FB"/>
    <w:multiLevelType w:val="multilevel"/>
    <w:tmpl w:val="4B80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C841EE"/>
    <w:multiLevelType w:val="multilevel"/>
    <w:tmpl w:val="5DAABD7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5610B8"/>
    <w:multiLevelType w:val="multilevel"/>
    <w:tmpl w:val="9FA284A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6922799">
    <w:abstractNumId w:val="11"/>
  </w:num>
  <w:num w:numId="2" w16cid:durableId="573004518">
    <w:abstractNumId w:val="6"/>
  </w:num>
  <w:num w:numId="3" w16cid:durableId="1677030009">
    <w:abstractNumId w:val="5"/>
  </w:num>
  <w:num w:numId="4" w16cid:durableId="1127895986">
    <w:abstractNumId w:val="2"/>
  </w:num>
  <w:num w:numId="5" w16cid:durableId="144663811">
    <w:abstractNumId w:val="0"/>
  </w:num>
  <w:num w:numId="6" w16cid:durableId="1960911327">
    <w:abstractNumId w:val="9"/>
  </w:num>
  <w:num w:numId="7" w16cid:durableId="1176076252">
    <w:abstractNumId w:val="8"/>
  </w:num>
  <w:num w:numId="8" w16cid:durableId="280452586">
    <w:abstractNumId w:val="7"/>
  </w:num>
  <w:num w:numId="9" w16cid:durableId="1624339912">
    <w:abstractNumId w:val="3"/>
  </w:num>
  <w:num w:numId="10" w16cid:durableId="98256660">
    <w:abstractNumId w:val="10"/>
  </w:num>
  <w:num w:numId="11" w16cid:durableId="1510440376">
    <w:abstractNumId w:val="1"/>
  </w:num>
  <w:num w:numId="12" w16cid:durableId="1093823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FA4"/>
    <w:rsid w:val="0005526B"/>
    <w:rsid w:val="00066085"/>
    <w:rsid w:val="000F7AED"/>
    <w:rsid w:val="00160B21"/>
    <w:rsid w:val="00192DBD"/>
    <w:rsid w:val="00192E10"/>
    <w:rsid w:val="001A4367"/>
    <w:rsid w:val="00214048"/>
    <w:rsid w:val="002157D0"/>
    <w:rsid w:val="00232E1B"/>
    <w:rsid w:val="002443A0"/>
    <w:rsid w:val="00245AC3"/>
    <w:rsid w:val="002936B9"/>
    <w:rsid w:val="002F3295"/>
    <w:rsid w:val="003316D9"/>
    <w:rsid w:val="00352C1C"/>
    <w:rsid w:val="003B5B86"/>
    <w:rsid w:val="003E22FC"/>
    <w:rsid w:val="00421268"/>
    <w:rsid w:val="00422B44"/>
    <w:rsid w:val="00460096"/>
    <w:rsid w:val="00474466"/>
    <w:rsid w:val="004A585F"/>
    <w:rsid w:val="004C1DAA"/>
    <w:rsid w:val="004C3615"/>
    <w:rsid w:val="005432DA"/>
    <w:rsid w:val="005D42B0"/>
    <w:rsid w:val="00610B2C"/>
    <w:rsid w:val="0061357B"/>
    <w:rsid w:val="00636649"/>
    <w:rsid w:val="00653ABB"/>
    <w:rsid w:val="00672844"/>
    <w:rsid w:val="006F45FF"/>
    <w:rsid w:val="006F7D53"/>
    <w:rsid w:val="0079614D"/>
    <w:rsid w:val="007C40DA"/>
    <w:rsid w:val="007F5FA4"/>
    <w:rsid w:val="008033C1"/>
    <w:rsid w:val="008036E6"/>
    <w:rsid w:val="00827B99"/>
    <w:rsid w:val="00845ABA"/>
    <w:rsid w:val="00851C05"/>
    <w:rsid w:val="0086057E"/>
    <w:rsid w:val="008A191E"/>
    <w:rsid w:val="008B7707"/>
    <w:rsid w:val="008E7152"/>
    <w:rsid w:val="008F1199"/>
    <w:rsid w:val="008F16C1"/>
    <w:rsid w:val="009507EA"/>
    <w:rsid w:val="00983E44"/>
    <w:rsid w:val="00993206"/>
    <w:rsid w:val="009B2B42"/>
    <w:rsid w:val="009F48B1"/>
    <w:rsid w:val="00A0197B"/>
    <w:rsid w:val="00A177B0"/>
    <w:rsid w:val="00A746C5"/>
    <w:rsid w:val="00AD04F3"/>
    <w:rsid w:val="00AF55E8"/>
    <w:rsid w:val="00B43B84"/>
    <w:rsid w:val="00C36C6D"/>
    <w:rsid w:val="00D72C85"/>
    <w:rsid w:val="00E04EC0"/>
    <w:rsid w:val="00E21248"/>
    <w:rsid w:val="00E41A73"/>
    <w:rsid w:val="00E71DEA"/>
    <w:rsid w:val="00E730C2"/>
    <w:rsid w:val="00ED7766"/>
    <w:rsid w:val="00EF265D"/>
    <w:rsid w:val="00F40873"/>
    <w:rsid w:val="00FA4A7F"/>
    <w:rsid w:val="00FC12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8D797"/>
  <w15:chartTrackingRefBased/>
  <w15:docId w15:val="{6A432213-C5EF-43EF-B2CA-CF48007F8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FA4"/>
    <w:pPr>
      <w:spacing w:line="278" w:lineRule="auto"/>
    </w:pPr>
    <w:rPr>
      <w:rFonts w:ascii="Calibri" w:eastAsia="Calibri" w:hAnsi="Calibri" w:cs="Calibri"/>
      <w:kern w:val="0"/>
      <w:sz w:val="24"/>
      <w:szCs w:val="24"/>
      <w:lang w:eastAsia="en-IN" w:bidi="ta-IN"/>
      <w14:ligatures w14:val="none"/>
    </w:rPr>
  </w:style>
  <w:style w:type="paragraph" w:styleId="Heading1">
    <w:name w:val="heading 1"/>
    <w:basedOn w:val="Normal"/>
    <w:next w:val="Normal"/>
    <w:link w:val="Heading1Char"/>
    <w:uiPriority w:val="9"/>
    <w:qFormat/>
    <w:rsid w:val="007F5F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5F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5F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5F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5F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5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F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5F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5F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5F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5F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5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FA4"/>
    <w:rPr>
      <w:rFonts w:eastAsiaTheme="majorEastAsia" w:cstheme="majorBidi"/>
      <w:color w:val="272727" w:themeColor="text1" w:themeTint="D8"/>
    </w:rPr>
  </w:style>
  <w:style w:type="paragraph" w:styleId="Title">
    <w:name w:val="Title"/>
    <w:basedOn w:val="Normal"/>
    <w:next w:val="Normal"/>
    <w:link w:val="TitleChar"/>
    <w:uiPriority w:val="10"/>
    <w:qFormat/>
    <w:rsid w:val="007F5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FA4"/>
    <w:pPr>
      <w:spacing w:before="160"/>
      <w:jc w:val="center"/>
    </w:pPr>
    <w:rPr>
      <w:i/>
      <w:iCs/>
      <w:color w:val="404040" w:themeColor="text1" w:themeTint="BF"/>
    </w:rPr>
  </w:style>
  <w:style w:type="character" w:customStyle="1" w:styleId="QuoteChar">
    <w:name w:val="Quote Char"/>
    <w:basedOn w:val="DefaultParagraphFont"/>
    <w:link w:val="Quote"/>
    <w:uiPriority w:val="29"/>
    <w:rsid w:val="007F5FA4"/>
    <w:rPr>
      <w:i/>
      <w:iCs/>
      <w:color w:val="404040" w:themeColor="text1" w:themeTint="BF"/>
    </w:rPr>
  </w:style>
  <w:style w:type="paragraph" w:styleId="ListParagraph">
    <w:name w:val="List Paragraph"/>
    <w:basedOn w:val="Normal"/>
    <w:uiPriority w:val="34"/>
    <w:qFormat/>
    <w:rsid w:val="007F5FA4"/>
    <w:pPr>
      <w:ind w:left="720"/>
      <w:contextualSpacing/>
    </w:pPr>
  </w:style>
  <w:style w:type="character" w:styleId="IntenseEmphasis">
    <w:name w:val="Intense Emphasis"/>
    <w:basedOn w:val="DefaultParagraphFont"/>
    <w:uiPriority w:val="21"/>
    <w:qFormat/>
    <w:rsid w:val="007F5FA4"/>
    <w:rPr>
      <w:i/>
      <w:iCs/>
      <w:color w:val="2F5496" w:themeColor="accent1" w:themeShade="BF"/>
    </w:rPr>
  </w:style>
  <w:style w:type="paragraph" w:styleId="IntenseQuote">
    <w:name w:val="Intense Quote"/>
    <w:basedOn w:val="Normal"/>
    <w:next w:val="Normal"/>
    <w:link w:val="IntenseQuoteChar"/>
    <w:uiPriority w:val="30"/>
    <w:qFormat/>
    <w:rsid w:val="007F5F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5FA4"/>
    <w:rPr>
      <w:i/>
      <w:iCs/>
      <w:color w:val="2F5496" w:themeColor="accent1" w:themeShade="BF"/>
    </w:rPr>
  </w:style>
  <w:style w:type="character" w:styleId="IntenseReference">
    <w:name w:val="Intense Reference"/>
    <w:basedOn w:val="DefaultParagraphFont"/>
    <w:uiPriority w:val="32"/>
    <w:qFormat/>
    <w:rsid w:val="007F5FA4"/>
    <w:rPr>
      <w:b/>
      <w:bCs/>
      <w:smallCaps/>
      <w:color w:val="2F5496" w:themeColor="accent1" w:themeShade="BF"/>
      <w:spacing w:val="5"/>
    </w:rPr>
  </w:style>
  <w:style w:type="character" w:styleId="Hyperlink">
    <w:name w:val="Hyperlink"/>
    <w:basedOn w:val="DefaultParagraphFont"/>
    <w:uiPriority w:val="99"/>
    <w:unhideWhenUsed/>
    <w:rsid w:val="007F5FA4"/>
    <w:rPr>
      <w:color w:val="0563C1" w:themeColor="hyperlink"/>
      <w:u w:val="single"/>
    </w:rPr>
  </w:style>
  <w:style w:type="table" w:styleId="TableGrid">
    <w:name w:val="Table Grid"/>
    <w:basedOn w:val="TableNormal"/>
    <w:uiPriority w:val="39"/>
    <w:rsid w:val="007F5FA4"/>
    <w:pPr>
      <w:spacing w:after="0" w:line="240" w:lineRule="auto"/>
    </w:pPr>
    <w:rPr>
      <w:rFonts w:ascii="Calibri" w:eastAsia="Calibri" w:hAnsi="Calibri" w:cs="Calibri"/>
      <w:kern w:val="0"/>
      <w:sz w:val="24"/>
      <w:szCs w:val="24"/>
      <w:lang w:eastAsia="en-IN" w:bidi="ta-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5FA4"/>
    <w:pPr>
      <w:spacing w:before="100" w:beforeAutospacing="1" w:after="100" w:afterAutospacing="1" w:line="240" w:lineRule="auto"/>
    </w:pPr>
    <w:rPr>
      <w:rFonts w:ascii="Times New Roman" w:eastAsia="Times New Roman" w:hAnsi="Times New Roman" w:cs="Times New Roman"/>
    </w:rPr>
  </w:style>
  <w:style w:type="character" w:styleId="Emphasis">
    <w:name w:val="Emphasis"/>
    <w:basedOn w:val="DefaultParagraphFont"/>
    <w:uiPriority w:val="20"/>
    <w:qFormat/>
    <w:rsid w:val="007F5FA4"/>
    <w:rPr>
      <w:i/>
      <w:iCs/>
    </w:rPr>
  </w:style>
  <w:style w:type="paragraph" w:customStyle="1" w:styleId="dx-doi">
    <w:name w:val="dx-doi"/>
    <w:basedOn w:val="Normal"/>
    <w:rsid w:val="007F5FA4"/>
    <w:pPr>
      <w:spacing w:before="100" w:beforeAutospacing="1" w:after="100" w:afterAutospacing="1" w:line="240" w:lineRule="auto"/>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0F7AED"/>
    <w:rPr>
      <w:color w:val="605E5C"/>
      <w:shd w:val="clear" w:color="auto" w:fill="E1DFDD"/>
    </w:rPr>
  </w:style>
  <w:style w:type="paragraph" w:styleId="Header">
    <w:name w:val="header"/>
    <w:basedOn w:val="Normal"/>
    <w:link w:val="HeaderChar"/>
    <w:uiPriority w:val="99"/>
    <w:unhideWhenUsed/>
    <w:rsid w:val="004C3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615"/>
    <w:rPr>
      <w:rFonts w:ascii="Calibri" w:eastAsia="Calibri" w:hAnsi="Calibri" w:cs="Calibri"/>
      <w:kern w:val="0"/>
      <w:sz w:val="24"/>
      <w:szCs w:val="24"/>
      <w:lang w:eastAsia="en-IN" w:bidi="ta-IN"/>
      <w14:ligatures w14:val="none"/>
    </w:rPr>
  </w:style>
  <w:style w:type="paragraph" w:styleId="Footer">
    <w:name w:val="footer"/>
    <w:basedOn w:val="Normal"/>
    <w:link w:val="FooterChar"/>
    <w:uiPriority w:val="99"/>
    <w:unhideWhenUsed/>
    <w:rsid w:val="004C3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615"/>
    <w:rPr>
      <w:rFonts w:ascii="Calibri" w:eastAsia="Calibri" w:hAnsi="Calibri" w:cs="Calibri"/>
      <w:kern w:val="0"/>
      <w:sz w:val="24"/>
      <w:szCs w:val="24"/>
      <w:lang w:eastAsia="en-IN" w:bidi="ta-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12934-024-02449-3" TargetMode="External"/><Relationship Id="rId18" Type="http://schemas.openxmlformats.org/officeDocument/2006/relationships/hyperlink" Target="https://doi.org/10.1007/s13197-021-05030-7" TargetMode="External"/><Relationship Id="rId26" Type="http://schemas.openxmlformats.org/officeDocument/2006/relationships/hyperlink" Target="https://doi.org/10.1016/j.envexpbot.2016.02.003" TargetMode="External"/><Relationship Id="rId39" Type="http://schemas.openxmlformats.org/officeDocument/2006/relationships/hyperlink" Target="https://doi.org/10.31838/ijpr/2020.12.04.082" TargetMode="External"/><Relationship Id="rId21" Type="http://schemas.openxmlformats.org/officeDocument/2006/relationships/hyperlink" Target="https://doi.org/10.1080/87559129.2025.2589372" TargetMode="External"/><Relationship Id="rId34" Type="http://schemas.openxmlformats.org/officeDocument/2006/relationships/hyperlink" Target="https://doi.org/10.3390/nu14193903" TargetMode="External"/><Relationship Id="rId42" Type="http://schemas.openxmlformats.org/officeDocument/2006/relationships/hyperlink" Target="https://doi.org/10.3390/nu12071993" TargetMode="External"/><Relationship Id="rId47" Type="http://schemas.openxmlformats.org/officeDocument/2006/relationships/hyperlink" Target="https://doi.org/10.1039/D3FO04644C" TargetMode="External"/><Relationship Id="rId50" Type="http://schemas.openxmlformats.org/officeDocument/2006/relationships/hyperlink" Target="https://doi.org/10.3389/fnut.2026.1756171" TargetMode="External"/><Relationship Id="rId55" Type="http://schemas.openxmlformats.org/officeDocument/2006/relationships/header" Target="header2.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doi.org/10.4103/phrev.phrev_13_17" TargetMode="External"/><Relationship Id="rId29" Type="http://schemas.openxmlformats.org/officeDocument/2006/relationships/hyperlink" Target="https://doi.org/10.1016/j.genrep.2019.100389" TargetMode="External"/><Relationship Id="rId11" Type="http://schemas.openxmlformats.org/officeDocument/2006/relationships/hyperlink" Target="https://doi.org/10.1111/1541-4337.12669" TargetMode="External"/><Relationship Id="rId24" Type="http://schemas.openxmlformats.org/officeDocument/2006/relationships/hyperlink" Target="https://doi.org/10.1186/s12876-024-03562-8" TargetMode="External"/><Relationship Id="rId32" Type="http://schemas.openxmlformats.org/officeDocument/2006/relationships/hyperlink" Target="https://www.nin.res.in/downloads/IFCT%202017%20Book.pdf" TargetMode="External"/><Relationship Id="rId37" Type="http://schemas.openxmlformats.org/officeDocument/2006/relationships/hyperlink" Target="https://doi.org/10.1016/S0140-6736(20)32594-0" TargetMode="External"/><Relationship Id="rId40" Type="http://schemas.openxmlformats.org/officeDocument/2006/relationships/hyperlink" Target="https://doi.org/10.1002/mnfr.70483" TargetMode="External"/><Relationship Id="rId45" Type="http://schemas.openxmlformats.org/officeDocument/2006/relationships/hyperlink" Target="https://doi.org/10.4236/jbm.2020.812015" TargetMode="External"/><Relationship Id="rId53" Type="http://schemas.openxmlformats.org/officeDocument/2006/relationships/hyperlink" Target="https://doi.org/10.1111/1541-4337.12669" TargetMode="External"/><Relationship Id="rId58"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doi.org/10.1021/acs.bioconjchem.8b00245" TargetMode="External"/><Relationship Id="rId14" Type="http://schemas.openxmlformats.org/officeDocument/2006/relationships/hyperlink" Target="https://doi.org/10.3390/microbiolres12020033" TargetMode="External"/><Relationship Id="rId22" Type="http://schemas.openxmlformats.org/officeDocument/2006/relationships/hyperlink" Target="https://doi.org/10.1371/journal.pone.0189141" TargetMode="External"/><Relationship Id="rId27" Type="http://schemas.openxmlformats.org/officeDocument/2006/relationships/hyperlink" Target="https://doi.org/10.1007/s10068-026-02120-0" TargetMode="External"/><Relationship Id="rId30" Type="http://schemas.openxmlformats.org/officeDocument/2006/relationships/hyperlink" Target="https://doi.org/10.1186/s12876-024-03562-8" TargetMode="External"/><Relationship Id="rId35" Type="http://schemas.openxmlformats.org/officeDocument/2006/relationships/hyperlink" Target="https://doi.org/10.5539/jfr.v10n4p42" TargetMode="External"/><Relationship Id="rId43" Type="http://schemas.openxmlformats.org/officeDocument/2006/relationships/hyperlink" Target="https://doi.org/10.1080/10408398.2021.1901650" TargetMode="External"/><Relationship Id="rId48" Type="http://schemas.openxmlformats.org/officeDocument/2006/relationships/hyperlink" Target="https://doi.org/10.1007/s42770-024-01251-y" TargetMode="External"/><Relationship Id="rId56" Type="http://schemas.openxmlformats.org/officeDocument/2006/relationships/footer" Target="footer1.xml"/><Relationship Id="rId8" Type="http://schemas.openxmlformats.org/officeDocument/2006/relationships/chart" Target="charts/chart2.xml"/><Relationship Id="rId51" Type="http://schemas.openxmlformats.org/officeDocument/2006/relationships/hyperlink" Target="https://doi.org/10.3390/nu11122938" TargetMode="External"/><Relationship Id="rId3" Type="http://schemas.openxmlformats.org/officeDocument/2006/relationships/settings" Target="settings.xml"/><Relationship Id="rId12" Type="http://schemas.openxmlformats.org/officeDocument/2006/relationships/hyperlink" Target="https://doi.org/10.3390/nu18081219" TargetMode="External"/><Relationship Id="rId17" Type="http://schemas.openxmlformats.org/officeDocument/2006/relationships/hyperlink" Target="https://doi.org/10.3390/molecules31081353" TargetMode="External"/><Relationship Id="rId25" Type="http://schemas.openxmlformats.org/officeDocument/2006/relationships/hyperlink" Target="https://doi.org/10.3390/nu18060900" TargetMode="External"/><Relationship Id="rId33" Type="http://schemas.openxmlformats.org/officeDocument/2006/relationships/hyperlink" Target="https://doi.org/10.21048/ijnd.2016.53.3.5316" TargetMode="External"/><Relationship Id="rId38" Type="http://schemas.openxmlformats.org/officeDocument/2006/relationships/hyperlink" Target="https://doi.org/10.1111/jfpe.70282" TargetMode="External"/><Relationship Id="rId46" Type="http://schemas.openxmlformats.org/officeDocument/2006/relationships/hyperlink" Target="https://doi.org/10.1007/s12011-019-1658-1" TargetMode="External"/><Relationship Id="rId59" Type="http://schemas.openxmlformats.org/officeDocument/2006/relationships/footer" Target="footer3.xml"/><Relationship Id="rId20" Type="http://schemas.openxmlformats.org/officeDocument/2006/relationships/hyperlink" Target="https://doi.org/10.1002/jsfa.2589" TargetMode="External"/><Relationship Id="rId41" Type="http://schemas.openxmlformats.org/officeDocument/2006/relationships/hyperlink" Target="https://doi.org/10.37287/ijghr.v6i3.3392"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390/ph18040542" TargetMode="External"/><Relationship Id="rId23" Type="http://schemas.openxmlformats.org/officeDocument/2006/relationships/hyperlink" Target="https://doi.org/10.1017/S000711451500241X" TargetMode="External"/><Relationship Id="rId28" Type="http://schemas.openxmlformats.org/officeDocument/2006/relationships/hyperlink" Target="https://doi.org/10.1016/j.crfs.2022.10.020" TargetMode="External"/><Relationship Id="rId36" Type="http://schemas.openxmlformats.org/officeDocument/2006/relationships/hyperlink" Target="https://doi.org/10.1016/j.jtemb.2019.01.016" TargetMode="External"/><Relationship Id="rId49" Type="http://schemas.openxmlformats.org/officeDocument/2006/relationships/hyperlink" Target="https://doi.org/10.3390/ijerph182312799" TargetMode="External"/><Relationship Id="rId57" Type="http://schemas.openxmlformats.org/officeDocument/2006/relationships/footer" Target="footer2.xml"/><Relationship Id="rId10" Type="http://schemas.openxmlformats.org/officeDocument/2006/relationships/hyperlink" Target="https://doi.org/10.4236/jbm.2020.812015" TargetMode="External"/><Relationship Id="rId31" Type="http://schemas.openxmlformats.org/officeDocument/2006/relationships/hyperlink" Target="https://doi.org/10.3390/foods15040750" TargetMode="External"/><Relationship Id="rId44" Type="http://schemas.openxmlformats.org/officeDocument/2006/relationships/hyperlink" Target="https://doi.org/10.1016/j.ijfoodmicro.2023.110300" TargetMode="External"/><Relationship Id="rId52" Type="http://schemas.openxmlformats.org/officeDocument/2006/relationships/hyperlink" Target="https://www.who.int/data/gho/data/indicators/indicator-details/GHO/prevalence-of-anaemia-in-women-of-reproductive-age-%28-%29"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80/87559129.2021.192869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MSC%20Project%202025\Deepik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SC%20Project%202025\Deepik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 Bioaccessible</c:v>
                </c:pt>
              </c:strCache>
            </c:strRef>
          </c:tx>
          <c:spPr>
            <a:solidFill>
              <a:schemeClr val="accent6"/>
            </a:solidFill>
            <a:ln>
              <a:noFill/>
            </a:ln>
            <a:effectLst/>
          </c:spPr>
          <c:invertIfNegative val="0"/>
          <c:cat>
            <c:strRef>
              <c:f>Sheet1!$A$2:$A$17</c:f>
              <c:strCache>
                <c:ptCount val="16"/>
                <c:pt idx="0">
                  <c:v>CLR</c:v>
                </c:pt>
                <c:pt idx="1">
                  <c:v>CLR + FJ</c:v>
                </c:pt>
                <c:pt idx="2">
                  <c:v>CLR + CU</c:v>
                </c:pt>
                <c:pt idx="3">
                  <c:v>CLR + FJ + CU</c:v>
                </c:pt>
                <c:pt idx="4">
                  <c:v>MCR</c:v>
                </c:pt>
                <c:pt idx="5">
                  <c:v>MCR + FJ</c:v>
                </c:pt>
                <c:pt idx="6">
                  <c:v>MCR + CU</c:v>
                </c:pt>
                <c:pt idx="7">
                  <c:v>MCR + FJ + CU</c:v>
                </c:pt>
                <c:pt idx="8">
                  <c:v>RR</c:v>
                </c:pt>
                <c:pt idx="9">
                  <c:v>RR + FJ</c:v>
                </c:pt>
                <c:pt idx="10">
                  <c:v>RR + CU</c:v>
                </c:pt>
                <c:pt idx="11">
                  <c:v>RR + FJ + CU</c:v>
                </c:pt>
                <c:pt idx="12">
                  <c:v>AKR</c:v>
                </c:pt>
                <c:pt idx="13">
                  <c:v>MCR + FJ</c:v>
                </c:pt>
                <c:pt idx="14">
                  <c:v>MCR + CU</c:v>
                </c:pt>
                <c:pt idx="15">
                  <c:v>MCR + FJ + CU</c:v>
                </c:pt>
              </c:strCache>
            </c:strRef>
          </c:cat>
          <c:val>
            <c:numRef>
              <c:f>Sheet1!$B$2:$B$17</c:f>
              <c:numCache>
                <c:formatCode>General</c:formatCode>
                <c:ptCount val="16"/>
                <c:pt idx="0">
                  <c:v>29.21</c:v>
                </c:pt>
                <c:pt idx="1">
                  <c:v>30.34</c:v>
                </c:pt>
                <c:pt idx="2">
                  <c:v>31.46</c:v>
                </c:pt>
                <c:pt idx="3">
                  <c:v>30.76</c:v>
                </c:pt>
                <c:pt idx="4">
                  <c:v>29.38</c:v>
                </c:pt>
                <c:pt idx="5">
                  <c:v>30.08</c:v>
                </c:pt>
                <c:pt idx="6">
                  <c:v>32.909999999999997</c:v>
                </c:pt>
                <c:pt idx="7">
                  <c:v>30.93</c:v>
                </c:pt>
                <c:pt idx="8">
                  <c:v>30.47</c:v>
                </c:pt>
                <c:pt idx="9">
                  <c:v>30.93</c:v>
                </c:pt>
                <c:pt idx="10">
                  <c:v>32.51</c:v>
                </c:pt>
                <c:pt idx="11">
                  <c:v>31.83</c:v>
                </c:pt>
                <c:pt idx="12">
                  <c:v>29.38</c:v>
                </c:pt>
                <c:pt idx="13">
                  <c:v>30.08</c:v>
                </c:pt>
                <c:pt idx="14">
                  <c:v>32.909999999999997</c:v>
                </c:pt>
                <c:pt idx="15">
                  <c:v>30.93</c:v>
                </c:pt>
              </c:numCache>
            </c:numRef>
          </c:val>
          <c:extLst>
            <c:ext xmlns:c16="http://schemas.microsoft.com/office/drawing/2014/chart" uri="{C3380CC4-5D6E-409C-BE32-E72D297353CC}">
              <c16:uniqueId val="{00000000-C513-447A-9B00-15AD08E03CC8}"/>
            </c:ext>
          </c:extLst>
        </c:ser>
        <c:ser>
          <c:idx val="1"/>
          <c:order val="1"/>
          <c:tx>
            <c:strRef>
              <c:f>Sheet1!$C$1</c:f>
              <c:strCache>
                <c:ptCount val="1"/>
                <c:pt idx="0">
                  <c:v>% Bioavailable</c:v>
                </c:pt>
              </c:strCache>
            </c:strRef>
          </c:tx>
          <c:spPr>
            <a:solidFill>
              <a:schemeClr val="accent5"/>
            </a:solidFill>
            <a:ln>
              <a:noFill/>
            </a:ln>
            <a:effectLst/>
          </c:spPr>
          <c:invertIfNegative val="0"/>
          <c:cat>
            <c:strRef>
              <c:f>Sheet1!$A$2:$A$17</c:f>
              <c:strCache>
                <c:ptCount val="16"/>
                <c:pt idx="0">
                  <c:v>CLR</c:v>
                </c:pt>
                <c:pt idx="1">
                  <c:v>CLR + FJ</c:v>
                </c:pt>
                <c:pt idx="2">
                  <c:v>CLR + CU</c:v>
                </c:pt>
                <c:pt idx="3">
                  <c:v>CLR + FJ + CU</c:v>
                </c:pt>
                <c:pt idx="4">
                  <c:v>MCR</c:v>
                </c:pt>
                <c:pt idx="5">
                  <c:v>MCR + FJ</c:v>
                </c:pt>
                <c:pt idx="6">
                  <c:v>MCR + CU</c:v>
                </c:pt>
                <c:pt idx="7">
                  <c:v>MCR + FJ + CU</c:v>
                </c:pt>
                <c:pt idx="8">
                  <c:v>RR</c:v>
                </c:pt>
                <c:pt idx="9">
                  <c:v>RR + FJ</c:v>
                </c:pt>
                <c:pt idx="10">
                  <c:v>RR + CU</c:v>
                </c:pt>
                <c:pt idx="11">
                  <c:v>RR + FJ + CU</c:v>
                </c:pt>
                <c:pt idx="12">
                  <c:v>AKR</c:v>
                </c:pt>
                <c:pt idx="13">
                  <c:v>MCR + FJ</c:v>
                </c:pt>
                <c:pt idx="14">
                  <c:v>MCR + CU</c:v>
                </c:pt>
                <c:pt idx="15">
                  <c:v>MCR + FJ + CU</c:v>
                </c:pt>
              </c:strCache>
            </c:strRef>
          </c:cat>
          <c:val>
            <c:numRef>
              <c:f>Sheet1!$C$2:$C$17</c:f>
              <c:numCache>
                <c:formatCode>General</c:formatCode>
                <c:ptCount val="16"/>
                <c:pt idx="0">
                  <c:v>29.78</c:v>
                </c:pt>
                <c:pt idx="1">
                  <c:v>31.18</c:v>
                </c:pt>
                <c:pt idx="2">
                  <c:v>32.299999999999997</c:v>
                </c:pt>
                <c:pt idx="3">
                  <c:v>31.46</c:v>
                </c:pt>
                <c:pt idx="4">
                  <c:v>28.53</c:v>
                </c:pt>
                <c:pt idx="5">
                  <c:v>29.1</c:v>
                </c:pt>
                <c:pt idx="6">
                  <c:v>30.08</c:v>
                </c:pt>
                <c:pt idx="7">
                  <c:v>29.66</c:v>
                </c:pt>
                <c:pt idx="8">
                  <c:v>29.35</c:v>
                </c:pt>
                <c:pt idx="9">
                  <c:v>30.7</c:v>
                </c:pt>
                <c:pt idx="10">
                  <c:v>33.630000000000003</c:v>
                </c:pt>
                <c:pt idx="11">
                  <c:v>32.729999999999997</c:v>
                </c:pt>
                <c:pt idx="12">
                  <c:v>28.53</c:v>
                </c:pt>
                <c:pt idx="13">
                  <c:v>29.1</c:v>
                </c:pt>
                <c:pt idx="14">
                  <c:v>30.08</c:v>
                </c:pt>
                <c:pt idx="15">
                  <c:v>29.66</c:v>
                </c:pt>
              </c:numCache>
            </c:numRef>
          </c:val>
          <c:extLst>
            <c:ext xmlns:c16="http://schemas.microsoft.com/office/drawing/2014/chart" uri="{C3380CC4-5D6E-409C-BE32-E72D297353CC}">
              <c16:uniqueId val="{00000001-C513-447A-9B00-15AD08E03CC8}"/>
            </c:ext>
          </c:extLst>
        </c:ser>
        <c:ser>
          <c:idx val="2"/>
          <c:order val="2"/>
          <c:tx>
            <c:strRef>
              <c:f>Sheet1!$D$1</c:f>
              <c:strCache>
                <c:ptCount val="1"/>
                <c:pt idx="0">
                  <c:v>% Residual</c:v>
                </c:pt>
              </c:strCache>
            </c:strRef>
          </c:tx>
          <c:spPr>
            <a:solidFill>
              <a:schemeClr val="accent4"/>
            </a:solidFill>
            <a:ln>
              <a:noFill/>
            </a:ln>
            <a:effectLst/>
          </c:spPr>
          <c:invertIfNegative val="0"/>
          <c:cat>
            <c:strRef>
              <c:f>Sheet1!$A$2:$A$17</c:f>
              <c:strCache>
                <c:ptCount val="16"/>
                <c:pt idx="0">
                  <c:v>CLR</c:v>
                </c:pt>
                <c:pt idx="1">
                  <c:v>CLR + FJ</c:v>
                </c:pt>
                <c:pt idx="2">
                  <c:v>CLR + CU</c:v>
                </c:pt>
                <c:pt idx="3">
                  <c:v>CLR + FJ + CU</c:v>
                </c:pt>
                <c:pt idx="4">
                  <c:v>MCR</c:v>
                </c:pt>
                <c:pt idx="5">
                  <c:v>MCR + FJ</c:v>
                </c:pt>
                <c:pt idx="6">
                  <c:v>MCR + CU</c:v>
                </c:pt>
                <c:pt idx="7">
                  <c:v>MCR + FJ + CU</c:v>
                </c:pt>
                <c:pt idx="8">
                  <c:v>RR</c:v>
                </c:pt>
                <c:pt idx="9">
                  <c:v>RR + FJ</c:v>
                </c:pt>
                <c:pt idx="10">
                  <c:v>RR + CU</c:v>
                </c:pt>
                <c:pt idx="11">
                  <c:v>RR + FJ + CU</c:v>
                </c:pt>
                <c:pt idx="12">
                  <c:v>AKR</c:v>
                </c:pt>
                <c:pt idx="13">
                  <c:v>MCR + FJ</c:v>
                </c:pt>
                <c:pt idx="14">
                  <c:v>MCR + CU</c:v>
                </c:pt>
                <c:pt idx="15">
                  <c:v>MCR + FJ + CU</c:v>
                </c:pt>
              </c:strCache>
            </c:strRef>
          </c:cat>
          <c:val>
            <c:numRef>
              <c:f>Sheet1!$D$2:$D$17</c:f>
              <c:numCache>
                <c:formatCode>General</c:formatCode>
                <c:ptCount val="16"/>
                <c:pt idx="0">
                  <c:v>31.18</c:v>
                </c:pt>
                <c:pt idx="1">
                  <c:v>32.299999999999997</c:v>
                </c:pt>
                <c:pt idx="2">
                  <c:v>35.25</c:v>
                </c:pt>
                <c:pt idx="3">
                  <c:v>33.71</c:v>
                </c:pt>
                <c:pt idx="4">
                  <c:v>29.52</c:v>
                </c:pt>
                <c:pt idx="5">
                  <c:v>30.79</c:v>
                </c:pt>
                <c:pt idx="6">
                  <c:v>31.64</c:v>
                </c:pt>
                <c:pt idx="7">
                  <c:v>31.07</c:v>
                </c:pt>
                <c:pt idx="8">
                  <c:v>29.35</c:v>
                </c:pt>
                <c:pt idx="9">
                  <c:v>31.6</c:v>
                </c:pt>
                <c:pt idx="10">
                  <c:v>32.96</c:v>
                </c:pt>
                <c:pt idx="11">
                  <c:v>32.51</c:v>
                </c:pt>
                <c:pt idx="12">
                  <c:v>29.52</c:v>
                </c:pt>
                <c:pt idx="13">
                  <c:v>30.79</c:v>
                </c:pt>
                <c:pt idx="14">
                  <c:v>31.64</c:v>
                </c:pt>
                <c:pt idx="15">
                  <c:v>31.07</c:v>
                </c:pt>
              </c:numCache>
            </c:numRef>
          </c:val>
          <c:extLst>
            <c:ext xmlns:c16="http://schemas.microsoft.com/office/drawing/2014/chart" uri="{C3380CC4-5D6E-409C-BE32-E72D297353CC}">
              <c16:uniqueId val="{00000002-C513-447A-9B00-15AD08E03CC8}"/>
            </c:ext>
          </c:extLst>
        </c:ser>
        <c:dLbls>
          <c:showLegendKey val="0"/>
          <c:showVal val="0"/>
          <c:showCatName val="0"/>
          <c:showSerName val="0"/>
          <c:showPercent val="0"/>
          <c:showBubbleSize val="0"/>
        </c:dLbls>
        <c:gapWidth val="150"/>
        <c:overlap val="100"/>
        <c:axId val="19876336"/>
        <c:axId val="19888336"/>
      </c:barChart>
      <c:catAx>
        <c:axId val="1987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88336"/>
        <c:crosses val="autoZero"/>
        <c:auto val="1"/>
        <c:lblAlgn val="ctr"/>
        <c:lblOffset val="100"/>
        <c:noMultiLvlLbl val="0"/>
      </c:catAx>
      <c:valAx>
        <c:axId val="19888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7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'Ark1'!$B$4</c:f>
              <c:strCache>
                <c:ptCount val="1"/>
                <c:pt idx="0">
                  <c:v>Mass balance (%)</c:v>
                </c:pt>
              </c:strCache>
            </c:strRef>
          </c:tx>
          <c:spPr>
            <a:solidFill>
              <a:schemeClr val="accent6"/>
            </a:solidFill>
            <a:ln>
              <a:noFill/>
            </a:ln>
            <a:effectLst/>
          </c:spPr>
          <c:invertIfNegative val="0"/>
          <c:cat>
            <c:strRef>
              <c:f>'Ark1'!$A$5:$A$20</c:f>
              <c:strCache>
                <c:ptCount val="16"/>
                <c:pt idx="0">
                  <c:v>CLR</c:v>
                </c:pt>
                <c:pt idx="1">
                  <c:v>CLR + FJ</c:v>
                </c:pt>
                <c:pt idx="2">
                  <c:v>CLR + CU</c:v>
                </c:pt>
                <c:pt idx="3">
                  <c:v>CLR + FJ + CU</c:v>
                </c:pt>
                <c:pt idx="4">
                  <c:v>MCR</c:v>
                </c:pt>
                <c:pt idx="5">
                  <c:v>MCR + FJ</c:v>
                </c:pt>
                <c:pt idx="6">
                  <c:v>MCR + CU</c:v>
                </c:pt>
                <c:pt idx="7">
                  <c:v>MCR+ FJ + CU</c:v>
                </c:pt>
                <c:pt idx="8">
                  <c:v>RR</c:v>
                </c:pt>
                <c:pt idx="9">
                  <c:v>RR + FJ</c:v>
                </c:pt>
                <c:pt idx="10">
                  <c:v>RR + CU</c:v>
                </c:pt>
                <c:pt idx="11">
                  <c:v>RR + FJ + CU</c:v>
                </c:pt>
                <c:pt idx="12">
                  <c:v>AKR</c:v>
                </c:pt>
                <c:pt idx="13">
                  <c:v>AKR + FJ</c:v>
                </c:pt>
                <c:pt idx="14">
                  <c:v>AKR + CU</c:v>
                </c:pt>
                <c:pt idx="15">
                  <c:v>AKR + FJ + CU</c:v>
                </c:pt>
              </c:strCache>
            </c:strRef>
          </c:cat>
          <c:val>
            <c:numRef>
              <c:f>'Ark1'!$B$5:$B$20</c:f>
              <c:numCache>
                <c:formatCode>General</c:formatCode>
                <c:ptCount val="16"/>
                <c:pt idx="0">
                  <c:v>90.17</c:v>
                </c:pt>
                <c:pt idx="1">
                  <c:v>93.82</c:v>
                </c:pt>
                <c:pt idx="2">
                  <c:v>99.02</c:v>
                </c:pt>
                <c:pt idx="3">
                  <c:v>95.93</c:v>
                </c:pt>
                <c:pt idx="4">
                  <c:v>87.43</c:v>
                </c:pt>
                <c:pt idx="5">
                  <c:v>89.97</c:v>
                </c:pt>
                <c:pt idx="6">
                  <c:v>94.63</c:v>
                </c:pt>
                <c:pt idx="7">
                  <c:v>91.67</c:v>
                </c:pt>
                <c:pt idx="8">
                  <c:v>89.16</c:v>
                </c:pt>
                <c:pt idx="9">
                  <c:v>93.23</c:v>
                </c:pt>
                <c:pt idx="10">
                  <c:v>99.1</c:v>
                </c:pt>
                <c:pt idx="11">
                  <c:v>97.07</c:v>
                </c:pt>
                <c:pt idx="12">
                  <c:v>91.53</c:v>
                </c:pt>
                <c:pt idx="13">
                  <c:v>93.97</c:v>
                </c:pt>
                <c:pt idx="14">
                  <c:v>97.18</c:v>
                </c:pt>
                <c:pt idx="15">
                  <c:v>96.15</c:v>
                </c:pt>
              </c:numCache>
            </c:numRef>
          </c:val>
          <c:extLst>
            <c:ext xmlns:c16="http://schemas.microsoft.com/office/drawing/2014/chart" uri="{C3380CC4-5D6E-409C-BE32-E72D297353CC}">
              <c16:uniqueId val="{00000000-FC33-4211-A2F8-84E9A5C8B28B}"/>
            </c:ext>
          </c:extLst>
        </c:ser>
        <c:dLbls>
          <c:showLegendKey val="0"/>
          <c:showVal val="0"/>
          <c:showCatName val="0"/>
          <c:showSerName val="0"/>
          <c:showPercent val="0"/>
          <c:showBubbleSize val="0"/>
        </c:dLbls>
        <c:gapWidth val="219"/>
        <c:overlap val="-27"/>
        <c:axId val="1048680191"/>
        <c:axId val="1048692191"/>
      </c:barChart>
      <c:catAx>
        <c:axId val="1048680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8692191"/>
        <c:crosses val="autoZero"/>
        <c:auto val="1"/>
        <c:lblAlgn val="ctr"/>
        <c:lblOffset val="100"/>
        <c:noMultiLvlLbl val="0"/>
      </c:catAx>
      <c:valAx>
        <c:axId val="104869219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8680191"/>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15</Pages>
  <Words>7203</Words>
  <Characters>41060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Karthika Periyasamy</dc:creator>
  <cp:keywords/>
  <dc:description/>
  <cp:lastModifiedBy>Editor-90</cp:lastModifiedBy>
  <cp:revision>37</cp:revision>
  <dcterms:created xsi:type="dcterms:W3CDTF">2026-05-20T11:04:00Z</dcterms:created>
  <dcterms:modified xsi:type="dcterms:W3CDTF">2026-07-21T06:04:00Z</dcterms:modified>
</cp:coreProperties>
</file>