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1A4D" w14:textId="77777777" w:rsidR="007F6C7C" w:rsidRPr="007F6C7C" w:rsidRDefault="007F6C7C" w:rsidP="0065424F">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7F6C7C">
        <w:rPr>
          <w:rFonts w:ascii="Times New Roman" w:eastAsia="Times New Roman" w:hAnsi="Times New Roman" w:cs="Times New Roman"/>
          <w:b/>
          <w:bCs/>
          <w:i/>
          <w:iCs/>
          <w:sz w:val="36"/>
          <w:szCs w:val="36"/>
          <w:u w:val="single"/>
          <w:lang w:val="en-US" w:eastAsia="en-GB"/>
        </w:rPr>
        <w:t>Review Article</w:t>
      </w:r>
    </w:p>
    <w:p w14:paraId="7E14D283" w14:textId="77777777" w:rsidR="00687ABD" w:rsidRPr="00687ABD" w:rsidRDefault="00687ABD" w:rsidP="0065424F">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687ABD">
        <w:rPr>
          <w:rFonts w:ascii="Times New Roman" w:eastAsia="Times New Roman" w:hAnsi="Times New Roman" w:cs="Times New Roman"/>
          <w:b/>
          <w:bCs/>
          <w:sz w:val="36"/>
          <w:szCs w:val="36"/>
          <w:lang w:eastAsia="en-GB"/>
        </w:rPr>
        <w:t>Pearl Millet Production, Nutritional and Functional Properties, and Processing Techniques: A Global Comprehensive Review</w:t>
      </w:r>
    </w:p>
    <w:p w14:paraId="7FDCE3EC"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Abstract</w:t>
      </w:r>
    </w:p>
    <w:p w14:paraId="5820CA25"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(L.) R. Br.) is the most widely cultivated millet species worldwide and a staple cereal for tens of millions of people across the semi-arid tropics of Asia and Africa. Its exceptional tolerance of drought, heat and poor soils, combined with a favourable nutrient profile, has renewed international interest in the crop as a climate-resilient contributor to food and nutrition security. This review synthesises current evidence on the global production landscape, agronomic and genetic characteristics, nutritional composition, bioactive and functional properties, antinutritional constraints, and traditional and emerging processing technologies applied to pearl millet. The grain provides appreciable quantities of protein, dietary fibre, iron, zinc and phenolic compounds, and its low to moderate glycaemic index and gluten-free nature position it favourably for managing metabolic disorders and coeliac-related dietary restrictions. However, the nutritional value of pearl millet is constrained by antinutritional factors, principally phytic acid,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and by a short shelf life associated with rapid lipid rancidity. Processing interventions, ranging from traditional dehulling, soaking, germination and fermentation to modern extrusion, malting and non-thermal technologies, substantially modulate nutrient bioavailability, sensory quality and storage stability, although trade-offs between nutrient retention and antinutrient reduction remain incompletely resolved. Biofortification and genomics-assisted breeding programmes have made measurable progress in raising grain iron and zinc density and in improving abiotic stress tolerance. This review identifies persistent knowledge gaps in genotype-by-environment interactions affecting nutritional quality, in vivo bioavailability data, and the scalability of novel processing technologies, and proposes priority directions for future research and value-chain development.</w:t>
      </w:r>
    </w:p>
    <w:p w14:paraId="7CF7DF8E" w14:textId="124446FF"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Keywords:</w:t>
      </w:r>
      <w:r w:rsidRPr="00687ABD">
        <w:rPr>
          <w:rFonts w:ascii="Times New Roman" w:eastAsia="Times New Roman" w:hAnsi="Times New Roman" w:cs="Times New Roman"/>
          <w:sz w:val="24"/>
          <w:szCs w:val="24"/>
          <w:lang w:eastAsia="en-GB"/>
        </w:rPr>
        <w:t xml:space="preserve"> </w:t>
      </w:r>
      <w:r w:rsidR="0065424F">
        <w:rPr>
          <w:rFonts w:ascii="Times New Roman" w:eastAsia="Times New Roman" w:hAnsi="Times New Roman" w:cs="Times New Roman"/>
          <w:sz w:val="24"/>
          <w:szCs w:val="24"/>
          <w:lang w:eastAsia="en-GB"/>
        </w:rPr>
        <w:t>P</w:t>
      </w:r>
      <w:r w:rsidRPr="00687ABD">
        <w:rPr>
          <w:rFonts w:ascii="Times New Roman" w:eastAsia="Times New Roman" w:hAnsi="Times New Roman" w:cs="Times New Roman"/>
          <w:sz w:val="24"/>
          <w:szCs w:val="24"/>
          <w:lang w:eastAsia="en-GB"/>
        </w:rPr>
        <w:t xml:space="preserve">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nutricereal</w:t>
      </w:r>
      <w:proofErr w:type="spellEnd"/>
      <w:r w:rsidRPr="00687ABD">
        <w:rPr>
          <w:rFonts w:ascii="Times New Roman" w:eastAsia="Times New Roman" w:hAnsi="Times New Roman" w:cs="Times New Roman"/>
          <w:sz w:val="24"/>
          <w:szCs w:val="24"/>
          <w:lang w:eastAsia="en-GB"/>
        </w:rPr>
        <w:t>; climate resilience; antinutritional factors; food processing; functional foods</w:t>
      </w:r>
    </w:p>
    <w:p w14:paraId="4C483CED"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 Introduction</w:t>
      </w:r>
    </w:p>
    <w:p w14:paraId="0A563122"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 xml:space="preserve">1.1 Global significance of pearl millet as a </w:t>
      </w:r>
      <w:proofErr w:type="spellStart"/>
      <w:r w:rsidRPr="00687ABD">
        <w:rPr>
          <w:rFonts w:ascii="Times New Roman" w:eastAsia="Times New Roman" w:hAnsi="Times New Roman" w:cs="Times New Roman"/>
          <w:b/>
          <w:bCs/>
          <w:sz w:val="24"/>
          <w:szCs w:val="24"/>
          <w:lang w:eastAsia="en-GB"/>
        </w:rPr>
        <w:t>nutricereal</w:t>
      </w:r>
      <w:proofErr w:type="spellEnd"/>
    </w:p>
    <w:p w14:paraId="64E95FD0" w14:textId="2745085A"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Cereal grains supply the majority of calories consumed by the human population, yet this dependence is concentrated in three crops, namely wheat, rice and maize, which together leave global food systems vulnerable to climatic and economic shocks (Chaturvedi et al., 2023). This narrow reliance persists even as global hunger and dietary inadequacy remain widespread, with recent estimates indicating that more than 720 million people face hunger and around three billion lack access to a healthy diet, a context that has sharpened scientific and policy attention on nutrient-dense, climate-tolerant cereals as diversification options (Mesías et al., 2024). Pearl millet occupies a prominent position among these crops. It is grown on approximately 30 to 31 million hectares, chiefly across the semi-arid tropics of sub-Saharan Africa and the Indian subcontinent, and it accounts for close to half of total global </w:t>
      </w:r>
      <w:r w:rsidRPr="00687ABD">
        <w:rPr>
          <w:rFonts w:ascii="Times New Roman" w:eastAsia="Times New Roman" w:hAnsi="Times New Roman" w:cs="Times New Roman"/>
          <w:sz w:val="24"/>
          <w:szCs w:val="24"/>
          <w:lang w:eastAsia="en-GB"/>
        </w:rPr>
        <w:lastRenderedPageBreak/>
        <w:t>millet production (Satyavathi et al., 2021). The crop is a dietary staple for around 90 million people, many of whom live in regions where rainfall is scarce, erratic or confined to a short cropping window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 designation of 2023 as the International Year of Millets by the Food and Agriculture Organization of the United Nations catalysed a substantial increase in research output, policy support and market interest directed at pearl millet and related species (FAO, 202</w:t>
      </w:r>
      <w:r w:rsidR="00AE20AA">
        <w:rPr>
          <w:rFonts w:ascii="Times New Roman" w:eastAsia="Times New Roman" w:hAnsi="Times New Roman" w:cs="Times New Roman"/>
          <w:sz w:val="24"/>
          <w:szCs w:val="24"/>
          <w:lang w:eastAsia="en-GB"/>
        </w:rPr>
        <w:t>5</w:t>
      </w:r>
      <w:r w:rsidRPr="00687ABD">
        <w:rPr>
          <w:rFonts w:ascii="Times New Roman" w:eastAsia="Times New Roman" w:hAnsi="Times New Roman" w:cs="Times New Roman"/>
          <w:sz w:val="24"/>
          <w:szCs w:val="24"/>
          <w:lang w:eastAsia="en-GB"/>
        </w:rPr>
        <w:t>; Krishnan, 2024).</w:t>
      </w:r>
      <w:r w:rsidR="0065424F">
        <w:rPr>
          <w:rFonts w:ascii="Times New Roman" w:eastAsia="Times New Roman" w:hAnsi="Times New Roman" w:cs="Times New Roman"/>
          <w:sz w:val="24"/>
          <w:szCs w:val="24"/>
          <w:lang w:eastAsia="en-GB"/>
        </w:rPr>
        <w:t xml:space="preserve"> </w:t>
      </w:r>
      <w:r w:rsidRPr="0065424F">
        <w:rPr>
          <w:bCs/>
          <w:highlight w:val="yellow"/>
        </w:rPr>
        <w:t>Recent processing-focused synthesis has further emphasised that millet processing is central to translating the nutritional potential of these crops into digestible, acceptable and value-added foods, particularly where antinutrients and limited consumer awareness constrain broader use (Singh et al., 2025).</w:t>
      </w:r>
    </w:p>
    <w:p w14:paraId="6DDCDF0E" w14:textId="79C621DC"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Pearl millet belongs to the family </w:t>
      </w:r>
      <w:proofErr w:type="spellStart"/>
      <w:r w:rsidRPr="00687ABD">
        <w:rPr>
          <w:rFonts w:ascii="Times New Roman" w:eastAsia="Times New Roman" w:hAnsi="Times New Roman" w:cs="Times New Roman"/>
          <w:sz w:val="24"/>
          <w:szCs w:val="24"/>
          <w:lang w:eastAsia="en-GB"/>
        </w:rPr>
        <w:t>Poaceae</w:t>
      </w:r>
      <w:proofErr w:type="spellEnd"/>
      <w:r w:rsidRPr="00687ABD">
        <w:rPr>
          <w:rFonts w:ascii="Times New Roman" w:eastAsia="Times New Roman" w:hAnsi="Times New Roman" w:cs="Times New Roman"/>
          <w:sz w:val="24"/>
          <w:szCs w:val="24"/>
          <w:lang w:eastAsia="en-GB"/>
        </w:rPr>
        <w:t xml:space="preserve"> and is classified botanically as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(L.) R. Br., although the synonym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 xml:space="preserve"> (L.) Morrone is also encountered in the taxonomic literature. As a C4 grass, the crop possesses a photosynthetic pathway that confers high water-use efficiency and enables substantial dry matter accumulation even under conditions of intermittent drought and elevated temperature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These agronomic attributes, together with a grain nutrient profile that compares favourably with, and in several respects exceeds, that of major cereals, have led to pearl millet being classified in India as a "</w:t>
      </w:r>
      <w:proofErr w:type="spellStart"/>
      <w:r w:rsidRPr="00687ABD">
        <w:rPr>
          <w:rFonts w:ascii="Times New Roman" w:eastAsia="Times New Roman" w:hAnsi="Times New Roman" w:cs="Times New Roman"/>
          <w:sz w:val="24"/>
          <w:szCs w:val="24"/>
          <w:lang w:eastAsia="en-GB"/>
        </w:rPr>
        <w:t>nutri</w:t>
      </w:r>
      <w:proofErr w:type="spellEnd"/>
      <w:r w:rsidRPr="00687ABD">
        <w:rPr>
          <w:rFonts w:ascii="Times New Roman" w:eastAsia="Times New Roman" w:hAnsi="Times New Roman" w:cs="Times New Roman"/>
          <w:sz w:val="24"/>
          <w:szCs w:val="24"/>
          <w:lang w:eastAsia="en-GB"/>
        </w:rPr>
        <w:t>-cereal", a designation intended to draw attention to its nutritional density relative to its historical status as a subsistence crop of marginal farming communities (Satyavathi et al., 2021</w:t>
      </w:r>
      <w:r w:rsidRPr="0065424F">
        <w:rPr>
          <w:rFonts w:ascii="Times New Roman" w:eastAsia="Times New Roman" w:hAnsi="Times New Roman" w:cs="Times New Roman"/>
          <w:sz w:val="24"/>
          <w:szCs w:val="24"/>
          <w:lang w:eastAsia="en-GB"/>
        </w:rPr>
        <w:t>).</w:t>
      </w:r>
      <w:r w:rsidR="0065424F" w:rsidRPr="0065424F">
        <w:rPr>
          <w:rFonts w:ascii="Times New Roman" w:eastAsia="Times New Roman" w:hAnsi="Times New Roman" w:cs="Times New Roman"/>
          <w:sz w:val="24"/>
          <w:szCs w:val="24"/>
          <w:lang w:eastAsia="en-GB"/>
        </w:rPr>
        <w:t xml:space="preserve"> </w:t>
      </w:r>
      <w:r w:rsidRPr="0065424F">
        <w:rPr>
          <w:highlight w:val="yellow"/>
        </w:rPr>
        <w:t xml:space="preserve">Recent field-based </w:t>
      </w:r>
      <w:proofErr w:type="spellStart"/>
      <w:r w:rsidRPr="0065424F">
        <w:rPr>
          <w:highlight w:val="yellow"/>
        </w:rPr>
        <w:t>prebreeding</w:t>
      </w:r>
      <w:proofErr w:type="spellEnd"/>
      <w:r w:rsidRPr="0065424F">
        <w:rPr>
          <w:highlight w:val="yellow"/>
        </w:rPr>
        <w:t xml:space="preserve"> work has also confirmed substantial genetic variability for drought tolerance and forage-related traits in pearl millet germplasm, reinforcing the importance of targeted selection in climate-adaptive cultivar development (Parray et al., 2025).</w:t>
      </w:r>
    </w:p>
    <w:p w14:paraId="4D661F36"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1.2 Botanical, agronomic and dietary context</w:t>
      </w:r>
    </w:p>
    <w:p w14:paraId="61C82FA9"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an annual, cross-pollinated, short-day grass that produces a cylindrical spike inflorescence bearing numerous small, oval grains typically ranging from grey to pale yellow in colour. It is cultivated principally for grain, although it also serves as an important source of fodder, forage and construction material in rural economies (</w:t>
      </w:r>
      <w:proofErr w:type="spellStart"/>
      <w:r w:rsidRPr="00687ABD">
        <w:rPr>
          <w:rFonts w:ascii="Times New Roman" w:eastAsia="Times New Roman" w:hAnsi="Times New Roman" w:cs="Times New Roman"/>
          <w:sz w:val="24"/>
          <w:szCs w:val="24"/>
          <w:lang w:eastAsia="en-GB"/>
        </w:rPr>
        <w:t>Shivhare</w:t>
      </w:r>
      <w:proofErr w:type="spellEnd"/>
      <w:r w:rsidRPr="00687ABD">
        <w:rPr>
          <w:rFonts w:ascii="Times New Roman" w:eastAsia="Times New Roman" w:hAnsi="Times New Roman" w:cs="Times New Roman"/>
          <w:sz w:val="24"/>
          <w:szCs w:val="24"/>
          <w:lang w:eastAsia="en-GB"/>
        </w:rPr>
        <w:t xml:space="preserve"> &amp; Lata, 2017). The grain is consumed in a wide diversity of forms across producing regions, including unleavened flatbreads such as roti and chapatti in South Asia and fermented porridges and gruels such as </w:t>
      </w:r>
      <w:proofErr w:type="spellStart"/>
      <w:r w:rsidRPr="00687ABD">
        <w:rPr>
          <w:rFonts w:ascii="Times New Roman" w:eastAsia="Times New Roman" w:hAnsi="Times New Roman" w:cs="Times New Roman"/>
          <w:sz w:val="24"/>
          <w:szCs w:val="24"/>
          <w:lang w:eastAsia="en-GB"/>
        </w:rPr>
        <w:t>ogi</w:t>
      </w:r>
      <w:proofErr w:type="spellEnd"/>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koko</w:t>
      </w:r>
      <w:proofErr w:type="spellEnd"/>
      <w:r w:rsidRPr="00687ABD">
        <w:rPr>
          <w:rFonts w:ascii="Times New Roman" w:eastAsia="Times New Roman" w:hAnsi="Times New Roman" w:cs="Times New Roman"/>
          <w:sz w:val="24"/>
          <w:szCs w:val="24"/>
          <w:lang w:eastAsia="en-GB"/>
        </w:rPr>
        <w:t xml:space="preserve"> and </w:t>
      </w:r>
      <w:proofErr w:type="spellStart"/>
      <w:r w:rsidRPr="00687ABD">
        <w:rPr>
          <w:rFonts w:ascii="Times New Roman" w:eastAsia="Times New Roman" w:hAnsi="Times New Roman" w:cs="Times New Roman"/>
          <w:sz w:val="24"/>
          <w:szCs w:val="24"/>
          <w:lang w:eastAsia="en-GB"/>
        </w:rPr>
        <w:t>fura</w:t>
      </w:r>
      <w:proofErr w:type="spellEnd"/>
      <w:r w:rsidRPr="00687ABD">
        <w:rPr>
          <w:rFonts w:ascii="Times New Roman" w:eastAsia="Times New Roman" w:hAnsi="Times New Roman" w:cs="Times New Roman"/>
          <w:sz w:val="24"/>
          <w:szCs w:val="24"/>
          <w:lang w:eastAsia="en-GB"/>
        </w:rPr>
        <w:t xml:space="preserve"> in West Africa, and it is increasingly used as an ingredient in commercially manufactured bakery, extruded and beverage products aimed at health-conscious consumers in urban and export markets (Meena et al., 2024, as cited in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 versatility of the grain, combined with its gluten-free status, has extended its relevance beyond traditional consuming regions into functional food and specialised dietary markets in Europe, North America and East Asia.</w:t>
      </w:r>
    </w:p>
    <w:p w14:paraId="0D6C9CE9" w14:textId="3DFC5BA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Despite these favourable attributes, pearl millet continues to be affected by antinutritional compounds, notably phytic acid, condensed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which constrain the bioavailability of iron, zinc and protein and, in the case of the goitrogens, have been associated with interference in thyroid hormone synthesis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The grain is also prone to rapid rancidity development after milling, a consequence of active lipase and lipoxygenase enzymes released when the bran layer is disrupted, and this remains one of the principal technical barriers to wider commercialisation of pearl millet flour (Latha Ravi &amp; Rana, 2024). Addressing these constraints through appropriate processing, breeding and biofortification strategies is central to unlocking the full nutritional and economic potential of the crop.</w:t>
      </w:r>
      <w:r w:rsidR="0065424F">
        <w:rPr>
          <w:rFonts w:ascii="Times New Roman" w:eastAsia="Times New Roman" w:hAnsi="Times New Roman" w:cs="Times New Roman"/>
          <w:sz w:val="24"/>
          <w:szCs w:val="24"/>
          <w:lang w:eastAsia="en-GB"/>
        </w:rPr>
        <w:t xml:space="preserve"> </w:t>
      </w:r>
      <w:r w:rsidRPr="0065424F">
        <w:rPr>
          <w:bCs/>
          <w:highlight w:val="yellow"/>
        </w:rPr>
        <w:t xml:space="preserve">Recent high-pressure soaking research indicates that advanced processing can reduce phytate and improve free iron availability in pearl millet while </w:t>
      </w:r>
      <w:r w:rsidRPr="0065424F">
        <w:rPr>
          <w:bCs/>
          <w:highlight w:val="yellow"/>
        </w:rPr>
        <w:lastRenderedPageBreak/>
        <w:t>maintaining much of its nutritional profile, suggesting a processing route that complements traditional soaking, germination and fermentation approaches (</w:t>
      </w:r>
      <w:proofErr w:type="spellStart"/>
      <w:r w:rsidRPr="0065424F">
        <w:rPr>
          <w:bCs/>
          <w:highlight w:val="yellow"/>
        </w:rPr>
        <w:t>Himashree</w:t>
      </w:r>
      <w:proofErr w:type="spellEnd"/>
      <w:r w:rsidRPr="0065424F">
        <w:rPr>
          <w:bCs/>
          <w:highlight w:val="yellow"/>
        </w:rPr>
        <w:t xml:space="preserve"> &amp; Mahendran, 2025).</w:t>
      </w:r>
      <w:r w:rsidR="0065424F" w:rsidRPr="0065424F">
        <w:rPr>
          <w:rFonts w:ascii="Times New Roman" w:eastAsia="Times New Roman" w:hAnsi="Times New Roman" w:cs="Times New Roman"/>
          <w:bCs/>
          <w:sz w:val="24"/>
          <w:szCs w:val="24"/>
          <w:lang w:eastAsia="en-GB"/>
        </w:rPr>
        <w:t xml:space="preserve"> </w:t>
      </w:r>
      <w:r w:rsidRPr="0065424F">
        <w:rPr>
          <w:bCs/>
          <w:highlight w:val="yellow"/>
        </w:rPr>
        <w:t>Recent metabolomic analysis of stored pearl millet flour further links rancidity development to enzyme-driven lipid degradation and oxidative changes, supporting the emphasis on shelf-life as a key barrier to commercialisation (Kumar et al., 2025).</w:t>
      </w:r>
    </w:p>
    <w:p w14:paraId="1ACC5D9B"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1.3 Scope, research gap and objectives</w:t>
      </w:r>
    </w:p>
    <w:p w14:paraId="2D2FB74F"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Although a considerable body of literature has examined individual dimensions of pearl millet science, including agronomy, breeding, nutrient composition, bioactive chemistry and food processing, this literature remains fragmented across disciplinary boundaries and is rarely synthesised within a single account that connects production-side considerations with downstream nutritional and technological outcomes. Existing reviews tend to focus narrowly on a single theme, such as drought physiology, biofortification genetics, or a specific processing technique, leaving a gap for a work that draws these strands together and interprets them jointly for an audience concerned with the full value chain from field to finished product. The present review addresses this gap by integrating evidence on global production and climate resilience, grain nutritional and phytochemical composition, functional and health-related properties, antinutritional constraints, and the effects of traditional and emerging processing technologies on nutritional and technological quality. The specific objectives are, first, to characterise the current global production landscape and the genetic and agronomic basis of pearl millet's climate resilience; second, to synthesise quantitative evidence on the macronutrient, micronutrient and bioactive composition of the grain relative to other major cereals; third, to evaluate the mechanisms and magnitude of antinutritional constraints on nutrient bioavailability; and fourth, to assess how traditional and modern processing techniques modify nutritional, functional and sensory quality, with a view to identifying priority areas for future research and value-chain development.</w:t>
      </w:r>
    </w:p>
    <w:p w14:paraId="1A982DCA"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2. Methods for Literature Selection</w:t>
      </w:r>
    </w:p>
    <w:p w14:paraId="5B215AEC"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2.1 Databases searched</w:t>
      </w:r>
    </w:p>
    <w:p w14:paraId="29AA06F2"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structured but non-systematic literature search was undertaken to identify peer-reviewed sources relevant to the production, nutritional composition, functional properties and processing of pearl millet. Searches were conducted in Web of Science, Scopus, Google Scholar and PubMed, supplemented by six field-specific indexing resources relevant to agricultural and food science literature: CAB Abstracts, AGRICOLA, FSTA (Food Science and Technology Abstracts), AGRIS, the Directory of Open Access Journals, and the ICRISAT Open Access Repository, the last of which indexes a substantial volume of primary research on pearl millet genetics and agronomy originating from the International Crops Research Institute for the Semi-Arid Tropics.</w:t>
      </w:r>
    </w:p>
    <w:p w14:paraId="7AD94B60"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2.2 Search strings and date range</w:t>
      </w:r>
    </w:p>
    <w:p w14:paraId="7D2D9D6E"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Search strings combined the terms "pearl millet" OR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OR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 xml:space="preserve">" with subject-specific qualifiers including "production", "agronomy", "climate resilience", "drought tolerance", "nutritional composition", "bioactive compounds", "functional properties", "antinutritional factors", "phytic acid", "processing", "malting", "fermentation", "extrusion", "biofortification" and "glycaemic index", using Boolean AND/OR operators appropriate to each database interface. The literature search covered </w:t>
      </w:r>
      <w:r w:rsidRPr="00687ABD">
        <w:rPr>
          <w:rFonts w:ascii="Times New Roman" w:eastAsia="Times New Roman" w:hAnsi="Times New Roman" w:cs="Times New Roman"/>
          <w:sz w:val="24"/>
          <w:szCs w:val="24"/>
          <w:lang w:eastAsia="en-GB"/>
        </w:rPr>
        <w:lastRenderedPageBreak/>
        <w:t>publications from January 2015 to April 2026, a window chosen to capture the substantial expansion in pearl millet research associated with genomic sequencing initiatives, biofortification breeding programmes and the International Year of Millets, while excluding earlier work largely superseded by more recent methodology. A small number of methodologically foundational or historically significant sources published before 2015 were retained where they remain the primary reference for a concept or technique still in current use.</w:t>
      </w:r>
    </w:p>
    <w:p w14:paraId="59FD7308"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2.3 Inclusion and exclusion criteria</w:t>
      </w:r>
    </w:p>
    <w:p w14:paraId="6B32CD4D"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Studies were included if they were published in peer-reviewed academic journals, reported original research or review synthesis directly concerned with pearl millet production, nutrition, bioactive chemistry or processing, and were available in English. Authoritative institutional reports from bodies such as the FAO were included where no equivalent peer-reviewed source existed and where the report was accessible through a verifiable uniform resource locator. Books, book chapters, grey literature, conference proceedings, preprints, patents, non-peer-reviewed trade publications and sources without a verifiable digital object identifier or institutional citation were excluded. Studies concerned exclusively with other millet species, without a specific pearl millet component, were excluded unless their findings were directly comparative and analytically relevant to pearl millet.</w:t>
      </w:r>
    </w:p>
    <w:p w14:paraId="16FAE32F"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2.4 Screening workflow, duplicate handling and study selection</w:t>
      </w:r>
    </w:p>
    <w:p w14:paraId="31EA3E3E"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Records identified through the database searches were screened at the title and abstract level for topical relevance to the review objectives, and duplicate records retrieved from more than one database were consolidated by matching digital object identifiers and bibliographic metadata. Full texts of records passing the initial screen were retrieved and assessed against the inclusion and exclusion criteria described above. Reference lists of key reviews and highly cited primary studies were hand-searched to identify additional influential publications, particularly foundational genetic and biochemical studies that continue to be widely cited despite predating the primary search window. No language restriction other than English was applied at the retrieval stage, although non-English sources were subsequently excluded, a point revisited in the limitations section.</w:t>
      </w:r>
    </w:p>
    <w:p w14:paraId="0262A4E6"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2.5 Rationale for a narrative review approach</w:t>
      </w:r>
    </w:p>
    <w:p w14:paraId="1D5CACE6"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narrative rather than systematic review methodology was adopted because the aim of this work is to integrate and interpret evidence across several distinct but interconnected disciplinary domains, namely agronomy, plant genetics, food chemistry and food process engineering, an aim for which the flexible, synthesising structure of a narrative review is better suited than the single-outcome focus typical of a systematic review or meta-analysis (Green et al., 2006). Narrative reviews permit the integration of heterogeneous study designs, including field trials, laboratory analyses and processing experiments, that would not be amenable to the quantitative pooling required in a systematic review, while still requiring transparency regarding the search process, as reflected in the structured methodology described above. Table 1 summarises the key elements of this search strategy.</w:t>
      </w:r>
    </w:p>
    <w:p w14:paraId="0761C6E2"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654"/>
        <w:gridCol w:w="7588"/>
      </w:tblGrid>
      <w:tr w:rsidR="00687ABD" w:rsidRPr="00687ABD" w14:paraId="094DE15F" w14:textId="77777777" w:rsidTr="009715E1">
        <w:tc>
          <w:tcPr>
            <w:tcW w:w="0" w:type="auto"/>
            <w:hideMark/>
          </w:tcPr>
          <w:p w14:paraId="4D176F9E"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Element</w:t>
            </w:r>
          </w:p>
        </w:tc>
        <w:tc>
          <w:tcPr>
            <w:tcW w:w="0" w:type="auto"/>
            <w:hideMark/>
          </w:tcPr>
          <w:p w14:paraId="1721DDFD"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Specification</w:t>
            </w:r>
          </w:p>
        </w:tc>
      </w:tr>
      <w:tr w:rsidR="00687ABD" w:rsidRPr="00687ABD" w14:paraId="0B5015F4" w14:textId="77777777" w:rsidTr="009715E1">
        <w:tc>
          <w:tcPr>
            <w:tcW w:w="0" w:type="auto"/>
            <w:hideMark/>
          </w:tcPr>
          <w:p w14:paraId="0BCB9E4E"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Databases searched</w:t>
            </w:r>
          </w:p>
        </w:tc>
        <w:tc>
          <w:tcPr>
            <w:tcW w:w="0" w:type="auto"/>
            <w:hideMark/>
          </w:tcPr>
          <w:p w14:paraId="1D84D0E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Web of Science, Scopus, Google Scholar, PubMed, CAB Abstracts, AGRICOLA, FSTA, AGRIS, DOAJ, ICRISAT Open Access Repository</w:t>
            </w:r>
          </w:p>
        </w:tc>
      </w:tr>
      <w:tr w:rsidR="00687ABD" w:rsidRPr="00687ABD" w14:paraId="3E9FAD91" w14:textId="77777777" w:rsidTr="009715E1">
        <w:tc>
          <w:tcPr>
            <w:tcW w:w="0" w:type="auto"/>
            <w:hideMark/>
          </w:tcPr>
          <w:p w14:paraId="1A66DCCD"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Core search terms</w:t>
            </w:r>
          </w:p>
        </w:tc>
        <w:tc>
          <w:tcPr>
            <w:tcW w:w="0" w:type="auto"/>
            <w:hideMark/>
          </w:tcPr>
          <w:p w14:paraId="77316FEC"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w:t>
            </w:r>
            <w:proofErr w:type="gramStart"/>
            <w:r w:rsidRPr="00687ABD">
              <w:rPr>
                <w:rFonts w:ascii="Times New Roman" w:eastAsia="Times New Roman" w:hAnsi="Times New Roman" w:cs="Times New Roman"/>
                <w:sz w:val="24"/>
                <w:szCs w:val="24"/>
                <w:lang w:eastAsia="en-GB"/>
              </w:rPr>
              <w:t>pearl</w:t>
            </w:r>
            <w:proofErr w:type="gramEnd"/>
            <w:r w:rsidRPr="00687ABD">
              <w:rPr>
                <w:rFonts w:ascii="Times New Roman" w:eastAsia="Times New Roman" w:hAnsi="Times New Roman" w:cs="Times New Roman"/>
                <w:sz w:val="24"/>
                <w:szCs w:val="24"/>
                <w:lang w:eastAsia="en-GB"/>
              </w:rPr>
              <w:t xml:space="preserve"> millet" OR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OR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w:t>
            </w:r>
          </w:p>
        </w:tc>
      </w:tr>
      <w:tr w:rsidR="00687ABD" w:rsidRPr="00687ABD" w14:paraId="2F79EAF2" w14:textId="77777777" w:rsidTr="009715E1">
        <w:tc>
          <w:tcPr>
            <w:tcW w:w="0" w:type="auto"/>
            <w:hideMark/>
          </w:tcPr>
          <w:p w14:paraId="0ED25ED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Subject qualifiers</w:t>
            </w:r>
          </w:p>
        </w:tc>
        <w:tc>
          <w:tcPr>
            <w:tcW w:w="0" w:type="auto"/>
            <w:hideMark/>
          </w:tcPr>
          <w:p w14:paraId="378CCBF9"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production; agronomy; climate resilience; nutritional composition; bioactive compounds; antinutritional factors; processing; biofortification; glycaemic index</w:t>
            </w:r>
          </w:p>
        </w:tc>
      </w:tr>
      <w:tr w:rsidR="00687ABD" w:rsidRPr="00687ABD" w14:paraId="24050E9F" w14:textId="77777777" w:rsidTr="009715E1">
        <w:tc>
          <w:tcPr>
            <w:tcW w:w="0" w:type="auto"/>
            <w:hideMark/>
          </w:tcPr>
          <w:p w14:paraId="7337176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Date range</w:t>
            </w:r>
          </w:p>
        </w:tc>
        <w:tc>
          <w:tcPr>
            <w:tcW w:w="0" w:type="auto"/>
            <w:hideMark/>
          </w:tcPr>
          <w:p w14:paraId="238AEF24"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January 2015 – April 2026</w:t>
            </w:r>
          </w:p>
        </w:tc>
      </w:tr>
      <w:tr w:rsidR="00687ABD" w:rsidRPr="00687ABD" w14:paraId="37D96458" w14:textId="77777777" w:rsidTr="009715E1">
        <w:tc>
          <w:tcPr>
            <w:tcW w:w="0" w:type="auto"/>
            <w:hideMark/>
          </w:tcPr>
          <w:p w14:paraId="710EBBBB"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Language</w:t>
            </w:r>
          </w:p>
        </w:tc>
        <w:tc>
          <w:tcPr>
            <w:tcW w:w="0" w:type="auto"/>
            <w:hideMark/>
          </w:tcPr>
          <w:p w14:paraId="5D44EA32"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English</w:t>
            </w:r>
          </w:p>
        </w:tc>
      </w:tr>
      <w:tr w:rsidR="00687ABD" w:rsidRPr="00687ABD" w14:paraId="3DB3019A" w14:textId="77777777" w:rsidTr="009715E1">
        <w:tc>
          <w:tcPr>
            <w:tcW w:w="0" w:type="auto"/>
            <w:hideMark/>
          </w:tcPr>
          <w:p w14:paraId="29EB5831"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Study types included</w:t>
            </w:r>
          </w:p>
        </w:tc>
        <w:tc>
          <w:tcPr>
            <w:tcW w:w="0" w:type="auto"/>
            <w:hideMark/>
          </w:tcPr>
          <w:p w14:paraId="44A30992"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Peer-reviewed original research and review articles; authoritative institutional reports</w:t>
            </w:r>
          </w:p>
        </w:tc>
      </w:tr>
      <w:tr w:rsidR="00687ABD" w:rsidRPr="00687ABD" w14:paraId="20E237A9" w14:textId="77777777" w:rsidTr="009715E1">
        <w:tc>
          <w:tcPr>
            <w:tcW w:w="0" w:type="auto"/>
            <w:hideMark/>
          </w:tcPr>
          <w:p w14:paraId="17514970"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Study types excluded</w:t>
            </w:r>
          </w:p>
        </w:tc>
        <w:tc>
          <w:tcPr>
            <w:tcW w:w="0" w:type="auto"/>
            <w:hideMark/>
          </w:tcPr>
          <w:p w14:paraId="247B150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Books, book chapters, grey literature, conference proceedings, preprints, patents, non-peer-reviewed sources</w:t>
            </w:r>
          </w:p>
        </w:tc>
      </w:tr>
      <w:tr w:rsidR="00687ABD" w:rsidRPr="00687ABD" w14:paraId="6CF718C5" w14:textId="77777777" w:rsidTr="009715E1">
        <w:tc>
          <w:tcPr>
            <w:tcW w:w="0" w:type="auto"/>
            <w:hideMark/>
          </w:tcPr>
          <w:p w14:paraId="217E15E1"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Screening approach</w:t>
            </w:r>
          </w:p>
        </w:tc>
        <w:tc>
          <w:tcPr>
            <w:tcW w:w="0" w:type="auto"/>
            <w:hideMark/>
          </w:tcPr>
          <w:p w14:paraId="7D1A172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Title/abstract screening followed by full-text assessment; duplicate removal via DOI matching; supplementary hand-searching of reference lists</w:t>
            </w:r>
          </w:p>
        </w:tc>
      </w:tr>
      <w:tr w:rsidR="00687ABD" w:rsidRPr="00687ABD" w14:paraId="4FA01C58" w14:textId="77777777" w:rsidTr="009715E1">
        <w:tc>
          <w:tcPr>
            <w:tcW w:w="0" w:type="auto"/>
            <w:hideMark/>
          </w:tcPr>
          <w:p w14:paraId="5E7E2318"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Review type</w:t>
            </w:r>
          </w:p>
        </w:tc>
        <w:tc>
          <w:tcPr>
            <w:tcW w:w="0" w:type="auto"/>
            <w:hideMark/>
          </w:tcPr>
          <w:p w14:paraId="28152E5B"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Narrative review</w:t>
            </w:r>
          </w:p>
        </w:tc>
      </w:tr>
    </w:tbl>
    <w:p w14:paraId="4C6C3A27"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Source: search strategy developed and applied by the authors for this review.</w:t>
      </w:r>
    </w:p>
    <w:p w14:paraId="6EFFD05E"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3. Global Production, Agronomy and Climate Resilience</w:t>
      </w:r>
    </w:p>
    <w:p w14:paraId="66E99D0F"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3.1 Production trends and geographic distribution</w:t>
      </w:r>
    </w:p>
    <w:p w14:paraId="2B3B2C7B"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cultivated on approximately 30 million hectares worldwide, concentrated overwhelmingly in the semi-arid tropical belts of sub-Saharan Africa and the Indian subcontinent, where it accounts for roughly half of total global millet output (Satyavathi et al., 2021). Africa contributes around 60 per cent of the world's pearl millet cultivated area and Asia a further 35 per cent, a division that reflects the crop's dual centres of gravity: the West and Central African Sahel on one side, and the semi-arid plains of north-western India on the other (Satyavathi et al., 2021). Within Africa, the West and Central African region alone accounts for approximately 95 per cent of the continent's pearl millet area, spread across an estimated 18.5 million hectares in 28 countries and yielding around 11.4 million tonnes annually. Nigeria is the largest single contributor to this regional output, producing roughly 41 per cent of West African pearl millet, followed by Niger with approximately 16 per cent, Burkina Faso with about 7 per cent, and Mali, Senegal and Sudan each contributing between 5 and 6 per cent (Satyavathi et al., 2021). East and Southern Africa, encompassing Sudan, Ethiopia and Tanzania, forms the second major African production zone, though at a considerably smaller scale than the Sahelian belt. Average yields across West African producing countries remain well below one tonne per hectare, a pattern attributable to reliance on rainfed cultivation, minimal fertiliser use, low adoption of improved varieties and cultivation on progressively more marginal land as population pressure shortens fallow periods (Satyavathi et al., 2021). Year-to-year production in the region is also markedly unstable; national output in countries such as Niger, Nigeria and Sudan has fluctuated by twenty to forty per cent between consecutive seasons in response to rainfall variability, conflict-related disruption to farming activity, and pest pressure, underscoring the vulnerability of pearl millet-dependent food systems in the Sahel even though the crop itself is comparatively drought-hardy.</w:t>
      </w:r>
    </w:p>
    <w:p w14:paraId="182630F8"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India remains the single largest national producer of pearl millet in absolute terms and the dominant force in Asian output. During the early 2010s the crop occupied an average of 8.5 </w:t>
      </w:r>
      <w:r w:rsidRPr="00687ABD">
        <w:rPr>
          <w:rFonts w:ascii="Times New Roman" w:eastAsia="Times New Roman" w:hAnsi="Times New Roman" w:cs="Times New Roman"/>
          <w:sz w:val="24"/>
          <w:szCs w:val="24"/>
          <w:lang w:eastAsia="en-GB"/>
        </w:rPr>
        <w:lastRenderedPageBreak/>
        <w:t>million hectares nationally with average annual production close to 9.4 million tonnes, and cultivation is heavily concentrated in six states, Rajasthan, Uttar Pradesh, Haryana, Gujarat, Maharashtra and Tamil Nadu, which together account for the overwhelming majority of national output (Satyavathi et al., 2021). Rajasthan alone contributes the largest single share, with production levels several times greater than any other state, followed at a considerable distance by Uttar Pradesh, Haryana, Gujarat, Maharashtra and Tamil Nadu (Satyavathi et al., 2021). More recent economic analysis using household consumption expenditure survey data confirms that Rajasthan, Maharashtra and Gujarat collectively account for the great majority of pearl millet cultivation and household consumption within India, and that this concentration has persisted even as national dietary patterns have shifted markedly away from coarse cereals over the past five decades (Ansari et al., 2025). Longitudinal analysis of national statistics shows that Indian pearl millet yields rose steadily from around 400 kilograms per hectare in the late 1970s to roughly 1200 kilograms per hectare by the late 2010s, a threefold productivity gain attributable primarily to the widespread adoption of hybrid cultivars and improved agronomic practice, even as the total area sown to the crop contracted from around 11 million hectares to approximately 8 million hectares over the same period (Ansari et al., 2025). This combination of a shrinking cultivated area and rising yield has kept national production broadly stable, although it has occurred alongside a pronounced decline in direct household food consumption of pearl millet, which fell by roughly forty per cent between the early 1980s and the early 2020s even as total grain supply expanded, a divergence linked to rising incomes, urbanisation, wider availability of subsidised rice and wheat through the public distribution system, and a growing share of the crop being diverted to livestock feed and industrial value-added products rather than direct household consumption (Ansari et al., 2025). Outside India, Asian production is comparatively minor, with China, Myanmar, Nepal and Pakistan contributing smaller and generally declining quantities, reflecting the historical concentration of Asian millet breeding and extension effort on India in particular.</w:t>
      </w:r>
    </w:p>
    <w:p w14:paraId="0C315C1C"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Despite its agronomic and nutritional importance, pearl millet has historically been categorised by international agricultural statistical agencies together with other minor millets, a practice that obscures crop-specific production trends and constrains the precision of global market analysis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Global commercial interest in pearl millet and related millet species has expanded markedly since the International Year of Millets, with market analyses indicating substantial projected growth in the millet-based snack and packaged food sectors over the remainder of the decade, driven by consumer demand for gluten-free, high-fibre and low glycaemic index products (Muskan et al., 2025). Nonetheless, structural constraints, including fragmented supply chains, limited processing infrastructure, inconsistent quality standards and comparatively underdeveloped market access, continue to restrict the pace at which this demand growth translates into expanded cultivated area and farmer income, a constraint that appears especially binding in the smallholder-dominated production systems of the West African Sahel and in the many Indian states where pearl millet remains a marginal rather than commercially oriented crop (Muskan et al., 2025).</w:t>
      </w:r>
    </w:p>
    <w:p w14:paraId="5CA7529F"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3.2 Climate resilience and abiotic stress tolerance</w:t>
      </w:r>
    </w:p>
    <w:p w14:paraId="1A197D4C"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The agronomic resilience of pearl millet under heat and water deficit is one of the principal attributes underpinning its continued relevance to global food security under a changing climate. The crop can sustain grain production in environments receiving as little as 250 to 300 millimetres of annual rainfall and tolerates air temperatures exceeding 42 degrees Celsius during critical growth stages, conditions under which most other major cereals would fail to </w:t>
      </w:r>
      <w:r w:rsidRPr="00687ABD">
        <w:rPr>
          <w:rFonts w:ascii="Times New Roman" w:eastAsia="Times New Roman" w:hAnsi="Times New Roman" w:cs="Times New Roman"/>
          <w:sz w:val="24"/>
          <w:szCs w:val="24"/>
          <w:lang w:eastAsia="en-GB"/>
        </w:rPr>
        <w:lastRenderedPageBreak/>
        <w:t>produce an economic yield (Chaturvedi et al., 2022). Drought tolerance in pearl millet is achieved through a combination of short-term physiological adjustments, including osmotic adjustment, stomatal regulation and reactive oxygen species scavenging, and longer-term developmental plasticity in tillering, root architecture and flowering time that allows the plant to avoid, escape or recover from periods of water deficit (Shrestha et al., 2023). Transcriptomic analyses have identified substantial numbers of differentially expressed genes associated with drought response at the seedling and reproductive stages, with the magnitude of transcriptional reprogramming increasing markedly with the duration of water stress exposure, providing a molecular basis for the phenotypic resilience observed under field conditions (Shrestha et al., 2023).</w:t>
      </w:r>
    </w:p>
    <w:p w14:paraId="5EE896C9"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Heat tolerance in pearl millet has similarly been linked to specific genomic features. Pan-genomic and multi-</w:t>
      </w:r>
      <w:proofErr w:type="spellStart"/>
      <w:r w:rsidRPr="00687ABD">
        <w:rPr>
          <w:rFonts w:ascii="Times New Roman" w:eastAsia="Times New Roman" w:hAnsi="Times New Roman" w:cs="Times New Roman"/>
          <w:sz w:val="24"/>
          <w:szCs w:val="24"/>
          <w:lang w:eastAsia="en-GB"/>
        </w:rPr>
        <w:t>omic</w:t>
      </w:r>
      <w:proofErr w:type="spellEnd"/>
      <w:r w:rsidRPr="00687ABD">
        <w:rPr>
          <w:rFonts w:ascii="Times New Roman" w:eastAsia="Times New Roman" w:hAnsi="Times New Roman" w:cs="Times New Roman"/>
          <w:sz w:val="24"/>
          <w:szCs w:val="24"/>
          <w:lang w:eastAsia="en-GB"/>
        </w:rPr>
        <w:t xml:space="preserve"> analyses have identified structural variants and RWP-RK family transcription factors that interact with endoplasmic reticulum-associated genes to confer thermotolerance, findings that have advanced understanding of the genetic basis for the crop's capacity to thrive under extreme heat and have generated molecular resources for marker-assisted breeding of heat-tolerant cultivars (Chaturvedi et al., 2023). These physiological and genomic characteristics collectively explain why pearl millet is increasingly promoted as a strategic component of climate-adaptive cropping systems in regions where the reliability of wheat, rice and maize production is expected to decline under projected climate scenarios.</w:t>
      </w:r>
    </w:p>
    <w:p w14:paraId="1BED967B"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3.3 Genetic improvement and biofortification</w:t>
      </w:r>
    </w:p>
    <w:p w14:paraId="04B2B106"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Substantial breeding effort over the past two decades has been directed at improving the micronutrient density of pearl millet grain, particularly iron and zinc, in response to the high prevalence of micronutrient malnutrition, sometimes termed hidden hunger, across the semi-arid tropical regions where the crop is most widely consumed (Satyavathi et al., 2021). This effort has been coordinated substantially through the </w:t>
      </w:r>
      <w:proofErr w:type="spellStart"/>
      <w:r w:rsidRPr="00687ABD">
        <w:rPr>
          <w:rFonts w:ascii="Times New Roman" w:eastAsia="Times New Roman" w:hAnsi="Times New Roman" w:cs="Times New Roman"/>
          <w:sz w:val="24"/>
          <w:szCs w:val="24"/>
          <w:lang w:eastAsia="en-GB"/>
        </w:rPr>
        <w:t>HarvestPlus</w:t>
      </w:r>
      <w:proofErr w:type="spellEnd"/>
      <w:r w:rsidRPr="00687ABD">
        <w:rPr>
          <w:rFonts w:ascii="Times New Roman" w:eastAsia="Times New Roman" w:hAnsi="Times New Roman" w:cs="Times New Roman"/>
          <w:sz w:val="24"/>
          <w:szCs w:val="24"/>
          <w:lang w:eastAsia="en-GB"/>
        </w:rPr>
        <w:t xml:space="preserve"> biofortification programme in association with the International Crops Research Institute for the Semi-Arid Tropics, which released the first officially registered biofortified pearl millet cultivar, ICTP 8203Fe, in 2013, combining elevated grain iron density with acceptable agronomic performance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Genome-wide association studies conducted on diverse panels of advanced inbred lines have identified numerous marker-trait associations for grain iron, zinc and protein content, with substantial phenotypic variability observed across germplasm: iron concentrations range from approximately 32 to 120 milligrams per kilogram and zinc concentrations from approximately 19 to 87 milligrams per kilogram, alongside a significant positive correlation between iron and zinc density that facilitates simultaneous genetic improvement of both traits (Pujar et al., 2020). Generation mean analysis of biparental crosses has further clarified the genetic architecture underlying these traits, indicating a predominance of additive and dominant gene action alongside non-allelic interactions for grain iron and zinc content and for associated agronomic traits such as spike length and thousand-seed weight, information with direct application in the design of breeding strategies for biofortified cultivar development (Pujar et al., 2022). Complementary transcriptomic work has identified differentially expressed genes involved in mineral uptake and transport pathways, including the </w:t>
      </w:r>
      <w:proofErr w:type="spellStart"/>
      <w:r w:rsidRPr="00687ABD">
        <w:rPr>
          <w:rFonts w:ascii="Times New Roman" w:eastAsia="Times New Roman" w:hAnsi="Times New Roman" w:cs="Times New Roman"/>
          <w:sz w:val="24"/>
          <w:szCs w:val="24"/>
          <w:lang w:eastAsia="en-GB"/>
        </w:rPr>
        <w:t>mugineic</w:t>
      </w:r>
      <w:proofErr w:type="spellEnd"/>
      <w:r w:rsidRPr="00687ABD">
        <w:rPr>
          <w:rFonts w:ascii="Times New Roman" w:eastAsia="Times New Roman" w:hAnsi="Times New Roman" w:cs="Times New Roman"/>
          <w:sz w:val="24"/>
          <w:szCs w:val="24"/>
          <w:lang w:eastAsia="en-GB"/>
        </w:rPr>
        <w:t xml:space="preserve"> acid pathway, under conditions of iron and zinc deficiency, offering additional molecular targets for future biofortification breeding (Goud et al., 2022). Broader characterisation of the pearl millet core collection has confirmed extensive genetic diversity for grain nutritional traits across the wider germplasm pool, giving breeders a substantial reservoir of variation from which to select parental material for future cultivar </w:t>
      </w:r>
      <w:r w:rsidRPr="00687ABD">
        <w:rPr>
          <w:rFonts w:ascii="Times New Roman" w:eastAsia="Times New Roman" w:hAnsi="Times New Roman" w:cs="Times New Roman"/>
          <w:sz w:val="24"/>
          <w:szCs w:val="24"/>
          <w:lang w:eastAsia="en-GB"/>
        </w:rPr>
        <w:lastRenderedPageBreak/>
        <w:t>development (Govindaraj et al., 2020). These agronomic and genetic characteristics are summarised in Table 2.</w:t>
      </w:r>
    </w:p>
    <w:p w14:paraId="563DD978"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2. Selected agronomic and genetic characteristics of pearl millet relevant to climate resilience and biofortification</w:t>
      </w:r>
    </w:p>
    <w:tbl>
      <w:tblPr>
        <w:tblStyle w:val="TableGrid"/>
        <w:tblW w:w="0" w:type="auto"/>
        <w:tblLook w:val="04A0" w:firstRow="1" w:lastRow="0" w:firstColumn="1" w:lastColumn="0" w:noHBand="0" w:noVBand="1"/>
      </w:tblPr>
      <w:tblGrid>
        <w:gridCol w:w="5064"/>
        <w:gridCol w:w="4178"/>
      </w:tblGrid>
      <w:tr w:rsidR="00687ABD" w:rsidRPr="00687ABD" w14:paraId="1996D932" w14:textId="77777777" w:rsidTr="009715E1">
        <w:tc>
          <w:tcPr>
            <w:tcW w:w="0" w:type="auto"/>
            <w:hideMark/>
          </w:tcPr>
          <w:p w14:paraId="1DCCA378"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Attribute</w:t>
            </w:r>
          </w:p>
        </w:tc>
        <w:tc>
          <w:tcPr>
            <w:tcW w:w="0" w:type="auto"/>
            <w:hideMark/>
          </w:tcPr>
          <w:p w14:paraId="4EA7E206"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Reported value or characteristic</w:t>
            </w:r>
          </w:p>
        </w:tc>
      </w:tr>
      <w:tr w:rsidR="00687ABD" w:rsidRPr="00687ABD" w14:paraId="7A4AF377" w14:textId="77777777" w:rsidTr="009715E1">
        <w:tc>
          <w:tcPr>
            <w:tcW w:w="0" w:type="auto"/>
            <w:hideMark/>
          </w:tcPr>
          <w:p w14:paraId="4B1724E9"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Global cultivated area</w:t>
            </w:r>
          </w:p>
        </w:tc>
        <w:tc>
          <w:tcPr>
            <w:tcW w:w="0" w:type="auto"/>
            <w:hideMark/>
          </w:tcPr>
          <w:p w14:paraId="51EFDF00"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30–31 million hectares</w:t>
            </w:r>
          </w:p>
        </w:tc>
      </w:tr>
      <w:tr w:rsidR="00687ABD" w:rsidRPr="00687ABD" w14:paraId="33672109" w14:textId="77777777" w:rsidTr="009715E1">
        <w:tc>
          <w:tcPr>
            <w:tcW w:w="0" w:type="auto"/>
            <w:hideMark/>
          </w:tcPr>
          <w:p w14:paraId="286B0EB9"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Share of global millet production</w:t>
            </w:r>
          </w:p>
        </w:tc>
        <w:tc>
          <w:tcPr>
            <w:tcW w:w="0" w:type="auto"/>
            <w:hideMark/>
          </w:tcPr>
          <w:p w14:paraId="2E2097A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half of total global millet output</w:t>
            </w:r>
          </w:p>
        </w:tc>
      </w:tr>
      <w:tr w:rsidR="00687ABD" w:rsidRPr="00687ABD" w14:paraId="32BEF7E4" w14:textId="77777777" w:rsidTr="009715E1">
        <w:tc>
          <w:tcPr>
            <w:tcW w:w="0" w:type="auto"/>
            <w:hideMark/>
          </w:tcPr>
          <w:p w14:paraId="166B2CA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West and Central African share of African pearl millet area</w:t>
            </w:r>
          </w:p>
        </w:tc>
        <w:tc>
          <w:tcPr>
            <w:tcW w:w="0" w:type="auto"/>
            <w:hideMark/>
          </w:tcPr>
          <w:p w14:paraId="289D39CB"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95 per cent</w:t>
            </w:r>
          </w:p>
        </w:tc>
      </w:tr>
      <w:tr w:rsidR="00687ABD" w:rsidRPr="00687ABD" w14:paraId="2294093B" w14:textId="77777777" w:rsidTr="009715E1">
        <w:tc>
          <w:tcPr>
            <w:tcW w:w="0" w:type="auto"/>
            <w:hideMark/>
          </w:tcPr>
          <w:p w14:paraId="6338A2D1"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Leading African producer</w:t>
            </w:r>
          </w:p>
        </w:tc>
        <w:tc>
          <w:tcPr>
            <w:tcW w:w="0" w:type="auto"/>
            <w:hideMark/>
          </w:tcPr>
          <w:p w14:paraId="0ECB269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Nigeria (~41 per cent of West African output)</w:t>
            </w:r>
          </w:p>
        </w:tc>
      </w:tr>
      <w:tr w:rsidR="00687ABD" w:rsidRPr="00687ABD" w14:paraId="35165B56" w14:textId="77777777" w:rsidTr="009715E1">
        <w:tc>
          <w:tcPr>
            <w:tcW w:w="0" w:type="auto"/>
            <w:hideMark/>
          </w:tcPr>
          <w:p w14:paraId="2432F3E0"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Leading global national producer</w:t>
            </w:r>
          </w:p>
        </w:tc>
        <w:tc>
          <w:tcPr>
            <w:tcW w:w="0" w:type="auto"/>
            <w:hideMark/>
          </w:tcPr>
          <w:p w14:paraId="51C2B13D"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India (largest cultivated area and total output)</w:t>
            </w:r>
          </w:p>
        </w:tc>
      </w:tr>
      <w:tr w:rsidR="00687ABD" w:rsidRPr="00687ABD" w14:paraId="6A30FECD" w14:textId="77777777" w:rsidTr="009715E1">
        <w:tc>
          <w:tcPr>
            <w:tcW w:w="0" w:type="auto"/>
            <w:hideMark/>
          </w:tcPr>
          <w:p w14:paraId="35BAB47B"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Minimum viable annual rainfall</w:t>
            </w:r>
          </w:p>
        </w:tc>
        <w:tc>
          <w:tcPr>
            <w:tcW w:w="0" w:type="auto"/>
            <w:hideMark/>
          </w:tcPr>
          <w:p w14:paraId="56AA9C0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250–300 mm</w:t>
            </w:r>
          </w:p>
        </w:tc>
      </w:tr>
      <w:tr w:rsidR="00687ABD" w:rsidRPr="00687ABD" w14:paraId="3E9BFCEB" w14:textId="77777777" w:rsidTr="009715E1">
        <w:tc>
          <w:tcPr>
            <w:tcW w:w="0" w:type="auto"/>
            <w:hideMark/>
          </w:tcPr>
          <w:p w14:paraId="74ABF023"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Maximum tolerated air temperature</w:t>
            </w:r>
          </w:p>
        </w:tc>
        <w:tc>
          <w:tcPr>
            <w:tcW w:w="0" w:type="auto"/>
            <w:hideMark/>
          </w:tcPr>
          <w:p w14:paraId="03285D9D"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Up to approximately 42 °C</w:t>
            </w:r>
          </w:p>
        </w:tc>
      </w:tr>
      <w:tr w:rsidR="00687ABD" w:rsidRPr="00687ABD" w14:paraId="5C278B9D" w14:textId="77777777" w:rsidTr="009715E1">
        <w:tc>
          <w:tcPr>
            <w:tcW w:w="0" w:type="auto"/>
            <w:hideMark/>
          </w:tcPr>
          <w:p w14:paraId="014295A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Photosynthetic pathway</w:t>
            </w:r>
          </w:p>
        </w:tc>
        <w:tc>
          <w:tcPr>
            <w:tcW w:w="0" w:type="auto"/>
            <w:hideMark/>
          </w:tcPr>
          <w:p w14:paraId="7273B65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C4</w:t>
            </w:r>
          </w:p>
        </w:tc>
      </w:tr>
      <w:tr w:rsidR="00687ABD" w:rsidRPr="00687ABD" w14:paraId="2B5B25C8" w14:textId="77777777" w:rsidTr="009715E1">
        <w:tc>
          <w:tcPr>
            <w:tcW w:w="0" w:type="auto"/>
            <w:hideMark/>
          </w:tcPr>
          <w:p w14:paraId="7423E138"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Grain iron content range (germplasm panel)</w:t>
            </w:r>
          </w:p>
        </w:tc>
        <w:tc>
          <w:tcPr>
            <w:tcW w:w="0" w:type="auto"/>
            <w:hideMark/>
          </w:tcPr>
          <w:p w14:paraId="1F8423B9"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32–120 mg kg⁻¹</w:t>
            </w:r>
          </w:p>
        </w:tc>
      </w:tr>
      <w:tr w:rsidR="00687ABD" w:rsidRPr="00687ABD" w14:paraId="5C6B6BB2" w14:textId="77777777" w:rsidTr="009715E1">
        <w:tc>
          <w:tcPr>
            <w:tcW w:w="0" w:type="auto"/>
            <w:hideMark/>
          </w:tcPr>
          <w:p w14:paraId="62C53EA0"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Grain zinc content range (germplasm panel)</w:t>
            </w:r>
          </w:p>
        </w:tc>
        <w:tc>
          <w:tcPr>
            <w:tcW w:w="0" w:type="auto"/>
            <w:hideMark/>
          </w:tcPr>
          <w:p w14:paraId="4400593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19–87 mg kg⁻¹</w:t>
            </w:r>
          </w:p>
        </w:tc>
      </w:tr>
      <w:tr w:rsidR="00687ABD" w:rsidRPr="00687ABD" w14:paraId="68E7B8A8" w14:textId="77777777" w:rsidTr="009715E1">
        <w:tc>
          <w:tcPr>
            <w:tcW w:w="0" w:type="auto"/>
            <w:hideMark/>
          </w:tcPr>
          <w:p w14:paraId="200F67E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First officially released biofortified cultivar</w:t>
            </w:r>
          </w:p>
        </w:tc>
        <w:tc>
          <w:tcPr>
            <w:tcW w:w="0" w:type="auto"/>
            <w:hideMark/>
          </w:tcPr>
          <w:p w14:paraId="0A11D36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ICTP 8203Fe (India, 2013)</w:t>
            </w:r>
          </w:p>
        </w:tc>
      </w:tr>
    </w:tbl>
    <w:p w14:paraId="1CA4059C"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Ansari et al. (2025); </w:t>
      </w:r>
      <w:proofErr w:type="spellStart"/>
      <w:r w:rsidRPr="00687ABD">
        <w:rPr>
          <w:rFonts w:ascii="Times New Roman" w:eastAsia="Times New Roman" w:hAnsi="Times New Roman" w:cs="Times New Roman"/>
          <w:i/>
          <w:iCs/>
          <w:sz w:val="24"/>
          <w:szCs w:val="24"/>
          <w:lang w:eastAsia="en-GB"/>
        </w:rPr>
        <w:t>Boncompagni</w:t>
      </w:r>
      <w:proofErr w:type="spellEnd"/>
      <w:r w:rsidRPr="00687ABD">
        <w:rPr>
          <w:rFonts w:ascii="Times New Roman" w:eastAsia="Times New Roman" w:hAnsi="Times New Roman" w:cs="Times New Roman"/>
          <w:i/>
          <w:iCs/>
          <w:sz w:val="24"/>
          <w:szCs w:val="24"/>
          <w:lang w:eastAsia="en-GB"/>
        </w:rPr>
        <w:t xml:space="preserve"> et al. (2018); Chaturvedi et al. (2022); Pujar et al. (2020); Satyavathi et al. (2021); Shrestha et al. (2023).</w:t>
      </w:r>
    </w:p>
    <w:p w14:paraId="5B77FFD2"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4. Nutritional Composition of Pearl Millet Grain</w:t>
      </w:r>
    </w:p>
    <w:p w14:paraId="259E0670"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4.1 Macronutrient composition</w:t>
      </w:r>
    </w:p>
    <w:p w14:paraId="3A69C6C9"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Pearl millet grain provides a macronutrient profile that compares favourably with, and in several respects exceeds, that of the major </w:t>
      </w:r>
      <w:proofErr w:type="gramStart"/>
      <w:r w:rsidRPr="00687ABD">
        <w:rPr>
          <w:rFonts w:ascii="Times New Roman" w:eastAsia="Times New Roman" w:hAnsi="Times New Roman" w:cs="Times New Roman"/>
          <w:sz w:val="24"/>
          <w:szCs w:val="24"/>
          <w:lang w:eastAsia="en-GB"/>
        </w:rPr>
        <w:t>cereals</w:t>
      </w:r>
      <w:proofErr w:type="gramEnd"/>
      <w:r w:rsidRPr="00687ABD">
        <w:rPr>
          <w:rFonts w:ascii="Times New Roman" w:eastAsia="Times New Roman" w:hAnsi="Times New Roman" w:cs="Times New Roman"/>
          <w:sz w:val="24"/>
          <w:szCs w:val="24"/>
          <w:lang w:eastAsia="en-GB"/>
        </w:rPr>
        <w:t xml:space="preserve"> wheat, rice and maize. The grain typically contains around 11 to 14 grams of protein per 100 grams on a dry weight basis, generally higher than milled rice and comparable to or exceeding whole wheat, and its protein fraction contains a relatively favourable profile of essential amino acids including lysine and threonine, although, in common with other cereals, it remains limited in lysine relative to animal protein sources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Starch is the dominant carbohydrate fraction of the grain, typically ranging from approximately 63 to 71 per cent of dry matter depending on genotype and growing environment, with amylose contributing approximately 22 to 29 per cent of total starch and soluble sugars a further 1 to 3 per cent (Hassan et al., 2021). Crude fat content, at approximately 5 to 8 per cent of dry matter, is markedly higher than in most other cereals, a characteristic that confers a favourable energy density but simultaneously renders the grain particularly susceptible to lipid oxidation and rancidity following milling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Dietary fibre content, encompassing both soluble and insoluble fractions, is likewise higher than in polished rice and comparable to whole wheat, contributing to the grain's favourable glycaemic properties discussed in Section 5.</w:t>
      </w:r>
    </w:p>
    <w:p w14:paraId="06FBED88"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4.2 Micronutrient composition</w:t>
      </w:r>
    </w:p>
    <w:p w14:paraId="09D42C16"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Pearl millet is particularly notable among cereals for its mineral density, with iron content typically in the range of 5 to 8 milligrams per 100 grams, substantially exceeding that of milled rice and refined wheat flour, and zinc content likewise elevated relative to most staple cereals (Jacob et al., 2024). The grain additionally supplies appreciable magnesium, potassium and phosphorus, alongside moderate calcium content, although finger millet remains the superior cereal source of calcium among the millet species (Jacob et al., 2024). B-group vitamins, including thiamine, riboflavin and niacin, are present in nutritionally relevant quantities, contributing to overall micronutrient intake in populations where pearl millet constitutes a substantial proportion of daily energy consumption.</w:t>
      </w:r>
    </w:p>
    <w:p w14:paraId="2BAC0BE1"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4.3 Comparative nutritional position relative to major cereals</w:t>
      </w:r>
    </w:p>
    <w:p w14:paraId="02507FF3" w14:textId="78F30ABE"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Benchmarked directly against wheat and rice, pearl millet demonstrates a broadly favourable nutritional position, combining higher protein, fat, fibre and mineral density with a comparable energy value per unit weight (Latha Ravi &amp; Rana, 2024). This comparative advantage, together with the grain's naturally gluten-free status, underpins its growing recognition as a functional food ingredient suitable for both traditional subsistence diets in producing regions and specialised dietary applications in higher-income consumer markets (</w:t>
      </w:r>
      <w:r w:rsidR="00AE20AA" w:rsidRPr="00AE20AA">
        <w:rPr>
          <w:rFonts w:ascii="Times New Roman" w:eastAsia="Times New Roman" w:hAnsi="Times New Roman" w:cs="Times New Roman"/>
          <w:sz w:val="24"/>
          <w:szCs w:val="24"/>
          <w:lang w:eastAsia="en-GB"/>
        </w:rPr>
        <w:t>Kumari</w:t>
      </w:r>
      <w:r w:rsidRPr="00687ABD">
        <w:rPr>
          <w:rFonts w:ascii="Times New Roman" w:eastAsia="Times New Roman" w:hAnsi="Times New Roman" w:cs="Times New Roman"/>
          <w:sz w:val="24"/>
          <w:szCs w:val="24"/>
          <w:lang w:eastAsia="en-GB"/>
        </w:rPr>
        <w:t xml:space="preserve"> et al., 2025). Table 3 places these values against wheat and rice for direct comparison.</w:t>
      </w:r>
    </w:p>
    <w:p w14:paraId="65492C25"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3. Comparative macronutrient composition of pearl millet and selected reference cereals (approximate values per 100 g, dry matter basis)</w:t>
      </w:r>
    </w:p>
    <w:tbl>
      <w:tblPr>
        <w:tblStyle w:val="TableGrid"/>
        <w:tblW w:w="0" w:type="auto"/>
        <w:tblLook w:val="04A0" w:firstRow="1" w:lastRow="0" w:firstColumn="1" w:lastColumn="0" w:noHBand="0" w:noVBand="1"/>
      </w:tblPr>
      <w:tblGrid>
        <w:gridCol w:w="2502"/>
        <w:gridCol w:w="1426"/>
        <w:gridCol w:w="1556"/>
        <w:gridCol w:w="1329"/>
      </w:tblGrid>
      <w:tr w:rsidR="00687ABD" w:rsidRPr="00687ABD" w14:paraId="2092F2BC" w14:textId="77777777" w:rsidTr="009715E1">
        <w:tc>
          <w:tcPr>
            <w:tcW w:w="0" w:type="auto"/>
            <w:hideMark/>
          </w:tcPr>
          <w:p w14:paraId="432F815A"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Component</w:t>
            </w:r>
          </w:p>
        </w:tc>
        <w:tc>
          <w:tcPr>
            <w:tcW w:w="0" w:type="auto"/>
            <w:hideMark/>
          </w:tcPr>
          <w:p w14:paraId="1082387C"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Pearl millet</w:t>
            </w:r>
          </w:p>
        </w:tc>
        <w:tc>
          <w:tcPr>
            <w:tcW w:w="0" w:type="auto"/>
            <w:hideMark/>
          </w:tcPr>
          <w:p w14:paraId="6EBD97E7"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Whole wheat</w:t>
            </w:r>
          </w:p>
        </w:tc>
        <w:tc>
          <w:tcPr>
            <w:tcW w:w="0" w:type="auto"/>
            <w:hideMark/>
          </w:tcPr>
          <w:p w14:paraId="7A797539"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Milled rice</w:t>
            </w:r>
          </w:p>
        </w:tc>
      </w:tr>
      <w:tr w:rsidR="00687ABD" w:rsidRPr="00687ABD" w14:paraId="44041E84" w14:textId="77777777" w:rsidTr="009715E1">
        <w:tc>
          <w:tcPr>
            <w:tcW w:w="0" w:type="auto"/>
            <w:hideMark/>
          </w:tcPr>
          <w:p w14:paraId="4076E6D8"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Protein (g)</w:t>
            </w:r>
          </w:p>
        </w:tc>
        <w:tc>
          <w:tcPr>
            <w:tcW w:w="0" w:type="auto"/>
            <w:hideMark/>
          </w:tcPr>
          <w:p w14:paraId="2C82D06D"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11.6–14.2</w:t>
            </w:r>
          </w:p>
        </w:tc>
        <w:tc>
          <w:tcPr>
            <w:tcW w:w="0" w:type="auto"/>
            <w:hideMark/>
          </w:tcPr>
          <w:p w14:paraId="3182A4E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10.6–11.2</w:t>
            </w:r>
          </w:p>
        </w:tc>
        <w:tc>
          <w:tcPr>
            <w:tcW w:w="0" w:type="auto"/>
            <w:hideMark/>
          </w:tcPr>
          <w:p w14:paraId="7BFD6B23"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7.9–9.9</w:t>
            </w:r>
          </w:p>
        </w:tc>
      </w:tr>
      <w:tr w:rsidR="00687ABD" w:rsidRPr="00687ABD" w14:paraId="023DFDF8" w14:textId="77777777" w:rsidTr="009715E1">
        <w:tc>
          <w:tcPr>
            <w:tcW w:w="0" w:type="auto"/>
            <w:hideMark/>
          </w:tcPr>
          <w:p w14:paraId="6D13911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Fat (g)</w:t>
            </w:r>
          </w:p>
        </w:tc>
        <w:tc>
          <w:tcPr>
            <w:tcW w:w="0" w:type="auto"/>
            <w:hideMark/>
          </w:tcPr>
          <w:p w14:paraId="22B1B862"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5.4–7.8</w:t>
            </w:r>
          </w:p>
        </w:tc>
        <w:tc>
          <w:tcPr>
            <w:tcW w:w="0" w:type="auto"/>
            <w:hideMark/>
          </w:tcPr>
          <w:p w14:paraId="16FB54DB"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1.4–1.5</w:t>
            </w:r>
          </w:p>
        </w:tc>
        <w:tc>
          <w:tcPr>
            <w:tcW w:w="0" w:type="auto"/>
            <w:hideMark/>
          </w:tcPr>
          <w:p w14:paraId="42F31373"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0.5–0.6</w:t>
            </w:r>
          </w:p>
        </w:tc>
      </w:tr>
      <w:tr w:rsidR="00687ABD" w:rsidRPr="00687ABD" w14:paraId="1D488C08" w14:textId="77777777" w:rsidTr="009715E1">
        <w:tc>
          <w:tcPr>
            <w:tcW w:w="0" w:type="auto"/>
            <w:hideMark/>
          </w:tcPr>
          <w:p w14:paraId="1F44C8B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Crude fibre (g)</w:t>
            </w:r>
          </w:p>
        </w:tc>
        <w:tc>
          <w:tcPr>
            <w:tcW w:w="0" w:type="auto"/>
            <w:hideMark/>
          </w:tcPr>
          <w:p w14:paraId="2CD5FCF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2.6–2.8</w:t>
            </w:r>
          </w:p>
        </w:tc>
        <w:tc>
          <w:tcPr>
            <w:tcW w:w="0" w:type="auto"/>
            <w:hideMark/>
          </w:tcPr>
          <w:p w14:paraId="2856555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1.5–2.6</w:t>
            </w:r>
          </w:p>
        </w:tc>
        <w:tc>
          <w:tcPr>
            <w:tcW w:w="0" w:type="auto"/>
            <w:hideMark/>
          </w:tcPr>
          <w:p w14:paraId="1314BAA2"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0.5–2.8</w:t>
            </w:r>
          </w:p>
        </w:tc>
      </w:tr>
      <w:tr w:rsidR="00687ABD" w:rsidRPr="00687ABD" w14:paraId="5784C1EF" w14:textId="77777777" w:rsidTr="009715E1">
        <w:tc>
          <w:tcPr>
            <w:tcW w:w="0" w:type="auto"/>
            <w:hideMark/>
          </w:tcPr>
          <w:p w14:paraId="0330C4B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Carbohydrate/starch (g)</w:t>
            </w:r>
          </w:p>
        </w:tc>
        <w:tc>
          <w:tcPr>
            <w:tcW w:w="0" w:type="auto"/>
            <w:hideMark/>
          </w:tcPr>
          <w:p w14:paraId="00F7174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63.2–70.5</w:t>
            </w:r>
          </w:p>
        </w:tc>
        <w:tc>
          <w:tcPr>
            <w:tcW w:w="0" w:type="auto"/>
            <w:hideMark/>
          </w:tcPr>
          <w:p w14:paraId="2244586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64.7</w:t>
            </w:r>
          </w:p>
        </w:tc>
        <w:tc>
          <w:tcPr>
            <w:tcW w:w="0" w:type="auto"/>
            <w:hideMark/>
          </w:tcPr>
          <w:p w14:paraId="330164CC"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78.2</w:t>
            </w:r>
          </w:p>
        </w:tc>
      </w:tr>
      <w:tr w:rsidR="00687ABD" w:rsidRPr="00687ABD" w14:paraId="4AA11209" w14:textId="77777777" w:rsidTr="009715E1">
        <w:tc>
          <w:tcPr>
            <w:tcW w:w="0" w:type="auto"/>
            <w:hideMark/>
          </w:tcPr>
          <w:p w14:paraId="1B10CB8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Energy (kJ)</w:t>
            </w:r>
          </w:p>
        </w:tc>
        <w:tc>
          <w:tcPr>
            <w:tcW w:w="0" w:type="auto"/>
            <w:hideMark/>
          </w:tcPr>
          <w:p w14:paraId="6E5C9FCE"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~1440–1470</w:t>
            </w:r>
          </w:p>
        </w:tc>
        <w:tc>
          <w:tcPr>
            <w:tcW w:w="0" w:type="auto"/>
            <w:hideMark/>
          </w:tcPr>
          <w:p w14:paraId="726B90A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~1347</w:t>
            </w:r>
          </w:p>
        </w:tc>
        <w:tc>
          <w:tcPr>
            <w:tcW w:w="0" w:type="auto"/>
            <w:hideMark/>
          </w:tcPr>
          <w:p w14:paraId="23994963"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~1491</w:t>
            </w:r>
          </w:p>
        </w:tc>
      </w:tr>
    </w:tbl>
    <w:p w14:paraId="203DD084"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Latha Ravi and Rana (2024); </w:t>
      </w:r>
      <w:proofErr w:type="spellStart"/>
      <w:r w:rsidRPr="00687ABD">
        <w:rPr>
          <w:rFonts w:ascii="Times New Roman" w:eastAsia="Times New Roman" w:hAnsi="Times New Roman" w:cs="Times New Roman"/>
          <w:i/>
          <w:iCs/>
          <w:sz w:val="24"/>
          <w:szCs w:val="24"/>
          <w:lang w:eastAsia="en-GB"/>
        </w:rPr>
        <w:t>Nibhoria</w:t>
      </w:r>
      <w:proofErr w:type="spellEnd"/>
      <w:r w:rsidRPr="00687ABD">
        <w:rPr>
          <w:rFonts w:ascii="Times New Roman" w:eastAsia="Times New Roman" w:hAnsi="Times New Roman" w:cs="Times New Roman"/>
          <w:i/>
          <w:iCs/>
          <w:sz w:val="24"/>
          <w:szCs w:val="24"/>
          <w:lang w:eastAsia="en-GB"/>
        </w:rPr>
        <w:t xml:space="preserve"> et al. (2024). Values are indicative ranges compiled from the cited reviews; genotype, agroclimatic conditions and analytical methodology account for observed variability across primary studies.</w:t>
      </w:r>
    </w:p>
    <w:p w14:paraId="7E752B58"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5. Bioactive Compounds and Functional and Health-Related Properties</w:t>
      </w:r>
    </w:p>
    <w:p w14:paraId="700CD58A"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5.1 Phenolic compounds, flavonoids and antioxidant activity</w:t>
      </w:r>
    </w:p>
    <w:p w14:paraId="3768F1AA" w14:textId="09A163B1"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grain contains a diverse array of bioactive secondary metabolites, principally phenolic acids, flavonoids and, to a lesser extent, phytosterols, concentrated predominantly in the bran and germ fractions of the kernel (Jacob et al., 2024). Ferulic acid represents the dominant phenolic acid in both soluble and bound fractions, with the bound fraction typically containing higher concentrations than the free soluble fraction, reflecting the association of phenolic acids with cell wall polysaccharides (</w:t>
      </w:r>
      <w:r w:rsidR="00AE20AA" w:rsidRPr="00AE20AA">
        <w:rPr>
          <w:rFonts w:ascii="Times New Roman" w:eastAsia="Times New Roman" w:hAnsi="Times New Roman" w:cs="Times New Roman"/>
          <w:sz w:val="24"/>
          <w:szCs w:val="24"/>
          <w:lang w:eastAsia="en-GB"/>
        </w:rPr>
        <w:t>Kumari,</w:t>
      </w:r>
      <w:r w:rsidRPr="00687ABD">
        <w:rPr>
          <w:rFonts w:ascii="Times New Roman" w:eastAsia="Times New Roman" w:hAnsi="Times New Roman" w:cs="Times New Roman"/>
          <w:sz w:val="24"/>
          <w:szCs w:val="24"/>
          <w:lang w:eastAsia="en-GB"/>
        </w:rPr>
        <w:t xml:space="preserve"> et al., 2025). These phenolic constituents contribute measurable antioxidant capacity as assessed through standard in vitro assays, and comparative structural and antioxidant characterisation using Fourier transform infrared spectroscopy and scanning electron microscopy has confirmed that pearl millet exhibits distinctive functional group profiles and antioxidant behaviour relative to other cereals such as barley (Khalil et al., 2025). Fermentation and other bioprocessing </w:t>
      </w:r>
      <w:r w:rsidRPr="00687ABD">
        <w:rPr>
          <w:rFonts w:ascii="Times New Roman" w:eastAsia="Times New Roman" w:hAnsi="Times New Roman" w:cs="Times New Roman"/>
          <w:sz w:val="24"/>
          <w:szCs w:val="24"/>
          <w:lang w:eastAsia="en-GB"/>
        </w:rPr>
        <w:lastRenderedPageBreak/>
        <w:t>interventions have been shown to substantially increase the extractable phenolic content and associated antioxidant capacity of pearl millet-derived products, an effect attributed to the enzymatic liberation of bound phenolics during microbial fermentation (Kaila et al., 2025).</w:t>
      </w:r>
    </w:p>
    <w:p w14:paraId="500BDB34"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5.2 Glycaemic response and relevance to metabolic health</w:t>
      </w:r>
    </w:p>
    <w:p w14:paraId="71E52890"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recurrent theme in the functional food literature on pearl millet concerns its favourable glycaemic properties. The grain possesses a comparatively low to moderate glycaemic index relative to more rapidly digested cereals such as polished rice, a characteristic attributed to its higher content of slowly digestible starch, resistant starch and dietary fibre (Jacob et al., 2024). Clinical and epidemiological evidence indicates that regular incorporation of pearl millet and other millets into the diet of individuals with, or at risk of, type 2 diabetes mellitus is associated with improved glycaemic control, reduced postprandial insulin response and favourable modulation of plasma lipid concentrations (Jacob et al., 2024). A systematic review and meta-analysis of the relationship between millet consumption and diabetes risk management concluded that regular millet intake confers a measurable protective association with fasting and postprandial blood glucose outcomes, supporting the broader positioning of pearl millet as a candidate ingredient for functional foods targeted at metabolic disease prevention (Anitha et al., 2021). Mechanistic studies have further shown that polyphenol-enriched extracts of pearl millet inhibit key digestive enzymes implicated in postprandial hyperglycaemia, namely alpha-amylase and alpha-glucosidase, and modulate hepatic glucose handling, providing a biochemical basis for the observed clinical associations (Pei et al., 2022).</w:t>
      </w:r>
    </w:p>
    <w:p w14:paraId="7F5211DF"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5.3 Gluten-free status and coeliac-relevant applications</w:t>
      </w:r>
    </w:p>
    <w:p w14:paraId="0A849811" w14:textId="4A2B517D"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inherently free of the gluten-forming prolamin proteins present in wheat, barley and rye, rendering it suitable for inclusion in diets formulated for individuals with coeliac disease or non-coeliac gluten sensitivity (</w:t>
      </w:r>
      <w:r w:rsidR="00AE20AA" w:rsidRPr="00AE20AA">
        <w:rPr>
          <w:rFonts w:ascii="Times New Roman" w:eastAsia="Times New Roman" w:hAnsi="Times New Roman" w:cs="Times New Roman"/>
          <w:sz w:val="24"/>
          <w:szCs w:val="24"/>
          <w:lang w:eastAsia="en-GB"/>
        </w:rPr>
        <w:t>Kumari,</w:t>
      </w:r>
      <w:r w:rsidRPr="00687ABD">
        <w:rPr>
          <w:rFonts w:ascii="Times New Roman" w:eastAsia="Times New Roman" w:hAnsi="Times New Roman" w:cs="Times New Roman"/>
          <w:sz w:val="24"/>
          <w:szCs w:val="24"/>
          <w:lang w:eastAsia="en-GB"/>
        </w:rPr>
        <w:t xml:space="preserve"> et al., 2025). This attribute has driven substantial product development activity directed at incorporating pearl millet flour into gluten-free bakery and snack formulations. Composite flour products combining germinated pearl millet with complementary ingredients such as defatted sesame seed and tiger nut have demonstrated favourable nutritional profiles, including elevated ash, fibre and protein content relative to conventional wheat-based crackers, alongside acceptable sensory characteristics, illustrating the practical feasibility of pearl millet as a gluten-free functional ingredient (Akeem et al., 2023). Table 4 consolidates these functional and health-related findings alongside those discussed above.</w:t>
      </w:r>
    </w:p>
    <w:p w14:paraId="1BCA87FD"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4. Selected functional and health-related properties of pearl millet reported in the reviewed literature</w:t>
      </w:r>
    </w:p>
    <w:tbl>
      <w:tblPr>
        <w:tblStyle w:val="TableGrid"/>
        <w:tblW w:w="0" w:type="auto"/>
        <w:tblLook w:val="04A0" w:firstRow="1" w:lastRow="0" w:firstColumn="1" w:lastColumn="0" w:noHBand="0" w:noVBand="1"/>
      </w:tblPr>
      <w:tblGrid>
        <w:gridCol w:w="2931"/>
        <w:gridCol w:w="6311"/>
      </w:tblGrid>
      <w:tr w:rsidR="00687ABD" w:rsidRPr="00687ABD" w14:paraId="503D5610" w14:textId="77777777" w:rsidTr="009715E1">
        <w:tc>
          <w:tcPr>
            <w:tcW w:w="0" w:type="auto"/>
            <w:hideMark/>
          </w:tcPr>
          <w:p w14:paraId="43CFB726"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Property</w:t>
            </w:r>
          </w:p>
        </w:tc>
        <w:tc>
          <w:tcPr>
            <w:tcW w:w="0" w:type="auto"/>
            <w:hideMark/>
          </w:tcPr>
          <w:p w14:paraId="12B1F62A"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Reported evidence</w:t>
            </w:r>
          </w:p>
        </w:tc>
      </w:tr>
      <w:tr w:rsidR="00687ABD" w:rsidRPr="00687ABD" w14:paraId="713F0939" w14:textId="77777777" w:rsidTr="009715E1">
        <w:tc>
          <w:tcPr>
            <w:tcW w:w="0" w:type="auto"/>
            <w:hideMark/>
          </w:tcPr>
          <w:p w14:paraId="5C1B957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Glycaemic index</w:t>
            </w:r>
          </w:p>
        </w:tc>
        <w:tc>
          <w:tcPr>
            <w:tcW w:w="0" w:type="auto"/>
            <w:hideMark/>
          </w:tcPr>
          <w:p w14:paraId="2942583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Comparatively low to moderate relative to rapidly digested cereals such as polished rice</w:t>
            </w:r>
          </w:p>
        </w:tc>
      </w:tr>
      <w:tr w:rsidR="00687ABD" w:rsidRPr="00687ABD" w14:paraId="10A4C89A" w14:textId="77777777" w:rsidTr="009715E1">
        <w:tc>
          <w:tcPr>
            <w:tcW w:w="0" w:type="auto"/>
            <w:hideMark/>
          </w:tcPr>
          <w:p w14:paraId="1A51C858"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Predominant phenolic compound</w:t>
            </w:r>
          </w:p>
        </w:tc>
        <w:tc>
          <w:tcPr>
            <w:tcW w:w="0" w:type="auto"/>
            <w:hideMark/>
          </w:tcPr>
          <w:p w14:paraId="4E7F9C8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Ferulic acid (bound fraction generally exceeding soluble fraction)</w:t>
            </w:r>
          </w:p>
        </w:tc>
      </w:tr>
      <w:tr w:rsidR="00687ABD" w:rsidRPr="00687ABD" w14:paraId="460FD4E6" w14:textId="77777777" w:rsidTr="009715E1">
        <w:tc>
          <w:tcPr>
            <w:tcW w:w="0" w:type="auto"/>
            <w:hideMark/>
          </w:tcPr>
          <w:p w14:paraId="1CB0827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Antidiabetic mechanism</w:t>
            </w:r>
          </w:p>
        </w:tc>
        <w:tc>
          <w:tcPr>
            <w:tcW w:w="0" w:type="auto"/>
            <w:hideMark/>
          </w:tcPr>
          <w:p w14:paraId="3A89730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Inhibition of α-amylase and α-glucosidase; modulation of hepatic glucose uptake</w:t>
            </w:r>
          </w:p>
        </w:tc>
      </w:tr>
      <w:tr w:rsidR="00687ABD" w:rsidRPr="00687ABD" w14:paraId="7B64CE39" w14:textId="77777777" w:rsidTr="009715E1">
        <w:tc>
          <w:tcPr>
            <w:tcW w:w="0" w:type="auto"/>
            <w:hideMark/>
          </w:tcPr>
          <w:p w14:paraId="68675C3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Gluten status</w:t>
            </w:r>
          </w:p>
        </w:tc>
        <w:tc>
          <w:tcPr>
            <w:tcW w:w="0" w:type="auto"/>
            <w:hideMark/>
          </w:tcPr>
          <w:p w14:paraId="60496998"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Naturally gluten-free; suitable for coeliac-relevant diets</w:t>
            </w:r>
          </w:p>
        </w:tc>
      </w:tr>
      <w:tr w:rsidR="00687ABD" w:rsidRPr="00687ABD" w14:paraId="53BED7DD" w14:textId="77777777" w:rsidTr="009715E1">
        <w:tc>
          <w:tcPr>
            <w:tcW w:w="0" w:type="auto"/>
            <w:hideMark/>
          </w:tcPr>
          <w:p w14:paraId="6548510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Effect of fermentation on </w:t>
            </w:r>
            <w:proofErr w:type="spellStart"/>
            <w:r w:rsidRPr="00687ABD">
              <w:rPr>
                <w:rFonts w:ascii="Times New Roman" w:eastAsia="Times New Roman" w:hAnsi="Times New Roman" w:cs="Times New Roman"/>
                <w:sz w:val="24"/>
                <w:szCs w:val="24"/>
                <w:lang w:eastAsia="en-GB"/>
              </w:rPr>
              <w:lastRenderedPageBreak/>
              <w:t>bioactives</w:t>
            </w:r>
            <w:proofErr w:type="spellEnd"/>
          </w:p>
        </w:tc>
        <w:tc>
          <w:tcPr>
            <w:tcW w:w="0" w:type="auto"/>
            <w:hideMark/>
          </w:tcPr>
          <w:p w14:paraId="225937CF"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Increased extractable phenolic content and antioxidant capacity</w:t>
            </w:r>
          </w:p>
        </w:tc>
      </w:tr>
      <w:tr w:rsidR="00687ABD" w:rsidRPr="00687ABD" w14:paraId="61D837EA" w14:textId="77777777" w:rsidTr="009715E1">
        <w:tc>
          <w:tcPr>
            <w:tcW w:w="0" w:type="auto"/>
            <w:hideMark/>
          </w:tcPr>
          <w:p w14:paraId="5B6C270E"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Reported health associations</w:t>
            </w:r>
          </w:p>
        </w:tc>
        <w:tc>
          <w:tcPr>
            <w:tcW w:w="0" w:type="auto"/>
            <w:hideMark/>
          </w:tcPr>
          <w:p w14:paraId="5F2321E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Improved glycaemic control; favourable lipid profile modulation; antioxidant activity</w:t>
            </w:r>
          </w:p>
        </w:tc>
      </w:tr>
    </w:tbl>
    <w:p w14:paraId="3EE5F129" w14:textId="30F2751F"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Anitha et al. (2021); Jacob et al. (2024); Kaila et al. (2025); Pei et al. (2022); </w:t>
      </w:r>
      <w:r w:rsidR="00AE20AA" w:rsidRPr="00AE20AA">
        <w:rPr>
          <w:rFonts w:ascii="Times New Roman" w:eastAsia="Times New Roman" w:hAnsi="Times New Roman" w:cs="Times New Roman"/>
          <w:i/>
          <w:iCs/>
          <w:sz w:val="24"/>
          <w:szCs w:val="24"/>
          <w:lang w:eastAsia="en-GB"/>
        </w:rPr>
        <w:t>Kumari</w:t>
      </w:r>
      <w:r w:rsidRPr="00687ABD">
        <w:rPr>
          <w:rFonts w:ascii="Times New Roman" w:eastAsia="Times New Roman" w:hAnsi="Times New Roman" w:cs="Times New Roman"/>
          <w:i/>
          <w:iCs/>
          <w:sz w:val="24"/>
          <w:szCs w:val="24"/>
          <w:lang w:eastAsia="en-GB"/>
        </w:rPr>
        <w:t xml:space="preserve"> et al. (2025).</w:t>
      </w:r>
    </w:p>
    <w:p w14:paraId="166193FB"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6. Antinutritional Factors and Bioavailability Constraints</w:t>
      </w:r>
    </w:p>
    <w:p w14:paraId="3876AEBE"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The nutritional value of pearl millet grain is constrained by several antinutritional compounds that interfere with the digestion, absorption or endocrine handling of key nutrients. Phytic acid, present largely as phytate salts and constituting up to three-quarters of total grain phosphorus, possesses strong chelating affinity for divalent and monovalent cations, including iron, zinc, calcium and magnesium, thereby reducing their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during digestion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Reported phytic acid concentrations in pearl millet germplasm range from approximately 179 to 306 milligrams per 100 grams, with substantial variation attributable to genotype and growing location, indicating that genetic selection for reduced phytate content represents a plausible avenue for nutritional improvement alongside processing-based mitigation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w:t>
      </w:r>
    </w:p>
    <w:p w14:paraId="3C1A8F75" w14:textId="738943E3"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Condensed tannins and other polyphenolic compounds represent a second major class of antinutritional constituents in pearl millet, capable of forming complexes with dietary protein and minerals that reduce their digestibility and absorption, while simultaneously contributing, somewhat paradoxically, to the grain's antioxidant capacity when consumed at moderate levels (Rana et al., 2023). Tannin content varies considerably across millet species and processing states, and comparative studies have reported baseline pearl millet tannin concentrations that fall substantially following germination, soaking or fermentation treatments (</w:t>
      </w:r>
      <w:proofErr w:type="spellStart"/>
      <w:r w:rsidR="00AE20AA" w:rsidRPr="00AE20AA">
        <w:rPr>
          <w:rFonts w:ascii="Times New Roman" w:eastAsia="Times New Roman" w:hAnsi="Times New Roman" w:cs="Times New Roman"/>
          <w:sz w:val="24"/>
          <w:szCs w:val="24"/>
          <w:lang w:eastAsia="en-GB"/>
        </w:rPr>
        <w:t>Bheemaiah</w:t>
      </w:r>
      <w:proofErr w:type="spellEnd"/>
      <w:r w:rsidR="00AE20AA" w:rsidRPr="00AE20AA">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w:t>
      </w:r>
    </w:p>
    <w:p w14:paraId="61FE4C93" w14:textId="37909E12"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distinctive antinutritional concern in pearl millet, less prominent in other cereals, is the presence of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xml:space="preserve">, principally </w:t>
      </w:r>
      <w:proofErr w:type="spellStart"/>
      <w:r w:rsidRPr="00687ABD">
        <w:rPr>
          <w:rFonts w:ascii="Times New Roman" w:eastAsia="Times New Roman" w:hAnsi="Times New Roman" w:cs="Times New Roman"/>
          <w:sz w:val="24"/>
          <w:szCs w:val="24"/>
          <w:lang w:eastAsia="en-GB"/>
        </w:rPr>
        <w:t>glucosylvitexin</w:t>
      </w:r>
      <w:proofErr w:type="spellEnd"/>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glucosylorientin</w:t>
      </w:r>
      <w:proofErr w:type="spellEnd"/>
      <w:r w:rsidRPr="00687ABD">
        <w:rPr>
          <w:rFonts w:ascii="Times New Roman" w:eastAsia="Times New Roman" w:hAnsi="Times New Roman" w:cs="Times New Roman"/>
          <w:sz w:val="24"/>
          <w:szCs w:val="24"/>
          <w:lang w:eastAsia="en-GB"/>
        </w:rPr>
        <w:t xml:space="preserve"> and vitexin, which have been shown to inhibit thyroid peroxidase activity and are implicated in the aetiology of goitre and iodine deficiency disorders in populations with high dietary reliance on unprocessed pearl millet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Substantial natural variability in C-</w:t>
      </w:r>
      <w:proofErr w:type="spellStart"/>
      <w:r w:rsidRPr="00687ABD">
        <w:rPr>
          <w:rFonts w:ascii="Times New Roman" w:eastAsia="Times New Roman" w:hAnsi="Times New Roman" w:cs="Times New Roman"/>
          <w:sz w:val="24"/>
          <w:szCs w:val="24"/>
          <w:lang w:eastAsia="en-GB"/>
        </w:rPr>
        <w:t>glycosylflavone</w:t>
      </w:r>
      <w:proofErr w:type="spellEnd"/>
      <w:r w:rsidRPr="00687ABD">
        <w:rPr>
          <w:rFonts w:ascii="Times New Roman" w:eastAsia="Times New Roman" w:hAnsi="Times New Roman" w:cs="Times New Roman"/>
          <w:sz w:val="24"/>
          <w:szCs w:val="24"/>
          <w:lang w:eastAsia="en-GB"/>
        </w:rPr>
        <w:t xml:space="preserve"> content has been documented across pearl millet germplasm, offering scope for breeding-based mitigation of this concern, while processing interventions, discussed in the following section, have also been shown to reduce goitrogen concentrations in finished food products. Non-digestible oligosaccharides, including raffinose, stachyose and verbascose, constitute a further, comparatively minor, antinutritional consideration, associated with abdominal discomfort and flatulence following consumption of unprocessed or minimally processed grain (</w:t>
      </w:r>
      <w:proofErr w:type="spellStart"/>
      <w:r w:rsidR="00AE20AA" w:rsidRPr="00AE20AA">
        <w:rPr>
          <w:rFonts w:ascii="Times New Roman" w:eastAsia="Times New Roman" w:hAnsi="Times New Roman" w:cs="Times New Roman"/>
          <w:sz w:val="24"/>
          <w:szCs w:val="24"/>
          <w:lang w:eastAsia="en-GB"/>
        </w:rPr>
        <w:t>Bheemaiah</w:t>
      </w:r>
      <w:proofErr w:type="spellEnd"/>
      <w:r w:rsidR="00AE20AA" w:rsidRPr="00AE20AA">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Collectively, these antinutritional constituents underscore the importance of appropriate processing, discussed comprehensively in Section 7, as a means of realising the full nutritional potential of pearl millet-based foods.</w:t>
      </w:r>
    </w:p>
    <w:p w14:paraId="73CC91C5"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7. Processing Techniques and Their Effects on Nutritional Quality</w:t>
      </w:r>
    </w:p>
    <w:p w14:paraId="0A0121C3"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7.1 Primary and traditional processing operations</w:t>
      </w:r>
    </w:p>
    <w:p w14:paraId="6878FE98" w14:textId="7C3BFCFE"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Primary processing of pearl millet encompasses threshing, winnowing, dehulling, decortication and milling, operations intended to remove inedible or nutritionally undesirable portions of the grain and to render it suitable for consumption or further processing (Gowda et al., 2022). Decortication and dehulling have been shown to reduce phytate and tannin content substantially by removing the outer bran layer where these compounds are concentrated, with associated improvements in protein digestibility and functional performance, although excessive decortication beyond an optimal threshold has been observed to reduce overall protein content, presumably through the co-removal of protein-rich aleurone tissue (Gowda et al., 2022). Mechanisation of these primary processing operations remains comparatively underdeveloped in many producing regions, with existing equipment frequently adapted from machinery designed for paddy rice processing rather than purpose-built for the distinct physical characteristics of pearl millet grain, a gap that continues to constrain processing efficiency and product consistency across the value chain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Broader assessment across the range of available processing methods, including milling, malting, fermentation, blanching and heat treatment, indicates that these interventions are collectively effective in improving mineral digestibility and in reducing the off-flavours, bitterness and rancidity that otherwise develop during storage of pearl millet flour (Ramya et al., 2024).</w:t>
      </w:r>
    </w:p>
    <w:p w14:paraId="04CBF55F"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7.2 Germination and malting</w:t>
      </w:r>
    </w:p>
    <w:p w14:paraId="1F91036C" w14:textId="6676456B"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Germination, and its controlled industrial analogue malting, involves the deliberate activation of endogenous hydrolytic enzymes within the grain under conditions of moisture and temperature conducive to early seedling growth. This process has been shown to reduce phytic acid and tannin content substantially, through both enzymatic hydrolysis and leaching, while simultaneously enhancing the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of iron and other minerals (Gowda et al., 2022). Malting of pearl millet for approximately 24 hours has been shown to increase crude fibre content modestly, alongside favourable changes in starch digestibility and the development of characteristic malt flavour compounds relevant to beverage applications (Gowda et al., 2022). Comparative studies of biofortified and non-biofortified pearl millet genotypes indicate that malting improves iron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in both genotype classes, although the magnitude of improvement varies with baseline mineral density and antinutrient profile, underscoring the importance of genotype-specific processing optimisation.</w:t>
      </w:r>
    </w:p>
    <w:p w14:paraId="193D0BC5"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7.3 Fermentation</w:t>
      </w:r>
    </w:p>
    <w:p w14:paraId="55F94D9F" w14:textId="223B30CC"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Fermentation, whether achieved through spontaneous microbial activity or through deliberate inoculation with lactic acid bacteria or fungal starter cultures, is one of the most widely applied and nutritionally beneficial processing interventions for pearl millet. Solid-state fermentation using </w:t>
      </w:r>
      <w:r w:rsidRPr="00687ABD">
        <w:rPr>
          <w:rFonts w:ascii="Times New Roman" w:eastAsia="Times New Roman" w:hAnsi="Times New Roman" w:cs="Times New Roman"/>
          <w:i/>
          <w:iCs/>
          <w:sz w:val="24"/>
          <w:szCs w:val="24"/>
          <w:lang w:eastAsia="en-GB"/>
        </w:rPr>
        <w:t xml:space="preserve">Rhizopus </w:t>
      </w:r>
      <w:proofErr w:type="spellStart"/>
      <w:r w:rsidRPr="00687ABD">
        <w:rPr>
          <w:rFonts w:ascii="Times New Roman" w:eastAsia="Times New Roman" w:hAnsi="Times New Roman" w:cs="Times New Roman"/>
          <w:i/>
          <w:iCs/>
          <w:sz w:val="24"/>
          <w:szCs w:val="24"/>
          <w:lang w:eastAsia="en-GB"/>
        </w:rPr>
        <w:t>oligosporus</w:t>
      </w:r>
      <w:proofErr w:type="spellEnd"/>
      <w:r w:rsidRPr="00687ABD">
        <w:rPr>
          <w:rFonts w:ascii="Times New Roman" w:eastAsia="Times New Roman" w:hAnsi="Times New Roman" w:cs="Times New Roman"/>
          <w:sz w:val="24"/>
          <w:szCs w:val="24"/>
          <w:lang w:eastAsia="en-GB"/>
        </w:rPr>
        <w:t xml:space="preserve"> and </w:t>
      </w:r>
      <w:proofErr w:type="spellStart"/>
      <w:r w:rsidRPr="00687ABD">
        <w:rPr>
          <w:rFonts w:ascii="Times New Roman" w:eastAsia="Times New Roman" w:hAnsi="Times New Roman" w:cs="Times New Roman"/>
          <w:i/>
          <w:iCs/>
          <w:sz w:val="24"/>
          <w:szCs w:val="24"/>
          <w:lang w:eastAsia="en-GB"/>
        </w:rPr>
        <w:t>Yarrowia</w:t>
      </w:r>
      <w:proofErr w:type="spellEnd"/>
      <w:r w:rsidRPr="00687ABD">
        <w:rPr>
          <w:rFonts w:ascii="Times New Roman" w:eastAsia="Times New Roman" w:hAnsi="Times New Roman" w:cs="Times New Roman"/>
          <w:i/>
          <w:iCs/>
          <w:sz w:val="24"/>
          <w:szCs w:val="24"/>
          <w:lang w:eastAsia="en-GB"/>
        </w:rPr>
        <w:t xml:space="preserve"> </w:t>
      </w:r>
      <w:proofErr w:type="spellStart"/>
      <w:r w:rsidRPr="00687ABD">
        <w:rPr>
          <w:rFonts w:ascii="Times New Roman" w:eastAsia="Times New Roman" w:hAnsi="Times New Roman" w:cs="Times New Roman"/>
          <w:i/>
          <w:iCs/>
          <w:sz w:val="24"/>
          <w:szCs w:val="24"/>
          <w:lang w:eastAsia="en-GB"/>
        </w:rPr>
        <w:t>lipolytica</w:t>
      </w:r>
      <w:proofErr w:type="spellEnd"/>
      <w:r w:rsidRPr="00687ABD">
        <w:rPr>
          <w:rFonts w:ascii="Times New Roman" w:eastAsia="Times New Roman" w:hAnsi="Times New Roman" w:cs="Times New Roman"/>
          <w:sz w:val="24"/>
          <w:szCs w:val="24"/>
          <w:lang w:eastAsia="en-GB"/>
        </w:rPr>
        <w:t xml:space="preserve"> has been reported to increase soluble dietary fibre content substantially, while lactic acid bacterial fermentation, for example using </w:t>
      </w:r>
      <w:r w:rsidRPr="00687ABD">
        <w:rPr>
          <w:rFonts w:ascii="Times New Roman" w:eastAsia="Times New Roman" w:hAnsi="Times New Roman" w:cs="Times New Roman"/>
          <w:i/>
          <w:iCs/>
          <w:sz w:val="24"/>
          <w:szCs w:val="24"/>
          <w:lang w:eastAsia="en-GB"/>
        </w:rPr>
        <w:t>Lactobacillus plantarum</w:t>
      </w:r>
      <w:r w:rsidRPr="00687ABD">
        <w:rPr>
          <w:rFonts w:ascii="Times New Roman" w:eastAsia="Times New Roman" w:hAnsi="Times New Roman" w:cs="Times New Roman"/>
          <w:sz w:val="24"/>
          <w:szCs w:val="24"/>
          <w:lang w:eastAsia="en-GB"/>
        </w:rPr>
        <w:t>, has been shown to increase protein content and B-group vitamin concentrations in fermented pearl millet beverages, alongside marked increases in total phenolic content and antioxidant capacity relative to unfermented controls (Kaila et al., 2025). Fermentation has additionally been shown to reduce tannin content substantially, with reductions exceeding ninety per cent reported when fermentation is combined with alkaline immersion pre-treatment, and to improve in vitro protein and starch digestibility through partial breakdown of the starch-protein matrix (</w:t>
      </w:r>
      <w:proofErr w:type="spellStart"/>
      <w:r w:rsidR="00AE20AA" w:rsidRPr="00AE20AA">
        <w:rPr>
          <w:rFonts w:ascii="Times New Roman" w:eastAsia="Times New Roman" w:hAnsi="Times New Roman" w:cs="Times New Roman"/>
          <w:sz w:val="24"/>
          <w:szCs w:val="24"/>
          <w:lang w:eastAsia="en-GB"/>
        </w:rPr>
        <w:t>Bheemaiah</w:t>
      </w:r>
      <w:proofErr w:type="spellEnd"/>
      <w:r w:rsidR="00AE20AA" w:rsidRPr="00AE20AA">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These combined effects position fermentation as a particularly effective single </w:t>
      </w:r>
      <w:r w:rsidRPr="00687ABD">
        <w:rPr>
          <w:rFonts w:ascii="Times New Roman" w:eastAsia="Times New Roman" w:hAnsi="Times New Roman" w:cs="Times New Roman"/>
          <w:sz w:val="24"/>
          <w:szCs w:val="24"/>
          <w:lang w:eastAsia="en-GB"/>
        </w:rPr>
        <w:lastRenderedPageBreak/>
        <w:t>intervention for simultaneously enhancing nutrient bioavailability, extending shelf life and improving the sensory acceptability of pearl millet-based foods and beverages.</w:t>
      </w:r>
    </w:p>
    <w:p w14:paraId="5823AA6C"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7.4 Extrusion cooking and thermal processing</w:t>
      </w:r>
    </w:p>
    <w:p w14:paraId="6B4DCD05" w14:textId="7CD6AC04"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Extrusion cooking, a high-temperature, short-time thermomechanical process, has become increasingly prominent in the development of instant and ready-to-eat pearl millet products, including beverage powders, snacks and breakfast cereals. Combination processing involving both malting and extrusion has been shown to yield instant beverage powders with acceptable nutritional, biochemical and sensory characteristics, although such combined processing can reduce total fat and total dietary fibre content measurably relative to less intensively processed alternatives (Kaila et al., 2025). Extrusion in combination with food-to-food fortification strategies has additionally been investigated as a means of enhancing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in pearl millet-based porridges intended for African consumption contexts, reflecting the technology's dual utility for both product diversification and nutritional enhancement (</w:t>
      </w:r>
      <w:proofErr w:type="spellStart"/>
      <w:r w:rsidR="00AE20AA" w:rsidRPr="00AE20AA">
        <w:rPr>
          <w:rFonts w:ascii="Times New Roman" w:eastAsia="Times New Roman" w:hAnsi="Times New Roman" w:cs="Times New Roman"/>
          <w:sz w:val="24"/>
          <w:szCs w:val="24"/>
          <w:lang w:eastAsia="en-GB"/>
        </w:rPr>
        <w:t>Bheemaiah</w:t>
      </w:r>
      <w:proofErr w:type="spellEnd"/>
      <w:r w:rsidR="00AE20AA" w:rsidRPr="00AE20AA">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More generally, thermal processing methods, including blanching, roasting and hydrothermal treatment, have proved effective in reducing tannin and phytate content, with one study reporting reductions in tannin and phytate content of up to approximately six per cent following hydrothermal treatment of pearl millet grain, alongside improvements in flavour stability and reduced rancidity development during storage (</w:t>
      </w:r>
      <w:proofErr w:type="spellStart"/>
      <w:r w:rsidRPr="00687ABD">
        <w:rPr>
          <w:rFonts w:ascii="Times New Roman" w:eastAsia="Times New Roman" w:hAnsi="Times New Roman" w:cs="Times New Roman"/>
          <w:sz w:val="24"/>
          <w:szCs w:val="24"/>
          <w:lang w:eastAsia="en-GB"/>
        </w:rPr>
        <w:t>Navinraj</w:t>
      </w:r>
      <w:proofErr w:type="spellEnd"/>
      <w:r w:rsidRPr="00687ABD">
        <w:rPr>
          <w:rFonts w:ascii="Times New Roman" w:eastAsia="Times New Roman" w:hAnsi="Times New Roman" w:cs="Times New Roman"/>
          <w:sz w:val="24"/>
          <w:szCs w:val="24"/>
          <w:lang w:eastAsia="en-GB"/>
        </w:rPr>
        <w:t xml:space="preserve"> et al., 2025).</w:t>
      </w:r>
    </w:p>
    <w:p w14:paraId="22BF2637" w14:textId="77777777" w:rsidR="00687ABD" w:rsidRPr="00687ABD" w:rsidRDefault="00687ABD" w:rsidP="0065424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7.5 Emerging and non-thermal processing technologies</w:t>
      </w:r>
    </w:p>
    <w:p w14:paraId="1A29C6F4" w14:textId="2E8CD56B"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growing body of research has examined non-thermal processing technologies as alternatives or complements to conventional thermal treatments, motivated by the potential of these methods to reduce antinutrient content and enhance bioactive compound extractability while minimising the heat-induced degradation of thermolabile nutrients. Ultrasound processing has been shown to produce substantial changes in polyphenolic content and antioxidant properties of millet flours, with the magnitude of enhancement dependent on treatment intensity, duration and frequency (Rana et al., 2023). Cold plasma treatment has demonstrated efficacy in improving microbial safety and antioxidant status while reducing antinutritional factors including tannins and phytates, and has been proposed as a promising technology for scalable industrial application, although commercial-scale deployment for pearl millet specifically remains at a relatively early stage of development (</w:t>
      </w:r>
      <w:proofErr w:type="spellStart"/>
      <w:r w:rsidR="00AE20AA" w:rsidRPr="00AE20AA">
        <w:rPr>
          <w:rFonts w:ascii="Times New Roman" w:eastAsia="Times New Roman" w:hAnsi="Times New Roman" w:cs="Times New Roman"/>
          <w:sz w:val="24"/>
          <w:szCs w:val="24"/>
          <w:lang w:eastAsia="en-GB"/>
        </w:rPr>
        <w:t>Bheemaiah</w:t>
      </w:r>
      <w:proofErr w:type="spellEnd"/>
      <w:r w:rsidR="00AE20AA" w:rsidRPr="00AE20AA">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Physical modification of pearl millet starch through techniques such as heat-moisture treatment and microwave treatment has additionally been investigated as a means of tailoring functional properties, including gelatinisation temperature and paste viscosity, for specific food and non-food industrial applications. Table 5 draws together the effects of the processing interventions discussed across this section.</w:t>
      </w:r>
    </w:p>
    <w:p w14:paraId="4FC2303E"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5. Effects of selected processing techniques on the nutritional and antinutritional profile of pearl millet</w:t>
      </w:r>
    </w:p>
    <w:tbl>
      <w:tblPr>
        <w:tblStyle w:val="TableGrid"/>
        <w:tblW w:w="0" w:type="auto"/>
        <w:tblLook w:val="04A0" w:firstRow="1" w:lastRow="0" w:firstColumn="1" w:lastColumn="0" w:noHBand="0" w:noVBand="1"/>
      </w:tblPr>
      <w:tblGrid>
        <w:gridCol w:w="3042"/>
        <w:gridCol w:w="6200"/>
      </w:tblGrid>
      <w:tr w:rsidR="00687ABD" w:rsidRPr="00687ABD" w14:paraId="0065D11F" w14:textId="77777777" w:rsidTr="009715E1">
        <w:tc>
          <w:tcPr>
            <w:tcW w:w="0" w:type="auto"/>
            <w:hideMark/>
          </w:tcPr>
          <w:p w14:paraId="67C19DCD"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Processing technique</w:t>
            </w:r>
          </w:p>
        </w:tc>
        <w:tc>
          <w:tcPr>
            <w:tcW w:w="0" w:type="auto"/>
            <w:hideMark/>
          </w:tcPr>
          <w:p w14:paraId="09CFB52A" w14:textId="77777777" w:rsidR="00687ABD" w:rsidRPr="00687ABD" w:rsidRDefault="00687ABD" w:rsidP="0065424F">
            <w:pPr>
              <w:jc w:val="both"/>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Principal reported effects</w:t>
            </w:r>
          </w:p>
        </w:tc>
      </w:tr>
      <w:tr w:rsidR="00687ABD" w:rsidRPr="00687ABD" w14:paraId="2B1197B4" w14:textId="77777777" w:rsidTr="009715E1">
        <w:tc>
          <w:tcPr>
            <w:tcW w:w="0" w:type="auto"/>
            <w:hideMark/>
          </w:tcPr>
          <w:p w14:paraId="5D1442F7"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Decortication/dehulling</w:t>
            </w:r>
          </w:p>
        </w:tc>
        <w:tc>
          <w:tcPr>
            <w:tcW w:w="0" w:type="auto"/>
            <w:hideMark/>
          </w:tcPr>
          <w:p w14:paraId="6D59DA1E"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Reduced phytate and tannin content; improved protein digestibility; excessive decortication reduces protein content</w:t>
            </w:r>
          </w:p>
        </w:tc>
      </w:tr>
      <w:tr w:rsidR="00687ABD" w:rsidRPr="00687ABD" w14:paraId="5241CC5F" w14:textId="77777777" w:rsidTr="009715E1">
        <w:tc>
          <w:tcPr>
            <w:tcW w:w="0" w:type="auto"/>
            <w:hideMark/>
          </w:tcPr>
          <w:p w14:paraId="5CF58FF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Germination/malting</w:t>
            </w:r>
          </w:p>
        </w:tc>
        <w:tc>
          <w:tcPr>
            <w:tcW w:w="0" w:type="auto"/>
            <w:hideMark/>
          </w:tcPr>
          <w:p w14:paraId="53A0935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Reduced phytic acid and tannin content; improved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modest fibre increase</w:t>
            </w:r>
          </w:p>
        </w:tc>
      </w:tr>
      <w:tr w:rsidR="00687ABD" w:rsidRPr="00687ABD" w14:paraId="7E79FF6C" w14:textId="77777777" w:rsidTr="009715E1">
        <w:tc>
          <w:tcPr>
            <w:tcW w:w="0" w:type="auto"/>
            <w:hideMark/>
          </w:tcPr>
          <w:p w14:paraId="414A28D6"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Fermentation</w:t>
            </w:r>
          </w:p>
        </w:tc>
        <w:tc>
          <w:tcPr>
            <w:tcW w:w="0" w:type="auto"/>
            <w:hideMark/>
          </w:tcPr>
          <w:p w14:paraId="550D68CA"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Increased soluble fibre, protein, B-vitamins, phenolic content </w:t>
            </w:r>
            <w:r w:rsidRPr="00687ABD">
              <w:rPr>
                <w:rFonts w:ascii="Times New Roman" w:eastAsia="Times New Roman" w:hAnsi="Times New Roman" w:cs="Times New Roman"/>
                <w:sz w:val="24"/>
                <w:szCs w:val="24"/>
                <w:lang w:eastAsia="en-GB"/>
              </w:rPr>
              <w:lastRenderedPageBreak/>
              <w:t>and antioxidant capacity; substantial tannin reduction; improved digestibility</w:t>
            </w:r>
          </w:p>
        </w:tc>
      </w:tr>
      <w:tr w:rsidR="00687ABD" w:rsidRPr="00687ABD" w14:paraId="747A5913" w14:textId="77777777" w:rsidTr="009715E1">
        <w:tc>
          <w:tcPr>
            <w:tcW w:w="0" w:type="auto"/>
            <w:hideMark/>
          </w:tcPr>
          <w:p w14:paraId="2948BD9C"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Extrusion cooking</w:t>
            </w:r>
          </w:p>
        </w:tc>
        <w:tc>
          <w:tcPr>
            <w:tcW w:w="0" w:type="auto"/>
            <w:hideMark/>
          </w:tcPr>
          <w:p w14:paraId="669EC863"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Improved product diversification and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may reduce fat and fibre content depending on process combination</w:t>
            </w:r>
          </w:p>
        </w:tc>
      </w:tr>
      <w:tr w:rsidR="00687ABD" w:rsidRPr="00687ABD" w14:paraId="700815F0" w14:textId="77777777" w:rsidTr="009715E1">
        <w:tc>
          <w:tcPr>
            <w:tcW w:w="0" w:type="auto"/>
            <w:hideMark/>
          </w:tcPr>
          <w:p w14:paraId="14B82950"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Hydrothermal/thermal treatment</w:t>
            </w:r>
          </w:p>
        </w:tc>
        <w:tc>
          <w:tcPr>
            <w:tcW w:w="0" w:type="auto"/>
            <w:hideMark/>
          </w:tcPr>
          <w:p w14:paraId="78159BD4"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Reduced tannin and phytate content; improved flavour and storage stability</w:t>
            </w:r>
          </w:p>
        </w:tc>
      </w:tr>
      <w:tr w:rsidR="00687ABD" w:rsidRPr="00687ABD" w14:paraId="48B44903" w14:textId="77777777" w:rsidTr="009715E1">
        <w:tc>
          <w:tcPr>
            <w:tcW w:w="0" w:type="auto"/>
            <w:hideMark/>
          </w:tcPr>
          <w:p w14:paraId="013E9732"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Non-thermal (ultrasound, cold plasma)</w:t>
            </w:r>
          </w:p>
        </w:tc>
        <w:tc>
          <w:tcPr>
            <w:tcW w:w="0" w:type="auto"/>
            <w:hideMark/>
          </w:tcPr>
          <w:p w14:paraId="593B0825" w14:textId="77777777" w:rsidR="00687ABD" w:rsidRPr="00687ABD" w:rsidRDefault="00687ABD" w:rsidP="0065424F">
            <w:pPr>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Enhanced polyphenol extractability and antioxidant activity; reduced antinutrients; improved microbial safety</w:t>
            </w:r>
          </w:p>
        </w:tc>
      </w:tr>
    </w:tbl>
    <w:p w14:paraId="4761C7AA" w14:textId="6251F73B"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w:t>
      </w:r>
      <w:proofErr w:type="spellStart"/>
      <w:r w:rsidR="00AE20AA" w:rsidRPr="00AE20AA">
        <w:rPr>
          <w:rFonts w:ascii="Times New Roman" w:eastAsia="Times New Roman" w:hAnsi="Times New Roman" w:cs="Times New Roman"/>
          <w:i/>
          <w:iCs/>
          <w:sz w:val="24"/>
          <w:szCs w:val="24"/>
          <w:lang w:eastAsia="en-GB"/>
        </w:rPr>
        <w:t>Bheemaiah</w:t>
      </w:r>
      <w:proofErr w:type="spellEnd"/>
      <w:r w:rsidR="00AE20AA" w:rsidRPr="00AE20AA">
        <w:rPr>
          <w:rFonts w:ascii="Times New Roman" w:eastAsia="Times New Roman" w:hAnsi="Times New Roman" w:cs="Times New Roman"/>
          <w:i/>
          <w:iCs/>
          <w:sz w:val="24"/>
          <w:szCs w:val="24"/>
          <w:lang w:eastAsia="en-GB"/>
        </w:rPr>
        <w:t xml:space="preserve"> </w:t>
      </w:r>
      <w:proofErr w:type="spellStart"/>
      <w:r w:rsidRPr="00687ABD">
        <w:rPr>
          <w:rFonts w:ascii="Times New Roman" w:eastAsia="Times New Roman" w:hAnsi="Times New Roman" w:cs="Times New Roman"/>
          <w:i/>
          <w:iCs/>
          <w:sz w:val="24"/>
          <w:szCs w:val="24"/>
          <w:lang w:eastAsia="en-GB"/>
        </w:rPr>
        <w:t>Balyatanda</w:t>
      </w:r>
      <w:proofErr w:type="spellEnd"/>
      <w:r w:rsidRPr="00687ABD">
        <w:rPr>
          <w:rFonts w:ascii="Times New Roman" w:eastAsia="Times New Roman" w:hAnsi="Times New Roman" w:cs="Times New Roman"/>
          <w:i/>
          <w:iCs/>
          <w:sz w:val="24"/>
          <w:szCs w:val="24"/>
          <w:lang w:eastAsia="en-GB"/>
        </w:rPr>
        <w:t xml:space="preserve"> et al. (2024); Kaila et al. (2025); Gowda et al. (2022); </w:t>
      </w:r>
      <w:proofErr w:type="spellStart"/>
      <w:r w:rsidRPr="00687ABD">
        <w:rPr>
          <w:rFonts w:ascii="Times New Roman" w:eastAsia="Times New Roman" w:hAnsi="Times New Roman" w:cs="Times New Roman"/>
          <w:i/>
          <w:iCs/>
          <w:sz w:val="24"/>
          <w:szCs w:val="24"/>
          <w:lang w:eastAsia="en-GB"/>
        </w:rPr>
        <w:t>Navinraj</w:t>
      </w:r>
      <w:proofErr w:type="spellEnd"/>
      <w:r w:rsidRPr="00687ABD">
        <w:rPr>
          <w:rFonts w:ascii="Times New Roman" w:eastAsia="Times New Roman" w:hAnsi="Times New Roman" w:cs="Times New Roman"/>
          <w:i/>
          <w:iCs/>
          <w:sz w:val="24"/>
          <w:szCs w:val="24"/>
          <w:lang w:eastAsia="en-GB"/>
        </w:rPr>
        <w:t xml:space="preserve"> et al. (2025); Rana et al. (2023).</w:t>
      </w:r>
    </w:p>
    <w:p w14:paraId="0D359ADB"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8. Value-Added Products and Industrial Applications</w:t>
      </w:r>
    </w:p>
    <w:p w14:paraId="5C826BB8"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The processing technologies described above underpin a growing range of value-added pearl millet products spanning traditional and modern food categories. In West African consumption contexts, fermented porridges, gruels and non-alcoholic beverages remain central to dietary use, with fermentation contributing both to nutritional enhancement and to the distinctive sour flavour profiles characteristic of traditional African millet-based beverages (Hassan et al., 2021). In South Asian contexts, pearl millet flour is used predominantly in the preparation of unleavened flatbreads, although increasing formal-sector interest has extended its application into bakery products, pasta and extended shelf-life extruded snacks, and this shift toward value-added formats is itself a documented response to declining direct consumption of the raw grain among urban Indian households (Ansari et al., 2025).</w:t>
      </w:r>
    </w:p>
    <w:p w14:paraId="126B5979"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Beyond direct food applications, pearl millet starch has attracted attention as an industrial functional ingredient, owing to its distinctive granule morphology, comprising small to large, spherical to polygonal granules exhibiting surface pores and indentations, and its favourable techno-functional characteristics including swelling capacity, solubility and pasting behaviour. These properties support its use as a thickening, gelling and bulking agent in food formulations, and as a texture modifier and fat replacer in products such as ice cream (Sibanda et al., 2024). Composite flour development combining pearl millet with complementary protein and micronutrient sources, such as </w:t>
      </w:r>
      <w:r w:rsidRPr="00687ABD">
        <w:rPr>
          <w:rFonts w:ascii="Times New Roman" w:eastAsia="Times New Roman" w:hAnsi="Times New Roman" w:cs="Times New Roman"/>
          <w:i/>
          <w:iCs/>
          <w:sz w:val="24"/>
          <w:szCs w:val="24"/>
          <w:lang w:eastAsia="en-GB"/>
        </w:rPr>
        <w:t>Moringa oleifera</w:t>
      </w:r>
      <w:r w:rsidRPr="00687ABD">
        <w:rPr>
          <w:rFonts w:ascii="Times New Roman" w:eastAsia="Times New Roman" w:hAnsi="Times New Roman" w:cs="Times New Roman"/>
          <w:sz w:val="24"/>
          <w:szCs w:val="24"/>
          <w:lang w:eastAsia="en-GB"/>
        </w:rPr>
        <w:t xml:space="preserve"> leaf powder, has demonstrated the feasibility of optimised mixture-design approaches for simultaneously maximising protein content and minimising saturated fat in fortified meal products, with reported protein increases of up to twenty-two per cent and total polyphenol increases of up to eighty per cent relative to unfortified pearl millet flour (Sibanda et al., 2024). Incorporation of pearl millet starch and germ complexes into wheat-based bread formulations has also been investigated for its capacity to modulate glycaemic response in healthy and pre-diabetic populations, reflecting the broader trend towards positioning pearl millet-derived ingredients within functional and medical nutrition product categories rather than solely within traditional staple food markets. The continued expansion of the global millet-based snack and packaged food market, projected to grow substantially over the remainder of the decade, suggests that this diversification of pearl millet product applications is likely to accelerate, provided that persistent constraints in supply chain infrastructure, quality standardisation and consumer awareness are progressively addressed (Muskan et al., 2025).</w:t>
      </w:r>
    </w:p>
    <w:p w14:paraId="3B543273"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9. Future Directions</w:t>
      </w:r>
    </w:p>
    <w:p w14:paraId="28204829"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Several priority areas merit sustained research attention if the nutritional, agronomic and commercial potential of pearl millet is to be more fully realised. Further integration of genomics-assisted breeding with biofortification objectives is warranted, particularly to combine elevated grain iron and zinc density with reduced phytic acid and goitrogenic C-</w:t>
      </w:r>
      <w:proofErr w:type="spellStart"/>
      <w:r w:rsidRPr="00687ABD">
        <w:rPr>
          <w:rFonts w:ascii="Times New Roman" w:eastAsia="Times New Roman" w:hAnsi="Times New Roman" w:cs="Times New Roman"/>
          <w:sz w:val="24"/>
          <w:szCs w:val="24"/>
          <w:lang w:eastAsia="en-GB"/>
        </w:rPr>
        <w:t>glycosylflavone</w:t>
      </w:r>
      <w:proofErr w:type="spellEnd"/>
      <w:r w:rsidRPr="00687ABD">
        <w:rPr>
          <w:rFonts w:ascii="Times New Roman" w:eastAsia="Times New Roman" w:hAnsi="Times New Roman" w:cs="Times New Roman"/>
          <w:sz w:val="24"/>
          <w:szCs w:val="24"/>
          <w:lang w:eastAsia="en-GB"/>
        </w:rPr>
        <w:t xml:space="preserve"> content within single elite cultivars, a combination that has proven genetically and logistically challenging to achieve simultaneously given the partially overlapping biosynthetic pathways involved. There also remains a need for expanded human bioavailability and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studies conducted in vivo, since the substantial existing literature on antinutrient reduction relies predominantly on in vitro digestion models and animal studies, which may not fully predict outcomes in human populations with varying baseline micronutrient status. Comparative techno-economic assessment of emerging non-thermal processing technologies, including cold plasma and ultrasound treatment, is required to establish whether the nutritional and functional benefits demonstrated at laboratory scale can be economically replicated at the industrial scale necessary for meaningful market impact, particularly within the resource-constrained processing environments characteristic of many pearl millet-producing regions. Further research is also needed to characterise genotype-by-environment interactions affecting grain nutritional quality across the diverse agroecological zones in which pearl millet is cultivated, given that existing composition data are frequently drawn from a limited number of growing environments and may not adequately represent the nutritional variability encountered across the crop's full production range. Given the documented decline in direct household consumption of pearl millet even in its historical core-producing regions, demand-side research examining how value addition, public procurement and dietary promotion policy can be used to sustain consumption alongside continued yield growth deserves greater attention. Finally, continued investment in mechanised, purpose-designed primary processing equipment adapted to the specific physical characteristics of pearl millet grain would materially improve processing efficiency and reduce postharvest losses across the value chain, complementing ongoing efforts in genetic improvement and food product innovation.</w:t>
      </w:r>
    </w:p>
    <w:p w14:paraId="797D1353"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10. Conclusions</w:t>
      </w:r>
    </w:p>
    <w:p w14:paraId="4E5B4D77" w14:textId="77777777" w:rsidR="00687ABD" w:rsidRP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occupies a distinctive position among global cereal crops, combining exceptional agronomic resilience to drought, heat and marginal soil conditions with a grain nutritional profile that, in several respects, exceeds that of the major cereals on which global food systems remain heavily dependent. The crop's elevated protein, fibre and mineral density, favourable glycaemic properties, and naturally gluten-free status position it as a credible contributor to both food security in traditional producing regions and functional food innovation in higher-income consumer markets. Realising this potential in practice depends substantially on the effective management of antinutritional constraints, principally phytic acid,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xml:space="preserve">, through appropriate combinations of genetic improvement and processing intervention. The evidence reviewed here indicates that fermentation, germination and malting represent particularly effective processing strategies for simultaneously enhancing nutrient bioavailability and product shelf life, while emerging non-thermal technologies offer promising, though not yet fully commercially validated, complementary approaches. The production picture that emerges from West Africa and India also shows that agronomic resilience alone does not guarantee a secure future for the crop: yield gains and biofortification progress in India have coincided with a marked fall in direct household consumption, while West African output remains constrained by low input use and high year-to-year variability. Continued coordinated investment across breeding, processing technology and value-chain infrastructure will therefore be necessary to translate the </w:t>
      </w:r>
      <w:r w:rsidRPr="00687ABD">
        <w:rPr>
          <w:rFonts w:ascii="Times New Roman" w:eastAsia="Times New Roman" w:hAnsi="Times New Roman" w:cs="Times New Roman"/>
          <w:sz w:val="24"/>
          <w:szCs w:val="24"/>
          <w:lang w:eastAsia="en-GB"/>
        </w:rPr>
        <w:lastRenderedPageBreak/>
        <w:t>substantial scientific progress documented in the recent literature into measurable improvements in farmer livelihoods, consumer nutrition and the broader resilience of global food systems to climatic disruption.</w:t>
      </w:r>
    </w:p>
    <w:p w14:paraId="1FB7A0E1"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11. Limitations</w:t>
      </w:r>
    </w:p>
    <w:p w14:paraId="62A398A0" w14:textId="77777777" w:rsidR="00687ABD" w:rsidRDefault="00687ABD"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This review is subject to several limitations that should be considered when interpreting its findings. The narrative review methodology, while well suited to the integrative objectives of this work, does not incorporate the formal risk-of-bias assessment or quantitative effect-size pooling characteristic of systematic reviews and meta-analyses, and the selection and interpretation of included studies, although conducted according to a structured and transparent search protocol, retains an inherent degree of subjectivity. The restriction of included sources to English-language publications may have excluded relevant findings published in French, Hindi or other languages widely used in major pearl millet-producing regions, potentially introducing a geographic and linguistic bias into the evidence base synthesised here. Much of the compositional and processing data reviewed originate from laboratory-scale studies conducted under controlled conditions, which may not fully capture the variability encountered under commercial processing scale or the diverse agroecological and socioeconomic contexts in which pearl millet is cultivated and consumed globally. The regional production data presented in Section 3.1 are also drawn from sources spanning different reference years, since consistent, crop-specific, up-to-date statistics for pearl millet alone are not uniformly available across all producing countries; figures should therefore be read as indicative of relative scale and long-term trend rather than as precisely comparable across countries or years. Finally, the rapidly evolving nature of pearl millet genomics and biofortification research means that this review, despite covering literature up to April 2026, should be understood as a synthesis of the evidence available at the time of writing rather than a permanently definitive account of the field.</w:t>
      </w:r>
    </w:p>
    <w:p w14:paraId="39231781" w14:textId="77777777" w:rsidR="007F6C7C" w:rsidRPr="000839CE" w:rsidRDefault="007F6C7C" w:rsidP="0065424F">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1249807D" w14:textId="77777777" w:rsidR="007F6C7C" w:rsidRPr="000839CE" w:rsidRDefault="007F6C7C" w:rsidP="0065424F">
      <w:pPr>
        <w:spacing w:after="0" w:line="240" w:lineRule="auto"/>
        <w:jc w:val="both"/>
        <w:rPr>
          <w:rFonts w:ascii="Times New Roman" w:hAnsi="Times New Roman" w:cs="Times New Roman"/>
        </w:rPr>
      </w:pPr>
    </w:p>
    <w:p w14:paraId="28D2FFF9" w14:textId="77777777" w:rsidR="007F6C7C" w:rsidRPr="000839CE" w:rsidRDefault="007F6C7C" w:rsidP="0065424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1B2AEA7" w14:textId="77777777" w:rsidR="007F6C7C" w:rsidRPr="00687ABD" w:rsidRDefault="007F6C7C" w:rsidP="0065424F">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7EE3032C" w14:textId="77777777" w:rsidR="00687ABD" w:rsidRPr="00687ABD" w:rsidRDefault="00687ABD" w:rsidP="0065424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References</w:t>
      </w:r>
    </w:p>
    <w:p w14:paraId="5AA0A243"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Akeem, S. A., Mustapha, B. O., Ayinla, R. O., Ajibola, O., Johnson, W. O., &amp; Akintayo, O. A. (2023). Physical characteristics, nutritional composition and acceptability of gluten-free crackers produced from germinated pearl millet (</w:t>
      </w:r>
      <w:r w:rsidRPr="00CC4063">
        <w:rPr>
          <w:rFonts w:ascii="Times New Roman" w:eastAsia="Times New Roman" w:hAnsi="Times New Roman" w:cs="Times New Roman"/>
          <w:i/>
          <w:iCs/>
          <w:sz w:val="24"/>
          <w:szCs w:val="24"/>
          <w:lang w:val="en-US"/>
        </w:rPr>
        <w:t>Pennisetum glaucum</w:t>
      </w:r>
      <w:r w:rsidRPr="00CC4063">
        <w:rPr>
          <w:rFonts w:ascii="Times New Roman" w:eastAsia="Times New Roman" w:hAnsi="Times New Roman" w:cs="Times New Roman"/>
          <w:sz w:val="24"/>
          <w:szCs w:val="24"/>
          <w:lang w:val="en-US"/>
        </w:rPr>
        <w:t>), defatted-sesame seed (</w:t>
      </w:r>
      <w:r w:rsidRPr="00CC4063">
        <w:rPr>
          <w:rFonts w:ascii="Times New Roman" w:eastAsia="Times New Roman" w:hAnsi="Times New Roman" w:cs="Times New Roman"/>
          <w:i/>
          <w:iCs/>
          <w:sz w:val="24"/>
          <w:szCs w:val="24"/>
          <w:lang w:val="en-US"/>
        </w:rPr>
        <w:t>Sesamum indicum</w:t>
      </w:r>
      <w:r w:rsidRPr="00CC4063">
        <w:rPr>
          <w:rFonts w:ascii="Times New Roman" w:eastAsia="Times New Roman" w:hAnsi="Times New Roman" w:cs="Times New Roman"/>
          <w:sz w:val="24"/>
          <w:szCs w:val="24"/>
          <w:lang w:val="en-US"/>
        </w:rPr>
        <w:t>) and defatted-</w:t>
      </w:r>
      <w:proofErr w:type="spellStart"/>
      <w:r w:rsidRPr="00CC4063">
        <w:rPr>
          <w:rFonts w:ascii="Times New Roman" w:eastAsia="Times New Roman" w:hAnsi="Times New Roman" w:cs="Times New Roman"/>
          <w:sz w:val="24"/>
          <w:szCs w:val="24"/>
          <w:lang w:val="en-US"/>
        </w:rPr>
        <w:t>tigernut</w:t>
      </w:r>
      <w:proofErr w:type="spellEnd"/>
      <w:r w:rsidRPr="00CC4063">
        <w:rPr>
          <w:rFonts w:ascii="Times New Roman" w:eastAsia="Times New Roman" w:hAnsi="Times New Roman" w:cs="Times New Roman"/>
          <w:sz w:val="24"/>
          <w:szCs w:val="24"/>
          <w:lang w:val="en-US"/>
        </w:rPr>
        <w:t xml:space="preserve"> (</w:t>
      </w:r>
      <w:r w:rsidRPr="00CC4063">
        <w:rPr>
          <w:rFonts w:ascii="Times New Roman" w:eastAsia="Times New Roman" w:hAnsi="Times New Roman" w:cs="Times New Roman"/>
          <w:i/>
          <w:iCs/>
          <w:sz w:val="24"/>
          <w:szCs w:val="24"/>
          <w:lang w:val="en-US"/>
        </w:rPr>
        <w:t>Cyperus esculentus</w:t>
      </w:r>
      <w:r w:rsidRPr="00CC4063">
        <w:rPr>
          <w:rFonts w:ascii="Times New Roman" w:eastAsia="Times New Roman" w:hAnsi="Times New Roman" w:cs="Times New Roman"/>
          <w:sz w:val="24"/>
          <w:szCs w:val="24"/>
          <w:lang w:val="en-US"/>
        </w:rPr>
        <w:t xml:space="preserve">) composite flours. </w:t>
      </w:r>
      <w:r w:rsidRPr="00CC4063">
        <w:rPr>
          <w:rFonts w:ascii="Times New Roman" w:eastAsia="Times New Roman" w:hAnsi="Times New Roman" w:cs="Times New Roman"/>
          <w:i/>
          <w:iCs/>
          <w:sz w:val="24"/>
          <w:szCs w:val="24"/>
          <w:lang w:val="en-US"/>
        </w:rPr>
        <w:t>Discover Food, 3</w:t>
      </w:r>
      <w:r w:rsidRPr="00CC4063">
        <w:rPr>
          <w:rFonts w:ascii="Times New Roman" w:eastAsia="Times New Roman" w:hAnsi="Times New Roman" w:cs="Times New Roman"/>
          <w:sz w:val="24"/>
          <w:szCs w:val="24"/>
          <w:lang w:val="en-US"/>
        </w:rPr>
        <w:t xml:space="preserve">(1), 22. </w:t>
      </w:r>
      <w:hyperlink r:id="rId7" w:tgtFrame="_new" w:history="1">
        <w:r w:rsidRPr="00CC4063">
          <w:rPr>
            <w:rFonts w:ascii="Times New Roman" w:eastAsia="Times New Roman" w:hAnsi="Times New Roman" w:cs="Times New Roman"/>
            <w:color w:val="0000FF"/>
            <w:sz w:val="24"/>
            <w:szCs w:val="24"/>
            <w:u w:val="single"/>
            <w:lang w:val="en-US"/>
          </w:rPr>
          <w:t>https://doi.org/10.1007/s44187-023-00063-7</w:t>
        </w:r>
      </w:hyperlink>
    </w:p>
    <w:p w14:paraId="5F7DC406"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Anitha, S., Kane-</w:t>
      </w:r>
      <w:proofErr w:type="spellStart"/>
      <w:r w:rsidRPr="00CC4063">
        <w:rPr>
          <w:rFonts w:ascii="Times New Roman" w:eastAsia="Times New Roman" w:hAnsi="Times New Roman" w:cs="Times New Roman"/>
          <w:sz w:val="24"/>
          <w:szCs w:val="24"/>
          <w:lang w:val="en-US"/>
        </w:rPr>
        <w:t>Potaka</w:t>
      </w:r>
      <w:proofErr w:type="spellEnd"/>
      <w:r w:rsidRPr="00CC4063">
        <w:rPr>
          <w:rFonts w:ascii="Times New Roman" w:eastAsia="Times New Roman" w:hAnsi="Times New Roman" w:cs="Times New Roman"/>
          <w:sz w:val="24"/>
          <w:szCs w:val="24"/>
          <w:lang w:val="en-US"/>
        </w:rPr>
        <w:t xml:space="preserve">, J., </w:t>
      </w:r>
      <w:proofErr w:type="spellStart"/>
      <w:r w:rsidRPr="00CC4063">
        <w:rPr>
          <w:rFonts w:ascii="Times New Roman" w:eastAsia="Times New Roman" w:hAnsi="Times New Roman" w:cs="Times New Roman"/>
          <w:sz w:val="24"/>
          <w:szCs w:val="24"/>
          <w:lang w:val="en-US"/>
        </w:rPr>
        <w:t>Tsusaka</w:t>
      </w:r>
      <w:proofErr w:type="spellEnd"/>
      <w:r w:rsidRPr="00CC4063">
        <w:rPr>
          <w:rFonts w:ascii="Times New Roman" w:eastAsia="Times New Roman" w:hAnsi="Times New Roman" w:cs="Times New Roman"/>
          <w:sz w:val="24"/>
          <w:szCs w:val="24"/>
          <w:lang w:val="en-US"/>
        </w:rPr>
        <w:t xml:space="preserve">, T. W., Botha, R., Rajendran, A., Givens, D. I., </w:t>
      </w:r>
      <w:proofErr w:type="spellStart"/>
      <w:r w:rsidRPr="00CC4063">
        <w:rPr>
          <w:rFonts w:ascii="Times New Roman" w:eastAsia="Times New Roman" w:hAnsi="Times New Roman" w:cs="Times New Roman"/>
          <w:sz w:val="24"/>
          <w:szCs w:val="24"/>
          <w:lang w:val="en-US"/>
        </w:rPr>
        <w:t>Parasannanavar</w:t>
      </w:r>
      <w:proofErr w:type="spellEnd"/>
      <w:r w:rsidRPr="00CC4063">
        <w:rPr>
          <w:rFonts w:ascii="Times New Roman" w:eastAsia="Times New Roman" w:hAnsi="Times New Roman" w:cs="Times New Roman"/>
          <w:sz w:val="24"/>
          <w:szCs w:val="24"/>
          <w:lang w:val="en-US"/>
        </w:rPr>
        <w:t xml:space="preserve">, D. J., Subramaniam, K., Prasad, K. D. V., Vetriventhan, M., &amp; Bhandari, R. </w:t>
      </w:r>
      <w:r w:rsidRPr="00CC4063">
        <w:rPr>
          <w:rFonts w:ascii="Times New Roman" w:eastAsia="Times New Roman" w:hAnsi="Times New Roman" w:cs="Times New Roman"/>
          <w:sz w:val="24"/>
          <w:szCs w:val="24"/>
          <w:lang w:val="en-US"/>
        </w:rPr>
        <w:lastRenderedPageBreak/>
        <w:t xml:space="preserve">K. (2021). A systematic review and meta-analysis of the potential of millets for managing and reducing the risk of developing diabetes mellitus. </w:t>
      </w:r>
      <w:r w:rsidRPr="00CC4063">
        <w:rPr>
          <w:rFonts w:ascii="Times New Roman" w:eastAsia="Times New Roman" w:hAnsi="Times New Roman" w:cs="Times New Roman"/>
          <w:i/>
          <w:iCs/>
          <w:sz w:val="24"/>
          <w:szCs w:val="24"/>
          <w:lang w:val="en-US"/>
        </w:rPr>
        <w:t>Frontiers in Nutrition, 8</w:t>
      </w:r>
      <w:r w:rsidRPr="00CC4063">
        <w:rPr>
          <w:rFonts w:ascii="Times New Roman" w:eastAsia="Times New Roman" w:hAnsi="Times New Roman" w:cs="Times New Roman"/>
          <w:sz w:val="24"/>
          <w:szCs w:val="24"/>
          <w:lang w:val="en-US"/>
        </w:rPr>
        <w:t xml:space="preserve">, 687428. </w:t>
      </w:r>
      <w:hyperlink r:id="rId8" w:tgtFrame="_new" w:history="1">
        <w:r w:rsidRPr="00CC4063">
          <w:rPr>
            <w:rFonts w:ascii="Times New Roman" w:eastAsia="Times New Roman" w:hAnsi="Times New Roman" w:cs="Times New Roman"/>
            <w:color w:val="0000FF"/>
            <w:sz w:val="24"/>
            <w:szCs w:val="24"/>
            <w:u w:val="single"/>
            <w:lang w:val="en-US"/>
          </w:rPr>
          <w:t>https://doi.org/10.3389/fnut.2021.687428</w:t>
        </w:r>
      </w:hyperlink>
    </w:p>
    <w:p w14:paraId="76D5F24B"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Ansari, K. H., </w:t>
      </w:r>
      <w:proofErr w:type="spellStart"/>
      <w:r w:rsidRPr="00CC4063">
        <w:rPr>
          <w:rFonts w:ascii="Times New Roman" w:eastAsia="Times New Roman" w:hAnsi="Times New Roman" w:cs="Times New Roman"/>
          <w:sz w:val="24"/>
          <w:szCs w:val="24"/>
          <w:lang w:val="en-US"/>
        </w:rPr>
        <w:t>Muniyoor</w:t>
      </w:r>
      <w:proofErr w:type="spellEnd"/>
      <w:r w:rsidRPr="00CC4063">
        <w:rPr>
          <w:rFonts w:ascii="Times New Roman" w:eastAsia="Times New Roman" w:hAnsi="Times New Roman" w:cs="Times New Roman"/>
          <w:sz w:val="24"/>
          <w:szCs w:val="24"/>
          <w:lang w:val="en-US"/>
        </w:rPr>
        <w:t xml:space="preserve">, K., &amp; </w:t>
      </w:r>
      <w:proofErr w:type="spellStart"/>
      <w:r w:rsidRPr="00CC4063">
        <w:rPr>
          <w:rFonts w:ascii="Times New Roman" w:eastAsia="Times New Roman" w:hAnsi="Times New Roman" w:cs="Times New Roman"/>
          <w:sz w:val="24"/>
          <w:szCs w:val="24"/>
          <w:lang w:val="en-US"/>
        </w:rPr>
        <w:t>Routroy</w:t>
      </w:r>
      <w:proofErr w:type="spellEnd"/>
      <w:r w:rsidRPr="00CC4063">
        <w:rPr>
          <w:rFonts w:ascii="Times New Roman" w:eastAsia="Times New Roman" w:hAnsi="Times New Roman" w:cs="Times New Roman"/>
          <w:sz w:val="24"/>
          <w:szCs w:val="24"/>
          <w:lang w:val="en-US"/>
        </w:rPr>
        <w:t xml:space="preserve">, S. (2025). Determinants of food consumption: The case of pearl millet in India’s dietary transition. </w:t>
      </w:r>
      <w:r w:rsidRPr="00CC4063">
        <w:rPr>
          <w:rFonts w:ascii="Times New Roman" w:eastAsia="Times New Roman" w:hAnsi="Times New Roman" w:cs="Times New Roman"/>
          <w:i/>
          <w:iCs/>
          <w:sz w:val="24"/>
          <w:szCs w:val="24"/>
          <w:lang w:val="en-US"/>
        </w:rPr>
        <w:t>Agriculture &amp; Food Security, 14</w:t>
      </w:r>
      <w:r w:rsidRPr="00CC4063">
        <w:rPr>
          <w:rFonts w:ascii="Times New Roman" w:eastAsia="Times New Roman" w:hAnsi="Times New Roman" w:cs="Times New Roman"/>
          <w:sz w:val="24"/>
          <w:szCs w:val="24"/>
          <w:lang w:val="en-US"/>
        </w:rPr>
        <w:t xml:space="preserve">, 30. </w:t>
      </w:r>
      <w:hyperlink r:id="rId9" w:tgtFrame="_new" w:history="1">
        <w:r w:rsidRPr="00CC4063">
          <w:rPr>
            <w:rFonts w:ascii="Times New Roman" w:eastAsia="Times New Roman" w:hAnsi="Times New Roman" w:cs="Times New Roman"/>
            <w:color w:val="0000FF"/>
            <w:sz w:val="24"/>
            <w:szCs w:val="24"/>
            <w:u w:val="single"/>
            <w:lang w:val="en-US"/>
          </w:rPr>
          <w:t>https://doi.org/10.1186/s40066-025-00553-0</w:t>
        </w:r>
      </w:hyperlink>
    </w:p>
    <w:p w14:paraId="08BD1877"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Bheemaiah</w:t>
      </w:r>
      <w:proofErr w:type="spellEnd"/>
      <w:r w:rsidRPr="00CC4063">
        <w:rPr>
          <w:rFonts w:ascii="Times New Roman" w:eastAsia="Times New Roman" w:hAnsi="Times New Roman" w:cs="Times New Roman"/>
          <w:sz w:val="24"/>
          <w:szCs w:val="24"/>
          <w:lang w:val="en-US"/>
        </w:rPr>
        <w:t xml:space="preserve"> Balyatanda, S., Gowda, N. A. N., Subbiah, J., Chakraborty, S., Prasad, P. V. V., &amp; </w:t>
      </w:r>
      <w:proofErr w:type="spellStart"/>
      <w:r w:rsidRPr="00CC4063">
        <w:rPr>
          <w:rFonts w:ascii="Times New Roman" w:eastAsia="Times New Roman" w:hAnsi="Times New Roman" w:cs="Times New Roman"/>
          <w:sz w:val="24"/>
          <w:szCs w:val="24"/>
          <w:lang w:val="en-US"/>
        </w:rPr>
        <w:t>Siliveru</w:t>
      </w:r>
      <w:proofErr w:type="spellEnd"/>
      <w:r w:rsidRPr="00CC4063">
        <w:rPr>
          <w:rFonts w:ascii="Times New Roman" w:eastAsia="Times New Roman" w:hAnsi="Times New Roman" w:cs="Times New Roman"/>
          <w:sz w:val="24"/>
          <w:szCs w:val="24"/>
          <w:lang w:val="en-US"/>
        </w:rPr>
        <w:t xml:space="preserve">, K. (2024). Physiochemical, bio, thermal, and non-thermal processing of major and minor millets: A comprehensive review on antinutritional and antioxidant properties. </w:t>
      </w:r>
      <w:r w:rsidRPr="00CC4063">
        <w:rPr>
          <w:rFonts w:ascii="Times New Roman" w:eastAsia="Times New Roman" w:hAnsi="Times New Roman" w:cs="Times New Roman"/>
          <w:i/>
          <w:iCs/>
          <w:sz w:val="24"/>
          <w:szCs w:val="24"/>
          <w:lang w:val="en-US"/>
        </w:rPr>
        <w:t>Foods, 13</w:t>
      </w:r>
      <w:r w:rsidRPr="00CC4063">
        <w:rPr>
          <w:rFonts w:ascii="Times New Roman" w:eastAsia="Times New Roman" w:hAnsi="Times New Roman" w:cs="Times New Roman"/>
          <w:sz w:val="24"/>
          <w:szCs w:val="24"/>
          <w:lang w:val="en-US"/>
        </w:rPr>
        <w:t xml:space="preserve">(22), 3684. </w:t>
      </w:r>
      <w:hyperlink r:id="rId10" w:tgtFrame="_new" w:history="1">
        <w:r w:rsidRPr="00CC4063">
          <w:rPr>
            <w:rFonts w:ascii="Times New Roman" w:eastAsia="Times New Roman" w:hAnsi="Times New Roman" w:cs="Times New Roman"/>
            <w:color w:val="0000FF"/>
            <w:sz w:val="24"/>
            <w:szCs w:val="24"/>
            <w:u w:val="single"/>
            <w:lang w:val="en-US"/>
          </w:rPr>
          <w:t>https://doi.org/10.3390/foods13223684</w:t>
        </w:r>
      </w:hyperlink>
    </w:p>
    <w:p w14:paraId="5F4592E7"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Boncompagni</w:t>
      </w:r>
      <w:proofErr w:type="spellEnd"/>
      <w:r w:rsidRPr="00CC4063">
        <w:rPr>
          <w:rFonts w:ascii="Times New Roman" w:eastAsia="Times New Roman" w:hAnsi="Times New Roman" w:cs="Times New Roman"/>
          <w:sz w:val="24"/>
          <w:szCs w:val="24"/>
          <w:lang w:val="en-US"/>
        </w:rPr>
        <w:t xml:space="preserve">, E., Orozco-Arroyo, G., </w:t>
      </w:r>
      <w:proofErr w:type="spellStart"/>
      <w:r w:rsidRPr="00CC4063">
        <w:rPr>
          <w:rFonts w:ascii="Times New Roman" w:eastAsia="Times New Roman" w:hAnsi="Times New Roman" w:cs="Times New Roman"/>
          <w:sz w:val="24"/>
          <w:szCs w:val="24"/>
          <w:lang w:val="en-US"/>
        </w:rPr>
        <w:t>Cominelli</w:t>
      </w:r>
      <w:proofErr w:type="spellEnd"/>
      <w:r w:rsidRPr="00CC4063">
        <w:rPr>
          <w:rFonts w:ascii="Times New Roman" w:eastAsia="Times New Roman" w:hAnsi="Times New Roman" w:cs="Times New Roman"/>
          <w:sz w:val="24"/>
          <w:szCs w:val="24"/>
          <w:lang w:val="en-US"/>
        </w:rPr>
        <w:t xml:space="preserve">, E., </w:t>
      </w:r>
      <w:proofErr w:type="spellStart"/>
      <w:r w:rsidRPr="00CC4063">
        <w:rPr>
          <w:rFonts w:ascii="Times New Roman" w:eastAsia="Times New Roman" w:hAnsi="Times New Roman" w:cs="Times New Roman"/>
          <w:sz w:val="24"/>
          <w:szCs w:val="24"/>
          <w:lang w:val="en-US"/>
        </w:rPr>
        <w:t>Gangashetty</w:t>
      </w:r>
      <w:proofErr w:type="spellEnd"/>
      <w:r w:rsidRPr="00CC4063">
        <w:rPr>
          <w:rFonts w:ascii="Times New Roman" w:eastAsia="Times New Roman" w:hAnsi="Times New Roman" w:cs="Times New Roman"/>
          <w:sz w:val="24"/>
          <w:szCs w:val="24"/>
          <w:lang w:val="en-US"/>
        </w:rPr>
        <w:t xml:space="preserve">, P. I., Grando, S., Kwaku Zu, T. T., Daminati, M. G., Nielsen, E., &amp; </w:t>
      </w:r>
      <w:proofErr w:type="spellStart"/>
      <w:r w:rsidRPr="00CC4063">
        <w:rPr>
          <w:rFonts w:ascii="Times New Roman" w:eastAsia="Times New Roman" w:hAnsi="Times New Roman" w:cs="Times New Roman"/>
          <w:sz w:val="24"/>
          <w:szCs w:val="24"/>
          <w:lang w:val="en-US"/>
        </w:rPr>
        <w:t>Sparvoli</w:t>
      </w:r>
      <w:proofErr w:type="spellEnd"/>
      <w:r w:rsidRPr="00CC4063">
        <w:rPr>
          <w:rFonts w:ascii="Times New Roman" w:eastAsia="Times New Roman" w:hAnsi="Times New Roman" w:cs="Times New Roman"/>
          <w:sz w:val="24"/>
          <w:szCs w:val="24"/>
          <w:lang w:val="en-US"/>
        </w:rPr>
        <w:t xml:space="preserve">, F. (2018). Antinutritional factors in pearl millet grains: Phytate and goitrogens content variability and molecular characterization of genes involved in their pathways. </w:t>
      </w:r>
      <w:r w:rsidRPr="00CC4063">
        <w:rPr>
          <w:rFonts w:ascii="Times New Roman" w:eastAsia="Times New Roman" w:hAnsi="Times New Roman" w:cs="Times New Roman"/>
          <w:i/>
          <w:iCs/>
          <w:sz w:val="24"/>
          <w:szCs w:val="24"/>
          <w:lang w:val="en-US"/>
        </w:rPr>
        <w:t>PLOS ONE, 13</w:t>
      </w:r>
      <w:r w:rsidRPr="00CC4063">
        <w:rPr>
          <w:rFonts w:ascii="Times New Roman" w:eastAsia="Times New Roman" w:hAnsi="Times New Roman" w:cs="Times New Roman"/>
          <w:sz w:val="24"/>
          <w:szCs w:val="24"/>
          <w:lang w:val="en-US"/>
        </w:rPr>
        <w:t xml:space="preserve">(6), e0198394. </w:t>
      </w:r>
      <w:hyperlink r:id="rId11" w:tgtFrame="_new" w:history="1">
        <w:r w:rsidRPr="00CC4063">
          <w:rPr>
            <w:rFonts w:ascii="Times New Roman" w:eastAsia="Times New Roman" w:hAnsi="Times New Roman" w:cs="Times New Roman"/>
            <w:color w:val="0000FF"/>
            <w:sz w:val="24"/>
            <w:szCs w:val="24"/>
            <w:u w:val="single"/>
            <w:lang w:val="en-US"/>
          </w:rPr>
          <w:t>https://doi.org/10.1371/journal.pone.0198394</w:t>
        </w:r>
      </w:hyperlink>
    </w:p>
    <w:p w14:paraId="0B219A30"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Chaturvedi, P., Govindaraj, M., Govindan, V., &amp; Weckwerth, W. (2022). Editorial: Sorghum and pearl millet as climate resilient crops for food and nutrition security. </w:t>
      </w:r>
      <w:r w:rsidRPr="00CC4063">
        <w:rPr>
          <w:rFonts w:ascii="Times New Roman" w:eastAsia="Times New Roman" w:hAnsi="Times New Roman" w:cs="Times New Roman"/>
          <w:i/>
          <w:iCs/>
          <w:sz w:val="24"/>
          <w:szCs w:val="24"/>
          <w:lang w:val="en-US"/>
        </w:rPr>
        <w:t>Frontiers in Plant Science, 13</w:t>
      </w:r>
      <w:r w:rsidRPr="00CC4063">
        <w:rPr>
          <w:rFonts w:ascii="Times New Roman" w:eastAsia="Times New Roman" w:hAnsi="Times New Roman" w:cs="Times New Roman"/>
          <w:sz w:val="24"/>
          <w:szCs w:val="24"/>
          <w:lang w:val="en-US"/>
        </w:rPr>
        <w:t xml:space="preserve">, 851970. </w:t>
      </w:r>
      <w:hyperlink r:id="rId12" w:tgtFrame="_new" w:history="1">
        <w:r w:rsidRPr="00CC4063">
          <w:rPr>
            <w:rFonts w:ascii="Times New Roman" w:eastAsia="Times New Roman" w:hAnsi="Times New Roman" w:cs="Times New Roman"/>
            <w:color w:val="0000FF"/>
            <w:sz w:val="24"/>
            <w:szCs w:val="24"/>
            <w:u w:val="single"/>
            <w:lang w:val="en-US"/>
          </w:rPr>
          <w:t>https://doi.org/10.3389/fpls.2022.851970</w:t>
        </w:r>
      </w:hyperlink>
    </w:p>
    <w:p w14:paraId="2324D6FE"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Chaturvedi, P., Govindaraj, M., Sehgal, D., &amp; Weckwerth, W. (2023). Editorial: Sorghum and pearl millet as climate resilient crops for food and nutrition security, volume II. </w:t>
      </w:r>
      <w:r w:rsidRPr="00CC4063">
        <w:rPr>
          <w:rFonts w:ascii="Times New Roman" w:eastAsia="Times New Roman" w:hAnsi="Times New Roman" w:cs="Times New Roman"/>
          <w:i/>
          <w:iCs/>
          <w:sz w:val="24"/>
          <w:szCs w:val="24"/>
          <w:lang w:val="en-US"/>
        </w:rPr>
        <w:t>Frontiers in Plant Science, 14</w:t>
      </w:r>
      <w:r w:rsidRPr="00CC4063">
        <w:rPr>
          <w:rFonts w:ascii="Times New Roman" w:eastAsia="Times New Roman" w:hAnsi="Times New Roman" w:cs="Times New Roman"/>
          <w:sz w:val="24"/>
          <w:szCs w:val="24"/>
          <w:lang w:val="en-US"/>
        </w:rPr>
        <w:t xml:space="preserve">, 1170103. </w:t>
      </w:r>
      <w:hyperlink r:id="rId13" w:tgtFrame="_new" w:history="1">
        <w:r w:rsidRPr="00CC4063">
          <w:rPr>
            <w:rFonts w:ascii="Times New Roman" w:eastAsia="Times New Roman" w:hAnsi="Times New Roman" w:cs="Times New Roman"/>
            <w:color w:val="0000FF"/>
            <w:sz w:val="24"/>
            <w:szCs w:val="24"/>
            <w:u w:val="single"/>
            <w:lang w:val="en-US"/>
          </w:rPr>
          <w:t>https://doi.org/10.3389/fpls.2023.1170103</w:t>
        </w:r>
      </w:hyperlink>
    </w:p>
    <w:p w14:paraId="5758808D"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Food and Agriculture Organization of the United Nations. (2025, April 24). </w:t>
      </w:r>
      <w:r w:rsidRPr="00CC4063">
        <w:rPr>
          <w:rFonts w:ascii="Times New Roman" w:eastAsia="Times New Roman" w:hAnsi="Times New Roman" w:cs="Times New Roman"/>
          <w:i/>
          <w:iCs/>
          <w:sz w:val="24"/>
          <w:szCs w:val="24"/>
          <w:lang w:val="en-US"/>
        </w:rPr>
        <w:t>Global efforts to harness science and partnerships to transform millets</w:t>
      </w:r>
      <w:r w:rsidRPr="00CC4063">
        <w:rPr>
          <w:rFonts w:ascii="Times New Roman" w:eastAsia="Times New Roman" w:hAnsi="Times New Roman" w:cs="Times New Roman"/>
          <w:sz w:val="24"/>
          <w:szCs w:val="24"/>
          <w:lang w:val="en-US"/>
        </w:rPr>
        <w:t xml:space="preserve">. </w:t>
      </w:r>
      <w:hyperlink r:id="rId14" w:tgtFrame="_new" w:history="1">
        <w:r w:rsidRPr="00CC4063">
          <w:rPr>
            <w:rFonts w:ascii="Times New Roman" w:eastAsia="Times New Roman" w:hAnsi="Times New Roman" w:cs="Times New Roman"/>
            <w:color w:val="0000FF"/>
            <w:sz w:val="24"/>
            <w:szCs w:val="24"/>
            <w:u w:val="single"/>
            <w:lang w:val="en-US"/>
          </w:rPr>
          <w:t>https://www.fao.org/plant-production-protection/news-and-events/news/news-detail/global-effort-to-harness-science-and-partnerships-to-transform-millets/en</w:t>
        </w:r>
      </w:hyperlink>
    </w:p>
    <w:p w14:paraId="6BF68E5F"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Goud, C. A., </w:t>
      </w:r>
      <w:proofErr w:type="spellStart"/>
      <w:r w:rsidRPr="00CC4063">
        <w:rPr>
          <w:rFonts w:ascii="Times New Roman" w:eastAsia="Times New Roman" w:hAnsi="Times New Roman" w:cs="Times New Roman"/>
          <w:sz w:val="24"/>
          <w:szCs w:val="24"/>
          <w:lang w:val="en-US"/>
        </w:rPr>
        <w:t>Satturu</w:t>
      </w:r>
      <w:proofErr w:type="spellEnd"/>
      <w:r w:rsidRPr="00CC4063">
        <w:rPr>
          <w:rFonts w:ascii="Times New Roman" w:eastAsia="Times New Roman" w:hAnsi="Times New Roman" w:cs="Times New Roman"/>
          <w:sz w:val="24"/>
          <w:szCs w:val="24"/>
          <w:lang w:val="en-US"/>
        </w:rPr>
        <w:t xml:space="preserve">, V., </w:t>
      </w:r>
      <w:proofErr w:type="spellStart"/>
      <w:r w:rsidRPr="00CC4063">
        <w:rPr>
          <w:rFonts w:ascii="Times New Roman" w:eastAsia="Times New Roman" w:hAnsi="Times New Roman" w:cs="Times New Roman"/>
          <w:sz w:val="24"/>
          <w:szCs w:val="24"/>
          <w:lang w:val="en-US"/>
        </w:rPr>
        <w:t>Malipatil</w:t>
      </w:r>
      <w:proofErr w:type="spellEnd"/>
      <w:r w:rsidRPr="00CC4063">
        <w:rPr>
          <w:rFonts w:ascii="Times New Roman" w:eastAsia="Times New Roman" w:hAnsi="Times New Roman" w:cs="Times New Roman"/>
          <w:sz w:val="24"/>
          <w:szCs w:val="24"/>
          <w:lang w:val="en-US"/>
        </w:rPr>
        <w:t xml:space="preserve">, R., Viswanath, A., </w:t>
      </w:r>
      <w:proofErr w:type="spellStart"/>
      <w:r w:rsidRPr="00CC4063">
        <w:rPr>
          <w:rFonts w:ascii="Times New Roman" w:eastAsia="Times New Roman" w:hAnsi="Times New Roman" w:cs="Times New Roman"/>
          <w:sz w:val="24"/>
          <w:szCs w:val="24"/>
          <w:lang w:val="en-US"/>
        </w:rPr>
        <w:t>Semalaiyappan</w:t>
      </w:r>
      <w:proofErr w:type="spellEnd"/>
      <w:r w:rsidRPr="00CC4063">
        <w:rPr>
          <w:rFonts w:ascii="Times New Roman" w:eastAsia="Times New Roman" w:hAnsi="Times New Roman" w:cs="Times New Roman"/>
          <w:sz w:val="24"/>
          <w:szCs w:val="24"/>
          <w:lang w:val="en-US"/>
        </w:rPr>
        <w:t xml:space="preserve">, J., </w:t>
      </w:r>
      <w:proofErr w:type="spellStart"/>
      <w:r w:rsidRPr="00CC4063">
        <w:rPr>
          <w:rFonts w:ascii="Times New Roman" w:eastAsia="Times New Roman" w:hAnsi="Times New Roman" w:cs="Times New Roman"/>
          <w:sz w:val="24"/>
          <w:szCs w:val="24"/>
          <w:lang w:val="en-US"/>
        </w:rPr>
        <w:t>Kudapa</w:t>
      </w:r>
      <w:proofErr w:type="spellEnd"/>
      <w:r w:rsidRPr="00CC4063">
        <w:rPr>
          <w:rFonts w:ascii="Times New Roman" w:eastAsia="Times New Roman" w:hAnsi="Times New Roman" w:cs="Times New Roman"/>
          <w:sz w:val="24"/>
          <w:szCs w:val="24"/>
          <w:lang w:val="en-US"/>
        </w:rPr>
        <w:t xml:space="preserve">, H., Rathod, S., Rathore, A., Govindaraj, M., &amp; Thirunavukkarasu, N. (2022). Identification of iron and zinc responsive genes in pearl millet using genome-wide RNA-sequencing approach. </w:t>
      </w:r>
      <w:r w:rsidRPr="00CC4063">
        <w:rPr>
          <w:rFonts w:ascii="Times New Roman" w:eastAsia="Times New Roman" w:hAnsi="Times New Roman" w:cs="Times New Roman"/>
          <w:i/>
          <w:iCs/>
          <w:sz w:val="24"/>
          <w:szCs w:val="24"/>
          <w:lang w:val="en-US"/>
        </w:rPr>
        <w:t>Frontiers in Nutrition, 9</w:t>
      </w:r>
      <w:r w:rsidRPr="00CC4063">
        <w:rPr>
          <w:rFonts w:ascii="Times New Roman" w:eastAsia="Times New Roman" w:hAnsi="Times New Roman" w:cs="Times New Roman"/>
          <w:sz w:val="24"/>
          <w:szCs w:val="24"/>
          <w:lang w:val="en-US"/>
        </w:rPr>
        <w:t xml:space="preserve">, 884381. </w:t>
      </w:r>
      <w:hyperlink r:id="rId15" w:tgtFrame="_new" w:history="1">
        <w:r w:rsidRPr="00CC4063">
          <w:rPr>
            <w:rFonts w:ascii="Times New Roman" w:eastAsia="Times New Roman" w:hAnsi="Times New Roman" w:cs="Times New Roman"/>
            <w:color w:val="0000FF"/>
            <w:sz w:val="24"/>
            <w:szCs w:val="24"/>
            <w:u w:val="single"/>
            <w:lang w:val="en-US"/>
          </w:rPr>
          <w:t>https://doi.org/10.3389/fnut.2022.884381</w:t>
        </w:r>
      </w:hyperlink>
    </w:p>
    <w:p w14:paraId="6CC0C12E"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Govindaraj, M., Rai, K. N., </w:t>
      </w:r>
      <w:proofErr w:type="spellStart"/>
      <w:r w:rsidRPr="00CC4063">
        <w:rPr>
          <w:rFonts w:ascii="Times New Roman" w:eastAsia="Times New Roman" w:hAnsi="Times New Roman" w:cs="Times New Roman"/>
          <w:sz w:val="24"/>
          <w:szCs w:val="24"/>
          <w:lang w:val="en-US"/>
        </w:rPr>
        <w:t>Kanatti</w:t>
      </w:r>
      <w:proofErr w:type="spellEnd"/>
      <w:r w:rsidRPr="00CC4063">
        <w:rPr>
          <w:rFonts w:ascii="Times New Roman" w:eastAsia="Times New Roman" w:hAnsi="Times New Roman" w:cs="Times New Roman"/>
          <w:sz w:val="24"/>
          <w:szCs w:val="24"/>
          <w:lang w:val="en-US"/>
        </w:rPr>
        <w:t xml:space="preserve">, A., Upadhyaya, H. D., </w:t>
      </w:r>
      <w:proofErr w:type="spellStart"/>
      <w:r w:rsidRPr="00CC4063">
        <w:rPr>
          <w:rFonts w:ascii="Times New Roman" w:eastAsia="Times New Roman" w:hAnsi="Times New Roman" w:cs="Times New Roman"/>
          <w:sz w:val="24"/>
          <w:szCs w:val="24"/>
          <w:lang w:val="en-US"/>
        </w:rPr>
        <w:t>Shivade</w:t>
      </w:r>
      <w:proofErr w:type="spellEnd"/>
      <w:r w:rsidRPr="00CC4063">
        <w:rPr>
          <w:rFonts w:ascii="Times New Roman" w:eastAsia="Times New Roman" w:hAnsi="Times New Roman" w:cs="Times New Roman"/>
          <w:sz w:val="24"/>
          <w:szCs w:val="24"/>
          <w:lang w:val="en-US"/>
        </w:rPr>
        <w:t xml:space="preserve">, H., &amp; Rao, A. S. (2020). Exploring the genetic variability and diversity of pearl millet core collection germplasm for grain nutritional traits improvement. </w:t>
      </w:r>
      <w:r w:rsidRPr="00CC4063">
        <w:rPr>
          <w:rFonts w:ascii="Times New Roman" w:eastAsia="Times New Roman" w:hAnsi="Times New Roman" w:cs="Times New Roman"/>
          <w:i/>
          <w:iCs/>
          <w:sz w:val="24"/>
          <w:szCs w:val="24"/>
          <w:lang w:val="en-US"/>
        </w:rPr>
        <w:t>Scientific Reports, 10</w:t>
      </w:r>
      <w:r w:rsidRPr="00CC4063">
        <w:rPr>
          <w:rFonts w:ascii="Times New Roman" w:eastAsia="Times New Roman" w:hAnsi="Times New Roman" w:cs="Times New Roman"/>
          <w:sz w:val="24"/>
          <w:szCs w:val="24"/>
          <w:lang w:val="en-US"/>
        </w:rPr>
        <w:t xml:space="preserve">, 21177. </w:t>
      </w:r>
      <w:hyperlink r:id="rId16" w:tgtFrame="_new" w:history="1">
        <w:r w:rsidRPr="00CC4063">
          <w:rPr>
            <w:rFonts w:ascii="Times New Roman" w:eastAsia="Times New Roman" w:hAnsi="Times New Roman" w:cs="Times New Roman"/>
            <w:color w:val="0000FF"/>
            <w:sz w:val="24"/>
            <w:szCs w:val="24"/>
            <w:u w:val="single"/>
            <w:lang w:val="en-US"/>
          </w:rPr>
          <w:t>https://doi.org/10.1038/s41598-020-77818-0</w:t>
        </w:r>
      </w:hyperlink>
    </w:p>
    <w:p w14:paraId="39BFE67D"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Gowda, N. A. N., </w:t>
      </w:r>
      <w:proofErr w:type="spellStart"/>
      <w:r w:rsidRPr="00CC4063">
        <w:rPr>
          <w:rFonts w:ascii="Times New Roman" w:eastAsia="Times New Roman" w:hAnsi="Times New Roman" w:cs="Times New Roman"/>
          <w:sz w:val="24"/>
          <w:szCs w:val="24"/>
          <w:lang w:val="en-US"/>
        </w:rPr>
        <w:t>Siliveru</w:t>
      </w:r>
      <w:proofErr w:type="spellEnd"/>
      <w:r w:rsidRPr="00CC4063">
        <w:rPr>
          <w:rFonts w:ascii="Times New Roman" w:eastAsia="Times New Roman" w:hAnsi="Times New Roman" w:cs="Times New Roman"/>
          <w:sz w:val="24"/>
          <w:szCs w:val="24"/>
          <w:lang w:val="en-US"/>
        </w:rPr>
        <w:t xml:space="preserve">, K., Prasad, P. V. V., Bhatt, Y., Netravati, B. P., &amp; </w:t>
      </w:r>
      <w:proofErr w:type="spellStart"/>
      <w:r w:rsidRPr="00CC4063">
        <w:rPr>
          <w:rFonts w:ascii="Times New Roman" w:eastAsia="Times New Roman" w:hAnsi="Times New Roman" w:cs="Times New Roman"/>
          <w:sz w:val="24"/>
          <w:szCs w:val="24"/>
          <w:lang w:val="en-US"/>
        </w:rPr>
        <w:t>Gurikar</w:t>
      </w:r>
      <w:proofErr w:type="spellEnd"/>
      <w:r w:rsidRPr="00CC4063">
        <w:rPr>
          <w:rFonts w:ascii="Times New Roman" w:eastAsia="Times New Roman" w:hAnsi="Times New Roman" w:cs="Times New Roman"/>
          <w:sz w:val="24"/>
          <w:szCs w:val="24"/>
          <w:lang w:val="en-US"/>
        </w:rPr>
        <w:t xml:space="preserve">, C. (2022). Modern processing of Indian millets: A perspective on changes in nutritional properties. </w:t>
      </w:r>
      <w:r w:rsidRPr="00CC4063">
        <w:rPr>
          <w:rFonts w:ascii="Times New Roman" w:eastAsia="Times New Roman" w:hAnsi="Times New Roman" w:cs="Times New Roman"/>
          <w:i/>
          <w:iCs/>
          <w:sz w:val="24"/>
          <w:szCs w:val="24"/>
          <w:lang w:val="en-US"/>
        </w:rPr>
        <w:t>Foods, 11</w:t>
      </w:r>
      <w:r w:rsidRPr="00CC4063">
        <w:rPr>
          <w:rFonts w:ascii="Times New Roman" w:eastAsia="Times New Roman" w:hAnsi="Times New Roman" w:cs="Times New Roman"/>
          <w:sz w:val="24"/>
          <w:szCs w:val="24"/>
          <w:lang w:val="en-US"/>
        </w:rPr>
        <w:t xml:space="preserve">(4), 499. </w:t>
      </w:r>
      <w:hyperlink r:id="rId17" w:tgtFrame="_new" w:history="1">
        <w:r w:rsidRPr="00CC4063">
          <w:rPr>
            <w:rFonts w:ascii="Times New Roman" w:eastAsia="Times New Roman" w:hAnsi="Times New Roman" w:cs="Times New Roman"/>
            <w:color w:val="0000FF"/>
            <w:sz w:val="24"/>
            <w:szCs w:val="24"/>
            <w:u w:val="single"/>
            <w:lang w:val="en-US"/>
          </w:rPr>
          <w:t>https://doi.org/10.3390/foods11040499</w:t>
        </w:r>
      </w:hyperlink>
    </w:p>
    <w:p w14:paraId="45ED4B7D"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Green, B. N., Johnson, C. D., &amp; Adams, A. (2006). Writing narrative literature reviews for peer-reviewed journals: Secrets of the trade. </w:t>
      </w:r>
      <w:r w:rsidRPr="00CC4063">
        <w:rPr>
          <w:rFonts w:ascii="Times New Roman" w:eastAsia="Times New Roman" w:hAnsi="Times New Roman" w:cs="Times New Roman"/>
          <w:i/>
          <w:iCs/>
          <w:sz w:val="24"/>
          <w:szCs w:val="24"/>
          <w:lang w:val="en-US"/>
        </w:rPr>
        <w:t>Journal of Chiropractic Medicine, 5</w:t>
      </w:r>
      <w:r w:rsidRPr="00CC4063">
        <w:rPr>
          <w:rFonts w:ascii="Times New Roman" w:eastAsia="Times New Roman" w:hAnsi="Times New Roman" w:cs="Times New Roman"/>
          <w:sz w:val="24"/>
          <w:szCs w:val="24"/>
          <w:lang w:val="en-US"/>
        </w:rPr>
        <w:t xml:space="preserve">(3), 101–117. </w:t>
      </w:r>
      <w:hyperlink r:id="rId18" w:tgtFrame="_new" w:history="1">
        <w:r w:rsidRPr="00CC4063">
          <w:rPr>
            <w:rFonts w:ascii="Times New Roman" w:eastAsia="Times New Roman" w:hAnsi="Times New Roman" w:cs="Times New Roman"/>
            <w:color w:val="0000FF"/>
            <w:sz w:val="24"/>
            <w:szCs w:val="24"/>
            <w:u w:val="single"/>
            <w:lang w:val="en-US"/>
          </w:rPr>
          <w:t>https://doi.org/10.1016/S0899-3467(07)60142-6</w:t>
        </w:r>
      </w:hyperlink>
    </w:p>
    <w:p w14:paraId="3B75D4D9"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lastRenderedPageBreak/>
        <w:t xml:space="preserve">Hassan, Z. M., Sebola, N. A., &amp; </w:t>
      </w:r>
      <w:proofErr w:type="spellStart"/>
      <w:r w:rsidRPr="00CC4063">
        <w:rPr>
          <w:rFonts w:ascii="Times New Roman" w:eastAsia="Times New Roman" w:hAnsi="Times New Roman" w:cs="Times New Roman"/>
          <w:sz w:val="24"/>
          <w:szCs w:val="24"/>
          <w:lang w:val="en-US"/>
        </w:rPr>
        <w:t>Mabelebele</w:t>
      </w:r>
      <w:proofErr w:type="spellEnd"/>
      <w:r w:rsidRPr="00CC4063">
        <w:rPr>
          <w:rFonts w:ascii="Times New Roman" w:eastAsia="Times New Roman" w:hAnsi="Times New Roman" w:cs="Times New Roman"/>
          <w:sz w:val="24"/>
          <w:szCs w:val="24"/>
          <w:lang w:val="en-US"/>
        </w:rPr>
        <w:t xml:space="preserve">, M. (2021). The nutritional use of millet grain for food and feed: A review. </w:t>
      </w:r>
      <w:r w:rsidRPr="00CC4063">
        <w:rPr>
          <w:rFonts w:ascii="Times New Roman" w:eastAsia="Times New Roman" w:hAnsi="Times New Roman" w:cs="Times New Roman"/>
          <w:i/>
          <w:iCs/>
          <w:sz w:val="24"/>
          <w:szCs w:val="24"/>
          <w:lang w:val="en-US"/>
        </w:rPr>
        <w:t>Agriculture &amp; Food Security, 10</w:t>
      </w:r>
      <w:r w:rsidRPr="00CC4063">
        <w:rPr>
          <w:rFonts w:ascii="Times New Roman" w:eastAsia="Times New Roman" w:hAnsi="Times New Roman" w:cs="Times New Roman"/>
          <w:sz w:val="24"/>
          <w:szCs w:val="24"/>
          <w:lang w:val="en-US"/>
        </w:rPr>
        <w:t xml:space="preserve">, 16. </w:t>
      </w:r>
      <w:hyperlink r:id="rId19" w:tgtFrame="_new" w:history="1">
        <w:r w:rsidRPr="00CC4063">
          <w:rPr>
            <w:rFonts w:ascii="Times New Roman" w:eastAsia="Times New Roman" w:hAnsi="Times New Roman" w:cs="Times New Roman"/>
            <w:color w:val="0000FF"/>
            <w:sz w:val="24"/>
            <w:szCs w:val="24"/>
            <w:u w:val="single"/>
            <w:lang w:val="en-US"/>
          </w:rPr>
          <w:t>https://doi.org/10.1186/s40066-020-00282-6</w:t>
        </w:r>
      </w:hyperlink>
    </w:p>
    <w:p w14:paraId="32736BE3"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Himashree</w:t>
      </w:r>
      <w:proofErr w:type="spellEnd"/>
      <w:r w:rsidRPr="00CC4063">
        <w:rPr>
          <w:rFonts w:ascii="Times New Roman" w:eastAsia="Times New Roman" w:hAnsi="Times New Roman" w:cs="Times New Roman"/>
          <w:sz w:val="24"/>
          <w:szCs w:val="24"/>
          <w:lang w:val="en-US"/>
        </w:rPr>
        <w:t xml:space="preserve">, P., &amp; Mahendran, R. (2025). Effect of high-pressure soaking on the physicochemical, nutritional, and techno-functional properties of pearl millets. </w:t>
      </w:r>
      <w:r w:rsidRPr="00CC4063">
        <w:rPr>
          <w:rFonts w:ascii="Times New Roman" w:eastAsia="Times New Roman" w:hAnsi="Times New Roman" w:cs="Times New Roman"/>
          <w:i/>
          <w:iCs/>
          <w:sz w:val="24"/>
          <w:szCs w:val="24"/>
          <w:lang w:val="en-US"/>
        </w:rPr>
        <w:t>Sustainable Food Technology, 3</w:t>
      </w:r>
      <w:r w:rsidRPr="00CC4063">
        <w:rPr>
          <w:rFonts w:ascii="Times New Roman" w:eastAsia="Times New Roman" w:hAnsi="Times New Roman" w:cs="Times New Roman"/>
          <w:sz w:val="24"/>
          <w:szCs w:val="24"/>
          <w:lang w:val="en-US"/>
        </w:rPr>
        <w:t xml:space="preserve">(3), 714–724. </w:t>
      </w:r>
      <w:hyperlink r:id="rId20" w:tgtFrame="_new" w:history="1">
        <w:r w:rsidRPr="00CC4063">
          <w:rPr>
            <w:rFonts w:ascii="Times New Roman" w:eastAsia="Times New Roman" w:hAnsi="Times New Roman" w:cs="Times New Roman"/>
            <w:color w:val="0000FF"/>
            <w:sz w:val="24"/>
            <w:szCs w:val="24"/>
            <w:u w:val="single"/>
            <w:lang w:val="en-US"/>
          </w:rPr>
          <w:t>https://doi.org/10.1039/d5fb00042d</w:t>
        </w:r>
      </w:hyperlink>
    </w:p>
    <w:p w14:paraId="10FEC241"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Jacob, J., Krishnan, V., Antony, C., Bhavyasri, M., Aruna, C., Mishra, K., </w:t>
      </w:r>
      <w:proofErr w:type="spellStart"/>
      <w:r w:rsidRPr="00CC4063">
        <w:rPr>
          <w:rFonts w:ascii="Times New Roman" w:eastAsia="Times New Roman" w:hAnsi="Times New Roman" w:cs="Times New Roman"/>
          <w:sz w:val="24"/>
          <w:szCs w:val="24"/>
          <w:lang w:val="en-US"/>
        </w:rPr>
        <w:t>Nepolean</w:t>
      </w:r>
      <w:proofErr w:type="spellEnd"/>
      <w:r w:rsidRPr="00CC4063">
        <w:rPr>
          <w:rFonts w:ascii="Times New Roman" w:eastAsia="Times New Roman" w:hAnsi="Times New Roman" w:cs="Times New Roman"/>
          <w:sz w:val="24"/>
          <w:szCs w:val="24"/>
          <w:lang w:val="en-US"/>
        </w:rPr>
        <w:t xml:space="preserve">, T., Satyavathi, C. T., &amp; </w:t>
      </w:r>
      <w:proofErr w:type="spellStart"/>
      <w:r w:rsidRPr="00CC4063">
        <w:rPr>
          <w:rFonts w:ascii="Times New Roman" w:eastAsia="Times New Roman" w:hAnsi="Times New Roman" w:cs="Times New Roman"/>
          <w:sz w:val="24"/>
          <w:szCs w:val="24"/>
          <w:lang w:val="en-US"/>
        </w:rPr>
        <w:t>Visarada</w:t>
      </w:r>
      <w:proofErr w:type="spellEnd"/>
      <w:r w:rsidRPr="00CC4063">
        <w:rPr>
          <w:rFonts w:ascii="Times New Roman" w:eastAsia="Times New Roman" w:hAnsi="Times New Roman" w:cs="Times New Roman"/>
          <w:sz w:val="24"/>
          <w:szCs w:val="24"/>
          <w:lang w:val="en-US"/>
        </w:rPr>
        <w:t xml:space="preserve">, K. B. R. S. (2024). The nutrition and therapeutic potential of millets: An updated narrative review. </w:t>
      </w:r>
      <w:r w:rsidRPr="00CC4063">
        <w:rPr>
          <w:rFonts w:ascii="Times New Roman" w:eastAsia="Times New Roman" w:hAnsi="Times New Roman" w:cs="Times New Roman"/>
          <w:i/>
          <w:iCs/>
          <w:sz w:val="24"/>
          <w:szCs w:val="24"/>
          <w:lang w:val="en-US"/>
        </w:rPr>
        <w:t>Frontiers in Nutrition, 11</w:t>
      </w:r>
      <w:r w:rsidRPr="00CC4063">
        <w:rPr>
          <w:rFonts w:ascii="Times New Roman" w:eastAsia="Times New Roman" w:hAnsi="Times New Roman" w:cs="Times New Roman"/>
          <w:sz w:val="24"/>
          <w:szCs w:val="24"/>
          <w:lang w:val="en-US"/>
        </w:rPr>
        <w:t xml:space="preserve">, 1346869. </w:t>
      </w:r>
      <w:hyperlink r:id="rId21" w:tgtFrame="_new" w:history="1">
        <w:r w:rsidRPr="00CC4063">
          <w:rPr>
            <w:rFonts w:ascii="Times New Roman" w:eastAsia="Times New Roman" w:hAnsi="Times New Roman" w:cs="Times New Roman"/>
            <w:color w:val="0000FF"/>
            <w:sz w:val="24"/>
            <w:szCs w:val="24"/>
            <w:u w:val="single"/>
            <w:lang w:val="en-US"/>
          </w:rPr>
          <w:t>https://doi.org/10.3389/fnut.2024.1346869</w:t>
        </w:r>
      </w:hyperlink>
    </w:p>
    <w:p w14:paraId="186EE27A"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Kaila, N. H. J., Halami, P. M., Ramakrishna, C., </w:t>
      </w:r>
      <w:proofErr w:type="spellStart"/>
      <w:r w:rsidRPr="00CC4063">
        <w:rPr>
          <w:rFonts w:ascii="Times New Roman" w:eastAsia="Times New Roman" w:hAnsi="Times New Roman" w:cs="Times New Roman"/>
          <w:sz w:val="24"/>
          <w:szCs w:val="24"/>
          <w:lang w:val="en-US"/>
        </w:rPr>
        <w:t>Shivaramu</w:t>
      </w:r>
      <w:proofErr w:type="spellEnd"/>
      <w:r w:rsidRPr="00CC4063">
        <w:rPr>
          <w:rFonts w:ascii="Times New Roman" w:eastAsia="Times New Roman" w:hAnsi="Times New Roman" w:cs="Times New Roman"/>
          <w:sz w:val="24"/>
          <w:szCs w:val="24"/>
          <w:lang w:val="en-US"/>
        </w:rPr>
        <w:t xml:space="preserve">, M. S., &amp; </w:t>
      </w:r>
      <w:proofErr w:type="spellStart"/>
      <w:r w:rsidRPr="00CC4063">
        <w:rPr>
          <w:rFonts w:ascii="Times New Roman" w:eastAsia="Times New Roman" w:hAnsi="Times New Roman" w:cs="Times New Roman"/>
          <w:sz w:val="24"/>
          <w:szCs w:val="24"/>
          <w:lang w:val="en-US"/>
        </w:rPr>
        <w:t>Peddha</w:t>
      </w:r>
      <w:proofErr w:type="spellEnd"/>
      <w:r w:rsidRPr="00CC4063">
        <w:rPr>
          <w:rFonts w:ascii="Times New Roman" w:eastAsia="Times New Roman" w:hAnsi="Times New Roman" w:cs="Times New Roman"/>
          <w:sz w:val="24"/>
          <w:szCs w:val="24"/>
          <w:lang w:val="en-US"/>
        </w:rPr>
        <w:t xml:space="preserve">, M. S. (2025). Physicochemical and functional characterization of pearl millet-based probiotic beverage for antiaging potential in </w:t>
      </w:r>
      <w:r w:rsidRPr="00CC4063">
        <w:rPr>
          <w:rFonts w:ascii="Times New Roman" w:eastAsia="Times New Roman" w:hAnsi="Times New Roman" w:cs="Times New Roman"/>
          <w:i/>
          <w:iCs/>
          <w:sz w:val="24"/>
          <w:szCs w:val="24"/>
          <w:lang w:val="en-US"/>
        </w:rPr>
        <w:t>Caenorhabditis elegans</w:t>
      </w:r>
      <w:r w:rsidRPr="00CC4063">
        <w:rPr>
          <w:rFonts w:ascii="Times New Roman" w:eastAsia="Times New Roman" w:hAnsi="Times New Roman" w:cs="Times New Roman"/>
          <w:sz w:val="24"/>
          <w:szCs w:val="24"/>
          <w:lang w:val="en-US"/>
        </w:rPr>
        <w:t xml:space="preserve">. </w:t>
      </w:r>
      <w:r w:rsidRPr="00CC4063">
        <w:rPr>
          <w:rFonts w:ascii="Times New Roman" w:eastAsia="Times New Roman" w:hAnsi="Times New Roman" w:cs="Times New Roman"/>
          <w:i/>
          <w:iCs/>
          <w:sz w:val="24"/>
          <w:szCs w:val="24"/>
          <w:lang w:val="en-US"/>
        </w:rPr>
        <w:t>Foods, 14</w:t>
      </w:r>
      <w:r w:rsidRPr="00CC4063">
        <w:rPr>
          <w:rFonts w:ascii="Times New Roman" w:eastAsia="Times New Roman" w:hAnsi="Times New Roman" w:cs="Times New Roman"/>
          <w:sz w:val="24"/>
          <w:szCs w:val="24"/>
          <w:lang w:val="en-US"/>
        </w:rPr>
        <w:t xml:space="preserve">(20), 3460. </w:t>
      </w:r>
      <w:hyperlink r:id="rId22" w:tgtFrame="_new" w:history="1">
        <w:r w:rsidRPr="00CC4063">
          <w:rPr>
            <w:rFonts w:ascii="Times New Roman" w:eastAsia="Times New Roman" w:hAnsi="Times New Roman" w:cs="Times New Roman"/>
            <w:color w:val="0000FF"/>
            <w:sz w:val="24"/>
            <w:szCs w:val="24"/>
            <w:u w:val="single"/>
            <w:lang w:val="en-US"/>
          </w:rPr>
          <w:t>https://doi.org/10.3390/foods14203460</w:t>
        </w:r>
      </w:hyperlink>
    </w:p>
    <w:p w14:paraId="70F311E6"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Khalil, I., Bashir, S., Saeed, K., </w:t>
      </w:r>
      <w:proofErr w:type="spellStart"/>
      <w:r w:rsidRPr="00CC4063">
        <w:rPr>
          <w:rFonts w:ascii="Times New Roman" w:eastAsia="Times New Roman" w:hAnsi="Times New Roman" w:cs="Times New Roman"/>
          <w:sz w:val="24"/>
          <w:szCs w:val="24"/>
          <w:lang w:val="en-US"/>
        </w:rPr>
        <w:t>Alsulami</w:t>
      </w:r>
      <w:proofErr w:type="spellEnd"/>
      <w:r w:rsidRPr="00CC4063">
        <w:rPr>
          <w:rFonts w:ascii="Times New Roman" w:eastAsia="Times New Roman" w:hAnsi="Times New Roman" w:cs="Times New Roman"/>
          <w:sz w:val="24"/>
          <w:szCs w:val="24"/>
          <w:lang w:val="en-US"/>
        </w:rPr>
        <w:t xml:space="preserve">, T., Rafique, H., &amp; </w:t>
      </w:r>
      <w:proofErr w:type="spellStart"/>
      <w:r w:rsidRPr="00CC4063">
        <w:rPr>
          <w:rFonts w:ascii="Times New Roman" w:eastAsia="Times New Roman" w:hAnsi="Times New Roman" w:cs="Times New Roman"/>
          <w:sz w:val="24"/>
          <w:szCs w:val="24"/>
          <w:lang w:val="en-US"/>
        </w:rPr>
        <w:t>Mukonzo</w:t>
      </w:r>
      <w:proofErr w:type="spellEnd"/>
      <w:r w:rsidRPr="00CC4063">
        <w:rPr>
          <w:rFonts w:ascii="Times New Roman" w:eastAsia="Times New Roman" w:hAnsi="Times New Roman" w:cs="Times New Roman"/>
          <w:sz w:val="24"/>
          <w:szCs w:val="24"/>
          <w:lang w:val="en-US"/>
        </w:rPr>
        <w:t xml:space="preserve">, E. K. L. (2025). Phytochemical and structural portrayal of barley and pearl millet through FTIR and SEM. </w:t>
      </w:r>
      <w:r w:rsidRPr="00CC4063">
        <w:rPr>
          <w:rFonts w:ascii="Times New Roman" w:eastAsia="Times New Roman" w:hAnsi="Times New Roman" w:cs="Times New Roman"/>
          <w:i/>
          <w:iCs/>
          <w:sz w:val="24"/>
          <w:szCs w:val="24"/>
          <w:lang w:val="en-US"/>
        </w:rPr>
        <w:t>Food Science &amp; Nutrition, 13</w:t>
      </w:r>
      <w:r w:rsidRPr="00CC4063">
        <w:rPr>
          <w:rFonts w:ascii="Times New Roman" w:eastAsia="Times New Roman" w:hAnsi="Times New Roman" w:cs="Times New Roman"/>
          <w:sz w:val="24"/>
          <w:szCs w:val="24"/>
          <w:lang w:val="en-US"/>
        </w:rPr>
        <w:t xml:space="preserve">(5), e70120. </w:t>
      </w:r>
      <w:hyperlink r:id="rId23" w:tgtFrame="_new" w:history="1">
        <w:r w:rsidRPr="00CC4063">
          <w:rPr>
            <w:rFonts w:ascii="Times New Roman" w:eastAsia="Times New Roman" w:hAnsi="Times New Roman" w:cs="Times New Roman"/>
            <w:color w:val="0000FF"/>
            <w:sz w:val="24"/>
            <w:szCs w:val="24"/>
            <w:u w:val="single"/>
            <w:lang w:val="en-US"/>
          </w:rPr>
          <w:t>https://doi.org/10.1002/fsn3.70120</w:t>
        </w:r>
      </w:hyperlink>
    </w:p>
    <w:p w14:paraId="38028B82"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Krishnan, V. (2024). Editorial: Millets: Superfood of the century—Challenges and opportunities. </w:t>
      </w:r>
      <w:r w:rsidRPr="00CC4063">
        <w:rPr>
          <w:rFonts w:ascii="Times New Roman" w:eastAsia="Times New Roman" w:hAnsi="Times New Roman" w:cs="Times New Roman"/>
          <w:i/>
          <w:iCs/>
          <w:sz w:val="24"/>
          <w:szCs w:val="24"/>
          <w:lang w:val="en-US"/>
        </w:rPr>
        <w:t>Frontiers in Nutrition, 11</w:t>
      </w:r>
      <w:r w:rsidRPr="00CC4063">
        <w:rPr>
          <w:rFonts w:ascii="Times New Roman" w:eastAsia="Times New Roman" w:hAnsi="Times New Roman" w:cs="Times New Roman"/>
          <w:sz w:val="24"/>
          <w:szCs w:val="24"/>
          <w:lang w:val="en-US"/>
        </w:rPr>
        <w:t xml:space="preserve">, 1462567. </w:t>
      </w:r>
      <w:hyperlink r:id="rId24" w:tgtFrame="_new" w:history="1">
        <w:r w:rsidRPr="00CC4063">
          <w:rPr>
            <w:rFonts w:ascii="Times New Roman" w:eastAsia="Times New Roman" w:hAnsi="Times New Roman" w:cs="Times New Roman"/>
            <w:color w:val="0000FF"/>
            <w:sz w:val="24"/>
            <w:szCs w:val="24"/>
            <w:u w:val="single"/>
            <w:lang w:val="en-US"/>
          </w:rPr>
          <w:t>https://doi.org/10.3389/fnut.2024.1462567</w:t>
        </w:r>
      </w:hyperlink>
    </w:p>
    <w:p w14:paraId="54AEC3E1"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Kumar, R. R., Kumar, A., Vinutha, T., Goswami, S., Kumar, S., Singh, S., Manjunath Prasad, C. T., Mishra, G. P., </w:t>
      </w:r>
      <w:proofErr w:type="spellStart"/>
      <w:r w:rsidRPr="00CC4063">
        <w:rPr>
          <w:rFonts w:ascii="Times New Roman" w:eastAsia="Times New Roman" w:hAnsi="Times New Roman" w:cs="Times New Roman"/>
          <w:sz w:val="24"/>
          <w:szCs w:val="24"/>
          <w:lang w:val="en-US"/>
        </w:rPr>
        <w:t>Padaria</w:t>
      </w:r>
      <w:proofErr w:type="spellEnd"/>
      <w:r w:rsidRPr="00CC4063">
        <w:rPr>
          <w:rFonts w:ascii="Times New Roman" w:eastAsia="Times New Roman" w:hAnsi="Times New Roman" w:cs="Times New Roman"/>
          <w:sz w:val="24"/>
          <w:szCs w:val="24"/>
          <w:lang w:val="en-US"/>
        </w:rPr>
        <w:t xml:space="preserve">, J. C., Jha, G. K., Chellapilla, T. S., &amp; </w:t>
      </w:r>
      <w:proofErr w:type="spellStart"/>
      <w:r w:rsidRPr="00CC4063">
        <w:rPr>
          <w:rFonts w:ascii="Times New Roman" w:eastAsia="Times New Roman" w:hAnsi="Times New Roman" w:cs="Times New Roman"/>
          <w:sz w:val="24"/>
          <w:szCs w:val="24"/>
          <w:lang w:val="en-US"/>
        </w:rPr>
        <w:t>Chinnusamy</w:t>
      </w:r>
      <w:proofErr w:type="spellEnd"/>
      <w:r w:rsidRPr="00CC4063">
        <w:rPr>
          <w:rFonts w:ascii="Times New Roman" w:eastAsia="Times New Roman" w:hAnsi="Times New Roman" w:cs="Times New Roman"/>
          <w:sz w:val="24"/>
          <w:szCs w:val="24"/>
          <w:lang w:val="en-US"/>
        </w:rPr>
        <w:t xml:space="preserve">, V. (2025). </w:t>
      </w:r>
      <w:proofErr w:type="spellStart"/>
      <w:r w:rsidRPr="00CC4063">
        <w:rPr>
          <w:rFonts w:ascii="Times New Roman" w:eastAsia="Times New Roman" w:hAnsi="Times New Roman" w:cs="Times New Roman"/>
          <w:sz w:val="24"/>
          <w:szCs w:val="24"/>
          <w:lang w:val="en-US"/>
        </w:rPr>
        <w:t>Characterising</w:t>
      </w:r>
      <w:proofErr w:type="spellEnd"/>
      <w:r w:rsidRPr="00CC4063">
        <w:rPr>
          <w:rFonts w:ascii="Times New Roman" w:eastAsia="Times New Roman" w:hAnsi="Times New Roman" w:cs="Times New Roman"/>
          <w:sz w:val="24"/>
          <w:szCs w:val="24"/>
          <w:lang w:val="en-US"/>
        </w:rPr>
        <w:t xml:space="preserve"> the enzyme-driven metabolic shifts in rancid pearl millet flour using metabolomics approaches: A step towards improving quality and shelf-life. </w:t>
      </w:r>
      <w:r w:rsidRPr="00CC4063">
        <w:rPr>
          <w:rFonts w:ascii="Times New Roman" w:eastAsia="Times New Roman" w:hAnsi="Times New Roman" w:cs="Times New Roman"/>
          <w:i/>
          <w:iCs/>
          <w:sz w:val="24"/>
          <w:szCs w:val="24"/>
          <w:lang w:val="en-US"/>
        </w:rPr>
        <w:t>Frontiers in Nutrition, 12</w:t>
      </w:r>
      <w:r w:rsidRPr="00CC4063">
        <w:rPr>
          <w:rFonts w:ascii="Times New Roman" w:eastAsia="Times New Roman" w:hAnsi="Times New Roman" w:cs="Times New Roman"/>
          <w:sz w:val="24"/>
          <w:szCs w:val="24"/>
          <w:lang w:val="en-US"/>
        </w:rPr>
        <w:t xml:space="preserve">, 1691522. </w:t>
      </w:r>
      <w:hyperlink r:id="rId25" w:tgtFrame="_new" w:history="1">
        <w:r w:rsidRPr="00CC4063">
          <w:rPr>
            <w:rFonts w:ascii="Times New Roman" w:eastAsia="Times New Roman" w:hAnsi="Times New Roman" w:cs="Times New Roman"/>
            <w:color w:val="0000FF"/>
            <w:sz w:val="24"/>
            <w:szCs w:val="24"/>
            <w:u w:val="single"/>
            <w:lang w:val="en-US"/>
          </w:rPr>
          <w:t>https://doi.org/10.3389/fnut.2025.1691522</w:t>
        </w:r>
      </w:hyperlink>
    </w:p>
    <w:p w14:paraId="4F9D7DC8"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Kumari, A., </w:t>
      </w:r>
      <w:proofErr w:type="spellStart"/>
      <w:r w:rsidRPr="00CC4063">
        <w:rPr>
          <w:rFonts w:ascii="Times New Roman" w:eastAsia="Times New Roman" w:hAnsi="Times New Roman" w:cs="Times New Roman"/>
          <w:sz w:val="24"/>
          <w:szCs w:val="24"/>
          <w:lang w:val="en-US"/>
        </w:rPr>
        <w:t>Chhikara</w:t>
      </w:r>
      <w:proofErr w:type="spellEnd"/>
      <w:r w:rsidRPr="00CC4063">
        <w:rPr>
          <w:rFonts w:ascii="Times New Roman" w:eastAsia="Times New Roman" w:hAnsi="Times New Roman" w:cs="Times New Roman"/>
          <w:sz w:val="24"/>
          <w:szCs w:val="24"/>
          <w:lang w:val="en-US"/>
        </w:rPr>
        <w:t xml:space="preserve">, N., </w:t>
      </w:r>
      <w:proofErr w:type="spellStart"/>
      <w:r w:rsidRPr="00CC4063">
        <w:rPr>
          <w:rFonts w:ascii="Times New Roman" w:eastAsia="Times New Roman" w:hAnsi="Times New Roman" w:cs="Times New Roman"/>
          <w:sz w:val="24"/>
          <w:szCs w:val="24"/>
          <w:lang w:val="en-US"/>
        </w:rPr>
        <w:t>Panghal</w:t>
      </w:r>
      <w:proofErr w:type="spellEnd"/>
      <w:r w:rsidRPr="00CC4063">
        <w:rPr>
          <w:rFonts w:ascii="Times New Roman" w:eastAsia="Times New Roman" w:hAnsi="Times New Roman" w:cs="Times New Roman"/>
          <w:sz w:val="24"/>
          <w:szCs w:val="24"/>
          <w:lang w:val="en-US"/>
        </w:rPr>
        <w:t xml:space="preserve">, A., &amp; Tanwar, R. (2025). Nutritional, phytochemical and functional potential of pearl millet: A review. </w:t>
      </w:r>
      <w:r w:rsidRPr="00CC4063">
        <w:rPr>
          <w:rFonts w:ascii="Times New Roman" w:eastAsia="Times New Roman" w:hAnsi="Times New Roman" w:cs="Times New Roman"/>
          <w:i/>
          <w:iCs/>
          <w:sz w:val="24"/>
          <w:szCs w:val="24"/>
          <w:lang w:val="en-US"/>
        </w:rPr>
        <w:t>Chemistry &amp; Biodiversity, 22</w:t>
      </w:r>
      <w:r w:rsidRPr="00CC4063">
        <w:rPr>
          <w:rFonts w:ascii="Times New Roman" w:eastAsia="Times New Roman" w:hAnsi="Times New Roman" w:cs="Times New Roman"/>
          <w:sz w:val="24"/>
          <w:szCs w:val="24"/>
          <w:lang w:val="en-US"/>
        </w:rPr>
        <w:t xml:space="preserve">(7), e202402437. </w:t>
      </w:r>
      <w:hyperlink r:id="rId26" w:tgtFrame="_new" w:history="1">
        <w:r w:rsidRPr="00CC4063">
          <w:rPr>
            <w:rFonts w:ascii="Times New Roman" w:eastAsia="Times New Roman" w:hAnsi="Times New Roman" w:cs="Times New Roman"/>
            <w:color w:val="0000FF"/>
            <w:sz w:val="24"/>
            <w:szCs w:val="24"/>
            <w:u w:val="single"/>
            <w:lang w:val="en-US"/>
          </w:rPr>
          <w:t>https://doi.org/10.1002/cbdv.202402437</w:t>
        </w:r>
      </w:hyperlink>
    </w:p>
    <w:p w14:paraId="60E3FC22"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Latha Ravi, J., &amp; Rana, S. S. (2024). Maximizing the nutritional benefits and prolonging the shelf life of millets through effective processing techniques: A review. </w:t>
      </w:r>
      <w:r w:rsidRPr="00CC4063">
        <w:rPr>
          <w:rFonts w:ascii="Times New Roman" w:eastAsia="Times New Roman" w:hAnsi="Times New Roman" w:cs="Times New Roman"/>
          <w:i/>
          <w:iCs/>
          <w:sz w:val="24"/>
          <w:szCs w:val="24"/>
          <w:lang w:val="en-US"/>
        </w:rPr>
        <w:t>ACS Omega, 9</w:t>
      </w:r>
      <w:r w:rsidRPr="00CC4063">
        <w:rPr>
          <w:rFonts w:ascii="Times New Roman" w:eastAsia="Times New Roman" w:hAnsi="Times New Roman" w:cs="Times New Roman"/>
          <w:sz w:val="24"/>
          <w:szCs w:val="24"/>
          <w:lang w:val="en-US"/>
        </w:rPr>
        <w:t xml:space="preserve">(37), 38327–38347. </w:t>
      </w:r>
      <w:hyperlink r:id="rId27" w:tgtFrame="_new" w:history="1">
        <w:r w:rsidRPr="00CC4063">
          <w:rPr>
            <w:rFonts w:ascii="Times New Roman" w:eastAsia="Times New Roman" w:hAnsi="Times New Roman" w:cs="Times New Roman"/>
            <w:color w:val="0000FF"/>
            <w:sz w:val="24"/>
            <w:szCs w:val="24"/>
            <w:u w:val="single"/>
            <w:lang w:val="en-US"/>
          </w:rPr>
          <w:t>https://doi.org/10.1021/acsomega.4c03466</w:t>
        </w:r>
      </w:hyperlink>
    </w:p>
    <w:p w14:paraId="254C8FE0"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Mesías, M., Morales, F. J., Gupta, O. P., Kaur Oberoi, H., &amp; Ganapathy, K. N. (2024). Editorial: Advances in cereals and millets nutrition research. </w:t>
      </w:r>
      <w:r w:rsidRPr="00CC4063">
        <w:rPr>
          <w:rFonts w:ascii="Times New Roman" w:eastAsia="Times New Roman" w:hAnsi="Times New Roman" w:cs="Times New Roman"/>
          <w:i/>
          <w:iCs/>
          <w:sz w:val="24"/>
          <w:szCs w:val="24"/>
          <w:lang w:val="en-US"/>
        </w:rPr>
        <w:t>Frontiers in Nutrition, 11</w:t>
      </w:r>
      <w:r w:rsidRPr="00CC4063">
        <w:rPr>
          <w:rFonts w:ascii="Times New Roman" w:eastAsia="Times New Roman" w:hAnsi="Times New Roman" w:cs="Times New Roman"/>
          <w:sz w:val="24"/>
          <w:szCs w:val="24"/>
          <w:lang w:val="en-US"/>
        </w:rPr>
        <w:t xml:space="preserve">, 1349757. </w:t>
      </w:r>
      <w:hyperlink r:id="rId28" w:tgtFrame="_new" w:history="1">
        <w:r w:rsidRPr="00CC4063">
          <w:rPr>
            <w:rFonts w:ascii="Times New Roman" w:eastAsia="Times New Roman" w:hAnsi="Times New Roman" w:cs="Times New Roman"/>
            <w:color w:val="0000FF"/>
            <w:sz w:val="24"/>
            <w:szCs w:val="24"/>
            <w:u w:val="single"/>
            <w:lang w:val="en-US"/>
          </w:rPr>
          <w:t>https://doi.org/10.3389/fnut.2024.1349757</w:t>
        </w:r>
      </w:hyperlink>
    </w:p>
    <w:p w14:paraId="053850F5"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Muskan, F., Redhu, M., Redhu, S., &amp; Rahimi, M. (2025). Millets in the global market: A critical review of challenges and opportunities. </w:t>
      </w:r>
      <w:r w:rsidRPr="00CC4063">
        <w:rPr>
          <w:rFonts w:ascii="Times New Roman" w:eastAsia="Times New Roman" w:hAnsi="Times New Roman" w:cs="Times New Roman"/>
          <w:i/>
          <w:iCs/>
          <w:sz w:val="24"/>
          <w:szCs w:val="24"/>
          <w:lang w:val="en-US"/>
        </w:rPr>
        <w:t>Food Production, Processing and Nutrition, 7</w:t>
      </w:r>
      <w:r w:rsidRPr="00CC4063">
        <w:rPr>
          <w:rFonts w:ascii="Times New Roman" w:eastAsia="Times New Roman" w:hAnsi="Times New Roman" w:cs="Times New Roman"/>
          <w:sz w:val="24"/>
          <w:szCs w:val="24"/>
          <w:lang w:val="en-US"/>
        </w:rPr>
        <w:t xml:space="preserve">, 37. </w:t>
      </w:r>
      <w:hyperlink r:id="rId29" w:tgtFrame="_new" w:history="1">
        <w:r w:rsidRPr="00CC4063">
          <w:rPr>
            <w:rFonts w:ascii="Times New Roman" w:eastAsia="Times New Roman" w:hAnsi="Times New Roman" w:cs="Times New Roman"/>
            <w:color w:val="0000FF"/>
            <w:sz w:val="24"/>
            <w:szCs w:val="24"/>
            <w:u w:val="single"/>
            <w:lang w:val="en-US"/>
          </w:rPr>
          <w:t>https://doi.org/10.1186/s43014-025-00316-1</w:t>
        </w:r>
      </w:hyperlink>
    </w:p>
    <w:p w14:paraId="5C866C8B"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Navinraj, S., Rajagopalan, V. R., Swaminathan, M., Doraiswamy, U., Karthikeyan, S., Manickam, S., &amp; Raveendran, M. (2025). Unveiling the antinutritional factors in millets: A </w:t>
      </w:r>
      <w:r w:rsidRPr="00CC4063">
        <w:rPr>
          <w:rFonts w:ascii="Times New Roman" w:eastAsia="Times New Roman" w:hAnsi="Times New Roman" w:cs="Times New Roman"/>
          <w:sz w:val="24"/>
          <w:szCs w:val="24"/>
          <w:lang w:val="en-US"/>
        </w:rPr>
        <w:lastRenderedPageBreak/>
        <w:t xml:space="preserve">comprehensive review. </w:t>
      </w:r>
      <w:r w:rsidRPr="00CC4063">
        <w:rPr>
          <w:rFonts w:ascii="Times New Roman" w:eastAsia="Times New Roman" w:hAnsi="Times New Roman" w:cs="Times New Roman"/>
          <w:i/>
          <w:iCs/>
          <w:sz w:val="24"/>
          <w:szCs w:val="24"/>
          <w:lang w:val="en-US"/>
        </w:rPr>
        <w:t>ACS Food Science &amp; Technology, 5</w:t>
      </w:r>
      <w:r w:rsidRPr="00CC4063">
        <w:rPr>
          <w:rFonts w:ascii="Times New Roman" w:eastAsia="Times New Roman" w:hAnsi="Times New Roman" w:cs="Times New Roman"/>
          <w:sz w:val="24"/>
          <w:szCs w:val="24"/>
          <w:lang w:val="en-US"/>
        </w:rPr>
        <w:t xml:space="preserve">(6), 2046–2063. </w:t>
      </w:r>
      <w:hyperlink r:id="rId30" w:tgtFrame="_new" w:history="1">
        <w:r w:rsidRPr="00CC4063">
          <w:rPr>
            <w:rFonts w:ascii="Times New Roman" w:eastAsia="Times New Roman" w:hAnsi="Times New Roman" w:cs="Times New Roman"/>
            <w:color w:val="0000FF"/>
            <w:sz w:val="24"/>
            <w:szCs w:val="24"/>
            <w:u w:val="single"/>
            <w:lang w:val="en-US"/>
          </w:rPr>
          <w:t>https://doi.org/10.1021/acsfoodscitech.5c00115</w:t>
        </w:r>
      </w:hyperlink>
    </w:p>
    <w:p w14:paraId="2BFEEA69"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Nibhoria</w:t>
      </w:r>
      <w:proofErr w:type="spellEnd"/>
      <w:r w:rsidRPr="00CC4063">
        <w:rPr>
          <w:rFonts w:ascii="Times New Roman" w:eastAsia="Times New Roman" w:hAnsi="Times New Roman" w:cs="Times New Roman"/>
          <w:sz w:val="24"/>
          <w:szCs w:val="24"/>
          <w:lang w:val="en-US"/>
        </w:rPr>
        <w:t xml:space="preserve">, A., Kumar, M., Arya, R. K., &amp; </w:t>
      </w:r>
      <w:proofErr w:type="spellStart"/>
      <w:r w:rsidRPr="00CC4063">
        <w:rPr>
          <w:rFonts w:ascii="Times New Roman" w:eastAsia="Times New Roman" w:hAnsi="Times New Roman" w:cs="Times New Roman"/>
          <w:sz w:val="24"/>
          <w:szCs w:val="24"/>
          <w:lang w:val="en-US"/>
        </w:rPr>
        <w:t>Siroha</w:t>
      </w:r>
      <w:proofErr w:type="spellEnd"/>
      <w:r w:rsidRPr="00CC4063">
        <w:rPr>
          <w:rFonts w:ascii="Times New Roman" w:eastAsia="Times New Roman" w:hAnsi="Times New Roman" w:cs="Times New Roman"/>
          <w:sz w:val="24"/>
          <w:szCs w:val="24"/>
          <w:lang w:val="en-US"/>
        </w:rPr>
        <w:t xml:space="preserve">, A. K. (2024). Pearl millet for good health and nutrition—An overview. </w:t>
      </w:r>
      <w:r w:rsidRPr="00CC4063">
        <w:rPr>
          <w:rFonts w:ascii="Times New Roman" w:eastAsia="Times New Roman" w:hAnsi="Times New Roman" w:cs="Times New Roman"/>
          <w:i/>
          <w:iCs/>
          <w:sz w:val="24"/>
          <w:szCs w:val="24"/>
          <w:lang w:val="en-US"/>
        </w:rPr>
        <w:t>CABI Reviews, 19</w:t>
      </w:r>
      <w:r w:rsidRPr="00CC4063">
        <w:rPr>
          <w:rFonts w:ascii="Times New Roman" w:eastAsia="Times New Roman" w:hAnsi="Times New Roman" w:cs="Times New Roman"/>
          <w:sz w:val="24"/>
          <w:szCs w:val="24"/>
          <w:lang w:val="en-US"/>
        </w:rPr>
        <w:t xml:space="preserve">, 0041. </w:t>
      </w:r>
      <w:hyperlink r:id="rId31" w:tgtFrame="_new" w:history="1">
        <w:r w:rsidRPr="00CC4063">
          <w:rPr>
            <w:rFonts w:ascii="Times New Roman" w:eastAsia="Times New Roman" w:hAnsi="Times New Roman" w:cs="Times New Roman"/>
            <w:color w:val="0000FF"/>
            <w:sz w:val="24"/>
            <w:szCs w:val="24"/>
            <w:u w:val="single"/>
            <w:lang w:val="en-US"/>
          </w:rPr>
          <w:t>https://doi.org/10.1079/cabireviews.2024.0041</w:t>
        </w:r>
      </w:hyperlink>
    </w:p>
    <w:p w14:paraId="6D7396C8"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Parray</w:t>
      </w:r>
      <w:proofErr w:type="spellEnd"/>
      <w:r w:rsidRPr="00CC4063">
        <w:rPr>
          <w:rFonts w:ascii="Times New Roman" w:eastAsia="Times New Roman" w:hAnsi="Times New Roman" w:cs="Times New Roman"/>
          <w:sz w:val="24"/>
          <w:szCs w:val="24"/>
          <w:lang w:val="en-US"/>
        </w:rPr>
        <w:t xml:space="preserve">, S. A., Ramalingam, A. P., </w:t>
      </w:r>
      <w:proofErr w:type="spellStart"/>
      <w:r w:rsidRPr="00CC4063">
        <w:rPr>
          <w:rFonts w:ascii="Times New Roman" w:eastAsia="Times New Roman" w:hAnsi="Times New Roman" w:cs="Times New Roman"/>
          <w:sz w:val="24"/>
          <w:szCs w:val="24"/>
          <w:lang w:val="en-US"/>
        </w:rPr>
        <w:t>Tugoo</w:t>
      </w:r>
      <w:proofErr w:type="spellEnd"/>
      <w:r w:rsidRPr="00CC4063">
        <w:rPr>
          <w:rFonts w:ascii="Times New Roman" w:eastAsia="Times New Roman" w:hAnsi="Times New Roman" w:cs="Times New Roman"/>
          <w:sz w:val="24"/>
          <w:szCs w:val="24"/>
          <w:lang w:val="en-US"/>
        </w:rPr>
        <w:t xml:space="preserve">, M. Z., Serba, D. D., Prasad, P. V. V., &amp; Perumal, R. (2025). Harnessing genetic diversity for drought tolerance and forage yield improvement in pearl millet germplasms through a </w:t>
      </w:r>
      <w:proofErr w:type="spellStart"/>
      <w:r w:rsidRPr="00CC4063">
        <w:rPr>
          <w:rFonts w:ascii="Times New Roman" w:eastAsia="Times New Roman" w:hAnsi="Times New Roman" w:cs="Times New Roman"/>
          <w:sz w:val="24"/>
          <w:szCs w:val="24"/>
          <w:lang w:val="en-US"/>
        </w:rPr>
        <w:t>prebreeding</w:t>
      </w:r>
      <w:proofErr w:type="spellEnd"/>
      <w:r w:rsidRPr="00CC4063">
        <w:rPr>
          <w:rFonts w:ascii="Times New Roman" w:eastAsia="Times New Roman" w:hAnsi="Times New Roman" w:cs="Times New Roman"/>
          <w:sz w:val="24"/>
          <w:szCs w:val="24"/>
          <w:lang w:val="en-US"/>
        </w:rPr>
        <w:t xml:space="preserve"> framework. </w:t>
      </w:r>
      <w:r w:rsidRPr="00CC4063">
        <w:rPr>
          <w:rFonts w:ascii="Times New Roman" w:eastAsia="Times New Roman" w:hAnsi="Times New Roman" w:cs="Times New Roman"/>
          <w:i/>
          <w:iCs/>
          <w:sz w:val="24"/>
          <w:szCs w:val="24"/>
          <w:lang w:val="en-US"/>
        </w:rPr>
        <w:t>Scientific Reports, 15</w:t>
      </w:r>
      <w:r w:rsidRPr="00CC4063">
        <w:rPr>
          <w:rFonts w:ascii="Times New Roman" w:eastAsia="Times New Roman" w:hAnsi="Times New Roman" w:cs="Times New Roman"/>
          <w:sz w:val="24"/>
          <w:szCs w:val="24"/>
          <w:lang w:val="en-US"/>
        </w:rPr>
        <w:t xml:space="preserve">, 40033. </w:t>
      </w:r>
      <w:hyperlink r:id="rId32" w:tgtFrame="_new" w:history="1">
        <w:r w:rsidRPr="00CC4063">
          <w:rPr>
            <w:rFonts w:ascii="Times New Roman" w:eastAsia="Times New Roman" w:hAnsi="Times New Roman" w:cs="Times New Roman"/>
            <w:color w:val="0000FF"/>
            <w:sz w:val="24"/>
            <w:szCs w:val="24"/>
            <w:u w:val="single"/>
            <w:lang w:val="en-US"/>
          </w:rPr>
          <w:t>https://doi.org/10.1038/s41598-025-23884-1</w:t>
        </w:r>
      </w:hyperlink>
    </w:p>
    <w:p w14:paraId="066C724B"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Pei, J., Umapathy, V. R., </w:t>
      </w:r>
      <w:proofErr w:type="spellStart"/>
      <w:r w:rsidRPr="00CC4063">
        <w:rPr>
          <w:rFonts w:ascii="Times New Roman" w:eastAsia="Times New Roman" w:hAnsi="Times New Roman" w:cs="Times New Roman"/>
          <w:sz w:val="24"/>
          <w:szCs w:val="24"/>
          <w:lang w:val="en-US"/>
        </w:rPr>
        <w:t>Vengadassalapathy</w:t>
      </w:r>
      <w:proofErr w:type="spellEnd"/>
      <w:r w:rsidRPr="00CC4063">
        <w:rPr>
          <w:rFonts w:ascii="Times New Roman" w:eastAsia="Times New Roman" w:hAnsi="Times New Roman" w:cs="Times New Roman"/>
          <w:sz w:val="24"/>
          <w:szCs w:val="24"/>
          <w:lang w:val="en-US"/>
        </w:rPr>
        <w:t>, S., Hussain, S. F. J., Rajagopal, P., Jayaraman, S., Veeraraghavan, V. P., Palanisamy, C. P., &amp; Gopinath, K. (2022). A review of the potential consequences of pearl millet (</w:t>
      </w:r>
      <w:r w:rsidRPr="00CC4063">
        <w:rPr>
          <w:rFonts w:ascii="Times New Roman" w:eastAsia="Times New Roman" w:hAnsi="Times New Roman" w:cs="Times New Roman"/>
          <w:i/>
          <w:iCs/>
          <w:sz w:val="24"/>
          <w:szCs w:val="24"/>
          <w:lang w:val="en-US"/>
        </w:rPr>
        <w:t>Pennisetum glaucum</w:t>
      </w:r>
      <w:r w:rsidRPr="00CC4063">
        <w:rPr>
          <w:rFonts w:ascii="Times New Roman" w:eastAsia="Times New Roman" w:hAnsi="Times New Roman" w:cs="Times New Roman"/>
          <w:sz w:val="24"/>
          <w:szCs w:val="24"/>
          <w:lang w:val="en-US"/>
        </w:rPr>
        <w:t xml:space="preserve">) for diabetes mellitus and other biomedical applications. </w:t>
      </w:r>
      <w:r w:rsidRPr="00CC4063">
        <w:rPr>
          <w:rFonts w:ascii="Times New Roman" w:eastAsia="Times New Roman" w:hAnsi="Times New Roman" w:cs="Times New Roman"/>
          <w:i/>
          <w:iCs/>
          <w:sz w:val="24"/>
          <w:szCs w:val="24"/>
          <w:lang w:val="en-US"/>
        </w:rPr>
        <w:t>Nutrients, 14</w:t>
      </w:r>
      <w:r w:rsidRPr="00CC4063">
        <w:rPr>
          <w:rFonts w:ascii="Times New Roman" w:eastAsia="Times New Roman" w:hAnsi="Times New Roman" w:cs="Times New Roman"/>
          <w:sz w:val="24"/>
          <w:szCs w:val="24"/>
          <w:lang w:val="en-US"/>
        </w:rPr>
        <w:t xml:space="preserve">(14), 2932. </w:t>
      </w:r>
      <w:hyperlink r:id="rId33" w:tgtFrame="_new" w:history="1">
        <w:r w:rsidRPr="00CC4063">
          <w:rPr>
            <w:rFonts w:ascii="Times New Roman" w:eastAsia="Times New Roman" w:hAnsi="Times New Roman" w:cs="Times New Roman"/>
            <w:color w:val="0000FF"/>
            <w:sz w:val="24"/>
            <w:szCs w:val="24"/>
            <w:u w:val="single"/>
            <w:lang w:val="en-US"/>
          </w:rPr>
          <w:t>https://doi.org/10.3390/nu14142932</w:t>
        </w:r>
      </w:hyperlink>
    </w:p>
    <w:p w14:paraId="09694FA3"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Pujar, M., </w:t>
      </w:r>
      <w:proofErr w:type="spellStart"/>
      <w:r w:rsidRPr="00CC4063">
        <w:rPr>
          <w:rFonts w:ascii="Times New Roman" w:eastAsia="Times New Roman" w:hAnsi="Times New Roman" w:cs="Times New Roman"/>
          <w:sz w:val="24"/>
          <w:szCs w:val="24"/>
          <w:lang w:val="en-US"/>
        </w:rPr>
        <w:t>Gangaprasad</w:t>
      </w:r>
      <w:proofErr w:type="spellEnd"/>
      <w:r w:rsidRPr="00CC4063">
        <w:rPr>
          <w:rFonts w:ascii="Times New Roman" w:eastAsia="Times New Roman" w:hAnsi="Times New Roman" w:cs="Times New Roman"/>
          <w:sz w:val="24"/>
          <w:szCs w:val="24"/>
          <w:lang w:val="en-US"/>
        </w:rPr>
        <w:t xml:space="preserve">, S., Govindaraj, M., Gangurde, S. S., </w:t>
      </w:r>
      <w:proofErr w:type="spellStart"/>
      <w:r w:rsidRPr="00CC4063">
        <w:rPr>
          <w:rFonts w:ascii="Times New Roman" w:eastAsia="Times New Roman" w:hAnsi="Times New Roman" w:cs="Times New Roman"/>
          <w:sz w:val="24"/>
          <w:szCs w:val="24"/>
          <w:lang w:val="en-US"/>
        </w:rPr>
        <w:t>Kanatti</w:t>
      </w:r>
      <w:proofErr w:type="spellEnd"/>
      <w:r w:rsidRPr="00CC4063">
        <w:rPr>
          <w:rFonts w:ascii="Times New Roman" w:eastAsia="Times New Roman" w:hAnsi="Times New Roman" w:cs="Times New Roman"/>
          <w:sz w:val="24"/>
          <w:szCs w:val="24"/>
          <w:lang w:val="en-US"/>
        </w:rPr>
        <w:t xml:space="preserve">, A., &amp; </w:t>
      </w:r>
      <w:proofErr w:type="spellStart"/>
      <w:r w:rsidRPr="00CC4063">
        <w:rPr>
          <w:rFonts w:ascii="Times New Roman" w:eastAsia="Times New Roman" w:hAnsi="Times New Roman" w:cs="Times New Roman"/>
          <w:sz w:val="24"/>
          <w:szCs w:val="24"/>
          <w:lang w:val="en-US"/>
        </w:rPr>
        <w:t>Kudapa</w:t>
      </w:r>
      <w:proofErr w:type="spellEnd"/>
      <w:r w:rsidRPr="00CC4063">
        <w:rPr>
          <w:rFonts w:ascii="Times New Roman" w:eastAsia="Times New Roman" w:hAnsi="Times New Roman" w:cs="Times New Roman"/>
          <w:sz w:val="24"/>
          <w:szCs w:val="24"/>
          <w:lang w:val="en-US"/>
        </w:rPr>
        <w:t xml:space="preserve">, H. (2020). Genome-wide association study uncovers genomic regions associated with grain iron, zinc and protein content in pearl millet. </w:t>
      </w:r>
      <w:r w:rsidRPr="00CC4063">
        <w:rPr>
          <w:rFonts w:ascii="Times New Roman" w:eastAsia="Times New Roman" w:hAnsi="Times New Roman" w:cs="Times New Roman"/>
          <w:i/>
          <w:iCs/>
          <w:sz w:val="24"/>
          <w:szCs w:val="24"/>
          <w:lang w:val="en-US"/>
        </w:rPr>
        <w:t>Scientific Reports, 10</w:t>
      </w:r>
      <w:r w:rsidRPr="00CC4063">
        <w:rPr>
          <w:rFonts w:ascii="Times New Roman" w:eastAsia="Times New Roman" w:hAnsi="Times New Roman" w:cs="Times New Roman"/>
          <w:sz w:val="24"/>
          <w:szCs w:val="24"/>
          <w:lang w:val="en-US"/>
        </w:rPr>
        <w:t xml:space="preserve">, 19473. </w:t>
      </w:r>
      <w:hyperlink r:id="rId34" w:tgtFrame="_new" w:history="1">
        <w:r w:rsidRPr="00CC4063">
          <w:rPr>
            <w:rFonts w:ascii="Times New Roman" w:eastAsia="Times New Roman" w:hAnsi="Times New Roman" w:cs="Times New Roman"/>
            <w:color w:val="0000FF"/>
            <w:sz w:val="24"/>
            <w:szCs w:val="24"/>
            <w:u w:val="single"/>
            <w:lang w:val="en-US"/>
          </w:rPr>
          <w:t>https://doi.org/10.1038/s41598-020-76230-y</w:t>
        </w:r>
      </w:hyperlink>
    </w:p>
    <w:p w14:paraId="2820D005"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Pujar, M., Govindaraj, M., </w:t>
      </w:r>
      <w:proofErr w:type="spellStart"/>
      <w:r w:rsidRPr="00CC4063">
        <w:rPr>
          <w:rFonts w:ascii="Times New Roman" w:eastAsia="Times New Roman" w:hAnsi="Times New Roman" w:cs="Times New Roman"/>
          <w:sz w:val="24"/>
          <w:szCs w:val="24"/>
          <w:lang w:val="en-US"/>
        </w:rPr>
        <w:t>Gangaprasad</w:t>
      </w:r>
      <w:proofErr w:type="spellEnd"/>
      <w:r w:rsidRPr="00CC4063">
        <w:rPr>
          <w:rFonts w:ascii="Times New Roman" w:eastAsia="Times New Roman" w:hAnsi="Times New Roman" w:cs="Times New Roman"/>
          <w:sz w:val="24"/>
          <w:szCs w:val="24"/>
          <w:lang w:val="en-US"/>
        </w:rPr>
        <w:t xml:space="preserve">, S., </w:t>
      </w:r>
      <w:proofErr w:type="spellStart"/>
      <w:r w:rsidRPr="00CC4063">
        <w:rPr>
          <w:rFonts w:ascii="Times New Roman" w:eastAsia="Times New Roman" w:hAnsi="Times New Roman" w:cs="Times New Roman"/>
          <w:sz w:val="24"/>
          <w:szCs w:val="24"/>
          <w:lang w:val="en-US"/>
        </w:rPr>
        <w:t>Kanatti</w:t>
      </w:r>
      <w:proofErr w:type="spellEnd"/>
      <w:r w:rsidRPr="00CC4063">
        <w:rPr>
          <w:rFonts w:ascii="Times New Roman" w:eastAsia="Times New Roman" w:hAnsi="Times New Roman" w:cs="Times New Roman"/>
          <w:sz w:val="24"/>
          <w:szCs w:val="24"/>
          <w:lang w:val="en-US"/>
        </w:rPr>
        <w:t xml:space="preserve">, A., Gowda, T. H., </w:t>
      </w:r>
      <w:proofErr w:type="spellStart"/>
      <w:r w:rsidRPr="00CC4063">
        <w:rPr>
          <w:rFonts w:ascii="Times New Roman" w:eastAsia="Times New Roman" w:hAnsi="Times New Roman" w:cs="Times New Roman"/>
          <w:sz w:val="24"/>
          <w:szCs w:val="24"/>
          <w:lang w:val="en-US"/>
        </w:rPr>
        <w:t>Dushyantha</w:t>
      </w:r>
      <w:proofErr w:type="spellEnd"/>
      <w:r w:rsidRPr="00CC4063">
        <w:rPr>
          <w:rFonts w:ascii="Times New Roman" w:eastAsia="Times New Roman" w:hAnsi="Times New Roman" w:cs="Times New Roman"/>
          <w:sz w:val="24"/>
          <w:szCs w:val="24"/>
          <w:lang w:val="en-US"/>
        </w:rPr>
        <w:t xml:space="preserve"> Kumar, B. M., &amp; Satish, K. M. (2022). Generation mean analysis reveals the predominant gene effects for grain iron and zinc contents in pearl millet. </w:t>
      </w:r>
      <w:r w:rsidRPr="00CC4063">
        <w:rPr>
          <w:rFonts w:ascii="Times New Roman" w:eastAsia="Times New Roman" w:hAnsi="Times New Roman" w:cs="Times New Roman"/>
          <w:i/>
          <w:iCs/>
          <w:sz w:val="24"/>
          <w:szCs w:val="24"/>
          <w:lang w:val="en-US"/>
        </w:rPr>
        <w:t>Frontiers in Plant Science, 12</w:t>
      </w:r>
      <w:r w:rsidRPr="00CC4063">
        <w:rPr>
          <w:rFonts w:ascii="Times New Roman" w:eastAsia="Times New Roman" w:hAnsi="Times New Roman" w:cs="Times New Roman"/>
          <w:sz w:val="24"/>
          <w:szCs w:val="24"/>
          <w:lang w:val="en-US"/>
        </w:rPr>
        <w:t xml:space="preserve">, 693680. </w:t>
      </w:r>
      <w:hyperlink r:id="rId35" w:tgtFrame="_new" w:history="1">
        <w:r w:rsidRPr="00CC4063">
          <w:rPr>
            <w:rFonts w:ascii="Times New Roman" w:eastAsia="Times New Roman" w:hAnsi="Times New Roman" w:cs="Times New Roman"/>
            <w:color w:val="0000FF"/>
            <w:sz w:val="24"/>
            <w:szCs w:val="24"/>
            <w:u w:val="single"/>
            <w:lang w:val="en-US"/>
          </w:rPr>
          <w:t>https://doi.org/10.3389/fpls.2021.693680</w:t>
        </w:r>
      </w:hyperlink>
    </w:p>
    <w:p w14:paraId="0DD92550"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Ramya, C. S., Manik, S. F., Malathi, G., Kamalasundari, S., Singh, B., Angmo, D., Bhushan, S., &amp; Sachan, D. S. (2024). Pearl millet: A critical review on processing techniques and its products. </w:t>
      </w:r>
      <w:r w:rsidRPr="00CC4063">
        <w:rPr>
          <w:rFonts w:ascii="Times New Roman" w:eastAsia="Times New Roman" w:hAnsi="Times New Roman" w:cs="Times New Roman"/>
          <w:i/>
          <w:iCs/>
          <w:sz w:val="24"/>
          <w:szCs w:val="24"/>
          <w:lang w:val="en-US"/>
        </w:rPr>
        <w:t>Journal of Scientific Research and Reports, 30</w:t>
      </w:r>
      <w:r w:rsidRPr="00CC4063">
        <w:rPr>
          <w:rFonts w:ascii="Times New Roman" w:eastAsia="Times New Roman" w:hAnsi="Times New Roman" w:cs="Times New Roman"/>
          <w:sz w:val="24"/>
          <w:szCs w:val="24"/>
          <w:lang w:val="en-US"/>
        </w:rPr>
        <w:t xml:space="preserve">(4), 274–286. </w:t>
      </w:r>
      <w:hyperlink r:id="rId36" w:tgtFrame="_new" w:history="1">
        <w:r w:rsidRPr="00CC4063">
          <w:rPr>
            <w:rFonts w:ascii="Times New Roman" w:eastAsia="Times New Roman" w:hAnsi="Times New Roman" w:cs="Times New Roman"/>
            <w:color w:val="0000FF"/>
            <w:sz w:val="24"/>
            <w:szCs w:val="24"/>
            <w:u w:val="single"/>
            <w:lang w:val="en-US"/>
          </w:rPr>
          <w:t>https://doi.org/10.9734/jsrr/2024/v30i41914</w:t>
        </w:r>
      </w:hyperlink>
    </w:p>
    <w:p w14:paraId="5E792B34"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Rana, S. S., Tiwari, S., Gupta, N., Tripathi, M. K., Tripathi, N., Singh, S., &amp; </w:t>
      </w:r>
      <w:proofErr w:type="spellStart"/>
      <w:r w:rsidRPr="00CC4063">
        <w:rPr>
          <w:rFonts w:ascii="Times New Roman" w:eastAsia="Times New Roman" w:hAnsi="Times New Roman" w:cs="Times New Roman"/>
          <w:sz w:val="24"/>
          <w:szCs w:val="24"/>
          <w:lang w:val="en-US"/>
        </w:rPr>
        <w:t>Bhagyawant</w:t>
      </w:r>
      <w:proofErr w:type="spellEnd"/>
      <w:r w:rsidRPr="00CC4063">
        <w:rPr>
          <w:rFonts w:ascii="Times New Roman" w:eastAsia="Times New Roman" w:hAnsi="Times New Roman" w:cs="Times New Roman"/>
          <w:sz w:val="24"/>
          <w:szCs w:val="24"/>
          <w:lang w:val="en-US"/>
        </w:rPr>
        <w:t xml:space="preserve">, S. S. (2023). Validating the nutraceutical significance of minor millets by employing nutritional–antinutritional profiling. </w:t>
      </w:r>
      <w:r w:rsidRPr="00CC4063">
        <w:rPr>
          <w:rFonts w:ascii="Times New Roman" w:eastAsia="Times New Roman" w:hAnsi="Times New Roman" w:cs="Times New Roman"/>
          <w:i/>
          <w:iCs/>
          <w:sz w:val="24"/>
          <w:szCs w:val="24"/>
          <w:lang w:val="en-US"/>
        </w:rPr>
        <w:t>Life, 13</w:t>
      </w:r>
      <w:r w:rsidRPr="00CC4063">
        <w:rPr>
          <w:rFonts w:ascii="Times New Roman" w:eastAsia="Times New Roman" w:hAnsi="Times New Roman" w:cs="Times New Roman"/>
          <w:sz w:val="24"/>
          <w:szCs w:val="24"/>
          <w:lang w:val="en-US"/>
        </w:rPr>
        <w:t xml:space="preserve">(9), 1918. </w:t>
      </w:r>
      <w:hyperlink r:id="rId37" w:tgtFrame="_new" w:history="1">
        <w:r w:rsidRPr="00CC4063">
          <w:rPr>
            <w:rFonts w:ascii="Times New Roman" w:eastAsia="Times New Roman" w:hAnsi="Times New Roman" w:cs="Times New Roman"/>
            <w:color w:val="0000FF"/>
            <w:sz w:val="24"/>
            <w:szCs w:val="24"/>
            <w:u w:val="single"/>
            <w:lang w:val="en-US"/>
          </w:rPr>
          <w:t>https://doi.org/10.3390/life13091918</w:t>
        </w:r>
      </w:hyperlink>
    </w:p>
    <w:p w14:paraId="697B4C1F"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Satyavathi, C. T., </w:t>
      </w:r>
      <w:proofErr w:type="spellStart"/>
      <w:r w:rsidRPr="00CC4063">
        <w:rPr>
          <w:rFonts w:ascii="Times New Roman" w:eastAsia="Times New Roman" w:hAnsi="Times New Roman" w:cs="Times New Roman"/>
          <w:sz w:val="24"/>
          <w:szCs w:val="24"/>
          <w:lang w:val="en-US"/>
        </w:rPr>
        <w:t>Ambawat</w:t>
      </w:r>
      <w:proofErr w:type="spellEnd"/>
      <w:r w:rsidRPr="00CC4063">
        <w:rPr>
          <w:rFonts w:ascii="Times New Roman" w:eastAsia="Times New Roman" w:hAnsi="Times New Roman" w:cs="Times New Roman"/>
          <w:sz w:val="24"/>
          <w:szCs w:val="24"/>
          <w:lang w:val="en-US"/>
        </w:rPr>
        <w:t xml:space="preserve">, S., Khandelwal, V., &amp; Srivastava, R. K. (2021). Pearl millet: A climate-resilient </w:t>
      </w:r>
      <w:proofErr w:type="spellStart"/>
      <w:r w:rsidRPr="00CC4063">
        <w:rPr>
          <w:rFonts w:ascii="Times New Roman" w:eastAsia="Times New Roman" w:hAnsi="Times New Roman" w:cs="Times New Roman"/>
          <w:sz w:val="24"/>
          <w:szCs w:val="24"/>
          <w:lang w:val="en-US"/>
        </w:rPr>
        <w:t>nutricereal</w:t>
      </w:r>
      <w:proofErr w:type="spellEnd"/>
      <w:r w:rsidRPr="00CC4063">
        <w:rPr>
          <w:rFonts w:ascii="Times New Roman" w:eastAsia="Times New Roman" w:hAnsi="Times New Roman" w:cs="Times New Roman"/>
          <w:sz w:val="24"/>
          <w:szCs w:val="24"/>
          <w:lang w:val="en-US"/>
        </w:rPr>
        <w:t xml:space="preserve"> for mitigating hidden hunger and providing nutritional security. </w:t>
      </w:r>
      <w:r w:rsidRPr="00CC4063">
        <w:rPr>
          <w:rFonts w:ascii="Times New Roman" w:eastAsia="Times New Roman" w:hAnsi="Times New Roman" w:cs="Times New Roman"/>
          <w:i/>
          <w:iCs/>
          <w:sz w:val="24"/>
          <w:szCs w:val="24"/>
          <w:lang w:val="en-US"/>
        </w:rPr>
        <w:t>Frontiers in Plant Science, 12</w:t>
      </w:r>
      <w:r w:rsidRPr="00CC4063">
        <w:rPr>
          <w:rFonts w:ascii="Times New Roman" w:eastAsia="Times New Roman" w:hAnsi="Times New Roman" w:cs="Times New Roman"/>
          <w:sz w:val="24"/>
          <w:szCs w:val="24"/>
          <w:lang w:val="en-US"/>
        </w:rPr>
        <w:t xml:space="preserve">, 659938. </w:t>
      </w:r>
      <w:hyperlink r:id="rId38" w:tgtFrame="_new" w:history="1">
        <w:r w:rsidRPr="00CC4063">
          <w:rPr>
            <w:rFonts w:ascii="Times New Roman" w:eastAsia="Times New Roman" w:hAnsi="Times New Roman" w:cs="Times New Roman"/>
            <w:color w:val="0000FF"/>
            <w:sz w:val="24"/>
            <w:szCs w:val="24"/>
            <w:u w:val="single"/>
            <w:lang w:val="en-US"/>
          </w:rPr>
          <w:t>https://doi.org/10.3389/fpls.2021.659938</w:t>
        </w:r>
      </w:hyperlink>
    </w:p>
    <w:p w14:paraId="3A24201F"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CC4063">
        <w:rPr>
          <w:rFonts w:ascii="Times New Roman" w:eastAsia="Times New Roman" w:hAnsi="Times New Roman" w:cs="Times New Roman"/>
          <w:sz w:val="24"/>
          <w:szCs w:val="24"/>
          <w:lang w:val="en-US"/>
        </w:rPr>
        <w:t>Shivhare</w:t>
      </w:r>
      <w:proofErr w:type="spellEnd"/>
      <w:r w:rsidRPr="00CC4063">
        <w:rPr>
          <w:rFonts w:ascii="Times New Roman" w:eastAsia="Times New Roman" w:hAnsi="Times New Roman" w:cs="Times New Roman"/>
          <w:sz w:val="24"/>
          <w:szCs w:val="24"/>
          <w:lang w:val="en-US"/>
        </w:rPr>
        <w:t xml:space="preserve">, R., &amp; Lata, C. (2017). Exploration of genetic and genomic resources for abiotic and biotic stress tolerance in pearl millet. </w:t>
      </w:r>
      <w:r w:rsidRPr="00CC4063">
        <w:rPr>
          <w:rFonts w:ascii="Times New Roman" w:eastAsia="Times New Roman" w:hAnsi="Times New Roman" w:cs="Times New Roman"/>
          <w:i/>
          <w:iCs/>
          <w:sz w:val="24"/>
          <w:szCs w:val="24"/>
          <w:lang w:val="en-US"/>
        </w:rPr>
        <w:t>Frontiers in Plant Science, 7</w:t>
      </w:r>
      <w:r w:rsidRPr="00CC4063">
        <w:rPr>
          <w:rFonts w:ascii="Times New Roman" w:eastAsia="Times New Roman" w:hAnsi="Times New Roman" w:cs="Times New Roman"/>
          <w:sz w:val="24"/>
          <w:szCs w:val="24"/>
          <w:lang w:val="en-US"/>
        </w:rPr>
        <w:t xml:space="preserve">, 2069. </w:t>
      </w:r>
      <w:hyperlink r:id="rId39" w:tgtFrame="_new" w:history="1">
        <w:r w:rsidRPr="00CC4063">
          <w:rPr>
            <w:rFonts w:ascii="Times New Roman" w:eastAsia="Times New Roman" w:hAnsi="Times New Roman" w:cs="Times New Roman"/>
            <w:color w:val="0000FF"/>
            <w:sz w:val="24"/>
            <w:szCs w:val="24"/>
            <w:u w:val="single"/>
            <w:lang w:val="en-US"/>
          </w:rPr>
          <w:t>https://doi.org/10.3389/fpls.2016.02069</w:t>
        </w:r>
      </w:hyperlink>
    </w:p>
    <w:p w14:paraId="16F11D75"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Shrestha, N., Hu, H., Shrestha, K., &amp; Doust, A. N. (2023). Pearl millet response to drought: A review. </w:t>
      </w:r>
      <w:r w:rsidRPr="00CC4063">
        <w:rPr>
          <w:rFonts w:ascii="Times New Roman" w:eastAsia="Times New Roman" w:hAnsi="Times New Roman" w:cs="Times New Roman"/>
          <w:i/>
          <w:iCs/>
          <w:sz w:val="24"/>
          <w:szCs w:val="24"/>
          <w:lang w:val="en-US"/>
        </w:rPr>
        <w:t>Frontiers in Plant Science, 14</w:t>
      </w:r>
      <w:r w:rsidRPr="00CC4063">
        <w:rPr>
          <w:rFonts w:ascii="Times New Roman" w:eastAsia="Times New Roman" w:hAnsi="Times New Roman" w:cs="Times New Roman"/>
          <w:sz w:val="24"/>
          <w:szCs w:val="24"/>
          <w:lang w:val="en-US"/>
        </w:rPr>
        <w:t xml:space="preserve">, 1059574. </w:t>
      </w:r>
      <w:hyperlink r:id="rId40" w:tgtFrame="_new" w:history="1">
        <w:r w:rsidRPr="00CC4063">
          <w:rPr>
            <w:rFonts w:ascii="Times New Roman" w:eastAsia="Times New Roman" w:hAnsi="Times New Roman" w:cs="Times New Roman"/>
            <w:color w:val="0000FF"/>
            <w:sz w:val="24"/>
            <w:szCs w:val="24"/>
            <w:u w:val="single"/>
            <w:lang w:val="en-US"/>
          </w:rPr>
          <w:t>https://doi.org/10.3389/fpls.2023.1059574</w:t>
        </w:r>
      </w:hyperlink>
    </w:p>
    <w:p w14:paraId="3B03BCF7"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t xml:space="preserve">Sibanda, F., </w:t>
      </w:r>
      <w:proofErr w:type="spellStart"/>
      <w:r w:rsidRPr="00CC4063">
        <w:rPr>
          <w:rFonts w:ascii="Times New Roman" w:eastAsia="Times New Roman" w:hAnsi="Times New Roman" w:cs="Times New Roman"/>
          <w:sz w:val="24"/>
          <w:szCs w:val="24"/>
          <w:lang w:val="en-US"/>
        </w:rPr>
        <w:t>Jideani</w:t>
      </w:r>
      <w:proofErr w:type="spellEnd"/>
      <w:r w:rsidRPr="00CC4063">
        <w:rPr>
          <w:rFonts w:ascii="Times New Roman" w:eastAsia="Times New Roman" w:hAnsi="Times New Roman" w:cs="Times New Roman"/>
          <w:sz w:val="24"/>
          <w:szCs w:val="24"/>
          <w:lang w:val="en-US"/>
        </w:rPr>
        <w:t xml:space="preserve">, V. A., &amp; </w:t>
      </w:r>
      <w:proofErr w:type="spellStart"/>
      <w:r w:rsidRPr="00CC4063">
        <w:rPr>
          <w:rFonts w:ascii="Times New Roman" w:eastAsia="Times New Roman" w:hAnsi="Times New Roman" w:cs="Times New Roman"/>
          <w:sz w:val="24"/>
          <w:szCs w:val="24"/>
          <w:lang w:val="en-US"/>
        </w:rPr>
        <w:t>Obilana</w:t>
      </w:r>
      <w:proofErr w:type="spellEnd"/>
      <w:r w:rsidRPr="00CC4063">
        <w:rPr>
          <w:rFonts w:ascii="Times New Roman" w:eastAsia="Times New Roman" w:hAnsi="Times New Roman" w:cs="Times New Roman"/>
          <w:sz w:val="24"/>
          <w:szCs w:val="24"/>
          <w:lang w:val="en-US"/>
        </w:rPr>
        <w:t xml:space="preserve">, A. O. (2024). Nutritional, biochemical, and functional properties of pearl millet and </w:t>
      </w:r>
      <w:r w:rsidRPr="00CC4063">
        <w:rPr>
          <w:rFonts w:ascii="Times New Roman" w:eastAsia="Times New Roman" w:hAnsi="Times New Roman" w:cs="Times New Roman"/>
          <w:i/>
          <w:iCs/>
          <w:sz w:val="24"/>
          <w:szCs w:val="24"/>
          <w:lang w:val="en-US"/>
        </w:rPr>
        <w:t>Moringa oleifera</w:t>
      </w:r>
      <w:r w:rsidRPr="00CC4063">
        <w:rPr>
          <w:rFonts w:ascii="Times New Roman" w:eastAsia="Times New Roman" w:hAnsi="Times New Roman" w:cs="Times New Roman"/>
          <w:sz w:val="24"/>
          <w:szCs w:val="24"/>
          <w:lang w:val="en-US"/>
        </w:rPr>
        <w:t xml:space="preserve"> leaf powder composite meal powders. </w:t>
      </w:r>
      <w:r w:rsidRPr="00CC4063">
        <w:rPr>
          <w:rFonts w:ascii="Times New Roman" w:eastAsia="Times New Roman" w:hAnsi="Times New Roman" w:cs="Times New Roman"/>
          <w:i/>
          <w:iCs/>
          <w:sz w:val="24"/>
          <w:szCs w:val="24"/>
          <w:lang w:val="en-US"/>
        </w:rPr>
        <w:t>Foods, 13</w:t>
      </w:r>
      <w:r w:rsidRPr="00CC4063">
        <w:rPr>
          <w:rFonts w:ascii="Times New Roman" w:eastAsia="Times New Roman" w:hAnsi="Times New Roman" w:cs="Times New Roman"/>
          <w:sz w:val="24"/>
          <w:szCs w:val="24"/>
          <w:lang w:val="en-US"/>
        </w:rPr>
        <w:t xml:space="preserve">(5), 743. </w:t>
      </w:r>
      <w:hyperlink r:id="rId41" w:tgtFrame="_new" w:history="1">
        <w:r w:rsidRPr="00CC4063">
          <w:rPr>
            <w:rFonts w:ascii="Times New Roman" w:eastAsia="Times New Roman" w:hAnsi="Times New Roman" w:cs="Times New Roman"/>
            <w:color w:val="0000FF"/>
            <w:sz w:val="24"/>
            <w:szCs w:val="24"/>
            <w:u w:val="single"/>
            <w:lang w:val="en-US"/>
          </w:rPr>
          <w:t>https://doi.org/10.3390/foods13050743</w:t>
        </w:r>
      </w:hyperlink>
    </w:p>
    <w:p w14:paraId="197510B2" w14:textId="77777777" w:rsidR="00CC4063" w:rsidRPr="00CC4063" w:rsidRDefault="00CC4063" w:rsidP="00CC4063">
      <w:pPr>
        <w:spacing w:before="100" w:beforeAutospacing="1" w:after="100" w:afterAutospacing="1" w:line="240" w:lineRule="auto"/>
        <w:rPr>
          <w:rFonts w:ascii="Times New Roman" w:eastAsia="Times New Roman" w:hAnsi="Times New Roman" w:cs="Times New Roman"/>
          <w:sz w:val="24"/>
          <w:szCs w:val="24"/>
          <w:lang w:val="en-US"/>
        </w:rPr>
      </w:pPr>
      <w:r w:rsidRPr="00CC4063">
        <w:rPr>
          <w:rFonts w:ascii="Times New Roman" w:eastAsia="Times New Roman" w:hAnsi="Times New Roman" w:cs="Times New Roman"/>
          <w:sz w:val="24"/>
          <w:szCs w:val="24"/>
          <w:lang w:val="en-US"/>
        </w:rPr>
        <w:lastRenderedPageBreak/>
        <w:t xml:space="preserve">Singh, H., Chaturvedi, S., Sandhu, K. S., Toor, B. S., &amp; Sharma, V. (2025). Impact of processing on millets: A pathway to improved nutrition and functionality. </w:t>
      </w:r>
      <w:r w:rsidRPr="00CC4063">
        <w:rPr>
          <w:rFonts w:ascii="Times New Roman" w:eastAsia="Times New Roman" w:hAnsi="Times New Roman" w:cs="Times New Roman"/>
          <w:i/>
          <w:iCs/>
          <w:sz w:val="24"/>
          <w:szCs w:val="24"/>
          <w:lang w:val="en-US"/>
        </w:rPr>
        <w:t>Current Nutrition Reports, 14</w:t>
      </w:r>
      <w:r w:rsidRPr="00CC4063">
        <w:rPr>
          <w:rFonts w:ascii="Times New Roman" w:eastAsia="Times New Roman" w:hAnsi="Times New Roman" w:cs="Times New Roman"/>
          <w:sz w:val="24"/>
          <w:szCs w:val="24"/>
          <w:lang w:val="en-US"/>
        </w:rPr>
        <w:t xml:space="preserve">, 122. </w:t>
      </w:r>
      <w:hyperlink r:id="rId42" w:tgtFrame="_new" w:history="1">
        <w:r w:rsidRPr="00CC4063">
          <w:rPr>
            <w:rFonts w:ascii="Times New Roman" w:eastAsia="Times New Roman" w:hAnsi="Times New Roman" w:cs="Times New Roman"/>
            <w:color w:val="0000FF"/>
            <w:sz w:val="24"/>
            <w:szCs w:val="24"/>
            <w:u w:val="single"/>
            <w:lang w:val="en-US"/>
          </w:rPr>
          <w:t>https://doi.org/10.1007/s13668-025-00715-3</w:t>
        </w:r>
      </w:hyperlink>
    </w:p>
    <w:p w14:paraId="6758FC38" w14:textId="77777777" w:rsidR="004841B3" w:rsidRPr="00687ABD" w:rsidRDefault="004841B3" w:rsidP="0065424F">
      <w:pPr>
        <w:jc w:val="both"/>
      </w:pPr>
    </w:p>
    <w:p w14:paraId="5BD0D559" w14:textId="77777777" w:rsidR="0016394F" w:rsidRDefault="0016394F" w:rsidP="0065424F">
      <w:pPr>
        <w:jc w:val="both"/>
      </w:pPr>
    </w:p>
    <w:p w14:paraId="75958B79" w14:textId="77777777" w:rsidR="0016394F" w:rsidRDefault="0016394F" w:rsidP="0065424F">
      <w:pPr>
        <w:jc w:val="both"/>
      </w:pPr>
    </w:p>
    <w:p w14:paraId="0514A07D" w14:textId="77777777" w:rsidR="0016394F" w:rsidRDefault="0016394F" w:rsidP="0065424F">
      <w:pPr>
        <w:jc w:val="both"/>
      </w:pPr>
    </w:p>
    <w:p w14:paraId="035D94E2" w14:textId="77777777" w:rsidR="0016394F" w:rsidRDefault="0016394F" w:rsidP="0065424F">
      <w:pPr>
        <w:jc w:val="both"/>
      </w:pPr>
    </w:p>
    <w:p w14:paraId="382561CB" w14:textId="77777777" w:rsidR="0016394F" w:rsidRDefault="0016394F" w:rsidP="0065424F">
      <w:pPr>
        <w:jc w:val="both"/>
      </w:pPr>
    </w:p>
    <w:p w14:paraId="0D256B5C" w14:textId="77777777" w:rsidR="0016394F" w:rsidRDefault="0016394F" w:rsidP="0065424F">
      <w:pPr>
        <w:jc w:val="both"/>
      </w:pPr>
    </w:p>
    <w:p w14:paraId="6F946E41" w14:textId="77777777" w:rsidR="0016394F" w:rsidRDefault="0016394F" w:rsidP="0065424F">
      <w:pPr>
        <w:jc w:val="both"/>
      </w:pPr>
    </w:p>
    <w:p w14:paraId="2C56988B" w14:textId="77777777" w:rsidR="0016394F" w:rsidRDefault="0016394F" w:rsidP="0065424F">
      <w:pPr>
        <w:jc w:val="both"/>
      </w:pPr>
    </w:p>
    <w:sectPr w:rsidR="0016394F" w:rsidSect="004841B3">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3D79" w14:textId="77777777" w:rsidR="00C643D6" w:rsidRDefault="00C643D6" w:rsidP="006D47FF">
      <w:pPr>
        <w:spacing w:after="0" w:line="240" w:lineRule="auto"/>
      </w:pPr>
      <w:r>
        <w:separator/>
      </w:r>
    </w:p>
  </w:endnote>
  <w:endnote w:type="continuationSeparator" w:id="0">
    <w:p w14:paraId="72C224D7" w14:textId="77777777" w:rsidR="00C643D6" w:rsidRDefault="00C643D6" w:rsidP="006D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25BE" w14:textId="77777777" w:rsidR="006D47FF" w:rsidRDefault="006D4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31B1" w14:textId="77777777" w:rsidR="006D47FF" w:rsidRDefault="006D4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E35D" w14:textId="77777777" w:rsidR="006D47FF" w:rsidRDefault="006D4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6E538" w14:textId="77777777" w:rsidR="00C643D6" w:rsidRDefault="00C643D6" w:rsidP="006D47FF">
      <w:pPr>
        <w:spacing w:after="0" w:line="240" w:lineRule="auto"/>
      </w:pPr>
      <w:r>
        <w:separator/>
      </w:r>
    </w:p>
  </w:footnote>
  <w:footnote w:type="continuationSeparator" w:id="0">
    <w:p w14:paraId="6A6A5B41" w14:textId="77777777" w:rsidR="00C643D6" w:rsidRDefault="00C643D6" w:rsidP="006D4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4D47" w14:textId="77777777" w:rsidR="006D47FF" w:rsidRDefault="00000000">
    <w:pPr>
      <w:pStyle w:val="Header"/>
    </w:pPr>
    <w:r>
      <w:rPr>
        <w:noProof/>
      </w:rPr>
      <w:pict w14:anchorId="2788B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B22E" w14:textId="77777777" w:rsidR="006D47FF" w:rsidRDefault="00000000">
    <w:pPr>
      <w:pStyle w:val="Header"/>
    </w:pPr>
    <w:r>
      <w:rPr>
        <w:noProof/>
      </w:rPr>
      <w:pict w14:anchorId="0A6E7A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B616" w14:textId="77777777" w:rsidR="006D47FF" w:rsidRDefault="00000000">
    <w:pPr>
      <w:pStyle w:val="Header"/>
    </w:pPr>
    <w:r>
      <w:rPr>
        <w:noProof/>
      </w:rPr>
      <w:pict w14:anchorId="4369D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B0F86"/>
    <w:multiLevelType w:val="hybridMultilevel"/>
    <w:tmpl w:val="59964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658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cwNDUyMbYwMDS2MDNS0lEKTi0uzszPAykwrAUAaQqH3ywAAAA="/>
  </w:docVars>
  <w:rsids>
    <w:rsidRoot w:val="00687ABD"/>
    <w:rsid w:val="00071F24"/>
    <w:rsid w:val="000B0127"/>
    <w:rsid w:val="00120B49"/>
    <w:rsid w:val="00125EF8"/>
    <w:rsid w:val="0016394F"/>
    <w:rsid w:val="00345F3B"/>
    <w:rsid w:val="003C4113"/>
    <w:rsid w:val="004841B3"/>
    <w:rsid w:val="004A4E91"/>
    <w:rsid w:val="004B467F"/>
    <w:rsid w:val="0065424F"/>
    <w:rsid w:val="006812FE"/>
    <w:rsid w:val="00687ABD"/>
    <w:rsid w:val="006A4F5D"/>
    <w:rsid w:val="006D47FF"/>
    <w:rsid w:val="007F6C7C"/>
    <w:rsid w:val="00824882"/>
    <w:rsid w:val="009715E1"/>
    <w:rsid w:val="009A76AC"/>
    <w:rsid w:val="00A358EA"/>
    <w:rsid w:val="00AE20AA"/>
    <w:rsid w:val="00C643D6"/>
    <w:rsid w:val="00CC4063"/>
    <w:rsid w:val="00FD1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B7E8"/>
  <w15:docId w15:val="{B85EA89A-3984-46AC-BA21-0889BCF9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87AB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87AB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87AB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687AB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87AB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87ABD"/>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87A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87ABD"/>
    <w:rPr>
      <w:i/>
      <w:iCs/>
    </w:rPr>
  </w:style>
  <w:style w:type="character" w:styleId="Strong">
    <w:name w:val="Strong"/>
    <w:basedOn w:val="DefaultParagraphFont"/>
    <w:uiPriority w:val="22"/>
    <w:qFormat/>
    <w:rsid w:val="00687ABD"/>
    <w:rPr>
      <w:b/>
      <w:bCs/>
    </w:rPr>
  </w:style>
  <w:style w:type="character" w:styleId="Hyperlink">
    <w:name w:val="Hyperlink"/>
    <w:basedOn w:val="DefaultParagraphFont"/>
    <w:uiPriority w:val="99"/>
    <w:semiHidden/>
    <w:unhideWhenUsed/>
    <w:rsid w:val="00687ABD"/>
    <w:rPr>
      <w:color w:val="0000FF"/>
      <w:u w:val="single"/>
    </w:rPr>
  </w:style>
  <w:style w:type="table" w:styleId="TableGrid">
    <w:name w:val="Table Grid"/>
    <w:basedOn w:val="TableNormal"/>
    <w:uiPriority w:val="59"/>
    <w:rsid w:val="0097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7FF"/>
  </w:style>
  <w:style w:type="paragraph" w:styleId="Footer">
    <w:name w:val="footer"/>
    <w:basedOn w:val="Normal"/>
    <w:link w:val="FooterChar"/>
    <w:uiPriority w:val="99"/>
    <w:unhideWhenUsed/>
    <w:rsid w:val="006D4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7FF"/>
  </w:style>
  <w:style w:type="paragraph" w:styleId="ListParagraph">
    <w:name w:val="List Paragraph"/>
    <w:basedOn w:val="Normal"/>
    <w:uiPriority w:val="34"/>
    <w:qFormat/>
    <w:rsid w:val="000B0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987735">
      <w:bodyDiv w:val="1"/>
      <w:marLeft w:val="0"/>
      <w:marRight w:val="0"/>
      <w:marTop w:val="0"/>
      <w:marBottom w:val="0"/>
      <w:divBdr>
        <w:top w:val="none" w:sz="0" w:space="0" w:color="auto"/>
        <w:left w:val="none" w:sz="0" w:space="0" w:color="auto"/>
        <w:bottom w:val="none" w:sz="0" w:space="0" w:color="auto"/>
        <w:right w:val="none" w:sz="0" w:space="0" w:color="auto"/>
      </w:divBdr>
      <w:divsChild>
        <w:div w:id="1087506131">
          <w:marLeft w:val="0"/>
          <w:marRight w:val="0"/>
          <w:marTop w:val="0"/>
          <w:marBottom w:val="0"/>
          <w:divBdr>
            <w:top w:val="none" w:sz="0" w:space="0" w:color="auto"/>
            <w:left w:val="none" w:sz="0" w:space="0" w:color="auto"/>
            <w:bottom w:val="none" w:sz="0" w:space="0" w:color="auto"/>
            <w:right w:val="none" w:sz="0" w:space="0" w:color="auto"/>
          </w:divBdr>
        </w:div>
        <w:div w:id="1551067448">
          <w:marLeft w:val="0"/>
          <w:marRight w:val="0"/>
          <w:marTop w:val="0"/>
          <w:marBottom w:val="0"/>
          <w:divBdr>
            <w:top w:val="none" w:sz="0" w:space="0" w:color="auto"/>
            <w:left w:val="none" w:sz="0" w:space="0" w:color="auto"/>
            <w:bottom w:val="none" w:sz="0" w:space="0" w:color="auto"/>
            <w:right w:val="none" w:sz="0" w:space="0" w:color="auto"/>
          </w:divBdr>
        </w:div>
        <w:div w:id="998728060">
          <w:marLeft w:val="0"/>
          <w:marRight w:val="0"/>
          <w:marTop w:val="0"/>
          <w:marBottom w:val="0"/>
          <w:divBdr>
            <w:top w:val="none" w:sz="0" w:space="0" w:color="auto"/>
            <w:left w:val="none" w:sz="0" w:space="0" w:color="auto"/>
            <w:bottom w:val="none" w:sz="0" w:space="0" w:color="auto"/>
            <w:right w:val="none" w:sz="0" w:space="0" w:color="auto"/>
          </w:divBdr>
        </w:div>
        <w:div w:id="1744256006">
          <w:marLeft w:val="0"/>
          <w:marRight w:val="0"/>
          <w:marTop w:val="0"/>
          <w:marBottom w:val="0"/>
          <w:divBdr>
            <w:top w:val="none" w:sz="0" w:space="0" w:color="auto"/>
            <w:left w:val="none" w:sz="0" w:space="0" w:color="auto"/>
            <w:bottom w:val="none" w:sz="0" w:space="0" w:color="auto"/>
            <w:right w:val="none" w:sz="0" w:space="0" w:color="auto"/>
          </w:divBdr>
        </w:div>
        <w:div w:id="1254045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pls.2023.1170103?utm_source=chatgpt.com" TargetMode="External"/><Relationship Id="rId18" Type="http://schemas.openxmlformats.org/officeDocument/2006/relationships/hyperlink" Target="https://doi.org/10.1016/S0899-3467(07)60142-6" TargetMode="External"/><Relationship Id="rId26" Type="http://schemas.openxmlformats.org/officeDocument/2006/relationships/hyperlink" Target="https://doi.org/10.1002/cbdv.202402437" TargetMode="External"/><Relationship Id="rId39" Type="http://schemas.openxmlformats.org/officeDocument/2006/relationships/hyperlink" Target="https://doi.org/10.3389/fpls.2016.02069" TargetMode="External"/><Relationship Id="rId21" Type="http://schemas.openxmlformats.org/officeDocument/2006/relationships/hyperlink" Target="https://doi.org/10.3389/fnut.2024.1346869" TargetMode="External"/><Relationship Id="rId34" Type="http://schemas.openxmlformats.org/officeDocument/2006/relationships/hyperlink" Target="https://doi.org/10.1038/s41598-020-76230-y" TargetMode="External"/><Relationship Id="rId42" Type="http://schemas.openxmlformats.org/officeDocument/2006/relationships/hyperlink" Target="https://doi.org/10.1007/s13668-025-00715-3"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doi.org/10.1007/s44187-023-00063-7?utm_source=chatgpt.com" TargetMode="External"/><Relationship Id="rId2" Type="http://schemas.openxmlformats.org/officeDocument/2006/relationships/styles" Target="styles.xml"/><Relationship Id="rId16" Type="http://schemas.openxmlformats.org/officeDocument/2006/relationships/hyperlink" Target="https://doi.org/10.1038/s41598-020-77818-0" TargetMode="External"/><Relationship Id="rId29" Type="http://schemas.openxmlformats.org/officeDocument/2006/relationships/hyperlink" Target="https://doi.org/10.1186/s43014-025-00316-1?utm_source=chatgpt.com" TargetMode="External"/><Relationship Id="rId11" Type="http://schemas.openxmlformats.org/officeDocument/2006/relationships/hyperlink" Target="https://doi.org/10.1371/journal.pone.0198394" TargetMode="External"/><Relationship Id="rId24" Type="http://schemas.openxmlformats.org/officeDocument/2006/relationships/hyperlink" Target="https://doi.org/10.3389/fnut.2024.1462567" TargetMode="External"/><Relationship Id="rId32" Type="http://schemas.openxmlformats.org/officeDocument/2006/relationships/hyperlink" Target="https://doi.org/10.1038/s41598-025-23884-1" TargetMode="External"/><Relationship Id="rId37" Type="http://schemas.openxmlformats.org/officeDocument/2006/relationships/hyperlink" Target="https://doi.org/10.3390/life13091918" TargetMode="External"/><Relationship Id="rId40" Type="http://schemas.openxmlformats.org/officeDocument/2006/relationships/hyperlink" Target="https://doi.org/10.3389/fpls.2023.1059574"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389/fnut.2022.884381?utm_source=chatgpt.com" TargetMode="External"/><Relationship Id="rId23" Type="http://schemas.openxmlformats.org/officeDocument/2006/relationships/hyperlink" Target="https://doi.org/10.1002/fsn3.70120" TargetMode="External"/><Relationship Id="rId28" Type="http://schemas.openxmlformats.org/officeDocument/2006/relationships/hyperlink" Target="https://doi.org/10.3389/fnut.2024.1349757?utm_source=chatgpt.com" TargetMode="External"/><Relationship Id="rId36" Type="http://schemas.openxmlformats.org/officeDocument/2006/relationships/hyperlink" Target="https://doi.org/10.9734/jsrr/2024/v30i41914" TargetMode="External"/><Relationship Id="rId49" Type="http://schemas.openxmlformats.org/officeDocument/2006/relationships/fontTable" Target="fontTable.xml"/><Relationship Id="rId10" Type="http://schemas.openxmlformats.org/officeDocument/2006/relationships/hyperlink" Target="https://doi.org/10.3390/foods13223684?utm_source=chatgpt.com" TargetMode="External"/><Relationship Id="rId19" Type="http://schemas.openxmlformats.org/officeDocument/2006/relationships/hyperlink" Target="https://doi.org/10.1186/s40066-020-00282-6" TargetMode="External"/><Relationship Id="rId31" Type="http://schemas.openxmlformats.org/officeDocument/2006/relationships/hyperlink" Target="https://doi.org/10.1079/cabireviews.2024.0041"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186/s40066-025-00553-0" TargetMode="External"/><Relationship Id="rId14" Type="http://schemas.openxmlformats.org/officeDocument/2006/relationships/hyperlink" Target="https://www.fao.org/plant-production-protection/news-and-events/news/news-detail/global-effort-to-harness-science-and-partnerships-to-transform-millets/en?utm_source=chatgpt.com" TargetMode="External"/><Relationship Id="rId22" Type="http://schemas.openxmlformats.org/officeDocument/2006/relationships/hyperlink" Target="https://doi.org/10.3390/foods14203460" TargetMode="External"/><Relationship Id="rId27" Type="http://schemas.openxmlformats.org/officeDocument/2006/relationships/hyperlink" Target="https://doi.org/10.1021/acsomega.4c03466" TargetMode="External"/><Relationship Id="rId30" Type="http://schemas.openxmlformats.org/officeDocument/2006/relationships/hyperlink" Target="https://doi.org/10.1021/acsfoodscitech.5c00115" TargetMode="External"/><Relationship Id="rId35" Type="http://schemas.openxmlformats.org/officeDocument/2006/relationships/hyperlink" Target="https://doi.org/10.3389/fpls.2021.69368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doi.org/10.3389/fnut.2021.687428?utm_source=chatgpt.com" TargetMode="External"/><Relationship Id="rId3" Type="http://schemas.openxmlformats.org/officeDocument/2006/relationships/settings" Target="settings.xml"/><Relationship Id="rId12" Type="http://schemas.openxmlformats.org/officeDocument/2006/relationships/hyperlink" Target="https://doi.org/10.3389/fpls.2022.851970?utm_source=chatgpt.com" TargetMode="External"/><Relationship Id="rId17" Type="http://schemas.openxmlformats.org/officeDocument/2006/relationships/hyperlink" Target="https://doi.org/10.3390/foods11040499" TargetMode="External"/><Relationship Id="rId25" Type="http://schemas.openxmlformats.org/officeDocument/2006/relationships/hyperlink" Target="https://doi.org/10.3389/fnut.2025.1691522" TargetMode="External"/><Relationship Id="rId33" Type="http://schemas.openxmlformats.org/officeDocument/2006/relationships/hyperlink" Target="https://doi.org/10.3390/nu14142932?utm_source=chatgpt.com" TargetMode="External"/><Relationship Id="rId38" Type="http://schemas.openxmlformats.org/officeDocument/2006/relationships/hyperlink" Target="https://doi.org/10.3389/fpls.2021.659938" TargetMode="External"/><Relationship Id="rId46" Type="http://schemas.openxmlformats.org/officeDocument/2006/relationships/footer" Target="footer2.xml"/><Relationship Id="rId20" Type="http://schemas.openxmlformats.org/officeDocument/2006/relationships/hyperlink" Target="https://doi.org/10.1039/d5fb00042d" TargetMode="External"/><Relationship Id="rId41" Type="http://schemas.openxmlformats.org/officeDocument/2006/relationships/hyperlink" Target="https://doi.org/10.3390/foods1305074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10344</Words>
  <Characters>58962</Characters>
  <Application>Microsoft Office Word</Application>
  <DocSecurity>0</DocSecurity>
  <Lines>491</Lines>
  <Paragraphs>138</Paragraphs>
  <ScaleCrop>false</ScaleCrop>
  <Company>HP</Company>
  <LinksUpToDate>false</LinksUpToDate>
  <CharactersWithSpaces>69168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12</cp:revision>
  <dcterms:created xsi:type="dcterms:W3CDTF">2026-07-02T18:42:00Z</dcterms:created>
  <dcterms:modified xsi:type="dcterms:W3CDTF">2026-07-13T11:11:00Z</dcterms:modified>
</cp:coreProperties>
</file>