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72730" w14:textId="77777777" w:rsidR="000B0212" w:rsidRPr="00667FFD" w:rsidRDefault="00000000">
      <w:pPr>
        <w:spacing w:line="276" w:lineRule="auto"/>
        <w:jc w:val="center"/>
        <w:rPr>
          <w:b/>
          <w:sz w:val="24"/>
          <w:szCs w:val="24"/>
        </w:rPr>
      </w:pPr>
      <w:r w:rsidRPr="00667FFD">
        <w:rPr>
          <w:b/>
          <w:sz w:val="24"/>
          <w:szCs w:val="24"/>
        </w:rPr>
        <w:t>Original Research Article</w:t>
      </w:r>
    </w:p>
    <w:p w14:paraId="04274A5C" w14:textId="77777777" w:rsidR="000B0212" w:rsidRPr="00667FFD" w:rsidRDefault="000B0212">
      <w:pPr>
        <w:spacing w:line="276" w:lineRule="auto"/>
        <w:jc w:val="center"/>
        <w:rPr>
          <w:b/>
          <w:sz w:val="24"/>
          <w:szCs w:val="24"/>
        </w:rPr>
      </w:pPr>
    </w:p>
    <w:p w14:paraId="725C70CD" w14:textId="77777777" w:rsidR="000B0212" w:rsidRPr="00667FFD" w:rsidRDefault="00000000">
      <w:pPr>
        <w:spacing w:line="276" w:lineRule="auto"/>
        <w:jc w:val="both"/>
        <w:rPr>
          <w:b/>
          <w:sz w:val="24"/>
          <w:szCs w:val="24"/>
        </w:rPr>
      </w:pPr>
      <w:r w:rsidRPr="00667FFD">
        <w:rPr>
          <w:b/>
          <w:sz w:val="24"/>
          <w:szCs w:val="24"/>
        </w:rPr>
        <w:t xml:space="preserve">Production and Quality Evaluation of Jam from Black Plum </w:t>
      </w:r>
      <w:r w:rsidRPr="00667FFD">
        <w:rPr>
          <w:b/>
          <w:i/>
          <w:iCs/>
          <w:sz w:val="24"/>
          <w:szCs w:val="24"/>
        </w:rPr>
        <w:t xml:space="preserve">(Vitex </w:t>
      </w:r>
      <w:proofErr w:type="spellStart"/>
      <w:r w:rsidRPr="00667FFD">
        <w:rPr>
          <w:b/>
          <w:i/>
          <w:iCs/>
          <w:sz w:val="24"/>
          <w:szCs w:val="24"/>
        </w:rPr>
        <w:t>Doniana</w:t>
      </w:r>
      <w:proofErr w:type="spellEnd"/>
      <w:r w:rsidRPr="00667FFD">
        <w:rPr>
          <w:b/>
          <w:i/>
          <w:sz w:val="24"/>
          <w:szCs w:val="24"/>
        </w:rPr>
        <w:t xml:space="preserve">) </w:t>
      </w:r>
      <w:r w:rsidRPr="00667FFD">
        <w:rPr>
          <w:b/>
          <w:sz w:val="24"/>
          <w:szCs w:val="24"/>
        </w:rPr>
        <w:t>Fruit</w:t>
      </w:r>
    </w:p>
    <w:p w14:paraId="5F607051" w14:textId="77777777" w:rsidR="000B0212" w:rsidRPr="00667FFD" w:rsidRDefault="000B0212">
      <w:pPr>
        <w:spacing w:line="276" w:lineRule="auto"/>
        <w:jc w:val="both"/>
        <w:rPr>
          <w:b/>
          <w:sz w:val="24"/>
          <w:szCs w:val="24"/>
        </w:rPr>
      </w:pPr>
    </w:p>
    <w:p w14:paraId="11C1B968" w14:textId="77777777" w:rsidR="000B0212" w:rsidRPr="00667FFD" w:rsidRDefault="00000000">
      <w:pPr>
        <w:spacing w:line="276" w:lineRule="auto"/>
        <w:jc w:val="both"/>
        <w:rPr>
          <w:b/>
          <w:i/>
          <w:iCs/>
          <w:sz w:val="24"/>
          <w:szCs w:val="24"/>
        </w:rPr>
      </w:pPr>
      <w:r w:rsidRPr="00667FFD">
        <w:rPr>
          <w:b/>
          <w:i/>
          <w:iCs/>
          <w:sz w:val="24"/>
          <w:szCs w:val="24"/>
        </w:rPr>
        <w:t>Abstract</w:t>
      </w:r>
    </w:p>
    <w:p w14:paraId="1B851F60" w14:textId="6F233E07" w:rsidR="00135868" w:rsidRDefault="00EF7191" w:rsidP="00347338">
      <w:pPr>
        <w:pStyle w:val="pdq2pgselectionanchorcontainer"/>
        <w:jc w:val="both"/>
      </w:pPr>
      <w:r w:rsidRPr="00EF7191">
        <w:t>Black plum (</w:t>
      </w:r>
      <w:r w:rsidRPr="00EF7191">
        <w:rPr>
          <w:i/>
          <w:iCs/>
        </w:rPr>
        <w:t xml:space="preserve">Vitex </w:t>
      </w:r>
      <w:proofErr w:type="spellStart"/>
      <w:r w:rsidRPr="00EF7191">
        <w:rPr>
          <w:i/>
          <w:iCs/>
        </w:rPr>
        <w:t>doniana</w:t>
      </w:r>
      <w:proofErr w:type="spellEnd"/>
      <w:r w:rsidRPr="00EF7191">
        <w:t xml:space="preserve">) is an </w:t>
      </w:r>
      <w:proofErr w:type="spellStart"/>
      <w:r w:rsidRPr="00EF7191">
        <w:t>underutilised</w:t>
      </w:r>
      <w:proofErr w:type="spellEnd"/>
      <w:r w:rsidRPr="00EF7191">
        <w:t xml:space="preserve"> indigenous fruit with potential for value-added processing, particularly in regions where post-harvest losses are common. Its natural pectin content and nutritional properties make it a suitable raw material for jam production.</w:t>
      </w:r>
      <w:r>
        <w:t xml:space="preserve"> </w:t>
      </w:r>
      <w:r w:rsidR="00135868">
        <w:t>This study evaluated the suitability of black plum (</w:t>
      </w:r>
      <w:r w:rsidR="00135868">
        <w:rPr>
          <w:rStyle w:val="Emphasis"/>
        </w:rPr>
        <w:t xml:space="preserve">Vitex </w:t>
      </w:r>
      <w:proofErr w:type="spellStart"/>
      <w:r w:rsidR="00135868">
        <w:rPr>
          <w:rStyle w:val="Emphasis"/>
        </w:rPr>
        <w:t>doniana</w:t>
      </w:r>
      <w:proofErr w:type="spellEnd"/>
      <w:r w:rsidR="00135868">
        <w:t xml:space="preserve">) fruit for jam production using different proportions of ripe and unripe fruits. Three jam formulations were prepared: 100% ripe fruit jam (RHJ), 60% ripe and 40% unripe fruit jam (RSJ), and 40% ripe and 60% unripe fruit jam (RFJ). The jam samples were subjected to proximate, physicochemical and sensory analyses using standard procedures. The results showed that fruit maturity influenced the quality characteristics of the jam samples. Increasing the proportion of unripe fruit increased titratable acidity, pectin content and viscosity, while reducing sugar content and total soluble solids decreased. RFJ recorded the highest pectin content (8.91%) and viscosity (87.47 dynes/cm²), whereas RHJ had the highest reducing sugar content (54.41%) and total soluble solids (68.85 °Brix). Sensory evaluation showed that black plum jam compared </w:t>
      </w:r>
      <w:proofErr w:type="spellStart"/>
      <w:r w:rsidR="00135868">
        <w:t>favourably</w:t>
      </w:r>
      <w:proofErr w:type="spellEnd"/>
      <w:r w:rsidR="00135868">
        <w:t xml:space="preserve"> with commercial black currant-strawberry jam in taste and mouthfeel and had a higher aroma score. However, its overall acceptability was slightly lower because of its darker </w:t>
      </w:r>
      <w:proofErr w:type="spellStart"/>
      <w:r w:rsidR="00135868">
        <w:t>colour</w:t>
      </w:r>
      <w:proofErr w:type="spellEnd"/>
      <w:r w:rsidR="00135868">
        <w:t xml:space="preserve">. The findings indicate that black plum fruit has useful natural pectin and acceptable sensory attributes for jam production. Processing black plum into jam may support value addition and improve the </w:t>
      </w:r>
      <w:proofErr w:type="spellStart"/>
      <w:r w:rsidR="00135868">
        <w:t>utilisation</w:t>
      </w:r>
      <w:proofErr w:type="spellEnd"/>
      <w:r w:rsidR="00135868">
        <w:t xml:space="preserve"> of this underexploited indigenous fruit.</w:t>
      </w:r>
    </w:p>
    <w:p w14:paraId="261BCD8E" w14:textId="1474282D" w:rsidR="000B0212" w:rsidRPr="00667FFD" w:rsidRDefault="00000000">
      <w:pPr>
        <w:pStyle w:val="NormalWeb"/>
        <w:spacing w:before="0" w:after="0" w:line="276" w:lineRule="auto"/>
        <w:jc w:val="both"/>
      </w:pPr>
      <w:r w:rsidRPr="00667FFD">
        <w:rPr>
          <w:rStyle w:val="Strong"/>
        </w:rPr>
        <w:t>Keywords:</w:t>
      </w:r>
      <w:r w:rsidRPr="00667FFD">
        <w:t xml:space="preserve"> </w:t>
      </w:r>
      <w:r w:rsidR="003D6726">
        <w:rPr>
          <w:rStyle w:val="Emphasis"/>
        </w:rPr>
        <w:t xml:space="preserve">Vitex </w:t>
      </w:r>
      <w:proofErr w:type="spellStart"/>
      <w:r w:rsidR="003D6726">
        <w:rPr>
          <w:rStyle w:val="Emphasis"/>
        </w:rPr>
        <w:t>doniana</w:t>
      </w:r>
      <w:proofErr w:type="spellEnd"/>
      <w:r w:rsidR="003D6726">
        <w:t>;</w:t>
      </w:r>
      <w:r w:rsidR="00E67986">
        <w:t xml:space="preserve"> </w:t>
      </w:r>
      <w:r w:rsidR="003D6726">
        <w:t>jam formulation; fruit maturity; pectin content; titratable acidity; viscosity; proximate composition; sensory acceptability; value addition.</w:t>
      </w:r>
    </w:p>
    <w:p w14:paraId="13A97EC8" w14:textId="77777777" w:rsidR="000B0212" w:rsidRPr="00667FFD" w:rsidRDefault="00000000">
      <w:pPr>
        <w:pStyle w:val="Heading1"/>
        <w:spacing w:before="0" w:after="0" w:line="276" w:lineRule="auto"/>
        <w:rPr>
          <w:szCs w:val="24"/>
        </w:rPr>
      </w:pPr>
      <w:r w:rsidRPr="00667FFD">
        <w:rPr>
          <w:szCs w:val="24"/>
        </w:rPr>
        <w:t>Introduction</w:t>
      </w:r>
    </w:p>
    <w:p w14:paraId="687168FD" w14:textId="6DB49F53" w:rsidR="000B0212" w:rsidRPr="00667FFD" w:rsidRDefault="00000000">
      <w:pPr>
        <w:spacing w:line="276" w:lineRule="auto"/>
        <w:jc w:val="both"/>
      </w:pPr>
      <w:r w:rsidRPr="00667FFD">
        <w:t>Black plum (</w:t>
      </w:r>
      <w:r w:rsidRPr="00667FFD">
        <w:rPr>
          <w:i/>
        </w:rPr>
        <w:t xml:space="preserve">Vitex </w:t>
      </w:r>
      <w:proofErr w:type="spellStart"/>
      <w:r w:rsidRPr="00667FFD">
        <w:rPr>
          <w:i/>
        </w:rPr>
        <w:t>doniana</w:t>
      </w:r>
      <w:proofErr w:type="spellEnd"/>
      <w:r w:rsidRPr="00667FFD">
        <w:t>) is a perishable indigenous fruit that may deteriorate through microbial contamination if it is not processed promptly. It can be consumed whole or processed into juice, jam and concentrate (</w:t>
      </w:r>
      <w:proofErr w:type="spellStart"/>
      <w:r w:rsidRPr="00667FFD">
        <w:t>Ajenifujah-Solebo</w:t>
      </w:r>
      <w:proofErr w:type="spellEnd"/>
      <w:r w:rsidRPr="00667FFD">
        <w:t xml:space="preserve"> &amp; Aina, 2011). Fruit processing and preservation support value addition by reducing quality loss and extending product availability (Amit et al., 2017; Baker et al., 2005; Codex Alimentarius Commission, </w:t>
      </w:r>
      <w:r w:rsidR="00017BC0">
        <w:t>2009</w:t>
      </w:r>
      <w:r w:rsidRPr="00667FFD">
        <w:t>). Juices are economically important fruit products; however, plum juices remain uncommon, and wild-growing indigenous fruits such as black plum continue to contribute to the diets and livelihoods of some African populations, particularly in sub-Saharan regions (</w:t>
      </w:r>
      <w:proofErr w:type="spellStart"/>
      <w:r w:rsidRPr="00667FFD">
        <w:t>Ajenifujah-Solebo</w:t>
      </w:r>
      <w:proofErr w:type="spellEnd"/>
      <w:r w:rsidRPr="00667FFD">
        <w:t xml:space="preserve"> &amp; Aina, 2011). Wild fruits are also traded informally and may provide income for rural communities. Their importance is greater in dry regions where drought and weather-related challenges affect food availability. However, the loss of forest resources through </w:t>
      </w:r>
      <w:proofErr w:type="spellStart"/>
      <w:r w:rsidRPr="00667FFD">
        <w:t>urbanisation</w:t>
      </w:r>
      <w:proofErr w:type="spellEnd"/>
      <w:r w:rsidRPr="00667FFD">
        <w:t xml:space="preserve"> and </w:t>
      </w:r>
      <w:proofErr w:type="spellStart"/>
      <w:r w:rsidRPr="00667FFD">
        <w:t>industrialisation</w:t>
      </w:r>
      <w:proofErr w:type="spellEnd"/>
      <w:r w:rsidRPr="00667FFD">
        <w:t xml:space="preserve"> can reduce access to these fruits. Limited documentation on cultivation and slow progress in improving indigenous plant species for food use further justify the need for improved </w:t>
      </w:r>
      <w:proofErr w:type="spellStart"/>
      <w:r w:rsidRPr="00667FFD">
        <w:t>utilisation</w:t>
      </w:r>
      <w:proofErr w:type="spellEnd"/>
      <w:r w:rsidRPr="00667FFD">
        <w:t xml:space="preserve"> of perishable resources (</w:t>
      </w:r>
      <w:r w:rsidR="00017BC0" w:rsidRPr="00017BC0">
        <w:t>Kader</w:t>
      </w:r>
      <w:r w:rsidRPr="00667FFD">
        <w:t>, 200</w:t>
      </w:r>
      <w:r w:rsidR="00017BC0">
        <w:t>5</w:t>
      </w:r>
      <w:r w:rsidRPr="00667FFD">
        <w:t xml:space="preserve">; </w:t>
      </w:r>
      <w:proofErr w:type="spellStart"/>
      <w:r w:rsidRPr="00667FFD">
        <w:t>Dadjo</w:t>
      </w:r>
      <w:proofErr w:type="spellEnd"/>
      <w:r w:rsidRPr="00667FFD">
        <w:t>, 201</w:t>
      </w:r>
      <w:r w:rsidR="00017BC0">
        <w:t>4</w:t>
      </w:r>
      <w:r w:rsidRPr="00667FFD">
        <w:t>).</w:t>
      </w:r>
    </w:p>
    <w:p w14:paraId="61D5A3CD" w14:textId="536BE700" w:rsidR="000B0212" w:rsidRPr="00667FFD" w:rsidRDefault="00000000">
      <w:pPr>
        <w:spacing w:line="276" w:lineRule="auto"/>
        <w:jc w:val="both"/>
      </w:pPr>
      <w:r w:rsidRPr="00667FFD">
        <w:t>Black plum (</w:t>
      </w:r>
      <w:r w:rsidRPr="00667FFD">
        <w:rPr>
          <w:i/>
        </w:rPr>
        <w:t xml:space="preserve">Vitex </w:t>
      </w:r>
      <w:proofErr w:type="spellStart"/>
      <w:r w:rsidRPr="00667FFD">
        <w:rPr>
          <w:i/>
        </w:rPr>
        <w:t>doniana</w:t>
      </w:r>
      <w:proofErr w:type="spellEnd"/>
      <w:r w:rsidRPr="00667FFD">
        <w:t>) is an indigenous deciduous fruit tree associated with rural livelihoods. The plant commonly grows in the wild, on the fringes of virgin forests, on farms and around dwellings in secondary bushes (</w:t>
      </w:r>
      <w:proofErr w:type="spellStart"/>
      <w:r w:rsidRPr="00667FFD">
        <w:t>Dadjo</w:t>
      </w:r>
      <w:proofErr w:type="spellEnd"/>
      <w:r w:rsidRPr="00667FFD">
        <w:t>, 201</w:t>
      </w:r>
      <w:r w:rsidR="00017BC0">
        <w:t>4</w:t>
      </w:r>
      <w:r w:rsidRPr="00667FFD">
        <w:t xml:space="preserve">; Orwa et al., 2009). It is a tropical forest tree that also occurs in open </w:t>
      </w:r>
      <w:r w:rsidRPr="00667FFD">
        <w:lastRenderedPageBreak/>
        <w:t>woodland and savanna environments.</w:t>
      </w:r>
    </w:p>
    <w:p w14:paraId="5BF9CCE8" w14:textId="68DFECE9" w:rsidR="000B0212" w:rsidRPr="00667FFD" w:rsidRDefault="00000000">
      <w:pPr>
        <w:widowControl/>
        <w:autoSpaceDE/>
        <w:jc w:val="both"/>
      </w:pPr>
      <w:r w:rsidRPr="00667FFD">
        <w:t xml:space="preserve">Black plum has more than twelve reported varieties. Related species include </w:t>
      </w:r>
      <w:r w:rsidRPr="00667FFD">
        <w:rPr>
          <w:i/>
        </w:rPr>
        <w:t xml:space="preserve">Vitex </w:t>
      </w:r>
      <w:proofErr w:type="spellStart"/>
      <w:r w:rsidRPr="00667FFD">
        <w:rPr>
          <w:i/>
        </w:rPr>
        <w:t>barbata</w:t>
      </w:r>
      <w:proofErr w:type="spellEnd"/>
      <w:r w:rsidRPr="00667FFD">
        <w:t xml:space="preserve">, </w:t>
      </w:r>
      <w:r w:rsidRPr="00667FFD">
        <w:rPr>
          <w:i/>
        </w:rPr>
        <w:t xml:space="preserve">Vitex </w:t>
      </w:r>
      <w:proofErr w:type="spellStart"/>
      <w:r w:rsidRPr="00667FFD">
        <w:rPr>
          <w:i/>
        </w:rPr>
        <w:t>campartem</w:t>
      </w:r>
      <w:proofErr w:type="spellEnd"/>
      <w:r w:rsidRPr="00667FFD">
        <w:t xml:space="preserve">, </w:t>
      </w:r>
      <w:r w:rsidRPr="00667FFD">
        <w:rPr>
          <w:i/>
        </w:rPr>
        <w:t>Vitex cordata</w:t>
      </w:r>
      <w:r w:rsidRPr="00667FFD">
        <w:t xml:space="preserve"> and </w:t>
      </w:r>
      <w:r w:rsidRPr="00667FFD">
        <w:rPr>
          <w:i/>
        </w:rPr>
        <w:t xml:space="preserve">Vitex </w:t>
      </w:r>
      <w:proofErr w:type="spellStart"/>
      <w:r w:rsidRPr="00667FFD">
        <w:rPr>
          <w:i/>
        </w:rPr>
        <w:t>madiensis</w:t>
      </w:r>
      <w:proofErr w:type="spellEnd"/>
      <w:r w:rsidRPr="00667FFD">
        <w:t xml:space="preserve">. </w:t>
      </w:r>
      <w:r w:rsidRPr="00667FFD">
        <w:rPr>
          <w:i/>
        </w:rPr>
        <w:t xml:space="preserve">Vitex </w:t>
      </w:r>
      <w:proofErr w:type="spellStart"/>
      <w:r w:rsidRPr="00667FFD">
        <w:rPr>
          <w:i/>
        </w:rPr>
        <w:t>doniana</w:t>
      </w:r>
      <w:proofErr w:type="spellEnd"/>
      <w:r w:rsidRPr="00667FFD">
        <w:t xml:space="preserve"> Sweet is among the common Vitex species in West Africa (</w:t>
      </w:r>
      <w:proofErr w:type="spellStart"/>
      <w:r w:rsidRPr="00667FFD">
        <w:t>Dadjo</w:t>
      </w:r>
      <w:proofErr w:type="spellEnd"/>
      <w:r w:rsidRPr="00667FFD">
        <w:t>, 201</w:t>
      </w:r>
      <w:r w:rsidR="00017BC0">
        <w:t>4</w:t>
      </w:r>
      <w:r w:rsidRPr="00667FFD">
        <w:t>). The fruit occurs in northern, eastern and western Nigeria. It is green when immature and turns dark brown when fully ripe, with pulp surrounding a hard stone that contains one to four seeds (Dadjo, 201</w:t>
      </w:r>
      <w:r w:rsidR="00017BC0">
        <w:t>4</w:t>
      </w:r>
      <w:r w:rsidRPr="00667FFD">
        <w:t>). In parts of Delta State and Anambra State, black plum is referred to as "Mbembe". In Enugu State, it is called "</w:t>
      </w:r>
      <w:proofErr w:type="spellStart"/>
      <w:r w:rsidRPr="00667FFD">
        <w:t>Erigheri</w:t>
      </w:r>
      <w:proofErr w:type="spellEnd"/>
      <w:r w:rsidRPr="00667FFD">
        <w:t>" or "</w:t>
      </w:r>
      <w:proofErr w:type="spellStart"/>
      <w:r w:rsidRPr="00667FFD">
        <w:t>Mgbamgba</w:t>
      </w:r>
      <w:proofErr w:type="spellEnd"/>
      <w:r w:rsidRPr="00667FFD">
        <w:t>". In Abia State, it is called "</w:t>
      </w:r>
      <w:proofErr w:type="spellStart"/>
      <w:r w:rsidRPr="00667FFD">
        <w:t>Uchakiri</w:t>
      </w:r>
      <w:proofErr w:type="spellEnd"/>
      <w:r w:rsidRPr="00667FFD">
        <w:t>" or "</w:t>
      </w:r>
      <w:proofErr w:type="spellStart"/>
      <w:r w:rsidRPr="00667FFD">
        <w:t>Uchakoro</w:t>
      </w:r>
      <w:proofErr w:type="spellEnd"/>
      <w:r w:rsidRPr="00667FFD">
        <w:t>", while in Imo State it is referred to as "</w:t>
      </w:r>
      <w:proofErr w:type="spellStart"/>
      <w:r w:rsidRPr="00667FFD">
        <w:t>Achakiri</w:t>
      </w:r>
      <w:proofErr w:type="spellEnd"/>
      <w:r w:rsidRPr="00667FFD">
        <w:t>" or "</w:t>
      </w:r>
      <w:proofErr w:type="spellStart"/>
      <w:r w:rsidRPr="00667FFD">
        <w:t>Urobia</w:t>
      </w:r>
      <w:proofErr w:type="spellEnd"/>
      <w:r w:rsidRPr="00667FFD">
        <w:t>". The Hausa people in northern Nigeria call it "Dinya", the Fulani call it "</w:t>
      </w:r>
      <w:proofErr w:type="spellStart"/>
      <w:r w:rsidRPr="00667FFD">
        <w:t>Galbihi</w:t>
      </w:r>
      <w:proofErr w:type="spellEnd"/>
      <w:r w:rsidRPr="00667FFD">
        <w:t>", and the Yoruba people in western Nigeria call it "Ori-</w:t>
      </w:r>
      <w:proofErr w:type="spellStart"/>
      <w:r w:rsidRPr="00667FFD">
        <w:t>nla</w:t>
      </w:r>
      <w:proofErr w:type="spellEnd"/>
      <w:r w:rsidRPr="00667FFD">
        <w:t>" (Dadjo, 201</w:t>
      </w:r>
      <w:r w:rsidR="00017BC0">
        <w:t>4</w:t>
      </w:r>
      <w:r w:rsidRPr="00667FFD">
        <w:t>). The fruit is also referred to as African black plum or African olive (</w:t>
      </w:r>
      <w:proofErr w:type="spellStart"/>
      <w:r w:rsidRPr="00667FFD">
        <w:t>Ajenifujah-Solebo</w:t>
      </w:r>
      <w:proofErr w:type="spellEnd"/>
      <w:r w:rsidRPr="00667FFD">
        <w:t xml:space="preserve"> &amp; Aina, 2011).</w:t>
      </w:r>
    </w:p>
    <w:p w14:paraId="1936CD88" w14:textId="77777777" w:rsidR="000B0212" w:rsidRPr="00667FFD" w:rsidRDefault="000B0212">
      <w:pPr>
        <w:spacing w:line="276" w:lineRule="auto"/>
        <w:jc w:val="both"/>
        <w:rPr>
          <w:sz w:val="24"/>
          <w:szCs w:val="24"/>
        </w:rPr>
      </w:pPr>
    </w:p>
    <w:p w14:paraId="66778770" w14:textId="77777777" w:rsidR="000B0212" w:rsidRPr="00667FFD" w:rsidRDefault="00000000">
      <w:pPr>
        <w:spacing w:line="276" w:lineRule="auto"/>
        <w:jc w:val="both"/>
      </w:pPr>
      <w:r w:rsidRPr="00667FFD">
        <w:t xml:space="preserve">Black plum is a nutritious fruit. It contains approximately 77.03% moisture, 1.65% ash, 2.9% fat, 2.75% </w:t>
      </w:r>
      <w:proofErr w:type="spellStart"/>
      <w:r w:rsidRPr="00667FFD">
        <w:t>fibre</w:t>
      </w:r>
      <w:proofErr w:type="spellEnd"/>
      <w:r w:rsidRPr="00667FFD">
        <w:t xml:space="preserve">, 8.10% protein and 7.57% carbohydrate. It also contains vitamin A (0.27), vitamins B1 (18.33), B2 (4.80), B6 (20.45m) and vitamin C (35.58) mg/100 g DW, respectively (Adejumo et al., 2013; </w:t>
      </w:r>
      <w:proofErr w:type="spellStart"/>
      <w:r w:rsidRPr="00667FFD">
        <w:t>Ajenifujah-Solebo</w:t>
      </w:r>
      <w:proofErr w:type="spellEnd"/>
      <w:r w:rsidRPr="00667FFD">
        <w:t xml:space="preserve"> &amp; Aina, 2011; </w:t>
      </w:r>
      <w:proofErr w:type="spellStart"/>
      <w:r w:rsidRPr="00667FFD">
        <w:t>Agbede</w:t>
      </w:r>
      <w:proofErr w:type="spellEnd"/>
      <w:r w:rsidRPr="00667FFD">
        <w:t xml:space="preserve"> &amp; Ibitoye, 2007). The minerals reported in mg/100 g DW include potassium (16.5), sodium (10.40), calcium (30.27), iron (5.20), copper (2.70), magnesium (20.10) and phosphorus (16.50) (</w:t>
      </w:r>
      <w:proofErr w:type="spellStart"/>
      <w:r w:rsidRPr="00667FFD">
        <w:t>Vunchi</w:t>
      </w:r>
      <w:proofErr w:type="spellEnd"/>
      <w:r w:rsidRPr="00667FFD">
        <w:t xml:space="preserve"> et al., 2011). Physicochemical and sensory results indicate that the fruit has soluble solids of 18.83 °Brix, pH 3.85, ascorbic acid of 33.35 mg, and Na, K and Ca contents of 0.1, 1.33 and 0.765 mg/100 g, respectively (</w:t>
      </w:r>
      <w:proofErr w:type="spellStart"/>
      <w:r w:rsidRPr="00667FFD">
        <w:t>Ajenifujah-Solebo</w:t>
      </w:r>
      <w:proofErr w:type="spellEnd"/>
      <w:r w:rsidRPr="00667FFD">
        <w:t xml:space="preserve"> &amp; Aina, 2011). Black plum syrup can substitute for other syrups as a nutritive sweetener (Abu &amp; Arogba, 2001; Burkill, 2000; </w:t>
      </w:r>
      <w:proofErr w:type="spellStart"/>
      <w:r w:rsidRPr="00667FFD">
        <w:t>Oumorou</w:t>
      </w:r>
      <w:proofErr w:type="spellEnd"/>
      <w:r w:rsidRPr="00667FFD">
        <w:t xml:space="preserve"> et al., 2010). The pulp may be promoted as a carbohydrate and lipid supplement for cereal-based diets in rural communities and as a relatively inexpensive raw material for juice production (</w:t>
      </w:r>
      <w:proofErr w:type="spellStart"/>
      <w:r w:rsidRPr="00667FFD">
        <w:t>Okigbo</w:t>
      </w:r>
      <w:proofErr w:type="spellEnd"/>
      <w:r w:rsidRPr="00667FFD">
        <w:t>, 2001). Its moderate calcium value has also been associated with potential dietary use (</w:t>
      </w:r>
      <w:proofErr w:type="spellStart"/>
      <w:r w:rsidRPr="00667FFD">
        <w:t>Vunchi</w:t>
      </w:r>
      <w:proofErr w:type="spellEnd"/>
      <w:r w:rsidRPr="00667FFD">
        <w:t xml:space="preserve"> et al., 2011).</w:t>
      </w:r>
    </w:p>
    <w:p w14:paraId="1293B3E6" w14:textId="77777777" w:rsidR="000B0212" w:rsidRPr="00667FFD" w:rsidRDefault="00000000" w:rsidP="00637E3F">
      <w:pPr>
        <w:spacing w:line="276" w:lineRule="auto"/>
        <w:jc w:val="both"/>
        <w:rPr>
          <w:bCs/>
        </w:rPr>
      </w:pPr>
      <w:r w:rsidRPr="00667FFD">
        <w:t>In some West African countries, including the Republic of Benin, the bark and leaves are used traditionally, while the young leaves are consumed as vegetables (</w:t>
      </w:r>
      <w:proofErr w:type="spellStart"/>
      <w:r w:rsidRPr="00667FFD">
        <w:t>Dadjo</w:t>
      </w:r>
      <w:proofErr w:type="spellEnd"/>
      <w:r w:rsidRPr="00667FFD">
        <w:t xml:space="preserve"> et al., 2012). The fruit pulp is consumed fresh, cooked or toasted and is locally marketed. It can be used to produce jam and wine, while the leaves are used traditionally for eye-related problems. The pounded leaves may also be added to warm filtered grain beer, and the bark yields a dye that can be used as a </w:t>
      </w:r>
      <w:proofErr w:type="spellStart"/>
      <w:r w:rsidRPr="00667FFD">
        <w:t>colourant</w:t>
      </w:r>
      <w:proofErr w:type="spellEnd"/>
      <w:r w:rsidRPr="00667FFD">
        <w:t xml:space="preserve"> (</w:t>
      </w:r>
      <w:proofErr w:type="spellStart"/>
      <w:r w:rsidRPr="00667FFD">
        <w:t>Dadjo</w:t>
      </w:r>
      <w:proofErr w:type="spellEnd"/>
      <w:r w:rsidRPr="00667FFD">
        <w:t xml:space="preserve"> et al., 2012). Studies have also investigated the phytochemical, antibacterial and </w:t>
      </w:r>
      <w:proofErr w:type="spellStart"/>
      <w:r w:rsidRPr="00667FFD">
        <w:t>flavour</w:t>
      </w:r>
      <w:proofErr w:type="spellEnd"/>
      <w:r w:rsidRPr="00667FFD">
        <w:t xml:space="preserve">-related properties of </w:t>
      </w:r>
      <w:r w:rsidRPr="00667FFD">
        <w:rPr>
          <w:i/>
        </w:rPr>
        <w:t xml:space="preserve">Vitex </w:t>
      </w:r>
      <w:proofErr w:type="spellStart"/>
      <w:r w:rsidRPr="00667FFD">
        <w:rPr>
          <w:i/>
        </w:rPr>
        <w:t>doniana</w:t>
      </w:r>
      <w:proofErr w:type="spellEnd"/>
      <w:r w:rsidRPr="00667FFD">
        <w:t xml:space="preserve"> fruit and plant parts (Ali et al., 2017; Chinyere et al., 2021). Black plum can be processed into juice and jam. Like some other fruits, it contains higher pectin when unripe. Pectin is a complex plant-derived polysaccharide and a soluble </w:t>
      </w:r>
      <w:proofErr w:type="spellStart"/>
      <w:r w:rsidRPr="00667FFD">
        <w:t>fibre</w:t>
      </w:r>
      <w:proofErr w:type="spellEnd"/>
      <w:r w:rsidRPr="00667FFD">
        <w:t xml:space="preserve"> found in fruits and vegetables. It is a gelling agent that thickens fruit preserves, including jams and jellies. Pectin forms a gel during heating and may serve as a commercial thickener or gelling agent in jams and jellies. It may also be added to yoghurts and fruit juices as a </w:t>
      </w:r>
      <w:proofErr w:type="spellStart"/>
      <w:r w:rsidRPr="00667FFD">
        <w:t>stabiliser</w:t>
      </w:r>
      <w:proofErr w:type="spellEnd"/>
      <w:r w:rsidRPr="00667FFD">
        <w:t xml:space="preserve"> and used as an emulsifier in ice cream.</w:t>
      </w:r>
    </w:p>
    <w:p w14:paraId="47693AB9" w14:textId="77777777" w:rsidR="000B0212" w:rsidRPr="00667FFD" w:rsidRDefault="00000000">
      <w:pPr>
        <w:rPr>
          <w:bCs/>
        </w:rPr>
      </w:pPr>
      <w:r w:rsidRPr="00667FFD">
        <w:t xml:space="preserve">Pectin is particularly relevant to jam systems because controlled pectin addition can affect gel formation, </w:t>
      </w:r>
      <w:proofErr w:type="spellStart"/>
      <w:r w:rsidRPr="00667FFD">
        <w:t>spreadability</w:t>
      </w:r>
      <w:proofErr w:type="spellEnd"/>
      <w:r w:rsidRPr="00667FFD">
        <w:t xml:space="preserve"> and sensory response in fruit-based preserves (Chan et al., 2017; Chauhan et al., 2001; Veliu et al., 2025).</w:t>
      </w:r>
    </w:p>
    <w:p w14:paraId="2AFE9F94" w14:textId="77777777" w:rsidR="000B0212" w:rsidRPr="00667FFD" w:rsidRDefault="00000000">
      <w:pPr>
        <w:rPr>
          <w:bCs/>
        </w:rPr>
      </w:pPr>
      <w:r w:rsidRPr="00667FFD">
        <w:t xml:space="preserve">Recent fruit-product and jam studies indicate that formulation quality is commonly assessed through pH, total soluble solids, titratable acidity, pectin-related textural </w:t>
      </w:r>
      <w:proofErr w:type="spellStart"/>
      <w:r w:rsidRPr="00667FFD">
        <w:t>behaviour</w:t>
      </w:r>
      <w:proofErr w:type="spellEnd"/>
      <w:r w:rsidRPr="00667FFD">
        <w:t xml:space="preserve"> and sensory acceptability, while the balance of sugar, acid, pectin and processing conditions influences product performance (Arora &amp; Avinash, 2025; </w:t>
      </w:r>
      <w:proofErr w:type="spellStart"/>
      <w:r w:rsidRPr="00667FFD">
        <w:t>Awolu</w:t>
      </w:r>
      <w:proofErr w:type="spellEnd"/>
      <w:r w:rsidRPr="00667FFD">
        <w:t xml:space="preserve"> et al., 2018; Bartholomew et al., 2003; Begum et al., 2018; Brandão et al., 2018; </w:t>
      </w:r>
      <w:proofErr w:type="spellStart"/>
      <w:r w:rsidRPr="00667FFD">
        <w:t>Chalchisa</w:t>
      </w:r>
      <w:proofErr w:type="spellEnd"/>
      <w:r w:rsidRPr="00667FFD">
        <w:t xml:space="preserve"> et al., 2022; </w:t>
      </w:r>
      <w:proofErr w:type="spellStart"/>
      <w:r w:rsidRPr="00667FFD">
        <w:t>Machalela</w:t>
      </w:r>
      <w:proofErr w:type="spellEnd"/>
      <w:r w:rsidRPr="00667FFD">
        <w:t xml:space="preserve"> et al., 2023; Zhang et al., 2025).</w:t>
      </w:r>
    </w:p>
    <w:p w14:paraId="053CB87A" w14:textId="384C7E35" w:rsidR="000B0212" w:rsidRPr="00667FFD" w:rsidRDefault="00000000">
      <w:pPr>
        <w:widowControl/>
        <w:autoSpaceDE/>
        <w:jc w:val="both"/>
      </w:pPr>
      <w:r w:rsidRPr="00667FFD">
        <w:t>In Nigeria, especially in the eastern region, black plum has not received adequate attention because of limited awareness of its nutritional composition, preservation methods and conversion into value-added products (</w:t>
      </w:r>
      <w:proofErr w:type="spellStart"/>
      <w:r w:rsidRPr="00667FFD">
        <w:t>Dadjo</w:t>
      </w:r>
      <w:proofErr w:type="spellEnd"/>
      <w:r w:rsidRPr="00667FFD">
        <w:t>, 201</w:t>
      </w:r>
      <w:r w:rsidR="00017BC0">
        <w:t>4</w:t>
      </w:r>
      <w:r w:rsidRPr="00667FFD">
        <w:t xml:space="preserve">; </w:t>
      </w:r>
      <w:proofErr w:type="spellStart"/>
      <w:r w:rsidRPr="00667FFD">
        <w:t>Okigbo</w:t>
      </w:r>
      <w:proofErr w:type="spellEnd"/>
      <w:r w:rsidRPr="00667FFD">
        <w:t xml:space="preserve">, 2001). Its usefulness has not been fully harnessed. Apart from a few trees </w:t>
      </w:r>
      <w:r w:rsidRPr="00667FFD">
        <w:lastRenderedPageBreak/>
        <w:t xml:space="preserve">retained as shade plants on agricultural land, new plants are rarely established, and fully mature fruits are often left at the base of the tree for wild animals. Information on the nutritional value of black plum and its use in juice, jam and concentrate production remains limited. The fruit is </w:t>
      </w:r>
      <w:proofErr w:type="spellStart"/>
      <w:r w:rsidRPr="00667FFD">
        <w:t>underutilised</w:t>
      </w:r>
      <w:proofErr w:type="spellEnd"/>
      <w:r w:rsidRPr="00667FFD">
        <w:t xml:space="preserve"> in Nigeria, particularly in the eastern region. It is not readily accessible, and ripe fruits are often collected from the ground rather than harvested directly. This </w:t>
      </w:r>
      <w:proofErr w:type="spellStart"/>
      <w:r w:rsidRPr="00667FFD">
        <w:t>underutilisation</w:t>
      </w:r>
      <w:proofErr w:type="spellEnd"/>
      <w:r w:rsidRPr="00667FFD">
        <w:t xml:space="preserve"> is partly associated with limited knowledge of its benefits and potential food-industry applications. Limited domestication may also contribute to its gradual decline, although seed-related studies suggest that propagation factors can influence its establishment (Adelani et al., 2019; </w:t>
      </w:r>
      <w:proofErr w:type="spellStart"/>
      <w:r w:rsidRPr="00667FFD">
        <w:t>Dadjo</w:t>
      </w:r>
      <w:proofErr w:type="spellEnd"/>
      <w:r w:rsidRPr="00667FFD">
        <w:t>, 201</w:t>
      </w:r>
      <w:r w:rsidR="00017BC0">
        <w:t>4</w:t>
      </w:r>
      <w:r w:rsidRPr="00667FFD">
        <w:t>). Despite the reported nutritional and processing potential of black plum, information remains limited on how different proportions of ripe and unripe fruits influence the proximate composition, physicochemical properties and sensory acceptability of black plum jam.</w:t>
      </w:r>
    </w:p>
    <w:p w14:paraId="057DCD48" w14:textId="77777777" w:rsidR="000B0212" w:rsidRPr="00667FFD" w:rsidRDefault="000B0212">
      <w:pPr>
        <w:widowControl/>
        <w:autoSpaceDE/>
        <w:jc w:val="both"/>
        <w:rPr>
          <w:sz w:val="24"/>
          <w:szCs w:val="24"/>
        </w:rPr>
      </w:pPr>
      <w:r w:rsidRPr="00667FFD">
        <w:t>Therefore, this study aimed to produce and evaluate the quality of jam made from black plum (</w:t>
      </w:r>
      <w:r w:rsidRPr="00667FFD">
        <w:rPr>
          <w:i/>
        </w:rPr>
        <w:t xml:space="preserve">Vitex </w:t>
      </w:r>
      <w:proofErr w:type="spellStart"/>
      <w:r w:rsidRPr="00667FFD">
        <w:rPr>
          <w:i/>
        </w:rPr>
        <w:t>doniana</w:t>
      </w:r>
      <w:proofErr w:type="spellEnd"/>
      <w:r w:rsidRPr="00667FFD">
        <w:t>) fruit using different ripe and unripe fruit formulations.</w:t>
      </w:r>
    </w:p>
    <w:p w14:paraId="4638F608" w14:textId="77777777" w:rsidR="000B0212" w:rsidRPr="00667FFD" w:rsidRDefault="00000000">
      <w:pPr>
        <w:pStyle w:val="Heading1"/>
        <w:spacing w:before="0" w:after="0" w:line="276" w:lineRule="auto"/>
        <w:rPr>
          <w:szCs w:val="24"/>
        </w:rPr>
      </w:pPr>
      <w:r w:rsidRPr="00667FFD">
        <w:rPr>
          <w:szCs w:val="24"/>
        </w:rPr>
        <w:t>MATERIALS AND METHODS</w:t>
      </w:r>
    </w:p>
    <w:p w14:paraId="12437790" w14:textId="77777777" w:rsidR="000B0212" w:rsidRPr="00667FFD" w:rsidRDefault="00000000">
      <w:pPr>
        <w:pStyle w:val="Heading1"/>
        <w:spacing w:before="0" w:after="0" w:line="276" w:lineRule="auto"/>
        <w:rPr>
          <w:szCs w:val="24"/>
        </w:rPr>
      </w:pPr>
      <w:r w:rsidRPr="00667FFD">
        <w:rPr>
          <w:szCs w:val="24"/>
        </w:rPr>
        <w:t xml:space="preserve">Material </w:t>
      </w:r>
      <w:proofErr w:type="spellStart"/>
      <w:r w:rsidRPr="00667FFD">
        <w:rPr>
          <w:szCs w:val="24"/>
        </w:rPr>
        <w:t>Procument</w:t>
      </w:r>
      <w:proofErr w:type="spellEnd"/>
    </w:p>
    <w:p w14:paraId="414E7CF2" w14:textId="77777777" w:rsidR="000B0212" w:rsidRPr="00667FFD" w:rsidRDefault="00000000">
      <w:pPr>
        <w:spacing w:line="276" w:lineRule="auto"/>
        <w:jc w:val="both"/>
      </w:pPr>
      <w:r w:rsidRPr="00667FFD">
        <w:t>Black plum (</w:t>
      </w:r>
      <w:r w:rsidRPr="00667FFD">
        <w:rPr>
          <w:i/>
        </w:rPr>
        <w:t xml:space="preserve">Vitex </w:t>
      </w:r>
      <w:proofErr w:type="spellStart"/>
      <w:r w:rsidRPr="00667FFD">
        <w:rPr>
          <w:i/>
        </w:rPr>
        <w:t>doniana</w:t>
      </w:r>
      <w:proofErr w:type="spellEnd"/>
      <w:r w:rsidRPr="00667FFD">
        <w:t xml:space="preserve">) fruits were collected from </w:t>
      </w:r>
      <w:proofErr w:type="spellStart"/>
      <w:r w:rsidRPr="00667FFD">
        <w:t>Urobia</w:t>
      </w:r>
      <w:proofErr w:type="spellEnd"/>
      <w:r w:rsidRPr="00667FFD">
        <w:t xml:space="preserve"> farmland in </w:t>
      </w:r>
      <w:proofErr w:type="spellStart"/>
      <w:r w:rsidRPr="00667FFD">
        <w:t>Umuchima</w:t>
      </w:r>
      <w:proofErr w:type="spellEnd"/>
      <w:r w:rsidRPr="00667FFD">
        <w:t xml:space="preserve"> Community, </w:t>
      </w:r>
      <w:proofErr w:type="spellStart"/>
      <w:r w:rsidRPr="00667FFD">
        <w:t>Ideato</w:t>
      </w:r>
      <w:proofErr w:type="spellEnd"/>
      <w:r w:rsidRPr="00667FFD">
        <w:t xml:space="preserve"> South Local Government Area, Imo State, Nigeria. The fruits are shown in Plate 1 and Plate 2. The chemicals, reagents and equipment used were obtained from the Department of Food Science and Technology, Federal University of Technology Owerri (FUTO), Nigeria, and were of analytical grade. Other ingredients for fruit preserves, including white granulated sugar, lime (citric acid) and containers, were purchased from </w:t>
      </w:r>
      <w:proofErr w:type="spellStart"/>
      <w:r w:rsidRPr="00667FFD">
        <w:t>Ochanja</w:t>
      </w:r>
      <w:proofErr w:type="spellEnd"/>
      <w:r w:rsidRPr="00667FFD">
        <w:t xml:space="preserve"> Market, Onitsha, Anambra State, Nigeria.</w:t>
      </w:r>
    </w:p>
    <w:p w14:paraId="7B1C1B24" w14:textId="77777777" w:rsidR="000B0212" w:rsidRPr="00667FFD" w:rsidRDefault="000B0212">
      <w:pPr>
        <w:spacing w:line="276" w:lineRule="auto"/>
        <w:jc w:val="both"/>
        <w:rPr>
          <w:sz w:val="24"/>
          <w:szCs w:val="24"/>
        </w:rPr>
      </w:pPr>
    </w:p>
    <w:p w14:paraId="004A1C02" w14:textId="77777777" w:rsidR="000B0212" w:rsidRPr="00667FFD" w:rsidRDefault="007412A2">
      <w:pPr>
        <w:pStyle w:val="NoSpacing"/>
        <w:spacing w:line="276" w:lineRule="auto"/>
        <w:jc w:val="both"/>
        <w:rPr>
          <w:rFonts w:ascii="Times New Roman" w:hAnsi="Times New Roman"/>
          <w:sz w:val="24"/>
          <w:szCs w:val="24"/>
        </w:rPr>
      </w:pPr>
      <w:r>
        <w:rPr>
          <w:rFonts w:ascii="Times New Roman" w:hAnsi="Times New Roman"/>
          <w:noProof/>
          <w:sz w:val="24"/>
          <w:szCs w:val="24"/>
          <w:lang w:val="ru-RU" w:eastAsia="en-US"/>
        </w:rPr>
        <w:pict w14:anchorId="698FC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468pt;height:275.25pt;visibility:visible;mso-wrap-style:square">
            <v:imagedata r:id="rId7" o:title="" croptop="3378f" cropbottom="5491f" cropleft="-9f" cropright="-9f"/>
          </v:shape>
        </w:pict>
      </w:r>
    </w:p>
    <w:p w14:paraId="362129CE" w14:textId="77777777" w:rsidR="000B0212" w:rsidRPr="00667FFD" w:rsidRDefault="000B0212">
      <w:pPr>
        <w:spacing w:line="276" w:lineRule="auto"/>
        <w:jc w:val="both"/>
        <w:rPr>
          <w:sz w:val="24"/>
          <w:szCs w:val="24"/>
        </w:rPr>
      </w:pPr>
    </w:p>
    <w:p w14:paraId="314D9CB4" w14:textId="77777777" w:rsidR="000B0212" w:rsidRPr="00667FFD" w:rsidRDefault="00000000">
      <w:pPr>
        <w:pStyle w:val="Caption"/>
        <w:spacing w:after="0" w:line="276" w:lineRule="auto"/>
        <w:jc w:val="both"/>
        <w:rPr>
          <w:color w:val="auto"/>
        </w:rPr>
      </w:pPr>
      <w:r w:rsidRPr="00667FFD">
        <w:rPr>
          <w:color w:val="auto"/>
        </w:rPr>
        <w:t>Plate</w:t>
      </w:r>
      <w:r w:rsidRPr="00667FFD">
        <w:rPr>
          <w:color w:val="auto"/>
        </w:rPr>
        <w:fldChar w:fldCharType="begin"/>
      </w:r>
      <w:r w:rsidRPr="00667FFD">
        <w:rPr>
          <w:color w:val="auto"/>
        </w:rPr>
        <w:instrText xml:space="preserve"> SEQ Plate_3. \* ARABIC </w:instrText>
      </w:r>
      <w:r w:rsidRPr="00667FFD">
        <w:rPr>
          <w:color w:val="auto"/>
        </w:rPr>
        <w:fldChar w:fldCharType="separate"/>
      </w:r>
      <w:r w:rsidRPr="00667FFD">
        <w:rPr>
          <w:color w:val="auto"/>
        </w:rPr>
        <w:t>1</w:t>
      </w:r>
      <w:r w:rsidRPr="00667FFD">
        <w:rPr>
          <w:color w:val="auto"/>
        </w:rPr>
        <w:fldChar w:fldCharType="end"/>
      </w:r>
      <w:r w:rsidRPr="00667FFD">
        <w:rPr>
          <w:color w:val="auto"/>
        </w:rPr>
        <w:t xml:space="preserve">: Ripened Black plum Fruit Source: </w:t>
      </w:r>
      <w:proofErr w:type="spellStart"/>
      <w:r w:rsidRPr="00667FFD">
        <w:rPr>
          <w:color w:val="auto"/>
        </w:rPr>
        <w:t>Urobia</w:t>
      </w:r>
      <w:proofErr w:type="spellEnd"/>
      <w:r w:rsidRPr="00667FFD">
        <w:rPr>
          <w:color w:val="auto"/>
        </w:rPr>
        <w:t xml:space="preserve"> farmland </w:t>
      </w:r>
      <w:proofErr w:type="spellStart"/>
      <w:r w:rsidRPr="00667FFD">
        <w:rPr>
          <w:color w:val="auto"/>
        </w:rPr>
        <w:t>Umuchima</w:t>
      </w:r>
      <w:proofErr w:type="spellEnd"/>
      <w:r w:rsidRPr="00667FFD">
        <w:rPr>
          <w:color w:val="auto"/>
        </w:rPr>
        <w:t>.</w:t>
      </w:r>
    </w:p>
    <w:p w14:paraId="09817797" w14:textId="77777777" w:rsidR="000B0212" w:rsidRPr="00667FFD" w:rsidRDefault="00000000">
      <w:pPr>
        <w:spacing w:line="276" w:lineRule="auto"/>
        <w:jc w:val="both"/>
        <w:rPr>
          <w:sz w:val="24"/>
          <w:szCs w:val="24"/>
          <w:lang w:eastAsia="en-US"/>
        </w:rPr>
      </w:pPr>
      <w:r>
        <w:rPr>
          <w:noProof/>
        </w:rPr>
        <w:lastRenderedPageBreak/>
        <w:pict w14:anchorId="729CC29A">
          <v:shape id="Picture 2" o:spid="_x0000_s2050" type="#_x0000_t75" style="position:absolute;left:0;text-align:left;margin-left:0;margin-top:14.9pt;width:475.9pt;height:293pt;z-index:1;visibility:visible;mso-wrap-style:square;mso-wrap-distance-left:9.05pt;mso-wrap-distance-top:0;mso-wrap-distance-right:9.05pt;mso-wrap-distance-bottom:0;mso-position-horizontal:absolute;mso-position-horizontal-relative:text;mso-position-vertical:absolute;mso-position-vertical-relative:text" o:allowincell="f">
            <v:imagedata r:id="rId8" o:title="" croptop="-9f" cropbottom="-9f" cropleft="-10f" cropright="-10f"/>
            <w10:wrap type="square"/>
          </v:shape>
        </w:pict>
      </w:r>
    </w:p>
    <w:p w14:paraId="46D5994C" w14:textId="77777777" w:rsidR="000B0212" w:rsidRPr="00667FFD" w:rsidRDefault="00000000">
      <w:pPr>
        <w:pStyle w:val="Caption"/>
        <w:spacing w:after="0" w:line="276" w:lineRule="auto"/>
        <w:jc w:val="both"/>
        <w:rPr>
          <w:color w:val="auto"/>
        </w:rPr>
      </w:pPr>
      <w:r w:rsidRPr="00667FFD">
        <w:rPr>
          <w:color w:val="auto"/>
        </w:rPr>
        <w:t>Plate 2: Unripe Black Plum Fruit</w:t>
      </w:r>
    </w:p>
    <w:p w14:paraId="0B66D05B" w14:textId="77777777" w:rsidR="000B0212" w:rsidRPr="00667FFD" w:rsidRDefault="00000000">
      <w:pPr>
        <w:widowControl/>
        <w:autoSpaceDE/>
        <w:spacing w:line="276" w:lineRule="auto"/>
        <w:jc w:val="both"/>
        <w:rPr>
          <w:b/>
          <w:sz w:val="24"/>
          <w:szCs w:val="24"/>
        </w:rPr>
      </w:pPr>
      <w:r w:rsidRPr="00667FFD">
        <w:rPr>
          <w:b/>
          <w:sz w:val="24"/>
          <w:szCs w:val="24"/>
        </w:rPr>
        <w:t xml:space="preserve"> METHODS</w:t>
      </w:r>
    </w:p>
    <w:p w14:paraId="0253DB13" w14:textId="77777777" w:rsidR="000B0212" w:rsidRPr="00667FFD" w:rsidRDefault="00000000">
      <w:pPr>
        <w:pStyle w:val="Heading1"/>
        <w:spacing w:before="0" w:after="0" w:line="276" w:lineRule="auto"/>
        <w:rPr>
          <w:bCs/>
          <w:spacing w:val="-4"/>
          <w:szCs w:val="24"/>
        </w:rPr>
      </w:pPr>
      <w:r w:rsidRPr="00667FFD">
        <w:rPr>
          <w:szCs w:val="24"/>
        </w:rPr>
        <w:t xml:space="preserve"> Sample Preparation</w:t>
      </w:r>
    </w:p>
    <w:p w14:paraId="66081B3A" w14:textId="77777777" w:rsidR="000B0212" w:rsidRPr="00667FFD" w:rsidRDefault="00000000">
      <w:pPr>
        <w:pStyle w:val="Heading1"/>
        <w:spacing w:before="0" w:after="0" w:line="276" w:lineRule="auto"/>
        <w:rPr>
          <w:szCs w:val="24"/>
        </w:rPr>
      </w:pPr>
      <w:r w:rsidRPr="00667FFD">
        <w:rPr>
          <w:szCs w:val="24"/>
        </w:rPr>
        <w:t>Production of Jam Samples</w:t>
      </w:r>
    </w:p>
    <w:p w14:paraId="60096A2B" w14:textId="77777777" w:rsidR="000B0212" w:rsidRPr="00667FFD" w:rsidRDefault="00000000">
      <w:pPr>
        <w:spacing w:line="276" w:lineRule="auto"/>
        <w:jc w:val="both"/>
        <w:rPr>
          <w:sz w:val="24"/>
          <w:szCs w:val="24"/>
        </w:rPr>
      </w:pPr>
      <w:r w:rsidRPr="00667FFD">
        <w:t xml:space="preserve">The black plum jam samples were produced using the methods outlined by </w:t>
      </w:r>
      <w:proofErr w:type="spellStart"/>
      <w:r w:rsidRPr="00667FFD">
        <w:t>Ajenifujah-Solebo</w:t>
      </w:r>
      <w:proofErr w:type="spellEnd"/>
      <w:r w:rsidRPr="00667FFD">
        <w:t xml:space="preserve"> and Aina (2011) and </w:t>
      </w:r>
      <w:proofErr w:type="spellStart"/>
      <w:r w:rsidRPr="00667FFD">
        <w:t>Ofoedum</w:t>
      </w:r>
      <w:proofErr w:type="spellEnd"/>
      <w:r w:rsidRPr="00667FFD">
        <w:t xml:space="preserve"> et al. (2025a, 2025b). Freshly harvested ripe and mature unripe black plum fruits were obtained from the bush farm. They were sorted and washed with water. The kernels were removed and discarded, leaving only the pulp and skin. Three formulations were prepared from the pulp and skin obtained. One container contained 100% ripe black plum pulp, the second contained 60% ripe and 40% mature unripe black plum pulp by mass, and the third contained 40% ripe and 60% unripe black plum pulp by mass. The pulp in each container was blended, and 49% by weight of the puree (blended pulp and skin) was combined with 50% by weight of sugar and 1% citric acid. The mixtures were boiled in a pot and allowed to simmer at 165 °C for 15 min, after which each sample was bottled. The jams were filled hot into </w:t>
      </w:r>
      <w:proofErr w:type="spellStart"/>
      <w:r w:rsidRPr="00667FFD">
        <w:t>sterilised</w:t>
      </w:r>
      <w:proofErr w:type="spellEnd"/>
      <w:r w:rsidRPr="00667FFD">
        <w:t xml:space="preserve"> glass jars, leaving headspace, and then sealed. The jams produced from 100%, 60% and 40% ripe black plums were labelled RHJ, RSJ and RFJ, respectively. The flow chart is shown in Figure 1.</w:t>
      </w:r>
    </w:p>
    <w:p w14:paraId="643AEC41" w14:textId="77777777" w:rsidR="000B0212" w:rsidRPr="00667FFD" w:rsidRDefault="00000000">
      <w:pPr>
        <w:spacing w:line="276" w:lineRule="auto"/>
        <w:jc w:val="both"/>
        <w:rPr>
          <w:sz w:val="24"/>
          <w:szCs w:val="24"/>
        </w:rPr>
      </w:pPr>
      <w:r w:rsidRPr="00667FFD">
        <w:t>The labelled jam samples were then stored in a refrigerator at 4 °C until further analysis.</w:t>
      </w:r>
    </w:p>
    <w:p w14:paraId="43866463" w14:textId="77777777" w:rsidR="000B0212" w:rsidRPr="00667FFD" w:rsidRDefault="000B0212">
      <w:pPr>
        <w:spacing w:line="276" w:lineRule="auto"/>
        <w:jc w:val="both"/>
        <w:rPr>
          <w:sz w:val="24"/>
          <w:szCs w:val="24"/>
        </w:rPr>
      </w:pPr>
    </w:p>
    <w:p w14:paraId="15C5FD96" w14:textId="77777777" w:rsidR="000B0212" w:rsidRPr="00667FFD" w:rsidRDefault="007412A2">
      <w:pPr>
        <w:spacing w:line="276" w:lineRule="auto"/>
        <w:jc w:val="center"/>
        <w:rPr>
          <w:sz w:val="24"/>
          <w:szCs w:val="24"/>
        </w:rPr>
      </w:pPr>
      <w:r>
        <w:rPr>
          <w:noProof/>
          <w:lang w:val="ru-RU" w:eastAsia="en-US"/>
        </w:rPr>
        <w:lastRenderedPageBreak/>
        <w:pict w14:anchorId="731442CB">
          <v:shape id="Image1" o:spid="_x0000_i1026" type="#_x0000_t75" style="width:371.25pt;height:373.5pt;visibility:visible;mso-wrap-style:square">
            <v:imagedata r:id="rId9" o:title="" croptop="12243f" cropbottom="6681f" cropleft="6046f" cropright="39403f"/>
          </v:shape>
        </w:pict>
      </w:r>
    </w:p>
    <w:p w14:paraId="679E323D" w14:textId="77777777" w:rsidR="000B0212" w:rsidRPr="00667FFD" w:rsidRDefault="00000000">
      <w:pPr>
        <w:pStyle w:val="Heading1"/>
        <w:spacing w:before="0" w:after="0" w:line="276" w:lineRule="auto"/>
        <w:rPr>
          <w:szCs w:val="24"/>
        </w:rPr>
      </w:pPr>
      <w:r w:rsidRPr="00667FFD">
        <w:rPr>
          <w:szCs w:val="24"/>
        </w:rPr>
        <w:t>Proximate Analysis</w:t>
      </w:r>
    </w:p>
    <w:p w14:paraId="3AFA4AB1" w14:textId="36D166E0" w:rsidR="000B0212" w:rsidRPr="00667FFD" w:rsidRDefault="00000000">
      <w:pPr>
        <w:spacing w:line="276" w:lineRule="auto"/>
        <w:jc w:val="both"/>
      </w:pPr>
      <w:r w:rsidRPr="00667FFD">
        <w:t>The methods of AOAC (201</w:t>
      </w:r>
      <w:r w:rsidR="00017BC0">
        <w:t>6</w:t>
      </w:r>
      <w:r w:rsidRPr="00667FFD">
        <w:t>) were used to determine the proximate composition of the black plum samples. The measured parameters included ash content, moisture, crude fat, protein and carbohydrate. Standard analytical procedures were used for estimation, and the readings obtained were calculated and recorded.</w:t>
      </w:r>
    </w:p>
    <w:p w14:paraId="2F103DCC" w14:textId="77777777" w:rsidR="000B0212" w:rsidRPr="00667FFD" w:rsidRDefault="00000000">
      <w:pPr>
        <w:pStyle w:val="Heading1"/>
        <w:spacing w:before="0" w:after="0" w:line="276" w:lineRule="auto"/>
      </w:pPr>
      <w:r w:rsidRPr="00667FFD">
        <w:rPr>
          <w:szCs w:val="24"/>
          <w:shd w:val="clear" w:color="auto" w:fill="FFFFFF"/>
        </w:rPr>
        <w:t>Determination of the Physicochemical Properties of Jams samples made from Black plum</w:t>
      </w:r>
    </w:p>
    <w:p w14:paraId="1D1F7841" w14:textId="1CFDD3F9" w:rsidR="000B0212" w:rsidRPr="00667FFD" w:rsidRDefault="00000000">
      <w:pPr>
        <w:spacing w:line="276" w:lineRule="auto"/>
        <w:jc w:val="both"/>
        <w:rPr>
          <w:bCs/>
          <w:sz w:val="24"/>
          <w:szCs w:val="24"/>
          <w:shd w:val="clear" w:color="auto" w:fill="FFFFFF"/>
        </w:rPr>
      </w:pPr>
      <w:r w:rsidRPr="00667FFD">
        <w:t>The AOAC (201</w:t>
      </w:r>
      <w:r w:rsidR="00017BC0">
        <w:t>6</w:t>
      </w:r>
      <w:r w:rsidRPr="00667FFD">
        <w:t>) method was used to determine the physicochemical properties of the samples.</w:t>
      </w:r>
    </w:p>
    <w:p w14:paraId="5B55117B" w14:textId="77777777" w:rsidR="000B0212" w:rsidRPr="00667FFD" w:rsidRDefault="00000000">
      <w:pPr>
        <w:spacing w:line="276" w:lineRule="auto"/>
        <w:jc w:val="both"/>
        <w:rPr>
          <w:b/>
          <w:bCs/>
          <w:sz w:val="24"/>
          <w:szCs w:val="24"/>
          <w:shd w:val="clear" w:color="auto" w:fill="FFFFFF"/>
        </w:rPr>
      </w:pPr>
      <w:r w:rsidRPr="00667FFD">
        <w:rPr>
          <w:b/>
          <w:sz w:val="24"/>
          <w:szCs w:val="24"/>
          <w:shd w:val="clear" w:color="auto" w:fill="FFFFFF"/>
        </w:rPr>
        <w:t>Determination of Total Phenols</w:t>
      </w:r>
    </w:p>
    <w:p w14:paraId="698C7A8A" w14:textId="7E9FFBD4" w:rsidR="000B0212" w:rsidRPr="00667FFD" w:rsidRDefault="00000000">
      <w:pPr>
        <w:spacing w:line="276" w:lineRule="auto"/>
        <w:jc w:val="both"/>
      </w:pPr>
      <w:r w:rsidRPr="00667FFD">
        <w:t xml:space="preserve">A 0.2 g portion of the sample was mixed with 10 mL of methanol. The intensity of the resulting blue </w:t>
      </w:r>
      <w:proofErr w:type="spellStart"/>
      <w:r w:rsidRPr="00667FFD">
        <w:t>colouration</w:t>
      </w:r>
      <w:proofErr w:type="spellEnd"/>
      <w:r w:rsidRPr="00667FFD">
        <w:t xml:space="preserve"> was measured as absorbance in a colorimeter at a wavelength of 540 nm (AOAC, 201</w:t>
      </w:r>
      <w:r w:rsidR="00017BC0">
        <w:t>6</w:t>
      </w:r>
      <w:r w:rsidRPr="00667FFD">
        <w:t>). The percentage phenol content was calculated as follows:</w:t>
      </w:r>
    </w:p>
    <w:p w14:paraId="4D45FEB0" w14:textId="77777777" w:rsidR="000B0212" w:rsidRPr="00667FFD" w:rsidRDefault="00000000">
      <w:pPr>
        <w:spacing w:line="276" w:lineRule="auto"/>
        <w:ind w:firstLine="720"/>
        <w:jc w:val="both"/>
      </w:pPr>
      <w:r w:rsidRPr="00667FFD">
        <w:rPr>
          <w:b/>
          <w:sz w:val="24"/>
          <w:szCs w:val="24"/>
          <w:shd w:val="clear" w:color="auto" w:fill="FFFFFF"/>
        </w:rPr>
        <w:t xml:space="preserve">%Phenol = </w:t>
      </w:r>
      <w:r w:rsidRPr="00667FFD">
        <w:fldChar w:fldCharType="begin"/>
      </w:r>
      <w:r w:rsidRPr="00667FFD">
        <w:rPr>
          <w:position w:val="-14"/>
        </w:rPr>
        <w:instrText xml:space="preserve"> QUOTE _x0001_ </w:instrText>
      </w:r>
      <w:r w:rsidRPr="00667FFD">
        <w:rPr>
          <w:position w:val="-14"/>
        </w:rPr>
        <w:fldChar w:fldCharType="separate"/>
      </w:r>
      <w:r w:rsidR="007412A2">
        <w:rPr>
          <w:noProof/>
          <w:position w:val="-14"/>
        </w:rPr>
        <w:pict w14:anchorId="2913B5A3">
          <v:shape id="Image2" o:spid="_x0000_i1027" type="#_x0000_t75" style="width:15pt;height:20.25pt;visibility:visible;mso-wrap-style:square">
            <v:imagedata r:id="rId10" o:title="" croptop="-91f" cropbottom="-91f" cropleft="-124f" cropright="-124f"/>
          </v:shape>
        </w:pict>
      </w:r>
      <w:r w:rsidRPr="00667FFD">
        <w:rPr>
          <w:position w:val="-14"/>
        </w:rPr>
        <w:fldChar w:fldCharType="end"/>
      </w:r>
      <w:r w:rsidRPr="00667FFD">
        <w:rPr>
          <w:b/>
          <w:sz w:val="24"/>
          <w:szCs w:val="24"/>
          <w:shd w:val="clear" w:color="auto" w:fill="FFFFFF"/>
        </w:rPr>
        <w:t xml:space="preserve"> × </w:t>
      </w:r>
      <w:r w:rsidRPr="00667FFD">
        <w:fldChar w:fldCharType="begin"/>
      </w:r>
      <w:r w:rsidRPr="00667FFD">
        <w:rPr>
          <w:position w:val="-14"/>
        </w:rPr>
        <w:instrText xml:space="preserve"> QUOTE _x0001_ </w:instrText>
      </w:r>
      <w:r w:rsidRPr="00667FFD">
        <w:rPr>
          <w:position w:val="-14"/>
        </w:rPr>
        <w:fldChar w:fldCharType="separate"/>
      </w:r>
      <w:r w:rsidR="007412A2">
        <w:rPr>
          <w:noProof/>
          <w:position w:val="-14"/>
        </w:rPr>
        <w:pict w14:anchorId="12252673">
          <v:shape id="Image3" o:spid="_x0000_i1028" type="#_x0000_t75" style="width:24.75pt;height:19.5pt;visibility:visible;mso-wrap-style:square">
            <v:imagedata r:id="rId11" o:title="" croptop="-97f" cropbottom="-97f" cropleft="-75f" cropright="-75f"/>
          </v:shape>
        </w:pict>
      </w:r>
      <w:r w:rsidRPr="00667FFD">
        <w:rPr>
          <w:position w:val="-14"/>
        </w:rPr>
        <w:fldChar w:fldCharType="end"/>
      </w:r>
      <w:r w:rsidRPr="00667FFD">
        <w:rPr>
          <w:b/>
          <w:sz w:val="24"/>
          <w:szCs w:val="24"/>
          <w:shd w:val="clear" w:color="auto" w:fill="FFFFFF"/>
        </w:rPr>
        <w:t xml:space="preserve"> C ×</w:t>
      </w:r>
      <w:r w:rsidRPr="00667FFD">
        <w:fldChar w:fldCharType="begin"/>
      </w:r>
      <w:r w:rsidRPr="00667FFD">
        <w:rPr>
          <w:position w:val="-14"/>
        </w:rPr>
        <w:instrText xml:space="preserve"> QUOTE _x0001_ </w:instrText>
      </w:r>
      <w:r w:rsidRPr="00667FFD">
        <w:rPr>
          <w:position w:val="-14"/>
        </w:rPr>
        <w:fldChar w:fldCharType="separate"/>
      </w:r>
      <w:r w:rsidR="007412A2">
        <w:rPr>
          <w:noProof/>
          <w:position w:val="-14"/>
        </w:rPr>
        <w:pict w14:anchorId="3568A1F7">
          <v:shape id="Image4" o:spid="_x0000_i1029" type="#_x0000_t75" style="width:10.5pt;height:20.25pt;visibility:visible;mso-wrap-style:square">
            <v:imagedata r:id="rId12" o:title="" croptop="-91f" cropbottom="-91f" cropleft="-172f" cropright="-172f"/>
          </v:shape>
        </w:pict>
      </w:r>
      <w:r w:rsidRPr="00667FFD">
        <w:rPr>
          <w:position w:val="-14"/>
        </w:rPr>
        <w:fldChar w:fldCharType="end"/>
      </w:r>
      <w:r w:rsidRPr="00667FFD">
        <w:rPr>
          <w:b/>
          <w:sz w:val="24"/>
          <w:szCs w:val="24"/>
          <w:shd w:val="clear" w:color="auto" w:fill="FFFFFF"/>
        </w:rPr>
        <w:t xml:space="preserve"> × D   (3.21)</w:t>
      </w:r>
    </w:p>
    <w:p w14:paraId="114877C3" w14:textId="77777777" w:rsidR="000B0212" w:rsidRPr="00667FFD" w:rsidRDefault="00000000">
      <w:pPr>
        <w:spacing w:line="276" w:lineRule="auto"/>
        <w:jc w:val="both"/>
        <w:rPr>
          <w:sz w:val="24"/>
          <w:szCs w:val="24"/>
        </w:rPr>
      </w:pPr>
      <w:r w:rsidRPr="00667FFD">
        <w:rPr>
          <w:sz w:val="24"/>
          <w:szCs w:val="24"/>
        </w:rPr>
        <w:t>Where;</w:t>
      </w:r>
    </w:p>
    <w:p w14:paraId="242734CE" w14:textId="77777777" w:rsidR="000B0212" w:rsidRPr="00667FFD" w:rsidRDefault="00000000">
      <w:pPr>
        <w:spacing w:line="276" w:lineRule="auto"/>
        <w:jc w:val="both"/>
        <w:rPr>
          <w:sz w:val="24"/>
          <w:szCs w:val="24"/>
        </w:rPr>
      </w:pPr>
      <w:r w:rsidRPr="00667FFD">
        <w:rPr>
          <w:sz w:val="24"/>
          <w:szCs w:val="24"/>
        </w:rPr>
        <w:t xml:space="preserve">        W = weight of the sample </w:t>
      </w:r>
    </w:p>
    <w:p w14:paraId="0F2188D3" w14:textId="77777777" w:rsidR="000B0212" w:rsidRPr="00667FFD" w:rsidRDefault="00000000">
      <w:pPr>
        <w:spacing w:line="276" w:lineRule="auto"/>
        <w:jc w:val="both"/>
      </w:pPr>
      <w:r w:rsidRPr="00667FFD">
        <w:rPr>
          <w:sz w:val="24"/>
          <w:szCs w:val="24"/>
        </w:rPr>
        <w:t xml:space="preserve">        a</w:t>
      </w:r>
      <w:r w:rsidRPr="00667FFD">
        <w:rPr>
          <w:sz w:val="24"/>
          <w:szCs w:val="24"/>
          <w:vertAlign w:val="subscript"/>
        </w:rPr>
        <w:t>u</w:t>
      </w:r>
      <w:r w:rsidRPr="00667FFD">
        <w:rPr>
          <w:sz w:val="24"/>
          <w:szCs w:val="24"/>
        </w:rPr>
        <w:t xml:space="preserve">   = Absorbance of the test sample </w:t>
      </w:r>
    </w:p>
    <w:p w14:paraId="148AACCB" w14:textId="77777777" w:rsidR="000B0212" w:rsidRPr="00667FFD" w:rsidRDefault="00000000">
      <w:pPr>
        <w:spacing w:line="276" w:lineRule="auto"/>
        <w:jc w:val="both"/>
      </w:pPr>
      <w:r w:rsidRPr="00667FFD">
        <w:rPr>
          <w:sz w:val="24"/>
          <w:szCs w:val="24"/>
        </w:rPr>
        <w:t xml:space="preserve">        a</w:t>
      </w:r>
      <w:r w:rsidRPr="00667FFD">
        <w:rPr>
          <w:sz w:val="24"/>
          <w:szCs w:val="24"/>
          <w:vertAlign w:val="subscript"/>
        </w:rPr>
        <w:t>s</w:t>
      </w:r>
      <w:r w:rsidRPr="00667FFD">
        <w:rPr>
          <w:sz w:val="24"/>
          <w:szCs w:val="24"/>
        </w:rPr>
        <w:t xml:space="preserve">   = Absorbance of standard phenol solution</w:t>
      </w:r>
    </w:p>
    <w:p w14:paraId="2713ACAF" w14:textId="77777777" w:rsidR="000B0212" w:rsidRPr="00667FFD" w:rsidRDefault="00000000">
      <w:pPr>
        <w:spacing w:line="276" w:lineRule="auto"/>
        <w:jc w:val="both"/>
        <w:rPr>
          <w:sz w:val="24"/>
          <w:szCs w:val="24"/>
        </w:rPr>
      </w:pPr>
      <w:r w:rsidRPr="00667FFD">
        <w:rPr>
          <w:sz w:val="24"/>
          <w:szCs w:val="24"/>
        </w:rPr>
        <w:t xml:space="preserve">        C   = Concentration of standard phenol solution</w:t>
      </w:r>
    </w:p>
    <w:p w14:paraId="38D46D3F" w14:textId="77777777" w:rsidR="000B0212" w:rsidRPr="00667FFD" w:rsidRDefault="00000000">
      <w:pPr>
        <w:spacing w:line="276" w:lineRule="auto"/>
        <w:jc w:val="both"/>
        <w:rPr>
          <w:sz w:val="24"/>
          <w:szCs w:val="24"/>
        </w:rPr>
      </w:pPr>
      <w:r w:rsidRPr="00667FFD">
        <w:rPr>
          <w:sz w:val="24"/>
          <w:szCs w:val="24"/>
        </w:rPr>
        <w:lastRenderedPageBreak/>
        <w:t xml:space="preserve">       Vt   = Total volume of extract </w:t>
      </w:r>
    </w:p>
    <w:p w14:paraId="486FE227" w14:textId="77777777" w:rsidR="000B0212" w:rsidRPr="00667FFD" w:rsidRDefault="00000000">
      <w:pPr>
        <w:spacing w:line="276" w:lineRule="auto"/>
        <w:jc w:val="both"/>
        <w:rPr>
          <w:sz w:val="24"/>
          <w:szCs w:val="24"/>
        </w:rPr>
      </w:pPr>
      <w:r w:rsidRPr="00667FFD">
        <w:rPr>
          <w:sz w:val="24"/>
          <w:szCs w:val="24"/>
        </w:rPr>
        <w:t xml:space="preserve">Va = Volume of analytes,   </w:t>
      </w:r>
    </w:p>
    <w:p w14:paraId="0743CAF6" w14:textId="77777777" w:rsidR="000B0212" w:rsidRPr="00667FFD" w:rsidRDefault="00000000">
      <w:pPr>
        <w:spacing w:line="276" w:lineRule="auto"/>
        <w:jc w:val="both"/>
      </w:pPr>
      <w:r w:rsidRPr="00667FFD">
        <w:rPr>
          <w:sz w:val="24"/>
          <w:szCs w:val="24"/>
        </w:rPr>
        <w:t xml:space="preserve">D:  Dilution factor </w:t>
      </w:r>
    </w:p>
    <w:p w14:paraId="4ECDFC35" w14:textId="77777777" w:rsidR="000B0212" w:rsidRPr="00667FFD" w:rsidRDefault="00000000">
      <w:pPr>
        <w:pStyle w:val="Heading1"/>
        <w:spacing w:before="0" w:after="0" w:line="276" w:lineRule="auto"/>
        <w:rPr>
          <w:szCs w:val="24"/>
        </w:rPr>
      </w:pPr>
      <w:r w:rsidRPr="00667FFD">
        <w:rPr>
          <w:szCs w:val="24"/>
        </w:rPr>
        <w:t>Viscosity</w:t>
      </w:r>
    </w:p>
    <w:p w14:paraId="4F5169F9" w14:textId="77777777" w:rsidR="000B0212" w:rsidRPr="00667FFD" w:rsidRDefault="00000000">
      <w:pPr>
        <w:spacing w:line="276" w:lineRule="auto"/>
        <w:jc w:val="both"/>
      </w:pPr>
      <w:r w:rsidRPr="00667FFD">
        <w:t>This procedure was described by Onwuka (2005). A 15 g portion of the sample was made into a slurry in 300 mL of water in a beaker. The beaker containing the mixture was fixed below the impeller blade of a Brookfield viscometer, model LVT (Brookfield Engineering Laboratories Inc., Middleboro, MA 02346, USA), for rheological measurements.</w:t>
      </w:r>
    </w:p>
    <w:p w14:paraId="015B64CE" w14:textId="77777777" w:rsidR="000B0212" w:rsidRPr="00667FFD" w:rsidRDefault="00000000">
      <w:pPr>
        <w:pStyle w:val="Heading1"/>
        <w:spacing w:before="0" w:after="0" w:line="276" w:lineRule="auto"/>
        <w:rPr>
          <w:szCs w:val="24"/>
        </w:rPr>
      </w:pPr>
      <w:r w:rsidRPr="00667FFD">
        <w:rPr>
          <w:szCs w:val="24"/>
        </w:rPr>
        <w:t>Determination of pH</w:t>
      </w:r>
    </w:p>
    <w:p w14:paraId="2A36E32B" w14:textId="77777777" w:rsidR="000B0212" w:rsidRPr="00667FFD" w:rsidRDefault="00000000">
      <w:pPr>
        <w:widowControl/>
        <w:autoSpaceDE/>
        <w:jc w:val="both"/>
      </w:pPr>
      <w:r w:rsidRPr="00667FFD">
        <w:t xml:space="preserve">After the pH meter electrode was properly cleaned with distilled water, the reading was set to zero. The meter was then </w:t>
      </w:r>
      <w:proofErr w:type="spellStart"/>
      <w:r w:rsidRPr="00667FFD">
        <w:t>standardised</w:t>
      </w:r>
      <w:proofErr w:type="spellEnd"/>
      <w:r w:rsidRPr="00667FFD">
        <w:t xml:space="preserve"> at 25 °C using buffer solutions of pH 4, 7 and 9. After 25 mL of each sample had been pipetted into separate beakers, the pH electrode was dipped into the samples, and the readings were allowed to </w:t>
      </w:r>
      <w:proofErr w:type="spellStart"/>
      <w:r w:rsidRPr="00667FFD">
        <w:t>stabilise</w:t>
      </w:r>
      <w:proofErr w:type="spellEnd"/>
      <w:r w:rsidRPr="00667FFD">
        <w:t xml:space="preserve"> before being recorded.</w:t>
      </w:r>
    </w:p>
    <w:p w14:paraId="16B5A22C" w14:textId="77777777" w:rsidR="000B0212" w:rsidRPr="00667FFD" w:rsidRDefault="00000000">
      <w:pPr>
        <w:pStyle w:val="Heading1"/>
        <w:spacing w:before="0" w:after="0" w:line="276" w:lineRule="auto"/>
      </w:pPr>
      <w:r w:rsidRPr="00667FFD">
        <w:rPr>
          <w:szCs w:val="24"/>
        </w:rPr>
        <w:t xml:space="preserve"> Determination of soluble solids (</w:t>
      </w:r>
      <w:proofErr w:type="spellStart"/>
      <w:r w:rsidRPr="00667FFD">
        <w:rPr>
          <w:szCs w:val="24"/>
          <w:vertAlign w:val="superscript"/>
        </w:rPr>
        <w:t>o</w:t>
      </w:r>
      <w:r w:rsidRPr="00667FFD">
        <w:rPr>
          <w:szCs w:val="24"/>
        </w:rPr>
        <w:t>Brix</w:t>
      </w:r>
      <w:proofErr w:type="spellEnd"/>
      <w:r w:rsidRPr="00667FFD">
        <w:rPr>
          <w:szCs w:val="24"/>
        </w:rPr>
        <w:t>)</w:t>
      </w:r>
    </w:p>
    <w:p w14:paraId="511B1DC7" w14:textId="77777777" w:rsidR="000B0212" w:rsidRPr="00667FFD" w:rsidRDefault="00000000">
      <w:pPr>
        <w:widowControl/>
        <w:autoSpaceDE/>
        <w:jc w:val="both"/>
        <w:rPr>
          <w:sz w:val="24"/>
          <w:szCs w:val="24"/>
        </w:rPr>
      </w:pPr>
      <w:r w:rsidRPr="00667FFD">
        <w:t>A portable refractometer, VBR32T Brix/ATC-32%, was used to measure the °Brix of the jam samples. The glass prism of the digital refractometer was cleaned with distilled water and wiped with a clean wiper. Using a micropipette, a few drops of the test sample were applied to the optical area of the refractometer. The reading was then observed on the visual display and recorded.</w:t>
      </w:r>
    </w:p>
    <w:p w14:paraId="18524ECC" w14:textId="77777777" w:rsidR="000B0212" w:rsidRPr="00667FFD" w:rsidRDefault="00000000">
      <w:pPr>
        <w:pStyle w:val="Heading1"/>
        <w:spacing w:before="0" w:after="0" w:line="276" w:lineRule="auto"/>
        <w:rPr>
          <w:szCs w:val="24"/>
        </w:rPr>
      </w:pPr>
      <w:r w:rsidRPr="00667FFD">
        <w:rPr>
          <w:szCs w:val="24"/>
        </w:rPr>
        <w:t xml:space="preserve"> Total titratable acidity</w:t>
      </w:r>
    </w:p>
    <w:p w14:paraId="28A5AEB2" w14:textId="77777777" w:rsidR="000B0212" w:rsidRDefault="00000000">
      <w:pPr>
        <w:widowControl/>
        <w:autoSpaceDE/>
        <w:jc w:val="both"/>
      </w:pPr>
      <w:r w:rsidRPr="00667FFD">
        <w:t xml:space="preserve">The method of </w:t>
      </w:r>
      <w:proofErr w:type="spellStart"/>
      <w:r w:rsidRPr="00667FFD">
        <w:t>Ajenifujah-Solebo</w:t>
      </w:r>
      <w:proofErr w:type="spellEnd"/>
      <w:r w:rsidRPr="00667FFD">
        <w:t xml:space="preserve"> and Aina (2011) was adopted for this determination. To ensure complete mixing of the sample and indicator, 5 mL of the sample and 0.5 mL (3 drops) of 5% phenolphthalein indicator were added to a conical flask and gently shaken. The contents of the flask were titrated against 0.1N sodium hydroxide on a white background. Titration continued until a persistent pink </w:t>
      </w:r>
      <w:proofErr w:type="spellStart"/>
      <w:r w:rsidRPr="00667FFD">
        <w:t>colouration</w:t>
      </w:r>
      <w:proofErr w:type="spellEnd"/>
      <w:r w:rsidRPr="00667FFD">
        <w:t xml:space="preserve"> was observed. The endpoint was determined by recording the burette reading. Total acidity was calculated as follows:</w:t>
      </w:r>
    </w:p>
    <w:p w14:paraId="4FC161C0" w14:textId="48CFF1A5" w:rsidR="00C15931" w:rsidRDefault="00C15931">
      <w:pPr>
        <w:widowControl/>
        <w:autoSpaceDE/>
        <w:jc w:val="both"/>
        <w:rPr>
          <w:sz w:val="24"/>
          <w:szCs w:val="24"/>
        </w:rPr>
      </w:pPr>
      <w:r w:rsidRPr="0048668C">
        <w:rPr>
          <w:sz w:val="24"/>
          <w:szCs w:val="24"/>
        </w:rPr>
        <w:t xml:space="preserve">Total titratable acidity is equal to (V × N × 75)/(1000 × v) × 100. </w:t>
      </w:r>
      <w:r w:rsidRPr="0048668C">
        <w:rPr>
          <w:sz w:val="24"/>
          <w:szCs w:val="24"/>
        </w:rPr>
        <w:br/>
        <w:t xml:space="preserve">V is the milliliter of sodium hydroxide solution used in the titration. </w:t>
      </w:r>
      <w:r w:rsidRPr="0048668C">
        <w:rPr>
          <w:sz w:val="24"/>
          <w:szCs w:val="24"/>
        </w:rPr>
        <w:br/>
        <w:t>N is the sodium hydroxide solution's normality, and v is the sample volume (ml).</w:t>
      </w:r>
    </w:p>
    <w:p w14:paraId="20667D68" w14:textId="77777777" w:rsidR="003160C0" w:rsidRPr="00667FFD" w:rsidRDefault="003160C0">
      <w:pPr>
        <w:widowControl/>
        <w:autoSpaceDE/>
        <w:jc w:val="both"/>
      </w:pPr>
    </w:p>
    <w:p w14:paraId="772B9A2F" w14:textId="77777777" w:rsidR="000B0212" w:rsidRPr="00AB4C33" w:rsidRDefault="00000000">
      <w:pPr>
        <w:pStyle w:val="Heading2"/>
        <w:tabs>
          <w:tab w:val="left" w:pos="1241"/>
        </w:tabs>
        <w:spacing w:before="0" w:line="276" w:lineRule="auto"/>
        <w:jc w:val="both"/>
        <w:rPr>
          <w:rFonts w:ascii="Times New Roman" w:hAnsi="Times New Roman"/>
          <w:b/>
          <w:bCs/>
          <w:i/>
          <w:iCs/>
          <w:color w:val="auto"/>
          <w:sz w:val="24"/>
          <w:szCs w:val="24"/>
        </w:rPr>
      </w:pPr>
      <w:r w:rsidRPr="00AB4C33">
        <w:rPr>
          <w:rFonts w:ascii="Times New Roman" w:hAnsi="Times New Roman"/>
          <w:b/>
          <w:bCs/>
          <w:color w:val="auto"/>
          <w:sz w:val="24"/>
          <w:szCs w:val="24"/>
        </w:rPr>
        <w:t>Sensory Evaluation</w:t>
      </w:r>
    </w:p>
    <w:p w14:paraId="5EC6EDC4" w14:textId="77777777" w:rsidR="000B0212" w:rsidRPr="00667FFD" w:rsidRDefault="00000000">
      <w:pPr>
        <w:widowControl/>
        <w:autoSpaceDE/>
        <w:jc w:val="both"/>
        <w:rPr>
          <w:sz w:val="24"/>
          <w:szCs w:val="24"/>
        </w:rPr>
      </w:pPr>
      <w:r w:rsidRPr="00667FFD">
        <w:t xml:space="preserve">Twenty (20) untrained </w:t>
      </w:r>
      <w:proofErr w:type="spellStart"/>
      <w:r w:rsidRPr="00667FFD">
        <w:t>panellists</w:t>
      </w:r>
      <w:proofErr w:type="spellEnd"/>
      <w:r w:rsidRPr="00667FFD">
        <w:t xml:space="preserve"> from the Federal University of Technology, Owerri, Imo State, evaluated the jam samples for acceptability and preference using the methodology outlined by Chukwu (2017). Using a nine-point hedonic scale, each participant scored the jam samples for appearance, taste, </w:t>
      </w:r>
      <w:proofErr w:type="spellStart"/>
      <w:r w:rsidRPr="00667FFD">
        <w:t>flavour</w:t>
      </w:r>
      <w:proofErr w:type="spellEnd"/>
      <w:r w:rsidRPr="00667FFD">
        <w:t>, texture and overall acceptability, with 9 representing "extremely liked" and 1 representing "extremely disliked".</w:t>
      </w:r>
    </w:p>
    <w:p w14:paraId="109C593D" w14:textId="77777777" w:rsidR="000B0212" w:rsidRPr="00667FFD" w:rsidRDefault="00000000">
      <w:pPr>
        <w:pStyle w:val="Heading1"/>
        <w:spacing w:before="0" w:after="0" w:line="276" w:lineRule="auto"/>
      </w:pPr>
      <w:r w:rsidRPr="00667FFD">
        <w:rPr>
          <w:bCs/>
          <w:szCs w:val="24"/>
        </w:rPr>
        <w:t xml:space="preserve"> S</w:t>
      </w:r>
      <w:r w:rsidRPr="00667FFD">
        <w:rPr>
          <w:szCs w:val="24"/>
        </w:rPr>
        <w:t>tatistical Analysis</w:t>
      </w:r>
    </w:p>
    <w:p w14:paraId="59183540" w14:textId="77777777" w:rsidR="000B0212" w:rsidRPr="00667FFD" w:rsidRDefault="00000000">
      <w:pPr>
        <w:widowControl/>
        <w:autoSpaceDE/>
        <w:jc w:val="both"/>
      </w:pPr>
      <w:r w:rsidRPr="00667FFD">
        <w:t xml:space="preserve">The experimental results from triplicate determinations were expressed as mean ± standard deviation (SD). One-way analysis of variance (ANOVA) was used to </w:t>
      </w:r>
      <w:proofErr w:type="spellStart"/>
      <w:r w:rsidRPr="00667FFD">
        <w:t>analyse</w:t>
      </w:r>
      <w:proofErr w:type="spellEnd"/>
      <w:r w:rsidRPr="00667FFD">
        <w:t xml:space="preserve"> the data obtained, following the method adopted from Chukwu (2017). Fisher's least significant difference test at the 95% confidence level (P ≤ 0.05) was used to separate the means after statistical analysis using Statistical Package for Service Solutions (SPSS) version 15.0. The data were displayed in tabular and graphical formats.</w:t>
      </w:r>
    </w:p>
    <w:p w14:paraId="10BFCC04" w14:textId="77777777" w:rsidR="000B0212" w:rsidRPr="00667FFD" w:rsidRDefault="00000000">
      <w:pPr>
        <w:pStyle w:val="Heading1"/>
        <w:spacing w:before="0" w:after="0" w:line="276" w:lineRule="auto"/>
        <w:rPr>
          <w:szCs w:val="24"/>
        </w:rPr>
      </w:pPr>
      <w:r w:rsidRPr="00667FFD">
        <w:rPr>
          <w:szCs w:val="24"/>
        </w:rPr>
        <w:t>RESULTS AND DISCUSSION</w:t>
      </w:r>
    </w:p>
    <w:p w14:paraId="29028148" w14:textId="77777777" w:rsidR="000B0212" w:rsidRPr="00667FFD" w:rsidRDefault="00000000">
      <w:pPr>
        <w:pStyle w:val="NormalWeb"/>
        <w:spacing w:after="200"/>
        <w:jc w:val="both"/>
      </w:pPr>
      <w:r w:rsidRPr="00667FFD">
        <w:rPr>
          <w:rFonts w:eastAsia="Calibri"/>
          <w:b/>
          <w:bCs/>
          <w:lang w:bidi="ar"/>
        </w:rPr>
        <w:t>Table 1.  The Proximate composition of the Jam samples (%)</w:t>
      </w:r>
    </w:p>
    <w:p w14:paraId="60267A1A" w14:textId="77777777" w:rsidR="000B0212" w:rsidRPr="00667FFD" w:rsidRDefault="00000000">
      <w:pPr>
        <w:spacing w:before="280"/>
        <w:jc w:val="both"/>
        <w:rPr>
          <w:b/>
          <w:sz w:val="24"/>
          <w:szCs w:val="24"/>
          <w:lang w:bidi="ar"/>
        </w:rPr>
      </w:pPr>
      <w:r w:rsidRPr="00667FFD">
        <w:rPr>
          <w:b/>
          <w:sz w:val="24"/>
          <w:szCs w:val="24"/>
          <w:lang w:bidi="ar"/>
        </w:rPr>
        <w:t xml:space="preserve"> </w:t>
      </w:r>
    </w:p>
    <w:tbl>
      <w:tblPr>
        <w:tblW w:w="8989" w:type="dxa"/>
        <w:tblInd w:w="108" w:type="dxa"/>
        <w:tblLayout w:type="fixed"/>
        <w:tblLook w:val="0000" w:firstRow="0" w:lastRow="0" w:firstColumn="0" w:lastColumn="0" w:noHBand="0" w:noVBand="0"/>
      </w:tblPr>
      <w:tblGrid>
        <w:gridCol w:w="1082"/>
        <w:gridCol w:w="1362"/>
        <w:gridCol w:w="1173"/>
        <w:gridCol w:w="1173"/>
        <w:gridCol w:w="1173"/>
        <w:gridCol w:w="1173"/>
        <w:gridCol w:w="1853"/>
      </w:tblGrid>
      <w:tr w:rsidR="000B0212" w:rsidRPr="00667FFD" w14:paraId="5B5D7765" w14:textId="77777777">
        <w:trPr>
          <w:trHeight w:val="440"/>
        </w:trPr>
        <w:tc>
          <w:tcPr>
            <w:tcW w:w="1082" w:type="dxa"/>
            <w:tcBorders>
              <w:top w:val="single" w:sz="4" w:space="0" w:color="000000"/>
              <w:bottom w:val="single" w:sz="4" w:space="0" w:color="000000"/>
            </w:tcBorders>
            <w:vAlign w:val="bottom"/>
          </w:tcPr>
          <w:p w14:paraId="3F271435" w14:textId="77777777" w:rsidR="000B0212" w:rsidRPr="00667FFD" w:rsidRDefault="00000000">
            <w:pPr>
              <w:widowControl/>
              <w:spacing w:line="254" w:lineRule="auto"/>
              <w:jc w:val="both"/>
              <w:rPr>
                <w:b/>
                <w:bCs/>
                <w:sz w:val="20"/>
                <w:szCs w:val="20"/>
              </w:rPr>
            </w:pPr>
            <w:r w:rsidRPr="00667FFD">
              <w:rPr>
                <w:b/>
                <w:bCs/>
                <w:sz w:val="20"/>
                <w:szCs w:val="20"/>
                <w:lang w:bidi="ar"/>
              </w:rPr>
              <w:lastRenderedPageBreak/>
              <w:t>Sample</w:t>
            </w:r>
          </w:p>
        </w:tc>
        <w:tc>
          <w:tcPr>
            <w:tcW w:w="1362" w:type="dxa"/>
            <w:tcBorders>
              <w:top w:val="single" w:sz="4" w:space="0" w:color="000000"/>
              <w:bottom w:val="single" w:sz="4" w:space="0" w:color="000000"/>
            </w:tcBorders>
            <w:vAlign w:val="bottom"/>
          </w:tcPr>
          <w:p w14:paraId="593F0A25" w14:textId="77777777" w:rsidR="000B0212" w:rsidRPr="00667FFD" w:rsidRDefault="00000000">
            <w:pPr>
              <w:widowControl/>
              <w:spacing w:line="254" w:lineRule="auto"/>
              <w:jc w:val="both"/>
              <w:rPr>
                <w:b/>
                <w:bCs/>
                <w:sz w:val="20"/>
                <w:szCs w:val="20"/>
              </w:rPr>
            </w:pPr>
            <w:r w:rsidRPr="00667FFD">
              <w:rPr>
                <w:b/>
                <w:bCs/>
                <w:sz w:val="20"/>
                <w:szCs w:val="20"/>
                <w:lang w:bidi="ar"/>
              </w:rPr>
              <w:t>Moisture</w:t>
            </w:r>
          </w:p>
        </w:tc>
        <w:tc>
          <w:tcPr>
            <w:tcW w:w="1173" w:type="dxa"/>
            <w:tcBorders>
              <w:top w:val="single" w:sz="4" w:space="0" w:color="000000"/>
              <w:bottom w:val="single" w:sz="4" w:space="0" w:color="000000"/>
            </w:tcBorders>
            <w:vAlign w:val="bottom"/>
          </w:tcPr>
          <w:p w14:paraId="627525ED" w14:textId="77777777" w:rsidR="000B0212" w:rsidRPr="00667FFD" w:rsidRDefault="00000000">
            <w:pPr>
              <w:widowControl/>
              <w:spacing w:line="254" w:lineRule="auto"/>
              <w:jc w:val="both"/>
              <w:rPr>
                <w:b/>
                <w:bCs/>
                <w:sz w:val="20"/>
                <w:szCs w:val="20"/>
              </w:rPr>
            </w:pPr>
            <w:r w:rsidRPr="00667FFD">
              <w:rPr>
                <w:b/>
                <w:bCs/>
                <w:sz w:val="20"/>
                <w:szCs w:val="20"/>
                <w:lang w:bidi="ar"/>
              </w:rPr>
              <w:t>Ash</w:t>
            </w:r>
          </w:p>
        </w:tc>
        <w:tc>
          <w:tcPr>
            <w:tcW w:w="1173" w:type="dxa"/>
            <w:tcBorders>
              <w:top w:val="single" w:sz="4" w:space="0" w:color="000000"/>
              <w:bottom w:val="single" w:sz="4" w:space="0" w:color="000000"/>
            </w:tcBorders>
            <w:vAlign w:val="bottom"/>
          </w:tcPr>
          <w:p w14:paraId="433CD1EF" w14:textId="77777777" w:rsidR="000B0212" w:rsidRPr="00667FFD" w:rsidRDefault="00000000">
            <w:pPr>
              <w:widowControl/>
              <w:spacing w:line="254" w:lineRule="auto"/>
              <w:jc w:val="both"/>
              <w:rPr>
                <w:b/>
                <w:bCs/>
                <w:sz w:val="20"/>
                <w:szCs w:val="20"/>
              </w:rPr>
            </w:pPr>
            <w:r w:rsidRPr="00667FFD">
              <w:rPr>
                <w:b/>
                <w:bCs/>
                <w:sz w:val="20"/>
                <w:szCs w:val="20"/>
                <w:lang w:bidi="ar"/>
              </w:rPr>
              <w:t xml:space="preserve">Dietary </w:t>
            </w:r>
            <w:proofErr w:type="spellStart"/>
            <w:r w:rsidRPr="00667FFD">
              <w:rPr>
                <w:b/>
                <w:bCs/>
                <w:sz w:val="20"/>
                <w:szCs w:val="20"/>
                <w:lang w:bidi="ar"/>
              </w:rPr>
              <w:t>Fibre</w:t>
            </w:r>
            <w:proofErr w:type="spellEnd"/>
          </w:p>
        </w:tc>
        <w:tc>
          <w:tcPr>
            <w:tcW w:w="1173" w:type="dxa"/>
            <w:tcBorders>
              <w:top w:val="single" w:sz="4" w:space="0" w:color="000000"/>
              <w:bottom w:val="single" w:sz="4" w:space="0" w:color="000000"/>
            </w:tcBorders>
            <w:vAlign w:val="bottom"/>
          </w:tcPr>
          <w:p w14:paraId="0F4E99B1" w14:textId="77777777" w:rsidR="000B0212" w:rsidRPr="00667FFD" w:rsidRDefault="00000000">
            <w:pPr>
              <w:widowControl/>
              <w:spacing w:line="254" w:lineRule="auto"/>
              <w:jc w:val="both"/>
              <w:rPr>
                <w:b/>
                <w:bCs/>
                <w:sz w:val="20"/>
                <w:szCs w:val="20"/>
              </w:rPr>
            </w:pPr>
            <w:r w:rsidRPr="00667FFD">
              <w:rPr>
                <w:b/>
                <w:bCs/>
                <w:sz w:val="20"/>
                <w:szCs w:val="20"/>
                <w:lang w:bidi="ar"/>
              </w:rPr>
              <w:t>Fat</w:t>
            </w:r>
          </w:p>
        </w:tc>
        <w:tc>
          <w:tcPr>
            <w:tcW w:w="1173" w:type="dxa"/>
            <w:tcBorders>
              <w:top w:val="single" w:sz="4" w:space="0" w:color="000000"/>
              <w:bottom w:val="single" w:sz="4" w:space="0" w:color="000000"/>
            </w:tcBorders>
            <w:vAlign w:val="bottom"/>
          </w:tcPr>
          <w:p w14:paraId="556AC2F0" w14:textId="77777777" w:rsidR="000B0212" w:rsidRPr="00667FFD" w:rsidRDefault="00000000">
            <w:pPr>
              <w:widowControl/>
              <w:spacing w:line="254" w:lineRule="auto"/>
              <w:jc w:val="both"/>
              <w:rPr>
                <w:b/>
                <w:bCs/>
                <w:sz w:val="20"/>
                <w:szCs w:val="20"/>
              </w:rPr>
            </w:pPr>
            <w:r w:rsidRPr="00667FFD">
              <w:rPr>
                <w:b/>
                <w:bCs/>
                <w:sz w:val="20"/>
                <w:szCs w:val="20"/>
                <w:lang w:bidi="ar"/>
              </w:rPr>
              <w:t>Protein</w:t>
            </w:r>
          </w:p>
        </w:tc>
        <w:tc>
          <w:tcPr>
            <w:tcW w:w="1853" w:type="dxa"/>
            <w:tcBorders>
              <w:top w:val="single" w:sz="4" w:space="0" w:color="000000"/>
              <w:bottom w:val="single" w:sz="4" w:space="0" w:color="000000"/>
            </w:tcBorders>
            <w:vAlign w:val="bottom"/>
          </w:tcPr>
          <w:p w14:paraId="7BC54E65" w14:textId="77777777" w:rsidR="000B0212" w:rsidRPr="00667FFD" w:rsidRDefault="00000000">
            <w:pPr>
              <w:widowControl/>
              <w:spacing w:line="254" w:lineRule="auto"/>
              <w:jc w:val="both"/>
              <w:rPr>
                <w:b/>
                <w:bCs/>
                <w:sz w:val="20"/>
                <w:szCs w:val="20"/>
              </w:rPr>
            </w:pPr>
            <w:r w:rsidRPr="00667FFD">
              <w:rPr>
                <w:b/>
                <w:bCs/>
                <w:sz w:val="20"/>
                <w:szCs w:val="20"/>
                <w:lang w:bidi="ar"/>
              </w:rPr>
              <w:t xml:space="preserve">          Carbohydrates</w:t>
            </w:r>
          </w:p>
        </w:tc>
      </w:tr>
      <w:tr w:rsidR="000B0212" w:rsidRPr="00667FFD" w14:paraId="683FBD7C" w14:textId="77777777">
        <w:trPr>
          <w:trHeight w:val="545"/>
        </w:trPr>
        <w:tc>
          <w:tcPr>
            <w:tcW w:w="1082" w:type="dxa"/>
            <w:tcBorders>
              <w:top w:val="single" w:sz="4" w:space="0" w:color="000000"/>
            </w:tcBorders>
            <w:vAlign w:val="center"/>
          </w:tcPr>
          <w:p w14:paraId="2BBA3D87" w14:textId="77777777" w:rsidR="000B0212" w:rsidRPr="00667FFD" w:rsidRDefault="00000000">
            <w:pPr>
              <w:widowControl/>
              <w:spacing w:line="254" w:lineRule="auto"/>
              <w:jc w:val="both"/>
              <w:rPr>
                <w:sz w:val="20"/>
                <w:szCs w:val="20"/>
              </w:rPr>
            </w:pPr>
            <w:r w:rsidRPr="00667FFD">
              <w:rPr>
                <w:sz w:val="20"/>
                <w:szCs w:val="20"/>
                <w:lang w:bidi="ar"/>
              </w:rPr>
              <w:t>RHJ</w:t>
            </w:r>
          </w:p>
        </w:tc>
        <w:tc>
          <w:tcPr>
            <w:tcW w:w="1362" w:type="dxa"/>
            <w:tcBorders>
              <w:top w:val="single" w:sz="4" w:space="0" w:color="000000"/>
            </w:tcBorders>
            <w:vAlign w:val="center"/>
          </w:tcPr>
          <w:p w14:paraId="22D723BC" w14:textId="77777777" w:rsidR="000B0212" w:rsidRPr="00667FFD" w:rsidRDefault="00000000">
            <w:pPr>
              <w:widowControl/>
              <w:spacing w:line="254" w:lineRule="auto"/>
              <w:jc w:val="both"/>
              <w:rPr>
                <w:sz w:val="20"/>
                <w:szCs w:val="20"/>
              </w:rPr>
            </w:pPr>
            <w:r w:rsidRPr="00667FFD">
              <w:rPr>
                <w:sz w:val="20"/>
                <w:szCs w:val="20"/>
                <w:lang w:bidi="ar"/>
              </w:rPr>
              <w:t>26.46</w:t>
            </w:r>
            <w:r w:rsidRPr="00667FFD">
              <w:rPr>
                <w:sz w:val="20"/>
                <w:szCs w:val="20"/>
                <w:vertAlign w:val="superscript"/>
                <w:lang w:bidi="ar"/>
              </w:rPr>
              <w:t>a</w:t>
            </w:r>
            <w:r w:rsidRPr="00667FFD">
              <w:rPr>
                <w:sz w:val="20"/>
                <w:szCs w:val="20"/>
                <w:lang w:bidi="ar"/>
              </w:rPr>
              <w:t>±1.68</w:t>
            </w:r>
          </w:p>
        </w:tc>
        <w:tc>
          <w:tcPr>
            <w:tcW w:w="1173" w:type="dxa"/>
            <w:tcBorders>
              <w:top w:val="single" w:sz="4" w:space="0" w:color="000000"/>
            </w:tcBorders>
            <w:vAlign w:val="center"/>
          </w:tcPr>
          <w:p w14:paraId="3282A5E9" w14:textId="77777777" w:rsidR="000B0212" w:rsidRPr="00667FFD" w:rsidRDefault="00000000">
            <w:pPr>
              <w:widowControl/>
              <w:spacing w:line="254" w:lineRule="auto"/>
              <w:jc w:val="both"/>
              <w:rPr>
                <w:sz w:val="20"/>
                <w:szCs w:val="20"/>
              </w:rPr>
            </w:pPr>
            <w:r w:rsidRPr="00667FFD">
              <w:rPr>
                <w:sz w:val="20"/>
                <w:szCs w:val="20"/>
                <w:lang w:bidi="ar"/>
              </w:rPr>
              <w:t>1.17</w:t>
            </w:r>
            <w:r w:rsidRPr="00667FFD">
              <w:rPr>
                <w:sz w:val="20"/>
                <w:szCs w:val="20"/>
                <w:vertAlign w:val="superscript"/>
                <w:lang w:bidi="ar"/>
              </w:rPr>
              <w:t>a</w:t>
            </w:r>
            <w:r w:rsidRPr="00667FFD">
              <w:rPr>
                <w:sz w:val="20"/>
                <w:szCs w:val="20"/>
                <w:lang w:bidi="ar"/>
              </w:rPr>
              <w:t>±0.02</w:t>
            </w:r>
          </w:p>
        </w:tc>
        <w:tc>
          <w:tcPr>
            <w:tcW w:w="1173" w:type="dxa"/>
            <w:tcBorders>
              <w:top w:val="single" w:sz="4" w:space="0" w:color="000000"/>
            </w:tcBorders>
            <w:vAlign w:val="center"/>
          </w:tcPr>
          <w:p w14:paraId="5923A17A" w14:textId="77777777" w:rsidR="000B0212" w:rsidRPr="00667FFD" w:rsidRDefault="00000000">
            <w:pPr>
              <w:widowControl/>
              <w:spacing w:line="254" w:lineRule="auto"/>
              <w:jc w:val="both"/>
              <w:rPr>
                <w:sz w:val="20"/>
                <w:szCs w:val="20"/>
              </w:rPr>
            </w:pPr>
            <w:r w:rsidRPr="00667FFD">
              <w:rPr>
                <w:sz w:val="20"/>
                <w:szCs w:val="20"/>
                <w:lang w:bidi="ar"/>
              </w:rPr>
              <w:t>0.44</w:t>
            </w:r>
            <w:r w:rsidRPr="00667FFD">
              <w:rPr>
                <w:sz w:val="20"/>
                <w:szCs w:val="20"/>
                <w:vertAlign w:val="superscript"/>
                <w:lang w:bidi="ar"/>
              </w:rPr>
              <w:t>c</w:t>
            </w:r>
            <w:r w:rsidRPr="00667FFD">
              <w:rPr>
                <w:sz w:val="20"/>
                <w:szCs w:val="20"/>
                <w:lang w:bidi="ar"/>
              </w:rPr>
              <w:t>±0.04</w:t>
            </w:r>
          </w:p>
        </w:tc>
        <w:tc>
          <w:tcPr>
            <w:tcW w:w="1173" w:type="dxa"/>
            <w:tcBorders>
              <w:top w:val="single" w:sz="4" w:space="0" w:color="000000"/>
            </w:tcBorders>
            <w:vAlign w:val="center"/>
          </w:tcPr>
          <w:p w14:paraId="46F6AA40" w14:textId="77777777" w:rsidR="000B0212" w:rsidRPr="00667FFD" w:rsidRDefault="00000000">
            <w:pPr>
              <w:widowControl/>
              <w:spacing w:line="254" w:lineRule="auto"/>
              <w:jc w:val="both"/>
              <w:rPr>
                <w:sz w:val="20"/>
                <w:szCs w:val="20"/>
              </w:rPr>
            </w:pPr>
            <w:r w:rsidRPr="00667FFD">
              <w:rPr>
                <w:sz w:val="20"/>
                <w:szCs w:val="20"/>
                <w:lang w:bidi="ar"/>
              </w:rPr>
              <w:t>0.43</w:t>
            </w:r>
            <w:r w:rsidRPr="00667FFD">
              <w:rPr>
                <w:sz w:val="20"/>
                <w:szCs w:val="20"/>
                <w:vertAlign w:val="superscript"/>
                <w:lang w:bidi="ar"/>
              </w:rPr>
              <w:t>a</w:t>
            </w:r>
            <w:r w:rsidRPr="00667FFD">
              <w:rPr>
                <w:sz w:val="20"/>
                <w:szCs w:val="20"/>
                <w:lang w:bidi="ar"/>
              </w:rPr>
              <w:t>±0.03</w:t>
            </w:r>
          </w:p>
        </w:tc>
        <w:tc>
          <w:tcPr>
            <w:tcW w:w="1173" w:type="dxa"/>
            <w:tcBorders>
              <w:top w:val="single" w:sz="4" w:space="0" w:color="000000"/>
            </w:tcBorders>
            <w:vAlign w:val="center"/>
          </w:tcPr>
          <w:p w14:paraId="7FEE266C" w14:textId="77777777" w:rsidR="000B0212" w:rsidRPr="00667FFD" w:rsidRDefault="00000000">
            <w:pPr>
              <w:widowControl/>
              <w:spacing w:line="254" w:lineRule="auto"/>
              <w:jc w:val="both"/>
              <w:rPr>
                <w:sz w:val="20"/>
                <w:szCs w:val="20"/>
              </w:rPr>
            </w:pPr>
            <w:r w:rsidRPr="00667FFD">
              <w:rPr>
                <w:sz w:val="20"/>
                <w:szCs w:val="20"/>
                <w:lang w:bidi="ar"/>
              </w:rPr>
              <w:t>0.83</w:t>
            </w:r>
            <w:r w:rsidRPr="00667FFD">
              <w:rPr>
                <w:sz w:val="20"/>
                <w:szCs w:val="20"/>
                <w:vertAlign w:val="superscript"/>
                <w:lang w:bidi="ar"/>
              </w:rPr>
              <w:t>b</w:t>
            </w:r>
            <w:r w:rsidRPr="00667FFD">
              <w:rPr>
                <w:sz w:val="20"/>
                <w:szCs w:val="20"/>
                <w:lang w:bidi="ar"/>
              </w:rPr>
              <w:t>±0.11</w:t>
            </w:r>
          </w:p>
        </w:tc>
        <w:tc>
          <w:tcPr>
            <w:tcW w:w="1853" w:type="dxa"/>
            <w:tcBorders>
              <w:top w:val="single" w:sz="4" w:space="0" w:color="000000"/>
            </w:tcBorders>
            <w:vAlign w:val="center"/>
          </w:tcPr>
          <w:p w14:paraId="6E4500E2" w14:textId="77777777" w:rsidR="000B0212" w:rsidRPr="00667FFD" w:rsidRDefault="00000000">
            <w:pPr>
              <w:widowControl/>
              <w:spacing w:line="254" w:lineRule="auto"/>
              <w:jc w:val="both"/>
              <w:rPr>
                <w:sz w:val="20"/>
                <w:szCs w:val="20"/>
              </w:rPr>
            </w:pPr>
            <w:r w:rsidRPr="00667FFD">
              <w:rPr>
                <w:sz w:val="20"/>
                <w:szCs w:val="20"/>
                <w:lang w:bidi="ar"/>
              </w:rPr>
              <w:t>70.67</w:t>
            </w:r>
            <w:r w:rsidRPr="00667FFD">
              <w:rPr>
                <w:sz w:val="20"/>
                <w:szCs w:val="20"/>
                <w:vertAlign w:val="superscript"/>
                <w:lang w:bidi="ar"/>
              </w:rPr>
              <w:t>c</w:t>
            </w:r>
            <w:r w:rsidRPr="00667FFD">
              <w:rPr>
                <w:sz w:val="20"/>
                <w:szCs w:val="20"/>
                <w:lang w:bidi="ar"/>
              </w:rPr>
              <w:t>±1.69</w:t>
            </w:r>
          </w:p>
        </w:tc>
      </w:tr>
      <w:tr w:rsidR="000B0212" w:rsidRPr="00667FFD" w14:paraId="3F9C855C" w14:textId="77777777">
        <w:trPr>
          <w:trHeight w:val="482"/>
        </w:trPr>
        <w:tc>
          <w:tcPr>
            <w:tcW w:w="1082" w:type="dxa"/>
            <w:vAlign w:val="center"/>
          </w:tcPr>
          <w:p w14:paraId="705520BA" w14:textId="77777777" w:rsidR="000B0212" w:rsidRPr="00667FFD" w:rsidRDefault="00000000">
            <w:pPr>
              <w:widowControl/>
              <w:spacing w:line="254" w:lineRule="auto"/>
              <w:jc w:val="both"/>
              <w:rPr>
                <w:sz w:val="20"/>
                <w:szCs w:val="20"/>
              </w:rPr>
            </w:pPr>
            <w:r w:rsidRPr="00667FFD">
              <w:rPr>
                <w:sz w:val="20"/>
                <w:szCs w:val="20"/>
                <w:lang w:bidi="ar"/>
              </w:rPr>
              <w:t>RSJ</w:t>
            </w:r>
          </w:p>
        </w:tc>
        <w:tc>
          <w:tcPr>
            <w:tcW w:w="1362" w:type="dxa"/>
            <w:vAlign w:val="center"/>
          </w:tcPr>
          <w:p w14:paraId="0CD561E1" w14:textId="77777777" w:rsidR="000B0212" w:rsidRPr="00667FFD" w:rsidRDefault="00000000">
            <w:pPr>
              <w:widowControl/>
              <w:spacing w:line="254" w:lineRule="auto"/>
              <w:jc w:val="both"/>
              <w:rPr>
                <w:sz w:val="20"/>
                <w:szCs w:val="20"/>
              </w:rPr>
            </w:pPr>
            <w:r w:rsidRPr="00667FFD">
              <w:rPr>
                <w:sz w:val="20"/>
                <w:szCs w:val="20"/>
                <w:lang w:bidi="ar"/>
              </w:rPr>
              <w:t>23.16</w:t>
            </w:r>
            <w:r w:rsidRPr="00667FFD">
              <w:rPr>
                <w:sz w:val="20"/>
                <w:szCs w:val="20"/>
                <w:vertAlign w:val="superscript"/>
                <w:lang w:bidi="ar"/>
              </w:rPr>
              <w:t>b</w:t>
            </w:r>
            <w:r w:rsidRPr="00667FFD">
              <w:rPr>
                <w:sz w:val="20"/>
                <w:szCs w:val="20"/>
                <w:lang w:bidi="ar"/>
              </w:rPr>
              <w:t>±0.92</w:t>
            </w:r>
          </w:p>
        </w:tc>
        <w:tc>
          <w:tcPr>
            <w:tcW w:w="1173" w:type="dxa"/>
            <w:vAlign w:val="center"/>
          </w:tcPr>
          <w:p w14:paraId="7118B433" w14:textId="77777777" w:rsidR="000B0212" w:rsidRPr="00667FFD" w:rsidRDefault="00000000">
            <w:pPr>
              <w:widowControl/>
              <w:spacing w:line="254" w:lineRule="auto"/>
              <w:jc w:val="both"/>
              <w:rPr>
                <w:sz w:val="20"/>
                <w:szCs w:val="20"/>
              </w:rPr>
            </w:pPr>
            <w:r w:rsidRPr="00667FFD">
              <w:rPr>
                <w:sz w:val="20"/>
                <w:szCs w:val="20"/>
                <w:lang w:bidi="ar"/>
              </w:rPr>
              <w:t>1.15</w:t>
            </w:r>
            <w:r w:rsidRPr="00667FFD">
              <w:rPr>
                <w:sz w:val="20"/>
                <w:szCs w:val="20"/>
                <w:vertAlign w:val="superscript"/>
                <w:lang w:bidi="ar"/>
              </w:rPr>
              <w:t>a</w:t>
            </w:r>
            <w:r w:rsidRPr="00667FFD">
              <w:rPr>
                <w:sz w:val="20"/>
                <w:szCs w:val="20"/>
                <w:lang w:bidi="ar"/>
              </w:rPr>
              <w:t>±0.02</w:t>
            </w:r>
          </w:p>
        </w:tc>
        <w:tc>
          <w:tcPr>
            <w:tcW w:w="1173" w:type="dxa"/>
            <w:vAlign w:val="center"/>
          </w:tcPr>
          <w:p w14:paraId="5BC602F5" w14:textId="77777777" w:rsidR="000B0212" w:rsidRPr="00667FFD" w:rsidRDefault="00000000">
            <w:pPr>
              <w:widowControl/>
              <w:spacing w:line="254" w:lineRule="auto"/>
              <w:jc w:val="both"/>
              <w:rPr>
                <w:sz w:val="20"/>
                <w:szCs w:val="20"/>
              </w:rPr>
            </w:pPr>
            <w:r w:rsidRPr="00667FFD">
              <w:rPr>
                <w:sz w:val="20"/>
                <w:szCs w:val="20"/>
                <w:lang w:bidi="ar"/>
              </w:rPr>
              <w:t>0.96</w:t>
            </w:r>
            <w:r w:rsidRPr="00667FFD">
              <w:rPr>
                <w:sz w:val="20"/>
                <w:szCs w:val="20"/>
                <w:vertAlign w:val="superscript"/>
                <w:lang w:bidi="ar"/>
              </w:rPr>
              <w:t>b</w:t>
            </w:r>
            <w:r w:rsidRPr="00667FFD">
              <w:rPr>
                <w:sz w:val="20"/>
                <w:szCs w:val="20"/>
                <w:lang w:bidi="ar"/>
              </w:rPr>
              <w:t>±0.09</w:t>
            </w:r>
          </w:p>
        </w:tc>
        <w:tc>
          <w:tcPr>
            <w:tcW w:w="1173" w:type="dxa"/>
            <w:vAlign w:val="center"/>
          </w:tcPr>
          <w:p w14:paraId="566C69B6" w14:textId="77777777" w:rsidR="000B0212" w:rsidRPr="00667FFD" w:rsidRDefault="00000000">
            <w:pPr>
              <w:widowControl/>
              <w:spacing w:line="254" w:lineRule="auto"/>
              <w:jc w:val="both"/>
              <w:rPr>
                <w:sz w:val="20"/>
                <w:szCs w:val="20"/>
              </w:rPr>
            </w:pPr>
            <w:r w:rsidRPr="00667FFD">
              <w:rPr>
                <w:sz w:val="20"/>
                <w:szCs w:val="20"/>
                <w:lang w:bidi="ar"/>
              </w:rPr>
              <w:t>0.48</w:t>
            </w:r>
            <w:r w:rsidRPr="00667FFD">
              <w:rPr>
                <w:sz w:val="20"/>
                <w:szCs w:val="20"/>
                <w:vertAlign w:val="superscript"/>
                <w:lang w:bidi="ar"/>
              </w:rPr>
              <w:t>a</w:t>
            </w:r>
            <w:r w:rsidRPr="00667FFD">
              <w:rPr>
                <w:sz w:val="20"/>
                <w:szCs w:val="20"/>
                <w:lang w:bidi="ar"/>
              </w:rPr>
              <w:t>±0.05</w:t>
            </w:r>
          </w:p>
        </w:tc>
        <w:tc>
          <w:tcPr>
            <w:tcW w:w="1173" w:type="dxa"/>
            <w:vAlign w:val="center"/>
          </w:tcPr>
          <w:p w14:paraId="18205CDC" w14:textId="77777777" w:rsidR="000B0212" w:rsidRPr="00667FFD" w:rsidRDefault="00000000">
            <w:pPr>
              <w:widowControl/>
              <w:spacing w:line="254" w:lineRule="auto"/>
              <w:jc w:val="both"/>
              <w:rPr>
                <w:sz w:val="20"/>
                <w:szCs w:val="20"/>
              </w:rPr>
            </w:pPr>
            <w:r w:rsidRPr="00667FFD">
              <w:rPr>
                <w:sz w:val="20"/>
                <w:szCs w:val="20"/>
                <w:lang w:bidi="ar"/>
              </w:rPr>
              <w:t>1.04</w:t>
            </w:r>
            <w:r w:rsidRPr="00667FFD">
              <w:rPr>
                <w:sz w:val="20"/>
                <w:szCs w:val="20"/>
                <w:vertAlign w:val="superscript"/>
                <w:lang w:bidi="ar"/>
              </w:rPr>
              <w:t>a</w:t>
            </w:r>
            <w:r w:rsidRPr="00667FFD">
              <w:rPr>
                <w:sz w:val="20"/>
                <w:szCs w:val="20"/>
                <w:lang w:bidi="ar"/>
              </w:rPr>
              <w:t>±0.03</w:t>
            </w:r>
          </w:p>
        </w:tc>
        <w:tc>
          <w:tcPr>
            <w:tcW w:w="1853" w:type="dxa"/>
            <w:vAlign w:val="center"/>
          </w:tcPr>
          <w:p w14:paraId="2C97336C" w14:textId="77777777" w:rsidR="000B0212" w:rsidRPr="00667FFD" w:rsidRDefault="00000000">
            <w:pPr>
              <w:widowControl/>
              <w:spacing w:line="254" w:lineRule="auto"/>
              <w:jc w:val="both"/>
              <w:rPr>
                <w:sz w:val="20"/>
                <w:szCs w:val="20"/>
              </w:rPr>
            </w:pPr>
            <w:r w:rsidRPr="00667FFD">
              <w:rPr>
                <w:sz w:val="20"/>
                <w:szCs w:val="20"/>
                <w:lang w:bidi="ar"/>
              </w:rPr>
              <w:t>73.21</w:t>
            </w:r>
            <w:r w:rsidRPr="00667FFD">
              <w:rPr>
                <w:sz w:val="20"/>
                <w:szCs w:val="20"/>
                <w:vertAlign w:val="superscript"/>
                <w:lang w:bidi="ar"/>
              </w:rPr>
              <w:t>b</w:t>
            </w:r>
            <w:r w:rsidRPr="00667FFD">
              <w:rPr>
                <w:sz w:val="20"/>
                <w:szCs w:val="20"/>
                <w:lang w:bidi="ar"/>
              </w:rPr>
              <w:t>±0.94</w:t>
            </w:r>
          </w:p>
        </w:tc>
      </w:tr>
      <w:tr w:rsidR="000B0212" w:rsidRPr="00667FFD" w14:paraId="61949118" w14:textId="77777777">
        <w:trPr>
          <w:trHeight w:val="482"/>
        </w:trPr>
        <w:tc>
          <w:tcPr>
            <w:tcW w:w="1082" w:type="dxa"/>
            <w:vAlign w:val="center"/>
          </w:tcPr>
          <w:p w14:paraId="72B4ED11" w14:textId="77777777" w:rsidR="000B0212" w:rsidRPr="00667FFD" w:rsidRDefault="00000000">
            <w:pPr>
              <w:widowControl/>
              <w:spacing w:line="254" w:lineRule="auto"/>
              <w:jc w:val="both"/>
              <w:rPr>
                <w:sz w:val="20"/>
                <w:szCs w:val="20"/>
              </w:rPr>
            </w:pPr>
            <w:r w:rsidRPr="00667FFD">
              <w:rPr>
                <w:sz w:val="20"/>
                <w:szCs w:val="20"/>
                <w:lang w:bidi="ar"/>
              </w:rPr>
              <w:t>RFJ</w:t>
            </w:r>
          </w:p>
        </w:tc>
        <w:tc>
          <w:tcPr>
            <w:tcW w:w="1362" w:type="dxa"/>
            <w:vAlign w:val="center"/>
          </w:tcPr>
          <w:p w14:paraId="21F78C6E" w14:textId="77777777" w:rsidR="000B0212" w:rsidRPr="00667FFD" w:rsidRDefault="00000000">
            <w:pPr>
              <w:widowControl/>
              <w:spacing w:line="254" w:lineRule="auto"/>
              <w:jc w:val="both"/>
              <w:rPr>
                <w:sz w:val="20"/>
                <w:szCs w:val="20"/>
              </w:rPr>
            </w:pPr>
            <w:r w:rsidRPr="00667FFD">
              <w:rPr>
                <w:sz w:val="20"/>
                <w:szCs w:val="20"/>
                <w:lang w:bidi="ar"/>
              </w:rPr>
              <w:t>18.09</w:t>
            </w:r>
            <w:r w:rsidRPr="00667FFD">
              <w:rPr>
                <w:sz w:val="20"/>
                <w:szCs w:val="20"/>
                <w:vertAlign w:val="superscript"/>
                <w:lang w:bidi="ar"/>
              </w:rPr>
              <w:t>c</w:t>
            </w:r>
            <w:r w:rsidRPr="00667FFD">
              <w:rPr>
                <w:sz w:val="20"/>
                <w:szCs w:val="20"/>
                <w:lang w:bidi="ar"/>
              </w:rPr>
              <w:t>±0.91</w:t>
            </w:r>
          </w:p>
        </w:tc>
        <w:tc>
          <w:tcPr>
            <w:tcW w:w="1173" w:type="dxa"/>
            <w:vAlign w:val="center"/>
          </w:tcPr>
          <w:p w14:paraId="30D31720" w14:textId="77777777" w:rsidR="000B0212" w:rsidRPr="00667FFD" w:rsidRDefault="00000000">
            <w:pPr>
              <w:widowControl/>
              <w:spacing w:line="254" w:lineRule="auto"/>
              <w:jc w:val="both"/>
              <w:rPr>
                <w:sz w:val="20"/>
                <w:szCs w:val="20"/>
              </w:rPr>
            </w:pPr>
            <w:r w:rsidRPr="00667FFD">
              <w:rPr>
                <w:sz w:val="20"/>
                <w:szCs w:val="20"/>
                <w:lang w:bidi="ar"/>
              </w:rPr>
              <w:t>1.03</w:t>
            </w:r>
            <w:r w:rsidRPr="00667FFD">
              <w:rPr>
                <w:sz w:val="20"/>
                <w:szCs w:val="20"/>
                <w:vertAlign w:val="superscript"/>
                <w:lang w:bidi="ar"/>
              </w:rPr>
              <w:t>b</w:t>
            </w:r>
            <w:r w:rsidRPr="00667FFD">
              <w:rPr>
                <w:sz w:val="20"/>
                <w:szCs w:val="20"/>
                <w:lang w:bidi="ar"/>
              </w:rPr>
              <w:t>±0.09</w:t>
            </w:r>
          </w:p>
        </w:tc>
        <w:tc>
          <w:tcPr>
            <w:tcW w:w="1173" w:type="dxa"/>
            <w:vAlign w:val="center"/>
          </w:tcPr>
          <w:p w14:paraId="2D2B0530" w14:textId="77777777" w:rsidR="000B0212" w:rsidRPr="00667FFD" w:rsidRDefault="00000000">
            <w:pPr>
              <w:widowControl/>
              <w:spacing w:line="254" w:lineRule="auto"/>
              <w:jc w:val="both"/>
              <w:rPr>
                <w:sz w:val="20"/>
                <w:szCs w:val="20"/>
              </w:rPr>
            </w:pPr>
            <w:r w:rsidRPr="00667FFD">
              <w:rPr>
                <w:sz w:val="20"/>
                <w:szCs w:val="20"/>
                <w:lang w:bidi="ar"/>
              </w:rPr>
              <w:t>1.02</w:t>
            </w:r>
            <w:r w:rsidRPr="00667FFD">
              <w:rPr>
                <w:sz w:val="20"/>
                <w:szCs w:val="20"/>
                <w:vertAlign w:val="superscript"/>
                <w:lang w:bidi="ar"/>
              </w:rPr>
              <w:t>b</w:t>
            </w:r>
            <w:r w:rsidRPr="00667FFD">
              <w:rPr>
                <w:sz w:val="20"/>
                <w:szCs w:val="20"/>
                <w:lang w:bidi="ar"/>
              </w:rPr>
              <w:t>±0.04</w:t>
            </w:r>
          </w:p>
        </w:tc>
        <w:tc>
          <w:tcPr>
            <w:tcW w:w="1173" w:type="dxa"/>
            <w:vAlign w:val="center"/>
          </w:tcPr>
          <w:p w14:paraId="6672BEC1" w14:textId="77777777" w:rsidR="000B0212" w:rsidRPr="00667FFD" w:rsidRDefault="00000000">
            <w:pPr>
              <w:widowControl/>
              <w:spacing w:line="254" w:lineRule="auto"/>
              <w:jc w:val="both"/>
              <w:rPr>
                <w:sz w:val="20"/>
                <w:szCs w:val="20"/>
              </w:rPr>
            </w:pPr>
            <w:r w:rsidRPr="00667FFD">
              <w:rPr>
                <w:sz w:val="20"/>
                <w:szCs w:val="20"/>
                <w:lang w:bidi="ar"/>
              </w:rPr>
              <w:t>0.49</w:t>
            </w:r>
            <w:r w:rsidRPr="00667FFD">
              <w:rPr>
                <w:sz w:val="20"/>
                <w:szCs w:val="20"/>
                <w:vertAlign w:val="superscript"/>
                <w:lang w:bidi="ar"/>
              </w:rPr>
              <w:t>a</w:t>
            </w:r>
            <w:r w:rsidRPr="00667FFD">
              <w:rPr>
                <w:sz w:val="20"/>
                <w:szCs w:val="20"/>
                <w:lang w:bidi="ar"/>
              </w:rPr>
              <w:t>±0.04</w:t>
            </w:r>
          </w:p>
        </w:tc>
        <w:tc>
          <w:tcPr>
            <w:tcW w:w="1173" w:type="dxa"/>
            <w:vAlign w:val="center"/>
          </w:tcPr>
          <w:p w14:paraId="5B0CD46B" w14:textId="77777777" w:rsidR="000B0212" w:rsidRPr="00667FFD" w:rsidRDefault="00000000">
            <w:pPr>
              <w:widowControl/>
              <w:spacing w:line="254" w:lineRule="auto"/>
              <w:jc w:val="both"/>
              <w:rPr>
                <w:sz w:val="20"/>
                <w:szCs w:val="20"/>
              </w:rPr>
            </w:pPr>
            <w:r w:rsidRPr="00667FFD">
              <w:rPr>
                <w:sz w:val="20"/>
                <w:szCs w:val="20"/>
                <w:lang w:bidi="ar"/>
              </w:rPr>
              <w:t>1.16</w:t>
            </w:r>
            <w:r w:rsidRPr="00667FFD">
              <w:rPr>
                <w:sz w:val="20"/>
                <w:szCs w:val="20"/>
                <w:vertAlign w:val="superscript"/>
                <w:lang w:bidi="ar"/>
              </w:rPr>
              <w:t>a</w:t>
            </w:r>
            <w:r w:rsidRPr="00667FFD">
              <w:rPr>
                <w:sz w:val="20"/>
                <w:szCs w:val="20"/>
                <w:lang w:bidi="ar"/>
              </w:rPr>
              <w:t>±0.08</w:t>
            </w:r>
          </w:p>
        </w:tc>
        <w:tc>
          <w:tcPr>
            <w:tcW w:w="1853" w:type="dxa"/>
            <w:vAlign w:val="center"/>
          </w:tcPr>
          <w:p w14:paraId="163DF2B4" w14:textId="77777777" w:rsidR="000B0212" w:rsidRPr="00667FFD" w:rsidRDefault="00000000">
            <w:pPr>
              <w:widowControl/>
              <w:spacing w:line="254" w:lineRule="auto"/>
              <w:jc w:val="both"/>
              <w:rPr>
                <w:sz w:val="20"/>
                <w:szCs w:val="20"/>
              </w:rPr>
            </w:pPr>
            <w:r w:rsidRPr="00667FFD">
              <w:rPr>
                <w:sz w:val="20"/>
                <w:szCs w:val="20"/>
                <w:lang w:bidi="ar"/>
              </w:rPr>
              <w:t>78.21</w:t>
            </w:r>
            <w:r w:rsidRPr="00667FFD">
              <w:rPr>
                <w:sz w:val="20"/>
                <w:szCs w:val="20"/>
                <w:vertAlign w:val="superscript"/>
                <w:lang w:bidi="ar"/>
              </w:rPr>
              <w:t>a</w:t>
            </w:r>
            <w:r w:rsidRPr="00667FFD">
              <w:rPr>
                <w:sz w:val="20"/>
                <w:szCs w:val="20"/>
                <w:lang w:bidi="ar"/>
              </w:rPr>
              <w:t>±0.85</w:t>
            </w:r>
          </w:p>
        </w:tc>
      </w:tr>
      <w:tr w:rsidR="000B0212" w:rsidRPr="00667FFD" w14:paraId="2D05D79C" w14:textId="77777777">
        <w:trPr>
          <w:trHeight w:val="482"/>
        </w:trPr>
        <w:tc>
          <w:tcPr>
            <w:tcW w:w="1082" w:type="dxa"/>
            <w:vAlign w:val="center"/>
          </w:tcPr>
          <w:p w14:paraId="1B8F3E48" w14:textId="77777777" w:rsidR="000B0212" w:rsidRPr="00667FFD" w:rsidRDefault="00000000">
            <w:pPr>
              <w:widowControl/>
              <w:spacing w:line="254" w:lineRule="auto"/>
              <w:jc w:val="both"/>
              <w:rPr>
                <w:sz w:val="20"/>
                <w:szCs w:val="20"/>
              </w:rPr>
            </w:pPr>
            <w:r w:rsidRPr="00667FFD">
              <w:rPr>
                <w:sz w:val="20"/>
                <w:szCs w:val="20"/>
                <w:lang w:bidi="ar"/>
              </w:rPr>
              <w:t>SBJ</w:t>
            </w:r>
          </w:p>
        </w:tc>
        <w:tc>
          <w:tcPr>
            <w:tcW w:w="1362" w:type="dxa"/>
            <w:vAlign w:val="center"/>
          </w:tcPr>
          <w:p w14:paraId="61550D99" w14:textId="77777777" w:rsidR="000B0212" w:rsidRPr="00667FFD" w:rsidRDefault="00000000">
            <w:pPr>
              <w:widowControl/>
              <w:spacing w:line="254" w:lineRule="auto"/>
              <w:jc w:val="both"/>
              <w:rPr>
                <w:sz w:val="20"/>
                <w:szCs w:val="20"/>
              </w:rPr>
            </w:pPr>
            <w:r w:rsidRPr="00667FFD">
              <w:rPr>
                <w:sz w:val="20"/>
                <w:szCs w:val="20"/>
                <w:lang w:bidi="ar"/>
              </w:rPr>
              <w:t>24.31</w:t>
            </w:r>
            <w:r w:rsidRPr="00667FFD">
              <w:rPr>
                <w:sz w:val="20"/>
                <w:szCs w:val="20"/>
                <w:vertAlign w:val="superscript"/>
                <w:lang w:bidi="ar"/>
              </w:rPr>
              <w:t>b</w:t>
            </w:r>
            <w:r w:rsidRPr="00667FFD">
              <w:rPr>
                <w:sz w:val="20"/>
                <w:szCs w:val="20"/>
                <w:lang w:bidi="ar"/>
              </w:rPr>
              <w:t>±0.80</w:t>
            </w:r>
          </w:p>
        </w:tc>
        <w:tc>
          <w:tcPr>
            <w:tcW w:w="1173" w:type="dxa"/>
            <w:vAlign w:val="center"/>
          </w:tcPr>
          <w:p w14:paraId="16F77E53" w14:textId="77777777" w:rsidR="000B0212" w:rsidRPr="00667FFD" w:rsidRDefault="00000000">
            <w:pPr>
              <w:widowControl/>
              <w:spacing w:line="254" w:lineRule="auto"/>
              <w:jc w:val="both"/>
              <w:rPr>
                <w:sz w:val="20"/>
                <w:szCs w:val="20"/>
              </w:rPr>
            </w:pPr>
            <w:r w:rsidRPr="00667FFD">
              <w:rPr>
                <w:sz w:val="20"/>
                <w:szCs w:val="20"/>
                <w:lang w:bidi="ar"/>
              </w:rPr>
              <w:t>0.41</w:t>
            </w:r>
            <w:r w:rsidRPr="00667FFD">
              <w:rPr>
                <w:sz w:val="20"/>
                <w:szCs w:val="20"/>
                <w:vertAlign w:val="superscript"/>
                <w:lang w:bidi="ar"/>
              </w:rPr>
              <w:t>c</w:t>
            </w:r>
            <w:r w:rsidRPr="00667FFD">
              <w:rPr>
                <w:sz w:val="20"/>
                <w:szCs w:val="20"/>
                <w:lang w:bidi="ar"/>
              </w:rPr>
              <w:t>±0.03</w:t>
            </w:r>
          </w:p>
        </w:tc>
        <w:tc>
          <w:tcPr>
            <w:tcW w:w="1173" w:type="dxa"/>
            <w:vAlign w:val="center"/>
          </w:tcPr>
          <w:p w14:paraId="2FB60487" w14:textId="77777777" w:rsidR="000B0212" w:rsidRPr="00667FFD" w:rsidRDefault="00000000">
            <w:pPr>
              <w:widowControl/>
              <w:spacing w:line="254" w:lineRule="auto"/>
              <w:jc w:val="both"/>
              <w:rPr>
                <w:sz w:val="20"/>
                <w:szCs w:val="20"/>
              </w:rPr>
            </w:pPr>
            <w:r w:rsidRPr="00667FFD">
              <w:rPr>
                <w:sz w:val="20"/>
                <w:szCs w:val="20"/>
                <w:lang w:bidi="ar"/>
              </w:rPr>
              <w:t>1.29</w:t>
            </w:r>
            <w:r w:rsidRPr="00667FFD">
              <w:rPr>
                <w:sz w:val="20"/>
                <w:szCs w:val="20"/>
                <w:vertAlign w:val="superscript"/>
                <w:lang w:bidi="ar"/>
              </w:rPr>
              <w:t>a</w:t>
            </w:r>
            <w:r w:rsidRPr="00667FFD">
              <w:rPr>
                <w:sz w:val="20"/>
                <w:szCs w:val="20"/>
                <w:lang w:bidi="ar"/>
              </w:rPr>
              <w:t>±0.08</w:t>
            </w:r>
          </w:p>
        </w:tc>
        <w:tc>
          <w:tcPr>
            <w:tcW w:w="1173" w:type="dxa"/>
            <w:vAlign w:val="center"/>
          </w:tcPr>
          <w:p w14:paraId="74D888BB" w14:textId="77777777" w:rsidR="000B0212" w:rsidRPr="00667FFD" w:rsidRDefault="00000000">
            <w:pPr>
              <w:widowControl/>
              <w:spacing w:line="254" w:lineRule="auto"/>
              <w:jc w:val="both"/>
              <w:rPr>
                <w:sz w:val="20"/>
                <w:szCs w:val="20"/>
              </w:rPr>
            </w:pPr>
            <w:r w:rsidRPr="00667FFD">
              <w:rPr>
                <w:sz w:val="20"/>
                <w:szCs w:val="20"/>
                <w:lang w:bidi="ar"/>
              </w:rPr>
              <w:t>0.09</w:t>
            </w:r>
            <w:r w:rsidRPr="00667FFD">
              <w:rPr>
                <w:sz w:val="20"/>
                <w:szCs w:val="20"/>
                <w:vertAlign w:val="superscript"/>
                <w:lang w:bidi="ar"/>
              </w:rPr>
              <w:t>b</w:t>
            </w:r>
            <w:r w:rsidRPr="00667FFD">
              <w:rPr>
                <w:sz w:val="20"/>
                <w:szCs w:val="20"/>
                <w:lang w:bidi="ar"/>
              </w:rPr>
              <w:t>±0.01</w:t>
            </w:r>
          </w:p>
        </w:tc>
        <w:tc>
          <w:tcPr>
            <w:tcW w:w="1173" w:type="dxa"/>
            <w:vAlign w:val="center"/>
          </w:tcPr>
          <w:p w14:paraId="32025809" w14:textId="77777777" w:rsidR="000B0212" w:rsidRPr="00667FFD" w:rsidRDefault="00000000">
            <w:pPr>
              <w:widowControl/>
              <w:spacing w:line="254" w:lineRule="auto"/>
              <w:jc w:val="both"/>
              <w:rPr>
                <w:sz w:val="20"/>
                <w:szCs w:val="20"/>
              </w:rPr>
            </w:pPr>
            <w:r w:rsidRPr="00667FFD">
              <w:rPr>
                <w:sz w:val="20"/>
                <w:szCs w:val="20"/>
                <w:lang w:bidi="ar"/>
              </w:rPr>
              <w:t>0.31</w:t>
            </w:r>
            <w:r w:rsidRPr="00667FFD">
              <w:rPr>
                <w:sz w:val="20"/>
                <w:szCs w:val="20"/>
                <w:vertAlign w:val="superscript"/>
                <w:lang w:bidi="ar"/>
              </w:rPr>
              <w:t>c</w:t>
            </w:r>
            <w:r w:rsidRPr="00667FFD">
              <w:rPr>
                <w:sz w:val="20"/>
                <w:szCs w:val="20"/>
                <w:lang w:bidi="ar"/>
              </w:rPr>
              <w:t>±0.06</w:t>
            </w:r>
          </w:p>
        </w:tc>
        <w:tc>
          <w:tcPr>
            <w:tcW w:w="1853" w:type="dxa"/>
            <w:vAlign w:val="center"/>
          </w:tcPr>
          <w:p w14:paraId="1EF80C8A" w14:textId="77777777" w:rsidR="000B0212" w:rsidRPr="00667FFD" w:rsidRDefault="00000000">
            <w:pPr>
              <w:widowControl/>
              <w:spacing w:line="254" w:lineRule="auto"/>
              <w:jc w:val="both"/>
              <w:rPr>
                <w:sz w:val="20"/>
                <w:szCs w:val="20"/>
              </w:rPr>
            </w:pPr>
            <w:r w:rsidRPr="00667FFD">
              <w:rPr>
                <w:sz w:val="20"/>
                <w:szCs w:val="20"/>
                <w:lang w:bidi="ar"/>
              </w:rPr>
              <w:t>73.59</w:t>
            </w:r>
            <w:r w:rsidRPr="00667FFD">
              <w:rPr>
                <w:sz w:val="20"/>
                <w:szCs w:val="20"/>
                <w:vertAlign w:val="superscript"/>
                <w:lang w:bidi="ar"/>
              </w:rPr>
              <w:t>b</w:t>
            </w:r>
            <w:r w:rsidRPr="00667FFD">
              <w:rPr>
                <w:sz w:val="20"/>
                <w:szCs w:val="20"/>
                <w:lang w:bidi="ar"/>
              </w:rPr>
              <w:t>±0.82</w:t>
            </w:r>
          </w:p>
        </w:tc>
      </w:tr>
      <w:tr w:rsidR="000B0212" w:rsidRPr="00667FFD" w14:paraId="6BCA1F61" w14:textId="77777777">
        <w:trPr>
          <w:trHeight w:val="545"/>
        </w:trPr>
        <w:tc>
          <w:tcPr>
            <w:tcW w:w="1082" w:type="dxa"/>
            <w:tcBorders>
              <w:bottom w:val="single" w:sz="4" w:space="0" w:color="000000"/>
            </w:tcBorders>
            <w:vAlign w:val="bottom"/>
          </w:tcPr>
          <w:p w14:paraId="542D4E77" w14:textId="77777777" w:rsidR="000B0212" w:rsidRPr="00667FFD" w:rsidRDefault="00000000">
            <w:pPr>
              <w:widowControl/>
              <w:spacing w:line="254" w:lineRule="auto"/>
              <w:jc w:val="both"/>
              <w:rPr>
                <w:b/>
                <w:bCs/>
                <w:sz w:val="20"/>
                <w:szCs w:val="20"/>
              </w:rPr>
            </w:pPr>
            <w:r w:rsidRPr="00667FFD">
              <w:rPr>
                <w:b/>
                <w:bCs/>
                <w:sz w:val="20"/>
                <w:szCs w:val="20"/>
                <w:lang w:bidi="ar"/>
              </w:rPr>
              <w:t>LSD</w:t>
            </w:r>
            <w:r w:rsidRPr="00667FFD">
              <w:rPr>
                <w:b/>
                <w:bCs/>
                <w:sz w:val="20"/>
                <w:szCs w:val="20"/>
                <w:vertAlign w:val="subscript"/>
                <w:lang w:bidi="ar"/>
              </w:rPr>
              <w:t>(0.05)</w:t>
            </w:r>
          </w:p>
        </w:tc>
        <w:tc>
          <w:tcPr>
            <w:tcW w:w="1362" w:type="dxa"/>
            <w:tcBorders>
              <w:bottom w:val="single" w:sz="4" w:space="0" w:color="000000"/>
            </w:tcBorders>
            <w:vAlign w:val="center"/>
          </w:tcPr>
          <w:p w14:paraId="6928206B" w14:textId="77777777" w:rsidR="000B0212" w:rsidRPr="00667FFD" w:rsidRDefault="00000000">
            <w:pPr>
              <w:widowControl/>
              <w:spacing w:line="254" w:lineRule="auto"/>
              <w:jc w:val="both"/>
              <w:rPr>
                <w:b/>
                <w:bCs/>
                <w:sz w:val="20"/>
                <w:szCs w:val="20"/>
              </w:rPr>
            </w:pPr>
            <w:r w:rsidRPr="00667FFD">
              <w:rPr>
                <w:b/>
                <w:bCs/>
                <w:sz w:val="20"/>
                <w:szCs w:val="20"/>
                <w:lang w:bidi="ar"/>
              </w:rPr>
              <w:t>2.13</w:t>
            </w:r>
          </w:p>
        </w:tc>
        <w:tc>
          <w:tcPr>
            <w:tcW w:w="1173" w:type="dxa"/>
            <w:tcBorders>
              <w:bottom w:val="single" w:sz="4" w:space="0" w:color="000000"/>
            </w:tcBorders>
            <w:vAlign w:val="center"/>
          </w:tcPr>
          <w:p w14:paraId="43708602" w14:textId="77777777" w:rsidR="000B0212" w:rsidRPr="00667FFD" w:rsidRDefault="00000000">
            <w:pPr>
              <w:widowControl/>
              <w:spacing w:line="254" w:lineRule="auto"/>
              <w:jc w:val="both"/>
              <w:rPr>
                <w:b/>
                <w:bCs/>
                <w:sz w:val="20"/>
                <w:szCs w:val="20"/>
              </w:rPr>
            </w:pPr>
            <w:r w:rsidRPr="00667FFD">
              <w:rPr>
                <w:b/>
                <w:bCs/>
                <w:sz w:val="20"/>
                <w:szCs w:val="20"/>
                <w:lang w:bidi="ar"/>
              </w:rPr>
              <w:t>0.09</w:t>
            </w:r>
          </w:p>
        </w:tc>
        <w:tc>
          <w:tcPr>
            <w:tcW w:w="1173" w:type="dxa"/>
            <w:tcBorders>
              <w:bottom w:val="single" w:sz="4" w:space="0" w:color="000000"/>
            </w:tcBorders>
            <w:vAlign w:val="center"/>
          </w:tcPr>
          <w:p w14:paraId="4ED1CC19" w14:textId="77777777" w:rsidR="000B0212" w:rsidRPr="00667FFD" w:rsidRDefault="00000000">
            <w:pPr>
              <w:widowControl/>
              <w:spacing w:line="254" w:lineRule="auto"/>
              <w:jc w:val="both"/>
              <w:rPr>
                <w:b/>
                <w:bCs/>
                <w:sz w:val="20"/>
                <w:szCs w:val="20"/>
              </w:rPr>
            </w:pPr>
            <w:r w:rsidRPr="00667FFD">
              <w:rPr>
                <w:b/>
                <w:bCs/>
                <w:sz w:val="20"/>
                <w:szCs w:val="20"/>
                <w:lang w:bidi="ar"/>
              </w:rPr>
              <w:t>0.13</w:t>
            </w:r>
          </w:p>
        </w:tc>
        <w:tc>
          <w:tcPr>
            <w:tcW w:w="1173" w:type="dxa"/>
            <w:tcBorders>
              <w:bottom w:val="single" w:sz="4" w:space="0" w:color="000000"/>
            </w:tcBorders>
            <w:vAlign w:val="center"/>
          </w:tcPr>
          <w:p w14:paraId="618FBEF6" w14:textId="77777777" w:rsidR="000B0212" w:rsidRPr="00667FFD" w:rsidRDefault="00000000">
            <w:pPr>
              <w:widowControl/>
              <w:spacing w:line="254" w:lineRule="auto"/>
              <w:jc w:val="both"/>
              <w:rPr>
                <w:b/>
                <w:bCs/>
                <w:sz w:val="20"/>
                <w:szCs w:val="20"/>
              </w:rPr>
            </w:pPr>
            <w:r w:rsidRPr="00667FFD">
              <w:rPr>
                <w:b/>
                <w:bCs/>
                <w:sz w:val="20"/>
                <w:szCs w:val="20"/>
                <w:lang w:bidi="ar"/>
              </w:rPr>
              <w:t>0.07</w:t>
            </w:r>
          </w:p>
        </w:tc>
        <w:tc>
          <w:tcPr>
            <w:tcW w:w="1173" w:type="dxa"/>
            <w:tcBorders>
              <w:bottom w:val="single" w:sz="4" w:space="0" w:color="000000"/>
            </w:tcBorders>
            <w:vAlign w:val="center"/>
          </w:tcPr>
          <w:p w14:paraId="629DC213" w14:textId="77777777" w:rsidR="000B0212" w:rsidRPr="00667FFD" w:rsidRDefault="00000000">
            <w:pPr>
              <w:widowControl/>
              <w:spacing w:line="254" w:lineRule="auto"/>
              <w:jc w:val="both"/>
              <w:rPr>
                <w:b/>
                <w:bCs/>
                <w:sz w:val="20"/>
                <w:szCs w:val="20"/>
              </w:rPr>
            </w:pPr>
            <w:r w:rsidRPr="00667FFD">
              <w:rPr>
                <w:b/>
                <w:bCs/>
                <w:sz w:val="20"/>
                <w:szCs w:val="20"/>
                <w:lang w:bidi="ar"/>
              </w:rPr>
              <w:t>0.14</w:t>
            </w:r>
          </w:p>
        </w:tc>
        <w:tc>
          <w:tcPr>
            <w:tcW w:w="1853" w:type="dxa"/>
            <w:tcBorders>
              <w:bottom w:val="single" w:sz="4" w:space="0" w:color="000000"/>
            </w:tcBorders>
            <w:vAlign w:val="center"/>
          </w:tcPr>
          <w:p w14:paraId="592B4385" w14:textId="77777777" w:rsidR="000B0212" w:rsidRPr="00667FFD" w:rsidRDefault="00000000">
            <w:pPr>
              <w:widowControl/>
              <w:spacing w:line="254" w:lineRule="auto"/>
              <w:jc w:val="both"/>
              <w:rPr>
                <w:b/>
                <w:bCs/>
                <w:sz w:val="20"/>
                <w:szCs w:val="20"/>
              </w:rPr>
            </w:pPr>
            <w:r w:rsidRPr="00667FFD">
              <w:rPr>
                <w:b/>
                <w:bCs/>
                <w:sz w:val="20"/>
                <w:szCs w:val="20"/>
                <w:lang w:bidi="ar"/>
              </w:rPr>
              <w:t>2.12</w:t>
            </w:r>
          </w:p>
        </w:tc>
      </w:tr>
    </w:tbl>
    <w:p w14:paraId="4422B2D1" w14:textId="77777777" w:rsidR="000B0212" w:rsidRPr="00667FFD" w:rsidRDefault="00000000">
      <w:pPr>
        <w:spacing w:before="280"/>
        <w:jc w:val="both"/>
        <w:rPr>
          <w:bCs/>
          <w:sz w:val="24"/>
          <w:szCs w:val="24"/>
        </w:rPr>
      </w:pPr>
      <w:r w:rsidRPr="00667FFD">
        <w:rPr>
          <w:bCs/>
          <w:sz w:val="24"/>
          <w:szCs w:val="24"/>
          <w:lang w:bidi="ar"/>
        </w:rPr>
        <w:t>The mean values with same superscripts are not significantly different, while the mean scores with different superscripts are significantly different</w:t>
      </w:r>
    </w:p>
    <w:p w14:paraId="0232C908" w14:textId="77777777" w:rsidR="000B0212" w:rsidRPr="00667FFD" w:rsidRDefault="00000000">
      <w:pPr>
        <w:spacing w:before="280"/>
        <w:jc w:val="both"/>
        <w:rPr>
          <w:b/>
          <w:sz w:val="24"/>
          <w:szCs w:val="24"/>
        </w:rPr>
      </w:pPr>
      <w:r w:rsidRPr="00667FFD">
        <w:rPr>
          <w:b/>
          <w:sz w:val="24"/>
          <w:szCs w:val="24"/>
          <w:lang w:bidi="ar"/>
        </w:rPr>
        <w:t xml:space="preserve"> Keys:</w:t>
      </w:r>
    </w:p>
    <w:p w14:paraId="7156E7DC" w14:textId="77777777" w:rsidR="000B0212" w:rsidRPr="00667FFD" w:rsidRDefault="00000000">
      <w:pPr>
        <w:tabs>
          <w:tab w:val="left" w:pos="1169"/>
        </w:tabs>
        <w:spacing w:before="280"/>
        <w:jc w:val="both"/>
        <w:rPr>
          <w:b/>
          <w:i/>
          <w:sz w:val="24"/>
          <w:szCs w:val="24"/>
        </w:rPr>
      </w:pPr>
      <w:r w:rsidRPr="00667FFD">
        <w:rPr>
          <w:b/>
          <w:i/>
          <w:sz w:val="24"/>
          <w:szCs w:val="24"/>
          <w:lang w:bidi="ar"/>
        </w:rPr>
        <w:t>RHJ =Jam formulated with 100% ripened black plum fruit</w:t>
      </w:r>
    </w:p>
    <w:p w14:paraId="2E09C65B" w14:textId="77777777" w:rsidR="000B0212" w:rsidRPr="00667FFD" w:rsidRDefault="00000000">
      <w:pPr>
        <w:tabs>
          <w:tab w:val="left" w:pos="1169"/>
        </w:tabs>
        <w:spacing w:before="280"/>
        <w:jc w:val="both"/>
        <w:rPr>
          <w:b/>
          <w:i/>
          <w:sz w:val="24"/>
          <w:szCs w:val="24"/>
        </w:rPr>
      </w:pPr>
      <w:r w:rsidRPr="00667FFD">
        <w:rPr>
          <w:b/>
          <w:i/>
          <w:sz w:val="24"/>
          <w:szCs w:val="24"/>
          <w:lang w:bidi="ar"/>
        </w:rPr>
        <w:t>RSJ = Jam formulated with 60% ripened and 40% unripe black plum fruit</w:t>
      </w:r>
    </w:p>
    <w:p w14:paraId="480B5CF6" w14:textId="77777777" w:rsidR="000B0212" w:rsidRPr="00667FFD" w:rsidRDefault="00000000">
      <w:pPr>
        <w:tabs>
          <w:tab w:val="left" w:pos="1169"/>
        </w:tabs>
        <w:spacing w:before="280"/>
        <w:jc w:val="both"/>
        <w:rPr>
          <w:b/>
          <w:i/>
          <w:sz w:val="24"/>
          <w:szCs w:val="24"/>
        </w:rPr>
      </w:pPr>
      <w:r w:rsidRPr="00667FFD">
        <w:rPr>
          <w:b/>
          <w:i/>
          <w:sz w:val="24"/>
          <w:szCs w:val="24"/>
          <w:lang w:bidi="ar"/>
        </w:rPr>
        <w:t>RFJ = Jam formulated with 40% ripened and 60% unripe black plum fruit</w:t>
      </w:r>
    </w:p>
    <w:p w14:paraId="76FA2347" w14:textId="77777777" w:rsidR="000B0212" w:rsidRPr="00667FFD" w:rsidRDefault="00000000">
      <w:pPr>
        <w:tabs>
          <w:tab w:val="left" w:pos="1169"/>
        </w:tabs>
        <w:spacing w:before="280"/>
        <w:jc w:val="both"/>
        <w:rPr>
          <w:b/>
          <w:i/>
          <w:sz w:val="24"/>
          <w:szCs w:val="24"/>
        </w:rPr>
      </w:pPr>
      <w:r w:rsidRPr="00667FFD">
        <w:rPr>
          <w:b/>
          <w:i/>
          <w:sz w:val="24"/>
          <w:szCs w:val="24"/>
          <w:lang w:bidi="ar"/>
        </w:rPr>
        <w:t xml:space="preserve">SBJ = </w:t>
      </w:r>
      <w:r w:rsidRPr="00667FFD">
        <w:rPr>
          <w:b/>
          <w:i/>
          <w:iCs/>
          <w:sz w:val="24"/>
          <w:szCs w:val="24"/>
          <w:lang w:bidi="ar"/>
        </w:rPr>
        <w:t>Commercial Jam</w:t>
      </w:r>
    </w:p>
    <w:p w14:paraId="752859CB" w14:textId="77777777" w:rsidR="000B0212" w:rsidRPr="00667FFD" w:rsidRDefault="00000000">
      <w:pPr>
        <w:spacing w:before="280"/>
        <w:jc w:val="both"/>
      </w:pPr>
      <w:r w:rsidRPr="00667FFD">
        <w:rPr>
          <w:b/>
          <w:sz w:val="24"/>
          <w:szCs w:val="24"/>
          <w:lang w:bidi="ar"/>
        </w:rPr>
        <w:t xml:space="preserve">Table 2:  </w:t>
      </w:r>
      <w:r w:rsidRPr="00667FFD">
        <w:t>The Physicochemical composition of the Jam samples</w:t>
      </w:r>
    </w:p>
    <w:tbl>
      <w:tblPr>
        <w:tblW w:w="10112" w:type="dxa"/>
        <w:tblInd w:w="-535" w:type="dxa"/>
        <w:tblLayout w:type="fixed"/>
        <w:tblLook w:val="0000" w:firstRow="0" w:lastRow="0" w:firstColumn="0" w:lastColumn="0" w:noHBand="0" w:noVBand="0"/>
      </w:tblPr>
      <w:tblGrid>
        <w:gridCol w:w="1381"/>
        <w:gridCol w:w="1307"/>
        <w:gridCol w:w="1307"/>
        <w:gridCol w:w="1573"/>
        <w:gridCol w:w="1556"/>
        <w:gridCol w:w="1559"/>
        <w:gridCol w:w="1429"/>
      </w:tblGrid>
      <w:tr w:rsidR="000B0212" w:rsidRPr="00667FFD" w14:paraId="6D303741" w14:textId="77777777">
        <w:trPr>
          <w:trHeight w:val="670"/>
        </w:trPr>
        <w:tc>
          <w:tcPr>
            <w:tcW w:w="1381" w:type="dxa"/>
            <w:tcBorders>
              <w:top w:val="single" w:sz="4" w:space="0" w:color="000000"/>
              <w:bottom w:val="single" w:sz="4" w:space="0" w:color="000000"/>
            </w:tcBorders>
            <w:vAlign w:val="bottom"/>
          </w:tcPr>
          <w:p w14:paraId="2809BC74" w14:textId="77777777" w:rsidR="000B0212" w:rsidRPr="00667FFD" w:rsidRDefault="00000000">
            <w:pPr>
              <w:widowControl/>
              <w:autoSpaceDE/>
              <w:spacing w:line="276" w:lineRule="auto"/>
              <w:jc w:val="both"/>
              <w:rPr>
                <w:b/>
                <w:bCs/>
                <w:sz w:val="24"/>
                <w:szCs w:val="24"/>
              </w:rPr>
            </w:pPr>
            <w:r w:rsidRPr="00667FFD">
              <w:rPr>
                <w:b/>
                <w:bCs/>
                <w:sz w:val="24"/>
                <w:szCs w:val="24"/>
              </w:rPr>
              <w:t>Samples</w:t>
            </w:r>
          </w:p>
        </w:tc>
        <w:tc>
          <w:tcPr>
            <w:tcW w:w="1307" w:type="dxa"/>
            <w:tcBorders>
              <w:top w:val="single" w:sz="4" w:space="0" w:color="000000"/>
              <w:bottom w:val="single" w:sz="4" w:space="0" w:color="000000"/>
            </w:tcBorders>
            <w:vAlign w:val="bottom"/>
          </w:tcPr>
          <w:p w14:paraId="188F83C9" w14:textId="77777777" w:rsidR="000B0212" w:rsidRPr="00667FFD" w:rsidRDefault="00000000">
            <w:pPr>
              <w:widowControl/>
              <w:autoSpaceDE/>
              <w:spacing w:line="276" w:lineRule="auto"/>
              <w:jc w:val="both"/>
            </w:pPr>
            <w:r w:rsidRPr="00667FFD">
              <w:rPr>
                <w:b/>
                <w:bCs/>
                <w:sz w:val="24"/>
                <w:szCs w:val="24"/>
              </w:rPr>
              <w:t>TTA (%)</w:t>
            </w:r>
          </w:p>
        </w:tc>
        <w:tc>
          <w:tcPr>
            <w:tcW w:w="1307" w:type="dxa"/>
            <w:tcBorders>
              <w:top w:val="single" w:sz="4" w:space="0" w:color="000000"/>
              <w:bottom w:val="single" w:sz="4" w:space="0" w:color="000000"/>
            </w:tcBorders>
            <w:vAlign w:val="bottom"/>
          </w:tcPr>
          <w:p w14:paraId="54BF8119" w14:textId="77777777" w:rsidR="000B0212" w:rsidRPr="00667FFD" w:rsidRDefault="00000000">
            <w:pPr>
              <w:widowControl/>
              <w:autoSpaceDE/>
              <w:spacing w:line="276" w:lineRule="auto"/>
              <w:jc w:val="both"/>
              <w:rPr>
                <w:b/>
                <w:bCs/>
                <w:sz w:val="24"/>
                <w:szCs w:val="24"/>
              </w:rPr>
            </w:pPr>
            <w:r w:rsidRPr="00667FFD">
              <w:rPr>
                <w:b/>
                <w:bCs/>
                <w:sz w:val="24"/>
                <w:szCs w:val="24"/>
              </w:rPr>
              <w:t>pH</w:t>
            </w:r>
          </w:p>
        </w:tc>
        <w:tc>
          <w:tcPr>
            <w:tcW w:w="1573" w:type="dxa"/>
            <w:tcBorders>
              <w:top w:val="single" w:sz="4" w:space="0" w:color="000000"/>
              <w:bottom w:val="single" w:sz="4" w:space="0" w:color="000000"/>
            </w:tcBorders>
            <w:vAlign w:val="bottom"/>
          </w:tcPr>
          <w:p w14:paraId="51C87612" w14:textId="77777777" w:rsidR="000B0212" w:rsidRPr="00667FFD" w:rsidRDefault="00000000">
            <w:pPr>
              <w:widowControl/>
              <w:autoSpaceDE/>
              <w:spacing w:line="276" w:lineRule="auto"/>
              <w:jc w:val="both"/>
            </w:pPr>
            <w:r w:rsidRPr="00667FFD">
              <w:rPr>
                <w:b/>
                <w:bCs/>
                <w:sz w:val="24"/>
                <w:szCs w:val="24"/>
              </w:rPr>
              <w:t>Viscosity (shear stress dynes/cm</w:t>
            </w:r>
            <w:r w:rsidRPr="00667FFD">
              <w:rPr>
                <w:sz w:val="24"/>
                <w:szCs w:val="24"/>
                <w:vertAlign w:val="superscript"/>
              </w:rPr>
              <w:t>2</w:t>
            </w:r>
            <w:r w:rsidRPr="00667FFD">
              <w:rPr>
                <w:b/>
                <w:bCs/>
                <w:sz w:val="24"/>
                <w:szCs w:val="24"/>
              </w:rPr>
              <w:t>)</w:t>
            </w:r>
          </w:p>
        </w:tc>
        <w:tc>
          <w:tcPr>
            <w:tcW w:w="1556" w:type="dxa"/>
            <w:tcBorders>
              <w:top w:val="single" w:sz="4" w:space="0" w:color="000000"/>
              <w:bottom w:val="single" w:sz="4" w:space="0" w:color="000000"/>
            </w:tcBorders>
            <w:vAlign w:val="bottom"/>
          </w:tcPr>
          <w:p w14:paraId="12667027" w14:textId="77777777" w:rsidR="000B0212" w:rsidRPr="00667FFD" w:rsidRDefault="00000000">
            <w:pPr>
              <w:widowControl/>
              <w:autoSpaceDE/>
              <w:spacing w:line="276" w:lineRule="auto"/>
              <w:jc w:val="both"/>
            </w:pPr>
            <w:r w:rsidRPr="00667FFD">
              <w:rPr>
                <w:b/>
                <w:bCs/>
                <w:sz w:val="24"/>
                <w:szCs w:val="24"/>
              </w:rPr>
              <w:t>Pectin content (%)</w:t>
            </w:r>
          </w:p>
        </w:tc>
        <w:tc>
          <w:tcPr>
            <w:tcW w:w="1559" w:type="dxa"/>
            <w:tcBorders>
              <w:top w:val="single" w:sz="4" w:space="0" w:color="000000"/>
              <w:bottom w:val="single" w:sz="4" w:space="0" w:color="000000"/>
            </w:tcBorders>
            <w:vAlign w:val="bottom"/>
          </w:tcPr>
          <w:p w14:paraId="7EE932F3" w14:textId="77777777" w:rsidR="000B0212" w:rsidRPr="00667FFD" w:rsidRDefault="00000000">
            <w:pPr>
              <w:widowControl/>
              <w:autoSpaceDE/>
              <w:spacing w:line="276" w:lineRule="auto"/>
              <w:jc w:val="both"/>
            </w:pPr>
            <w:r w:rsidRPr="00667FFD">
              <w:rPr>
                <w:b/>
                <w:bCs/>
                <w:sz w:val="24"/>
                <w:szCs w:val="24"/>
              </w:rPr>
              <w:t>Reducing Sugar (%)</w:t>
            </w:r>
          </w:p>
        </w:tc>
        <w:tc>
          <w:tcPr>
            <w:tcW w:w="1429" w:type="dxa"/>
            <w:tcBorders>
              <w:top w:val="single" w:sz="4" w:space="0" w:color="000000"/>
              <w:bottom w:val="single" w:sz="4" w:space="0" w:color="000000"/>
            </w:tcBorders>
            <w:vAlign w:val="bottom"/>
          </w:tcPr>
          <w:p w14:paraId="5354899D" w14:textId="77777777" w:rsidR="000B0212" w:rsidRPr="00667FFD" w:rsidRDefault="00000000">
            <w:pPr>
              <w:widowControl/>
              <w:autoSpaceDE/>
              <w:spacing w:line="276" w:lineRule="auto"/>
              <w:jc w:val="both"/>
            </w:pPr>
            <w:r w:rsidRPr="00667FFD">
              <w:rPr>
                <w:b/>
                <w:bCs/>
                <w:sz w:val="24"/>
                <w:szCs w:val="24"/>
              </w:rPr>
              <w:t>Brix (</w:t>
            </w:r>
            <w:proofErr w:type="spellStart"/>
            <w:r w:rsidRPr="00667FFD">
              <w:rPr>
                <w:b/>
                <w:bCs/>
                <w:sz w:val="24"/>
                <w:szCs w:val="24"/>
                <w:vertAlign w:val="superscript"/>
              </w:rPr>
              <w:t>o</w:t>
            </w:r>
            <w:r w:rsidRPr="00667FFD">
              <w:rPr>
                <w:b/>
                <w:bCs/>
                <w:sz w:val="24"/>
                <w:szCs w:val="24"/>
              </w:rPr>
              <w:t>B</w:t>
            </w:r>
            <w:proofErr w:type="spellEnd"/>
            <w:r w:rsidRPr="00667FFD">
              <w:rPr>
                <w:b/>
                <w:bCs/>
                <w:sz w:val="24"/>
                <w:szCs w:val="24"/>
              </w:rPr>
              <w:t>)</w:t>
            </w:r>
          </w:p>
        </w:tc>
      </w:tr>
      <w:tr w:rsidR="000B0212" w:rsidRPr="00667FFD" w14:paraId="56E79A9C" w14:textId="77777777">
        <w:trPr>
          <w:trHeight w:val="829"/>
        </w:trPr>
        <w:tc>
          <w:tcPr>
            <w:tcW w:w="1381" w:type="dxa"/>
            <w:tcBorders>
              <w:top w:val="single" w:sz="4" w:space="0" w:color="000000"/>
            </w:tcBorders>
            <w:vAlign w:val="center"/>
          </w:tcPr>
          <w:p w14:paraId="6DC4B60A" w14:textId="77777777" w:rsidR="000B0212" w:rsidRPr="00667FFD" w:rsidRDefault="00000000">
            <w:pPr>
              <w:widowControl/>
              <w:autoSpaceDE/>
              <w:spacing w:line="276" w:lineRule="auto"/>
              <w:jc w:val="both"/>
              <w:rPr>
                <w:sz w:val="24"/>
                <w:szCs w:val="24"/>
              </w:rPr>
            </w:pPr>
            <w:r w:rsidRPr="00667FFD">
              <w:rPr>
                <w:sz w:val="24"/>
                <w:szCs w:val="24"/>
              </w:rPr>
              <w:t>RHJ</w:t>
            </w:r>
          </w:p>
        </w:tc>
        <w:tc>
          <w:tcPr>
            <w:tcW w:w="1307" w:type="dxa"/>
            <w:tcBorders>
              <w:top w:val="single" w:sz="4" w:space="0" w:color="000000"/>
            </w:tcBorders>
            <w:vAlign w:val="center"/>
          </w:tcPr>
          <w:p w14:paraId="2E88A089" w14:textId="77777777" w:rsidR="000B0212" w:rsidRPr="00667FFD" w:rsidRDefault="00000000">
            <w:pPr>
              <w:widowControl/>
              <w:autoSpaceDE/>
              <w:spacing w:line="276" w:lineRule="auto"/>
              <w:jc w:val="both"/>
            </w:pPr>
            <w:r w:rsidRPr="00667FFD">
              <w:rPr>
                <w:sz w:val="24"/>
                <w:szCs w:val="24"/>
              </w:rPr>
              <w:t>0.41</w:t>
            </w:r>
            <w:r w:rsidRPr="00667FFD">
              <w:rPr>
                <w:sz w:val="24"/>
                <w:szCs w:val="24"/>
                <w:vertAlign w:val="superscript"/>
              </w:rPr>
              <w:t>b</w:t>
            </w:r>
            <w:r w:rsidRPr="00667FFD">
              <w:rPr>
                <w:sz w:val="24"/>
                <w:szCs w:val="24"/>
              </w:rPr>
              <w:t>±0.06</w:t>
            </w:r>
          </w:p>
        </w:tc>
        <w:tc>
          <w:tcPr>
            <w:tcW w:w="1307" w:type="dxa"/>
            <w:tcBorders>
              <w:top w:val="single" w:sz="4" w:space="0" w:color="000000"/>
            </w:tcBorders>
            <w:vAlign w:val="center"/>
          </w:tcPr>
          <w:p w14:paraId="4A8367D5" w14:textId="77777777" w:rsidR="000B0212" w:rsidRPr="00667FFD" w:rsidRDefault="00000000">
            <w:pPr>
              <w:widowControl/>
              <w:autoSpaceDE/>
              <w:spacing w:line="276" w:lineRule="auto"/>
              <w:jc w:val="both"/>
            </w:pPr>
            <w:r w:rsidRPr="00667FFD">
              <w:rPr>
                <w:sz w:val="24"/>
                <w:szCs w:val="24"/>
              </w:rPr>
              <w:t>3.40</w:t>
            </w:r>
            <w:r w:rsidRPr="00667FFD">
              <w:rPr>
                <w:sz w:val="24"/>
                <w:szCs w:val="24"/>
                <w:vertAlign w:val="superscript"/>
              </w:rPr>
              <w:t>b</w:t>
            </w:r>
            <w:r w:rsidRPr="00667FFD">
              <w:rPr>
                <w:sz w:val="24"/>
                <w:szCs w:val="24"/>
              </w:rPr>
              <w:t>±0.10</w:t>
            </w:r>
          </w:p>
        </w:tc>
        <w:tc>
          <w:tcPr>
            <w:tcW w:w="1573" w:type="dxa"/>
            <w:tcBorders>
              <w:top w:val="single" w:sz="4" w:space="0" w:color="000000"/>
            </w:tcBorders>
            <w:vAlign w:val="center"/>
          </w:tcPr>
          <w:p w14:paraId="2E333BD5" w14:textId="77777777" w:rsidR="000B0212" w:rsidRPr="00667FFD" w:rsidRDefault="00000000">
            <w:pPr>
              <w:widowControl/>
              <w:autoSpaceDE/>
              <w:spacing w:line="276" w:lineRule="auto"/>
              <w:jc w:val="both"/>
            </w:pPr>
            <w:r w:rsidRPr="00667FFD">
              <w:rPr>
                <w:sz w:val="24"/>
                <w:szCs w:val="24"/>
              </w:rPr>
              <w:t>74.62</w:t>
            </w:r>
            <w:r w:rsidRPr="00667FFD">
              <w:rPr>
                <w:sz w:val="24"/>
                <w:szCs w:val="24"/>
                <w:vertAlign w:val="superscript"/>
              </w:rPr>
              <w:t>d</w:t>
            </w:r>
            <w:r w:rsidRPr="00667FFD">
              <w:rPr>
                <w:sz w:val="24"/>
                <w:szCs w:val="24"/>
              </w:rPr>
              <w:t>±2.08</w:t>
            </w:r>
          </w:p>
        </w:tc>
        <w:tc>
          <w:tcPr>
            <w:tcW w:w="1556" w:type="dxa"/>
            <w:tcBorders>
              <w:top w:val="single" w:sz="4" w:space="0" w:color="000000"/>
            </w:tcBorders>
            <w:vAlign w:val="center"/>
          </w:tcPr>
          <w:p w14:paraId="7E8B31F7" w14:textId="77777777" w:rsidR="000B0212" w:rsidRPr="00667FFD" w:rsidRDefault="00000000">
            <w:pPr>
              <w:widowControl/>
              <w:autoSpaceDE/>
              <w:spacing w:line="276" w:lineRule="auto"/>
              <w:jc w:val="both"/>
            </w:pPr>
            <w:r w:rsidRPr="00667FFD">
              <w:rPr>
                <w:sz w:val="24"/>
                <w:szCs w:val="24"/>
              </w:rPr>
              <w:t>5.64</w:t>
            </w:r>
            <w:r w:rsidRPr="00667FFD">
              <w:rPr>
                <w:sz w:val="24"/>
                <w:szCs w:val="24"/>
                <w:vertAlign w:val="superscript"/>
              </w:rPr>
              <w:t>c</w:t>
            </w:r>
            <w:r w:rsidRPr="00667FFD">
              <w:rPr>
                <w:sz w:val="24"/>
                <w:szCs w:val="24"/>
              </w:rPr>
              <w:t>±0.79</w:t>
            </w:r>
          </w:p>
        </w:tc>
        <w:tc>
          <w:tcPr>
            <w:tcW w:w="1559" w:type="dxa"/>
            <w:tcBorders>
              <w:top w:val="single" w:sz="4" w:space="0" w:color="000000"/>
            </w:tcBorders>
            <w:vAlign w:val="center"/>
          </w:tcPr>
          <w:p w14:paraId="3D08DDE5" w14:textId="77777777" w:rsidR="000B0212" w:rsidRPr="00667FFD" w:rsidRDefault="00000000">
            <w:pPr>
              <w:widowControl/>
              <w:autoSpaceDE/>
              <w:spacing w:line="276" w:lineRule="auto"/>
              <w:jc w:val="both"/>
            </w:pPr>
            <w:r w:rsidRPr="00667FFD">
              <w:rPr>
                <w:sz w:val="24"/>
                <w:szCs w:val="24"/>
              </w:rPr>
              <w:t>54.41</w:t>
            </w:r>
            <w:r w:rsidRPr="00667FFD">
              <w:rPr>
                <w:sz w:val="24"/>
                <w:szCs w:val="24"/>
                <w:vertAlign w:val="superscript"/>
              </w:rPr>
              <w:t>b</w:t>
            </w:r>
            <w:r w:rsidRPr="00667FFD">
              <w:rPr>
                <w:sz w:val="24"/>
                <w:szCs w:val="24"/>
              </w:rPr>
              <w:t>±1.11</w:t>
            </w:r>
          </w:p>
        </w:tc>
        <w:tc>
          <w:tcPr>
            <w:tcW w:w="1429" w:type="dxa"/>
            <w:tcBorders>
              <w:top w:val="single" w:sz="4" w:space="0" w:color="000000"/>
            </w:tcBorders>
            <w:vAlign w:val="center"/>
          </w:tcPr>
          <w:p w14:paraId="18357C20" w14:textId="77777777" w:rsidR="000B0212" w:rsidRPr="00667FFD" w:rsidRDefault="00000000">
            <w:pPr>
              <w:widowControl/>
              <w:autoSpaceDE/>
              <w:spacing w:line="276" w:lineRule="auto"/>
              <w:jc w:val="both"/>
            </w:pPr>
            <w:r w:rsidRPr="00667FFD">
              <w:rPr>
                <w:sz w:val="24"/>
                <w:szCs w:val="24"/>
              </w:rPr>
              <w:t>68.85</w:t>
            </w:r>
            <w:r w:rsidRPr="00667FFD">
              <w:rPr>
                <w:sz w:val="24"/>
                <w:szCs w:val="24"/>
                <w:vertAlign w:val="superscript"/>
              </w:rPr>
              <w:t>a</w:t>
            </w:r>
            <w:r w:rsidRPr="00667FFD">
              <w:rPr>
                <w:sz w:val="24"/>
                <w:szCs w:val="24"/>
              </w:rPr>
              <w:t>±2.28</w:t>
            </w:r>
          </w:p>
        </w:tc>
      </w:tr>
      <w:tr w:rsidR="000B0212" w:rsidRPr="00667FFD" w14:paraId="20629164" w14:textId="77777777">
        <w:trPr>
          <w:trHeight w:val="734"/>
        </w:trPr>
        <w:tc>
          <w:tcPr>
            <w:tcW w:w="1381" w:type="dxa"/>
            <w:vAlign w:val="center"/>
          </w:tcPr>
          <w:p w14:paraId="0E233B5A" w14:textId="77777777" w:rsidR="000B0212" w:rsidRPr="00667FFD" w:rsidRDefault="00000000">
            <w:pPr>
              <w:widowControl/>
              <w:autoSpaceDE/>
              <w:spacing w:line="276" w:lineRule="auto"/>
              <w:jc w:val="both"/>
              <w:rPr>
                <w:sz w:val="24"/>
                <w:szCs w:val="24"/>
              </w:rPr>
            </w:pPr>
            <w:r w:rsidRPr="00667FFD">
              <w:rPr>
                <w:sz w:val="24"/>
                <w:szCs w:val="24"/>
              </w:rPr>
              <w:t>RSJ</w:t>
            </w:r>
          </w:p>
        </w:tc>
        <w:tc>
          <w:tcPr>
            <w:tcW w:w="1307" w:type="dxa"/>
            <w:vAlign w:val="center"/>
          </w:tcPr>
          <w:p w14:paraId="78A895A7" w14:textId="77777777" w:rsidR="000B0212" w:rsidRPr="00667FFD" w:rsidRDefault="00000000">
            <w:pPr>
              <w:widowControl/>
              <w:autoSpaceDE/>
              <w:spacing w:line="276" w:lineRule="auto"/>
              <w:jc w:val="both"/>
            </w:pPr>
            <w:r w:rsidRPr="00667FFD">
              <w:rPr>
                <w:sz w:val="24"/>
                <w:szCs w:val="24"/>
              </w:rPr>
              <w:t>0.59</w:t>
            </w:r>
            <w:r w:rsidRPr="00667FFD">
              <w:rPr>
                <w:sz w:val="24"/>
                <w:szCs w:val="24"/>
                <w:vertAlign w:val="superscript"/>
              </w:rPr>
              <w:t>a</w:t>
            </w:r>
            <w:r w:rsidRPr="00667FFD">
              <w:rPr>
                <w:sz w:val="24"/>
                <w:szCs w:val="24"/>
              </w:rPr>
              <w:t>±0.07</w:t>
            </w:r>
          </w:p>
        </w:tc>
        <w:tc>
          <w:tcPr>
            <w:tcW w:w="1307" w:type="dxa"/>
            <w:vAlign w:val="center"/>
          </w:tcPr>
          <w:p w14:paraId="76821D14" w14:textId="77777777" w:rsidR="000B0212" w:rsidRPr="00667FFD" w:rsidRDefault="00000000">
            <w:pPr>
              <w:widowControl/>
              <w:autoSpaceDE/>
              <w:spacing w:line="276" w:lineRule="auto"/>
              <w:jc w:val="both"/>
            </w:pPr>
            <w:r w:rsidRPr="00667FFD">
              <w:rPr>
                <w:sz w:val="24"/>
                <w:szCs w:val="24"/>
              </w:rPr>
              <w:t>3.10</w:t>
            </w:r>
            <w:r w:rsidRPr="00667FFD">
              <w:rPr>
                <w:sz w:val="24"/>
                <w:szCs w:val="24"/>
                <w:vertAlign w:val="superscript"/>
              </w:rPr>
              <w:t>c</w:t>
            </w:r>
            <w:r w:rsidRPr="00667FFD">
              <w:rPr>
                <w:sz w:val="24"/>
                <w:szCs w:val="24"/>
              </w:rPr>
              <w:t>±0.10</w:t>
            </w:r>
          </w:p>
        </w:tc>
        <w:tc>
          <w:tcPr>
            <w:tcW w:w="1573" w:type="dxa"/>
            <w:vAlign w:val="center"/>
          </w:tcPr>
          <w:p w14:paraId="78A27A61" w14:textId="77777777" w:rsidR="000B0212" w:rsidRPr="00667FFD" w:rsidRDefault="00000000">
            <w:pPr>
              <w:widowControl/>
              <w:autoSpaceDE/>
              <w:spacing w:line="276" w:lineRule="auto"/>
              <w:jc w:val="both"/>
            </w:pPr>
            <w:r w:rsidRPr="00667FFD">
              <w:rPr>
                <w:sz w:val="24"/>
                <w:szCs w:val="24"/>
              </w:rPr>
              <w:t>80.13</w:t>
            </w:r>
            <w:r w:rsidRPr="00667FFD">
              <w:rPr>
                <w:sz w:val="24"/>
                <w:szCs w:val="24"/>
                <w:vertAlign w:val="superscript"/>
              </w:rPr>
              <w:t>c</w:t>
            </w:r>
            <w:r w:rsidRPr="00667FFD">
              <w:rPr>
                <w:sz w:val="24"/>
                <w:szCs w:val="24"/>
              </w:rPr>
              <w:t>±1.68</w:t>
            </w:r>
          </w:p>
        </w:tc>
        <w:tc>
          <w:tcPr>
            <w:tcW w:w="1556" w:type="dxa"/>
            <w:vAlign w:val="center"/>
          </w:tcPr>
          <w:p w14:paraId="0C3DCDA8" w14:textId="77777777" w:rsidR="000B0212" w:rsidRPr="00667FFD" w:rsidRDefault="00000000">
            <w:pPr>
              <w:widowControl/>
              <w:autoSpaceDE/>
              <w:spacing w:line="276" w:lineRule="auto"/>
              <w:jc w:val="both"/>
            </w:pPr>
            <w:r w:rsidRPr="00667FFD">
              <w:rPr>
                <w:sz w:val="24"/>
                <w:szCs w:val="24"/>
              </w:rPr>
              <w:t>7.55</w:t>
            </w:r>
            <w:r w:rsidRPr="00667FFD">
              <w:rPr>
                <w:sz w:val="24"/>
                <w:szCs w:val="24"/>
                <w:vertAlign w:val="superscript"/>
              </w:rPr>
              <w:t>bc</w:t>
            </w:r>
            <w:r w:rsidRPr="00667FFD">
              <w:rPr>
                <w:sz w:val="24"/>
                <w:szCs w:val="24"/>
              </w:rPr>
              <w:t>±0.47</w:t>
            </w:r>
          </w:p>
        </w:tc>
        <w:tc>
          <w:tcPr>
            <w:tcW w:w="1559" w:type="dxa"/>
            <w:vAlign w:val="center"/>
          </w:tcPr>
          <w:p w14:paraId="3A076798" w14:textId="77777777" w:rsidR="000B0212" w:rsidRPr="00667FFD" w:rsidRDefault="00000000">
            <w:pPr>
              <w:widowControl/>
              <w:autoSpaceDE/>
              <w:spacing w:line="276" w:lineRule="auto"/>
              <w:jc w:val="both"/>
            </w:pPr>
            <w:r w:rsidRPr="00667FFD">
              <w:rPr>
                <w:sz w:val="24"/>
                <w:szCs w:val="24"/>
              </w:rPr>
              <w:t>43.09</w:t>
            </w:r>
            <w:r w:rsidRPr="00667FFD">
              <w:rPr>
                <w:sz w:val="24"/>
                <w:szCs w:val="24"/>
                <w:vertAlign w:val="superscript"/>
              </w:rPr>
              <w:t>c</w:t>
            </w:r>
            <w:r w:rsidRPr="00667FFD">
              <w:rPr>
                <w:sz w:val="24"/>
                <w:szCs w:val="24"/>
              </w:rPr>
              <w:t>±1.75</w:t>
            </w:r>
          </w:p>
        </w:tc>
        <w:tc>
          <w:tcPr>
            <w:tcW w:w="1429" w:type="dxa"/>
            <w:vAlign w:val="center"/>
          </w:tcPr>
          <w:p w14:paraId="491E0996" w14:textId="77777777" w:rsidR="000B0212" w:rsidRPr="00667FFD" w:rsidRDefault="00000000">
            <w:pPr>
              <w:widowControl/>
              <w:autoSpaceDE/>
              <w:spacing w:line="276" w:lineRule="auto"/>
              <w:jc w:val="both"/>
            </w:pPr>
            <w:r w:rsidRPr="00667FFD">
              <w:rPr>
                <w:sz w:val="24"/>
                <w:szCs w:val="24"/>
              </w:rPr>
              <w:t>60.41</w:t>
            </w:r>
            <w:r w:rsidRPr="00667FFD">
              <w:rPr>
                <w:sz w:val="24"/>
                <w:szCs w:val="24"/>
                <w:vertAlign w:val="superscript"/>
              </w:rPr>
              <w:t>b</w:t>
            </w:r>
            <w:r w:rsidRPr="00667FFD">
              <w:rPr>
                <w:sz w:val="24"/>
                <w:szCs w:val="24"/>
              </w:rPr>
              <w:t>±3.34</w:t>
            </w:r>
          </w:p>
        </w:tc>
      </w:tr>
      <w:tr w:rsidR="000B0212" w:rsidRPr="00667FFD" w14:paraId="0090A358" w14:textId="77777777">
        <w:trPr>
          <w:trHeight w:val="734"/>
        </w:trPr>
        <w:tc>
          <w:tcPr>
            <w:tcW w:w="1381" w:type="dxa"/>
            <w:vAlign w:val="center"/>
          </w:tcPr>
          <w:p w14:paraId="00707143" w14:textId="77777777" w:rsidR="000B0212" w:rsidRPr="00667FFD" w:rsidRDefault="00000000">
            <w:pPr>
              <w:widowControl/>
              <w:autoSpaceDE/>
              <w:spacing w:line="276" w:lineRule="auto"/>
              <w:jc w:val="both"/>
              <w:rPr>
                <w:sz w:val="24"/>
                <w:szCs w:val="24"/>
              </w:rPr>
            </w:pPr>
            <w:r w:rsidRPr="00667FFD">
              <w:rPr>
                <w:sz w:val="24"/>
                <w:szCs w:val="24"/>
              </w:rPr>
              <w:t>RFJ</w:t>
            </w:r>
          </w:p>
        </w:tc>
        <w:tc>
          <w:tcPr>
            <w:tcW w:w="1307" w:type="dxa"/>
            <w:vAlign w:val="center"/>
          </w:tcPr>
          <w:p w14:paraId="74B5D933" w14:textId="77777777" w:rsidR="000B0212" w:rsidRPr="00667FFD" w:rsidRDefault="00000000">
            <w:pPr>
              <w:widowControl/>
              <w:autoSpaceDE/>
              <w:spacing w:line="276" w:lineRule="auto"/>
              <w:jc w:val="both"/>
            </w:pPr>
            <w:r w:rsidRPr="00667FFD">
              <w:rPr>
                <w:sz w:val="24"/>
                <w:szCs w:val="24"/>
              </w:rPr>
              <w:t>0.64</w:t>
            </w:r>
            <w:r w:rsidRPr="00667FFD">
              <w:rPr>
                <w:sz w:val="24"/>
                <w:szCs w:val="24"/>
                <w:vertAlign w:val="superscript"/>
              </w:rPr>
              <w:t>a</w:t>
            </w:r>
            <w:r w:rsidRPr="00667FFD">
              <w:rPr>
                <w:sz w:val="24"/>
                <w:szCs w:val="24"/>
              </w:rPr>
              <w:t>±0.02</w:t>
            </w:r>
          </w:p>
        </w:tc>
        <w:tc>
          <w:tcPr>
            <w:tcW w:w="1307" w:type="dxa"/>
            <w:vAlign w:val="center"/>
          </w:tcPr>
          <w:p w14:paraId="7F5A6CC4" w14:textId="77777777" w:rsidR="000B0212" w:rsidRPr="00667FFD" w:rsidRDefault="00000000">
            <w:pPr>
              <w:widowControl/>
              <w:autoSpaceDE/>
              <w:spacing w:line="276" w:lineRule="auto"/>
              <w:jc w:val="both"/>
            </w:pPr>
            <w:r w:rsidRPr="00667FFD">
              <w:rPr>
                <w:sz w:val="24"/>
                <w:szCs w:val="24"/>
              </w:rPr>
              <w:t>3.10</w:t>
            </w:r>
            <w:r w:rsidRPr="00667FFD">
              <w:rPr>
                <w:sz w:val="24"/>
                <w:szCs w:val="24"/>
                <w:vertAlign w:val="superscript"/>
              </w:rPr>
              <w:t>c</w:t>
            </w:r>
            <w:r w:rsidRPr="00667FFD">
              <w:rPr>
                <w:sz w:val="24"/>
                <w:szCs w:val="24"/>
              </w:rPr>
              <w:t>±0.10</w:t>
            </w:r>
          </w:p>
        </w:tc>
        <w:tc>
          <w:tcPr>
            <w:tcW w:w="1573" w:type="dxa"/>
            <w:vAlign w:val="center"/>
          </w:tcPr>
          <w:p w14:paraId="4B0B8E84" w14:textId="77777777" w:rsidR="000B0212" w:rsidRPr="00667FFD" w:rsidRDefault="00000000">
            <w:pPr>
              <w:widowControl/>
              <w:autoSpaceDE/>
              <w:spacing w:line="276" w:lineRule="auto"/>
              <w:jc w:val="both"/>
            </w:pPr>
            <w:r w:rsidRPr="00667FFD">
              <w:rPr>
                <w:sz w:val="24"/>
                <w:szCs w:val="24"/>
              </w:rPr>
              <w:t>87.47</w:t>
            </w:r>
            <w:r w:rsidRPr="00667FFD">
              <w:rPr>
                <w:sz w:val="24"/>
                <w:szCs w:val="24"/>
                <w:vertAlign w:val="superscript"/>
              </w:rPr>
              <w:t>b</w:t>
            </w:r>
            <w:r w:rsidRPr="00667FFD">
              <w:rPr>
                <w:sz w:val="24"/>
                <w:szCs w:val="24"/>
              </w:rPr>
              <w:t>±1.47</w:t>
            </w:r>
          </w:p>
        </w:tc>
        <w:tc>
          <w:tcPr>
            <w:tcW w:w="1556" w:type="dxa"/>
            <w:vAlign w:val="center"/>
          </w:tcPr>
          <w:p w14:paraId="15674CC6" w14:textId="77777777" w:rsidR="000B0212" w:rsidRPr="00667FFD" w:rsidRDefault="00000000">
            <w:pPr>
              <w:widowControl/>
              <w:autoSpaceDE/>
              <w:spacing w:line="276" w:lineRule="auto"/>
              <w:jc w:val="both"/>
            </w:pPr>
            <w:r w:rsidRPr="00667FFD">
              <w:rPr>
                <w:sz w:val="24"/>
                <w:szCs w:val="24"/>
              </w:rPr>
              <w:t>8.91</w:t>
            </w:r>
            <w:r w:rsidRPr="00667FFD">
              <w:rPr>
                <w:sz w:val="24"/>
                <w:szCs w:val="24"/>
                <w:vertAlign w:val="superscript"/>
              </w:rPr>
              <w:t>b</w:t>
            </w:r>
            <w:r w:rsidRPr="00667FFD">
              <w:rPr>
                <w:sz w:val="24"/>
                <w:szCs w:val="24"/>
              </w:rPr>
              <w:t>±1.99</w:t>
            </w:r>
          </w:p>
        </w:tc>
        <w:tc>
          <w:tcPr>
            <w:tcW w:w="1559" w:type="dxa"/>
            <w:vAlign w:val="center"/>
          </w:tcPr>
          <w:p w14:paraId="36F91435" w14:textId="77777777" w:rsidR="000B0212" w:rsidRPr="00667FFD" w:rsidRDefault="00000000">
            <w:pPr>
              <w:widowControl/>
              <w:autoSpaceDE/>
              <w:spacing w:line="276" w:lineRule="auto"/>
              <w:jc w:val="both"/>
            </w:pPr>
            <w:r w:rsidRPr="00667FFD">
              <w:rPr>
                <w:sz w:val="24"/>
                <w:szCs w:val="24"/>
              </w:rPr>
              <w:t>37.35</w:t>
            </w:r>
            <w:r w:rsidRPr="00667FFD">
              <w:rPr>
                <w:sz w:val="24"/>
                <w:szCs w:val="24"/>
                <w:vertAlign w:val="superscript"/>
              </w:rPr>
              <w:t>d</w:t>
            </w:r>
            <w:r w:rsidRPr="00667FFD">
              <w:rPr>
                <w:sz w:val="24"/>
                <w:szCs w:val="24"/>
              </w:rPr>
              <w:t>±3.76</w:t>
            </w:r>
          </w:p>
        </w:tc>
        <w:tc>
          <w:tcPr>
            <w:tcW w:w="1429" w:type="dxa"/>
            <w:vAlign w:val="center"/>
          </w:tcPr>
          <w:p w14:paraId="0C890BA6" w14:textId="77777777" w:rsidR="000B0212" w:rsidRPr="00667FFD" w:rsidRDefault="00000000">
            <w:pPr>
              <w:widowControl/>
              <w:autoSpaceDE/>
              <w:spacing w:line="276" w:lineRule="auto"/>
              <w:jc w:val="both"/>
            </w:pPr>
            <w:r w:rsidRPr="00667FFD">
              <w:rPr>
                <w:sz w:val="24"/>
                <w:szCs w:val="24"/>
              </w:rPr>
              <w:t>54.39</w:t>
            </w:r>
            <w:r w:rsidRPr="00667FFD">
              <w:rPr>
                <w:sz w:val="24"/>
                <w:szCs w:val="24"/>
                <w:vertAlign w:val="superscript"/>
              </w:rPr>
              <w:t>c</w:t>
            </w:r>
            <w:r w:rsidRPr="00667FFD">
              <w:rPr>
                <w:sz w:val="24"/>
                <w:szCs w:val="24"/>
              </w:rPr>
              <w:t>±2.54</w:t>
            </w:r>
          </w:p>
        </w:tc>
      </w:tr>
      <w:tr w:rsidR="000B0212" w:rsidRPr="00667FFD" w14:paraId="433B034C" w14:textId="77777777">
        <w:trPr>
          <w:trHeight w:val="734"/>
        </w:trPr>
        <w:tc>
          <w:tcPr>
            <w:tcW w:w="1381" w:type="dxa"/>
            <w:vAlign w:val="center"/>
          </w:tcPr>
          <w:p w14:paraId="47D717BF" w14:textId="77777777" w:rsidR="000B0212" w:rsidRPr="00667FFD" w:rsidRDefault="00000000">
            <w:pPr>
              <w:widowControl/>
              <w:autoSpaceDE/>
              <w:spacing w:line="276" w:lineRule="auto"/>
              <w:jc w:val="both"/>
              <w:rPr>
                <w:sz w:val="24"/>
                <w:szCs w:val="24"/>
              </w:rPr>
            </w:pPr>
            <w:r w:rsidRPr="00667FFD">
              <w:rPr>
                <w:sz w:val="24"/>
                <w:szCs w:val="24"/>
              </w:rPr>
              <w:t>SBJ</w:t>
            </w:r>
          </w:p>
        </w:tc>
        <w:tc>
          <w:tcPr>
            <w:tcW w:w="1307" w:type="dxa"/>
            <w:vAlign w:val="center"/>
          </w:tcPr>
          <w:p w14:paraId="21B6DDBF" w14:textId="77777777" w:rsidR="000B0212" w:rsidRPr="00667FFD" w:rsidRDefault="00000000">
            <w:pPr>
              <w:widowControl/>
              <w:autoSpaceDE/>
              <w:spacing w:line="276" w:lineRule="auto"/>
              <w:jc w:val="both"/>
            </w:pPr>
            <w:r w:rsidRPr="00667FFD">
              <w:rPr>
                <w:sz w:val="24"/>
                <w:szCs w:val="24"/>
              </w:rPr>
              <w:t>0.55</w:t>
            </w:r>
            <w:r w:rsidRPr="00667FFD">
              <w:rPr>
                <w:sz w:val="24"/>
                <w:szCs w:val="24"/>
                <w:vertAlign w:val="superscript"/>
              </w:rPr>
              <w:t>a</w:t>
            </w:r>
            <w:r w:rsidRPr="00667FFD">
              <w:rPr>
                <w:sz w:val="24"/>
                <w:szCs w:val="24"/>
              </w:rPr>
              <w:t>±0.03</w:t>
            </w:r>
          </w:p>
        </w:tc>
        <w:tc>
          <w:tcPr>
            <w:tcW w:w="1307" w:type="dxa"/>
            <w:vAlign w:val="center"/>
          </w:tcPr>
          <w:p w14:paraId="7F65A1C7" w14:textId="77777777" w:rsidR="000B0212" w:rsidRPr="00667FFD" w:rsidRDefault="00000000">
            <w:pPr>
              <w:widowControl/>
              <w:autoSpaceDE/>
              <w:spacing w:line="276" w:lineRule="auto"/>
              <w:jc w:val="both"/>
            </w:pPr>
            <w:r w:rsidRPr="00667FFD">
              <w:rPr>
                <w:sz w:val="24"/>
                <w:szCs w:val="24"/>
              </w:rPr>
              <w:t>4.90</w:t>
            </w:r>
            <w:r w:rsidRPr="00667FFD">
              <w:rPr>
                <w:sz w:val="24"/>
                <w:szCs w:val="24"/>
                <w:vertAlign w:val="superscript"/>
              </w:rPr>
              <w:t>a</w:t>
            </w:r>
            <w:r w:rsidRPr="00667FFD">
              <w:rPr>
                <w:sz w:val="24"/>
                <w:szCs w:val="24"/>
              </w:rPr>
              <w:t>±0.20</w:t>
            </w:r>
          </w:p>
        </w:tc>
        <w:tc>
          <w:tcPr>
            <w:tcW w:w="1573" w:type="dxa"/>
            <w:vAlign w:val="center"/>
          </w:tcPr>
          <w:p w14:paraId="78FC54BD" w14:textId="77777777" w:rsidR="000B0212" w:rsidRPr="00667FFD" w:rsidRDefault="00000000">
            <w:pPr>
              <w:widowControl/>
              <w:autoSpaceDE/>
              <w:spacing w:line="276" w:lineRule="auto"/>
              <w:jc w:val="both"/>
            </w:pPr>
            <w:r w:rsidRPr="00667FFD">
              <w:rPr>
                <w:sz w:val="24"/>
                <w:szCs w:val="24"/>
              </w:rPr>
              <w:t>94.12</w:t>
            </w:r>
            <w:r w:rsidRPr="00667FFD">
              <w:rPr>
                <w:sz w:val="24"/>
                <w:szCs w:val="24"/>
                <w:vertAlign w:val="superscript"/>
              </w:rPr>
              <w:t>a</w:t>
            </w:r>
            <w:r w:rsidRPr="00667FFD">
              <w:rPr>
                <w:sz w:val="24"/>
                <w:szCs w:val="24"/>
              </w:rPr>
              <w:t>±3.88</w:t>
            </w:r>
          </w:p>
        </w:tc>
        <w:tc>
          <w:tcPr>
            <w:tcW w:w="1556" w:type="dxa"/>
            <w:vAlign w:val="center"/>
          </w:tcPr>
          <w:p w14:paraId="034BC3D6" w14:textId="77777777" w:rsidR="000B0212" w:rsidRPr="00667FFD" w:rsidRDefault="00000000">
            <w:pPr>
              <w:widowControl/>
              <w:autoSpaceDE/>
              <w:spacing w:line="276" w:lineRule="auto"/>
              <w:jc w:val="both"/>
            </w:pPr>
            <w:r w:rsidRPr="00667FFD">
              <w:rPr>
                <w:sz w:val="24"/>
                <w:szCs w:val="24"/>
              </w:rPr>
              <w:t>14.08</w:t>
            </w:r>
            <w:r w:rsidRPr="00667FFD">
              <w:rPr>
                <w:sz w:val="24"/>
                <w:szCs w:val="24"/>
                <w:vertAlign w:val="superscript"/>
              </w:rPr>
              <w:t>a</w:t>
            </w:r>
            <w:r w:rsidRPr="00667FFD">
              <w:rPr>
                <w:sz w:val="24"/>
                <w:szCs w:val="24"/>
              </w:rPr>
              <w:t>±1.30</w:t>
            </w:r>
          </w:p>
        </w:tc>
        <w:tc>
          <w:tcPr>
            <w:tcW w:w="1559" w:type="dxa"/>
            <w:vAlign w:val="center"/>
          </w:tcPr>
          <w:p w14:paraId="0CA48EE2" w14:textId="77777777" w:rsidR="000B0212" w:rsidRPr="00667FFD" w:rsidRDefault="00000000">
            <w:pPr>
              <w:widowControl/>
              <w:autoSpaceDE/>
              <w:spacing w:line="276" w:lineRule="auto"/>
              <w:jc w:val="both"/>
            </w:pPr>
            <w:r w:rsidRPr="00667FFD">
              <w:rPr>
                <w:sz w:val="24"/>
                <w:szCs w:val="24"/>
              </w:rPr>
              <w:t>62.18</w:t>
            </w:r>
            <w:r w:rsidRPr="00667FFD">
              <w:rPr>
                <w:sz w:val="24"/>
                <w:szCs w:val="24"/>
                <w:vertAlign w:val="superscript"/>
              </w:rPr>
              <w:t>a</w:t>
            </w:r>
            <w:r w:rsidRPr="00667FFD">
              <w:rPr>
                <w:sz w:val="24"/>
                <w:szCs w:val="24"/>
              </w:rPr>
              <w:t>±2.32</w:t>
            </w:r>
          </w:p>
        </w:tc>
        <w:tc>
          <w:tcPr>
            <w:tcW w:w="1429" w:type="dxa"/>
            <w:vAlign w:val="center"/>
          </w:tcPr>
          <w:p w14:paraId="200A390A" w14:textId="77777777" w:rsidR="000B0212" w:rsidRPr="00667FFD" w:rsidRDefault="00000000">
            <w:pPr>
              <w:widowControl/>
              <w:autoSpaceDE/>
              <w:spacing w:line="276" w:lineRule="auto"/>
              <w:jc w:val="both"/>
            </w:pPr>
            <w:r w:rsidRPr="00667FFD">
              <w:rPr>
                <w:sz w:val="24"/>
                <w:szCs w:val="24"/>
              </w:rPr>
              <w:t>71.33</w:t>
            </w:r>
            <w:r w:rsidRPr="00667FFD">
              <w:rPr>
                <w:sz w:val="24"/>
                <w:szCs w:val="24"/>
                <w:vertAlign w:val="superscript"/>
              </w:rPr>
              <w:t>a</w:t>
            </w:r>
            <w:r w:rsidRPr="00667FFD">
              <w:rPr>
                <w:sz w:val="24"/>
                <w:szCs w:val="24"/>
              </w:rPr>
              <w:t>±2.12</w:t>
            </w:r>
          </w:p>
        </w:tc>
      </w:tr>
      <w:tr w:rsidR="000B0212" w:rsidRPr="00667FFD" w14:paraId="24302F76" w14:textId="77777777">
        <w:trPr>
          <w:trHeight w:val="829"/>
        </w:trPr>
        <w:tc>
          <w:tcPr>
            <w:tcW w:w="1381" w:type="dxa"/>
            <w:tcBorders>
              <w:bottom w:val="single" w:sz="4" w:space="0" w:color="000000"/>
            </w:tcBorders>
            <w:vAlign w:val="bottom"/>
          </w:tcPr>
          <w:p w14:paraId="49FA60EC" w14:textId="77777777" w:rsidR="000B0212" w:rsidRPr="00667FFD" w:rsidRDefault="00000000">
            <w:pPr>
              <w:widowControl/>
              <w:autoSpaceDE/>
              <w:spacing w:line="276" w:lineRule="auto"/>
              <w:jc w:val="both"/>
              <w:rPr>
                <w:b/>
                <w:bCs/>
                <w:sz w:val="24"/>
                <w:szCs w:val="24"/>
              </w:rPr>
            </w:pPr>
            <w:r w:rsidRPr="00667FFD">
              <w:rPr>
                <w:b/>
                <w:bCs/>
                <w:sz w:val="24"/>
                <w:szCs w:val="24"/>
              </w:rPr>
              <w:t>LSD</w:t>
            </w:r>
            <w:r w:rsidRPr="00667FFD">
              <w:rPr>
                <w:b/>
                <w:bCs/>
                <w:sz w:val="24"/>
                <w:szCs w:val="24"/>
                <w:vertAlign w:val="subscript"/>
              </w:rPr>
              <w:t>(0.05)</w:t>
            </w:r>
          </w:p>
        </w:tc>
        <w:tc>
          <w:tcPr>
            <w:tcW w:w="1307" w:type="dxa"/>
            <w:tcBorders>
              <w:bottom w:val="single" w:sz="4" w:space="0" w:color="000000"/>
            </w:tcBorders>
            <w:vAlign w:val="center"/>
          </w:tcPr>
          <w:p w14:paraId="25652BE2" w14:textId="77777777" w:rsidR="000B0212" w:rsidRPr="00667FFD" w:rsidRDefault="00000000">
            <w:pPr>
              <w:widowControl/>
              <w:autoSpaceDE/>
              <w:spacing w:line="276" w:lineRule="auto"/>
              <w:jc w:val="both"/>
              <w:rPr>
                <w:b/>
                <w:bCs/>
                <w:sz w:val="24"/>
                <w:szCs w:val="24"/>
              </w:rPr>
            </w:pPr>
            <w:r w:rsidRPr="00667FFD">
              <w:rPr>
                <w:b/>
                <w:bCs/>
                <w:sz w:val="24"/>
                <w:szCs w:val="24"/>
              </w:rPr>
              <w:t>0.1</w:t>
            </w:r>
          </w:p>
        </w:tc>
        <w:tc>
          <w:tcPr>
            <w:tcW w:w="1307" w:type="dxa"/>
            <w:tcBorders>
              <w:bottom w:val="single" w:sz="4" w:space="0" w:color="000000"/>
            </w:tcBorders>
            <w:vAlign w:val="center"/>
          </w:tcPr>
          <w:p w14:paraId="35513107" w14:textId="77777777" w:rsidR="000B0212" w:rsidRPr="00667FFD" w:rsidRDefault="00000000">
            <w:pPr>
              <w:widowControl/>
              <w:autoSpaceDE/>
              <w:spacing w:line="276" w:lineRule="auto"/>
              <w:jc w:val="both"/>
              <w:rPr>
                <w:b/>
                <w:bCs/>
                <w:sz w:val="24"/>
                <w:szCs w:val="24"/>
              </w:rPr>
            </w:pPr>
            <w:r w:rsidRPr="00667FFD">
              <w:rPr>
                <w:b/>
                <w:bCs/>
                <w:sz w:val="24"/>
                <w:szCs w:val="24"/>
              </w:rPr>
              <w:t>0.25</w:t>
            </w:r>
          </w:p>
        </w:tc>
        <w:tc>
          <w:tcPr>
            <w:tcW w:w="1573" w:type="dxa"/>
            <w:tcBorders>
              <w:bottom w:val="single" w:sz="4" w:space="0" w:color="000000"/>
            </w:tcBorders>
            <w:vAlign w:val="center"/>
          </w:tcPr>
          <w:p w14:paraId="06D2AEAA" w14:textId="77777777" w:rsidR="000B0212" w:rsidRPr="00667FFD" w:rsidRDefault="00000000">
            <w:pPr>
              <w:widowControl/>
              <w:autoSpaceDE/>
              <w:spacing w:line="276" w:lineRule="auto"/>
              <w:jc w:val="both"/>
              <w:rPr>
                <w:b/>
                <w:bCs/>
                <w:sz w:val="24"/>
                <w:szCs w:val="24"/>
              </w:rPr>
            </w:pPr>
            <w:r w:rsidRPr="00667FFD">
              <w:rPr>
                <w:b/>
                <w:bCs/>
                <w:sz w:val="24"/>
                <w:szCs w:val="24"/>
              </w:rPr>
              <w:t>4.65</w:t>
            </w:r>
          </w:p>
        </w:tc>
        <w:tc>
          <w:tcPr>
            <w:tcW w:w="1556" w:type="dxa"/>
            <w:tcBorders>
              <w:bottom w:val="single" w:sz="4" w:space="0" w:color="000000"/>
            </w:tcBorders>
            <w:vAlign w:val="center"/>
          </w:tcPr>
          <w:p w14:paraId="5B83706B" w14:textId="77777777" w:rsidR="000B0212" w:rsidRPr="00667FFD" w:rsidRDefault="00000000">
            <w:pPr>
              <w:widowControl/>
              <w:autoSpaceDE/>
              <w:spacing w:line="276" w:lineRule="auto"/>
              <w:jc w:val="both"/>
              <w:rPr>
                <w:b/>
                <w:bCs/>
                <w:sz w:val="24"/>
                <w:szCs w:val="24"/>
              </w:rPr>
            </w:pPr>
            <w:r w:rsidRPr="00667FFD">
              <w:rPr>
                <w:b/>
                <w:bCs/>
                <w:sz w:val="24"/>
                <w:szCs w:val="24"/>
              </w:rPr>
              <w:t>2.41</w:t>
            </w:r>
          </w:p>
        </w:tc>
        <w:tc>
          <w:tcPr>
            <w:tcW w:w="1559" w:type="dxa"/>
            <w:tcBorders>
              <w:bottom w:val="single" w:sz="4" w:space="0" w:color="000000"/>
            </w:tcBorders>
            <w:vAlign w:val="center"/>
          </w:tcPr>
          <w:p w14:paraId="5C7CAFB5" w14:textId="77777777" w:rsidR="000B0212" w:rsidRPr="00667FFD" w:rsidRDefault="00000000">
            <w:pPr>
              <w:widowControl/>
              <w:autoSpaceDE/>
              <w:spacing w:line="276" w:lineRule="auto"/>
              <w:jc w:val="both"/>
              <w:rPr>
                <w:b/>
                <w:bCs/>
                <w:sz w:val="24"/>
                <w:szCs w:val="24"/>
              </w:rPr>
            </w:pPr>
            <w:r w:rsidRPr="00667FFD">
              <w:rPr>
                <w:b/>
                <w:bCs/>
                <w:sz w:val="24"/>
                <w:szCs w:val="24"/>
              </w:rPr>
              <w:t>4.6</w:t>
            </w:r>
          </w:p>
        </w:tc>
        <w:tc>
          <w:tcPr>
            <w:tcW w:w="1429" w:type="dxa"/>
            <w:tcBorders>
              <w:bottom w:val="single" w:sz="4" w:space="0" w:color="000000"/>
            </w:tcBorders>
            <w:vAlign w:val="center"/>
          </w:tcPr>
          <w:p w14:paraId="366D8FBE" w14:textId="77777777" w:rsidR="000B0212" w:rsidRPr="00667FFD" w:rsidRDefault="00000000">
            <w:pPr>
              <w:widowControl/>
              <w:autoSpaceDE/>
              <w:spacing w:line="276" w:lineRule="auto"/>
              <w:jc w:val="both"/>
              <w:rPr>
                <w:b/>
                <w:bCs/>
                <w:sz w:val="24"/>
                <w:szCs w:val="24"/>
              </w:rPr>
            </w:pPr>
            <w:r w:rsidRPr="00667FFD">
              <w:rPr>
                <w:b/>
                <w:bCs/>
                <w:sz w:val="24"/>
                <w:szCs w:val="24"/>
              </w:rPr>
              <w:t>4.92</w:t>
            </w:r>
          </w:p>
        </w:tc>
      </w:tr>
    </w:tbl>
    <w:p w14:paraId="679987A0" w14:textId="77777777" w:rsidR="000B0212" w:rsidRPr="00667FFD" w:rsidRDefault="00000000">
      <w:pPr>
        <w:tabs>
          <w:tab w:val="left" w:pos="1847"/>
        </w:tabs>
        <w:spacing w:line="276" w:lineRule="auto"/>
        <w:jc w:val="both"/>
        <w:rPr>
          <w:sz w:val="24"/>
          <w:szCs w:val="24"/>
        </w:rPr>
      </w:pPr>
      <w:r w:rsidRPr="00667FFD">
        <w:rPr>
          <w:sz w:val="24"/>
          <w:szCs w:val="24"/>
        </w:rPr>
        <w:t>The mean values with same superscripts in the same are not significantly different, while those with different subscripts are significantly different</w:t>
      </w:r>
    </w:p>
    <w:p w14:paraId="07F4E317" w14:textId="77777777" w:rsidR="000B0212" w:rsidRPr="00667FFD" w:rsidRDefault="00000000">
      <w:pPr>
        <w:tabs>
          <w:tab w:val="left" w:pos="1169"/>
        </w:tabs>
        <w:spacing w:line="276" w:lineRule="auto"/>
        <w:jc w:val="both"/>
        <w:rPr>
          <w:b/>
          <w:i/>
          <w:sz w:val="24"/>
          <w:szCs w:val="24"/>
        </w:rPr>
      </w:pPr>
      <w:r w:rsidRPr="00667FFD">
        <w:rPr>
          <w:b/>
          <w:i/>
          <w:sz w:val="24"/>
          <w:szCs w:val="24"/>
        </w:rPr>
        <w:lastRenderedPageBreak/>
        <w:t>RHJ =Jam formulated with 100% ripened black plum fruit</w:t>
      </w:r>
    </w:p>
    <w:p w14:paraId="58B8944A" w14:textId="77777777" w:rsidR="000B0212" w:rsidRPr="00667FFD" w:rsidRDefault="00000000">
      <w:pPr>
        <w:tabs>
          <w:tab w:val="left" w:pos="1169"/>
        </w:tabs>
        <w:spacing w:line="276" w:lineRule="auto"/>
        <w:jc w:val="both"/>
      </w:pPr>
      <w:r w:rsidRPr="00667FFD">
        <w:rPr>
          <w:b/>
          <w:i/>
          <w:sz w:val="24"/>
          <w:szCs w:val="24"/>
        </w:rPr>
        <w:t>RSJ = Jam formulated with 60% ripened and 40% unripe black plum fruit</w:t>
      </w:r>
    </w:p>
    <w:p w14:paraId="3C1DB7CB" w14:textId="77777777" w:rsidR="000B0212" w:rsidRPr="00667FFD" w:rsidRDefault="00000000">
      <w:pPr>
        <w:tabs>
          <w:tab w:val="left" w:pos="1169"/>
        </w:tabs>
        <w:spacing w:line="276" w:lineRule="auto"/>
        <w:jc w:val="both"/>
        <w:rPr>
          <w:b/>
          <w:i/>
          <w:sz w:val="24"/>
          <w:szCs w:val="24"/>
        </w:rPr>
      </w:pPr>
      <w:r w:rsidRPr="00667FFD">
        <w:rPr>
          <w:b/>
          <w:i/>
          <w:sz w:val="24"/>
          <w:szCs w:val="24"/>
        </w:rPr>
        <w:t>RFJ = Jam formulated with 40% ripened and 60% unripe black plum fruit</w:t>
      </w:r>
    </w:p>
    <w:p w14:paraId="5B20C993" w14:textId="77777777" w:rsidR="000B0212" w:rsidRPr="00667FFD" w:rsidRDefault="00000000">
      <w:pPr>
        <w:tabs>
          <w:tab w:val="left" w:pos="1169"/>
        </w:tabs>
        <w:spacing w:line="276" w:lineRule="auto"/>
        <w:jc w:val="both"/>
        <w:rPr>
          <w:sz w:val="24"/>
          <w:szCs w:val="24"/>
        </w:rPr>
      </w:pPr>
      <w:r w:rsidRPr="00667FFD">
        <w:rPr>
          <w:b/>
          <w:i/>
          <w:sz w:val="24"/>
          <w:szCs w:val="24"/>
        </w:rPr>
        <w:t xml:space="preserve">SBJ = </w:t>
      </w:r>
      <w:r w:rsidRPr="00667FFD">
        <w:rPr>
          <w:b/>
          <w:i/>
          <w:iCs/>
          <w:sz w:val="24"/>
          <w:szCs w:val="24"/>
          <w:lang w:bidi="ar"/>
        </w:rPr>
        <w:t>Commercial Jam</w:t>
      </w:r>
    </w:p>
    <w:p w14:paraId="13E1FCA6" w14:textId="77777777" w:rsidR="000B0212" w:rsidRPr="00667FFD" w:rsidRDefault="000B0212">
      <w:pPr>
        <w:tabs>
          <w:tab w:val="left" w:pos="1847"/>
        </w:tabs>
        <w:spacing w:line="276" w:lineRule="auto"/>
        <w:jc w:val="both"/>
        <w:rPr>
          <w:sz w:val="24"/>
          <w:szCs w:val="24"/>
        </w:rPr>
      </w:pPr>
    </w:p>
    <w:p w14:paraId="5FA62386" w14:textId="77777777" w:rsidR="000B0212" w:rsidRPr="00667FFD" w:rsidRDefault="00000000">
      <w:pPr>
        <w:pStyle w:val="Caption"/>
        <w:spacing w:after="0" w:line="276" w:lineRule="auto"/>
        <w:jc w:val="both"/>
        <w:rPr>
          <w:b w:val="0"/>
          <w:color w:val="auto"/>
        </w:rPr>
      </w:pPr>
      <w:r w:rsidRPr="00667FFD">
        <w:rPr>
          <w:b w:val="0"/>
          <w:color w:val="auto"/>
        </w:rPr>
        <w:t>Table 3: The Sensory evaluation of the Jam samples</w:t>
      </w:r>
    </w:p>
    <w:tbl>
      <w:tblPr>
        <w:tblW w:w="10285" w:type="dxa"/>
        <w:tblInd w:w="-709" w:type="dxa"/>
        <w:tblLayout w:type="fixed"/>
        <w:tblLook w:val="0000" w:firstRow="0" w:lastRow="0" w:firstColumn="0" w:lastColumn="0" w:noHBand="0" w:noVBand="0"/>
      </w:tblPr>
      <w:tblGrid>
        <w:gridCol w:w="1219"/>
        <w:gridCol w:w="1252"/>
        <w:gridCol w:w="1261"/>
        <w:gridCol w:w="1688"/>
        <w:gridCol w:w="1604"/>
        <w:gridCol w:w="1261"/>
        <w:gridCol w:w="2000"/>
      </w:tblGrid>
      <w:tr w:rsidR="000B0212" w:rsidRPr="00667FFD" w14:paraId="470542F8" w14:textId="77777777">
        <w:trPr>
          <w:trHeight w:val="885"/>
        </w:trPr>
        <w:tc>
          <w:tcPr>
            <w:tcW w:w="1219" w:type="dxa"/>
            <w:tcBorders>
              <w:top w:val="single" w:sz="4" w:space="0" w:color="000000"/>
              <w:bottom w:val="single" w:sz="4" w:space="0" w:color="000000"/>
            </w:tcBorders>
            <w:vAlign w:val="center"/>
          </w:tcPr>
          <w:p w14:paraId="03ADC6DE" w14:textId="77777777" w:rsidR="000B0212" w:rsidRPr="00667FFD" w:rsidRDefault="00000000">
            <w:pPr>
              <w:spacing w:line="276" w:lineRule="auto"/>
              <w:jc w:val="both"/>
              <w:rPr>
                <w:b/>
                <w:bCs/>
                <w:sz w:val="24"/>
                <w:szCs w:val="24"/>
              </w:rPr>
            </w:pPr>
            <w:r w:rsidRPr="00667FFD">
              <w:rPr>
                <w:b/>
                <w:bCs/>
                <w:sz w:val="24"/>
                <w:szCs w:val="24"/>
              </w:rPr>
              <w:t>Samples</w:t>
            </w:r>
          </w:p>
        </w:tc>
        <w:tc>
          <w:tcPr>
            <w:tcW w:w="1252" w:type="dxa"/>
            <w:tcBorders>
              <w:top w:val="single" w:sz="4" w:space="0" w:color="000000"/>
              <w:bottom w:val="single" w:sz="4" w:space="0" w:color="000000"/>
            </w:tcBorders>
            <w:vAlign w:val="center"/>
          </w:tcPr>
          <w:p w14:paraId="3CB2D770" w14:textId="77777777" w:rsidR="000B0212" w:rsidRPr="00667FFD" w:rsidRDefault="00000000">
            <w:pPr>
              <w:spacing w:line="276" w:lineRule="auto"/>
              <w:jc w:val="both"/>
              <w:rPr>
                <w:b/>
                <w:bCs/>
                <w:sz w:val="24"/>
                <w:szCs w:val="24"/>
              </w:rPr>
            </w:pPr>
            <w:r w:rsidRPr="00667FFD">
              <w:rPr>
                <w:b/>
                <w:bCs/>
                <w:sz w:val="24"/>
                <w:szCs w:val="24"/>
              </w:rPr>
              <w:t>Taste</w:t>
            </w:r>
          </w:p>
        </w:tc>
        <w:tc>
          <w:tcPr>
            <w:tcW w:w="1261" w:type="dxa"/>
            <w:tcBorders>
              <w:top w:val="single" w:sz="4" w:space="0" w:color="000000"/>
              <w:bottom w:val="single" w:sz="4" w:space="0" w:color="000000"/>
            </w:tcBorders>
            <w:vAlign w:val="center"/>
          </w:tcPr>
          <w:p w14:paraId="33FFC4A5" w14:textId="77777777" w:rsidR="000B0212" w:rsidRPr="00667FFD" w:rsidRDefault="00000000">
            <w:pPr>
              <w:spacing w:line="276" w:lineRule="auto"/>
              <w:jc w:val="both"/>
              <w:rPr>
                <w:b/>
                <w:bCs/>
                <w:sz w:val="24"/>
                <w:szCs w:val="24"/>
              </w:rPr>
            </w:pPr>
            <w:r w:rsidRPr="00667FFD">
              <w:rPr>
                <w:b/>
                <w:bCs/>
                <w:sz w:val="24"/>
                <w:szCs w:val="24"/>
              </w:rPr>
              <w:t>Aroma</w:t>
            </w:r>
          </w:p>
        </w:tc>
        <w:tc>
          <w:tcPr>
            <w:tcW w:w="1688" w:type="dxa"/>
            <w:tcBorders>
              <w:top w:val="single" w:sz="4" w:space="0" w:color="000000"/>
              <w:bottom w:val="single" w:sz="4" w:space="0" w:color="000000"/>
            </w:tcBorders>
            <w:vAlign w:val="center"/>
          </w:tcPr>
          <w:p w14:paraId="7627C96D" w14:textId="77777777" w:rsidR="000B0212" w:rsidRPr="00667FFD" w:rsidRDefault="00000000">
            <w:pPr>
              <w:spacing w:line="276" w:lineRule="auto"/>
              <w:jc w:val="both"/>
              <w:rPr>
                <w:b/>
                <w:bCs/>
                <w:sz w:val="24"/>
                <w:szCs w:val="24"/>
              </w:rPr>
            </w:pPr>
            <w:r w:rsidRPr="00667FFD">
              <w:rPr>
                <w:b/>
                <w:bCs/>
                <w:sz w:val="24"/>
                <w:szCs w:val="24"/>
              </w:rPr>
              <w:t xml:space="preserve">Appearance </w:t>
            </w:r>
          </w:p>
        </w:tc>
        <w:tc>
          <w:tcPr>
            <w:tcW w:w="1604" w:type="dxa"/>
            <w:tcBorders>
              <w:top w:val="single" w:sz="4" w:space="0" w:color="000000"/>
              <w:bottom w:val="single" w:sz="4" w:space="0" w:color="000000"/>
            </w:tcBorders>
            <w:vAlign w:val="center"/>
          </w:tcPr>
          <w:p w14:paraId="6F67527B" w14:textId="77777777" w:rsidR="000B0212" w:rsidRPr="00667FFD" w:rsidRDefault="00000000">
            <w:pPr>
              <w:spacing w:line="276" w:lineRule="auto"/>
              <w:jc w:val="both"/>
              <w:rPr>
                <w:b/>
                <w:bCs/>
                <w:sz w:val="24"/>
                <w:szCs w:val="24"/>
              </w:rPr>
            </w:pPr>
            <w:r w:rsidRPr="00667FFD">
              <w:rPr>
                <w:b/>
                <w:bCs/>
                <w:sz w:val="24"/>
                <w:szCs w:val="24"/>
              </w:rPr>
              <w:t>Mouthfeel</w:t>
            </w:r>
          </w:p>
        </w:tc>
        <w:tc>
          <w:tcPr>
            <w:tcW w:w="1261" w:type="dxa"/>
            <w:tcBorders>
              <w:top w:val="single" w:sz="4" w:space="0" w:color="000000"/>
              <w:bottom w:val="single" w:sz="4" w:space="0" w:color="000000"/>
            </w:tcBorders>
            <w:vAlign w:val="center"/>
          </w:tcPr>
          <w:p w14:paraId="69D42A7F" w14:textId="77777777" w:rsidR="000B0212" w:rsidRPr="00667FFD" w:rsidRDefault="00000000">
            <w:pPr>
              <w:spacing w:line="276" w:lineRule="auto"/>
              <w:jc w:val="both"/>
              <w:rPr>
                <w:b/>
                <w:bCs/>
                <w:sz w:val="24"/>
                <w:szCs w:val="24"/>
              </w:rPr>
            </w:pPr>
            <w:r w:rsidRPr="00667FFD">
              <w:rPr>
                <w:b/>
                <w:bCs/>
                <w:sz w:val="24"/>
                <w:szCs w:val="24"/>
              </w:rPr>
              <w:t>Texture</w:t>
            </w:r>
          </w:p>
        </w:tc>
        <w:tc>
          <w:tcPr>
            <w:tcW w:w="2000" w:type="dxa"/>
            <w:tcBorders>
              <w:top w:val="single" w:sz="4" w:space="0" w:color="000000"/>
              <w:bottom w:val="single" w:sz="4" w:space="0" w:color="000000"/>
            </w:tcBorders>
            <w:vAlign w:val="center"/>
          </w:tcPr>
          <w:p w14:paraId="0B6F470C" w14:textId="77777777" w:rsidR="000B0212" w:rsidRPr="00667FFD" w:rsidRDefault="00000000">
            <w:pPr>
              <w:spacing w:line="276" w:lineRule="auto"/>
              <w:jc w:val="both"/>
              <w:rPr>
                <w:b/>
                <w:bCs/>
                <w:sz w:val="24"/>
                <w:szCs w:val="24"/>
              </w:rPr>
            </w:pPr>
            <w:r w:rsidRPr="00667FFD">
              <w:rPr>
                <w:b/>
                <w:bCs/>
                <w:sz w:val="24"/>
                <w:szCs w:val="24"/>
              </w:rPr>
              <w:t>Overall Acceptability</w:t>
            </w:r>
          </w:p>
        </w:tc>
      </w:tr>
      <w:tr w:rsidR="000B0212" w:rsidRPr="00667FFD" w14:paraId="7FCF3B3D" w14:textId="77777777">
        <w:trPr>
          <w:trHeight w:val="708"/>
        </w:trPr>
        <w:tc>
          <w:tcPr>
            <w:tcW w:w="1219" w:type="dxa"/>
            <w:tcBorders>
              <w:top w:val="single" w:sz="4" w:space="0" w:color="000000"/>
            </w:tcBorders>
            <w:vAlign w:val="center"/>
          </w:tcPr>
          <w:p w14:paraId="2FE6F2FF" w14:textId="77777777" w:rsidR="000B0212" w:rsidRPr="00667FFD" w:rsidRDefault="00000000">
            <w:pPr>
              <w:spacing w:line="276" w:lineRule="auto"/>
              <w:jc w:val="both"/>
              <w:rPr>
                <w:b/>
                <w:bCs/>
                <w:sz w:val="24"/>
                <w:szCs w:val="24"/>
              </w:rPr>
            </w:pPr>
            <w:r w:rsidRPr="00667FFD">
              <w:rPr>
                <w:b/>
                <w:bCs/>
                <w:sz w:val="24"/>
                <w:szCs w:val="24"/>
              </w:rPr>
              <w:t>SBJ</w:t>
            </w:r>
          </w:p>
        </w:tc>
        <w:tc>
          <w:tcPr>
            <w:tcW w:w="1252" w:type="dxa"/>
            <w:tcBorders>
              <w:top w:val="single" w:sz="4" w:space="0" w:color="000000"/>
            </w:tcBorders>
            <w:vAlign w:val="center"/>
          </w:tcPr>
          <w:p w14:paraId="4A04DE61" w14:textId="77777777" w:rsidR="000B0212" w:rsidRPr="00667FFD" w:rsidRDefault="00000000">
            <w:pPr>
              <w:spacing w:line="276" w:lineRule="auto"/>
              <w:jc w:val="both"/>
            </w:pPr>
            <w:r w:rsidRPr="00667FFD">
              <w:rPr>
                <w:sz w:val="24"/>
                <w:szCs w:val="24"/>
              </w:rPr>
              <w:t>7.35</w:t>
            </w:r>
            <w:r w:rsidRPr="00667FFD">
              <w:rPr>
                <w:b/>
                <w:sz w:val="24"/>
                <w:szCs w:val="24"/>
                <w:vertAlign w:val="superscript"/>
              </w:rPr>
              <w:t>a</w:t>
            </w:r>
            <w:r w:rsidRPr="00667FFD">
              <w:rPr>
                <w:sz w:val="24"/>
                <w:szCs w:val="24"/>
              </w:rPr>
              <w:t>±0.93</w:t>
            </w:r>
          </w:p>
        </w:tc>
        <w:tc>
          <w:tcPr>
            <w:tcW w:w="1261" w:type="dxa"/>
            <w:tcBorders>
              <w:top w:val="single" w:sz="4" w:space="0" w:color="000000"/>
            </w:tcBorders>
            <w:vAlign w:val="center"/>
          </w:tcPr>
          <w:p w14:paraId="37D3FC7D" w14:textId="77777777" w:rsidR="000B0212" w:rsidRPr="00667FFD" w:rsidRDefault="00000000">
            <w:pPr>
              <w:spacing w:line="276" w:lineRule="auto"/>
              <w:jc w:val="both"/>
            </w:pPr>
            <w:r w:rsidRPr="00667FFD">
              <w:rPr>
                <w:sz w:val="24"/>
                <w:szCs w:val="24"/>
              </w:rPr>
              <w:t>7.15</w:t>
            </w:r>
            <w:r w:rsidRPr="00667FFD">
              <w:rPr>
                <w:b/>
                <w:sz w:val="24"/>
                <w:szCs w:val="24"/>
                <w:vertAlign w:val="superscript"/>
              </w:rPr>
              <w:t>b</w:t>
            </w:r>
            <w:r w:rsidRPr="00667FFD">
              <w:rPr>
                <w:sz w:val="24"/>
                <w:szCs w:val="24"/>
              </w:rPr>
              <w:t>±1.31</w:t>
            </w:r>
          </w:p>
        </w:tc>
        <w:tc>
          <w:tcPr>
            <w:tcW w:w="1688" w:type="dxa"/>
            <w:tcBorders>
              <w:top w:val="single" w:sz="4" w:space="0" w:color="000000"/>
            </w:tcBorders>
            <w:vAlign w:val="center"/>
          </w:tcPr>
          <w:p w14:paraId="5A8A2BAA" w14:textId="77777777" w:rsidR="000B0212" w:rsidRPr="00667FFD" w:rsidRDefault="00000000">
            <w:pPr>
              <w:spacing w:line="276" w:lineRule="auto"/>
              <w:jc w:val="both"/>
            </w:pPr>
            <w:r w:rsidRPr="00667FFD">
              <w:rPr>
                <w:sz w:val="24"/>
                <w:szCs w:val="24"/>
              </w:rPr>
              <w:t>6.70</w:t>
            </w:r>
            <w:r w:rsidRPr="00667FFD">
              <w:rPr>
                <w:b/>
                <w:sz w:val="24"/>
                <w:szCs w:val="24"/>
                <w:vertAlign w:val="superscript"/>
              </w:rPr>
              <w:t>a</w:t>
            </w:r>
            <w:r w:rsidRPr="00667FFD">
              <w:rPr>
                <w:sz w:val="24"/>
                <w:szCs w:val="24"/>
              </w:rPr>
              <w:t>±1.30</w:t>
            </w:r>
          </w:p>
        </w:tc>
        <w:tc>
          <w:tcPr>
            <w:tcW w:w="1604" w:type="dxa"/>
            <w:tcBorders>
              <w:top w:val="single" w:sz="4" w:space="0" w:color="000000"/>
            </w:tcBorders>
            <w:vAlign w:val="center"/>
          </w:tcPr>
          <w:p w14:paraId="01B9F3F3" w14:textId="77777777" w:rsidR="000B0212" w:rsidRPr="00667FFD" w:rsidRDefault="00000000">
            <w:pPr>
              <w:spacing w:line="276" w:lineRule="auto"/>
              <w:jc w:val="both"/>
            </w:pPr>
            <w:r w:rsidRPr="00667FFD">
              <w:rPr>
                <w:sz w:val="24"/>
                <w:szCs w:val="24"/>
              </w:rPr>
              <w:t>7.85</w:t>
            </w:r>
            <w:r w:rsidRPr="00667FFD">
              <w:rPr>
                <w:b/>
                <w:sz w:val="24"/>
                <w:szCs w:val="24"/>
                <w:vertAlign w:val="superscript"/>
              </w:rPr>
              <w:t>a</w:t>
            </w:r>
            <w:r w:rsidRPr="00667FFD">
              <w:rPr>
                <w:sz w:val="24"/>
                <w:szCs w:val="24"/>
              </w:rPr>
              <w:t>±1.37</w:t>
            </w:r>
          </w:p>
        </w:tc>
        <w:tc>
          <w:tcPr>
            <w:tcW w:w="1261" w:type="dxa"/>
            <w:tcBorders>
              <w:top w:val="single" w:sz="4" w:space="0" w:color="000000"/>
            </w:tcBorders>
            <w:vAlign w:val="center"/>
          </w:tcPr>
          <w:p w14:paraId="55D066ED" w14:textId="77777777" w:rsidR="000B0212" w:rsidRPr="00667FFD" w:rsidRDefault="00000000">
            <w:pPr>
              <w:spacing w:line="276" w:lineRule="auto"/>
              <w:jc w:val="both"/>
            </w:pPr>
            <w:r w:rsidRPr="00667FFD">
              <w:rPr>
                <w:sz w:val="24"/>
                <w:szCs w:val="24"/>
              </w:rPr>
              <w:t>7.20</w:t>
            </w:r>
            <w:r w:rsidRPr="00667FFD">
              <w:rPr>
                <w:b/>
                <w:sz w:val="24"/>
                <w:szCs w:val="24"/>
                <w:vertAlign w:val="superscript"/>
              </w:rPr>
              <w:t>a</w:t>
            </w:r>
            <w:r w:rsidRPr="00667FFD">
              <w:rPr>
                <w:sz w:val="24"/>
                <w:szCs w:val="24"/>
              </w:rPr>
              <w:t>±1.01</w:t>
            </w:r>
          </w:p>
        </w:tc>
        <w:tc>
          <w:tcPr>
            <w:tcW w:w="2000" w:type="dxa"/>
            <w:tcBorders>
              <w:top w:val="single" w:sz="4" w:space="0" w:color="000000"/>
            </w:tcBorders>
            <w:vAlign w:val="center"/>
          </w:tcPr>
          <w:p w14:paraId="37096E0A" w14:textId="77777777" w:rsidR="000B0212" w:rsidRPr="00667FFD" w:rsidRDefault="00000000">
            <w:pPr>
              <w:spacing w:line="276" w:lineRule="auto"/>
              <w:jc w:val="both"/>
            </w:pPr>
            <w:r w:rsidRPr="00667FFD">
              <w:rPr>
                <w:sz w:val="24"/>
                <w:szCs w:val="24"/>
              </w:rPr>
              <w:t>7.80</w:t>
            </w:r>
            <w:r w:rsidRPr="00667FFD">
              <w:rPr>
                <w:b/>
                <w:sz w:val="24"/>
                <w:szCs w:val="24"/>
                <w:vertAlign w:val="superscript"/>
              </w:rPr>
              <w:t>a</w:t>
            </w:r>
            <w:r w:rsidRPr="00667FFD">
              <w:rPr>
                <w:sz w:val="24"/>
                <w:szCs w:val="24"/>
              </w:rPr>
              <w:t>±0.55</w:t>
            </w:r>
          </w:p>
        </w:tc>
      </w:tr>
      <w:tr w:rsidR="000B0212" w:rsidRPr="00667FFD" w14:paraId="53DCCA63" w14:textId="77777777">
        <w:trPr>
          <w:trHeight w:val="708"/>
        </w:trPr>
        <w:tc>
          <w:tcPr>
            <w:tcW w:w="1219" w:type="dxa"/>
            <w:vAlign w:val="center"/>
          </w:tcPr>
          <w:p w14:paraId="4C20898C" w14:textId="77777777" w:rsidR="000B0212" w:rsidRPr="00667FFD" w:rsidRDefault="00000000">
            <w:pPr>
              <w:spacing w:line="276" w:lineRule="auto"/>
              <w:jc w:val="both"/>
              <w:rPr>
                <w:b/>
                <w:bCs/>
                <w:sz w:val="24"/>
                <w:szCs w:val="24"/>
              </w:rPr>
            </w:pPr>
            <w:r w:rsidRPr="00667FFD">
              <w:rPr>
                <w:b/>
                <w:bCs/>
                <w:sz w:val="24"/>
                <w:szCs w:val="24"/>
              </w:rPr>
              <w:t>BPJ</w:t>
            </w:r>
          </w:p>
        </w:tc>
        <w:tc>
          <w:tcPr>
            <w:tcW w:w="1252" w:type="dxa"/>
            <w:vAlign w:val="center"/>
          </w:tcPr>
          <w:p w14:paraId="17499967" w14:textId="77777777" w:rsidR="000B0212" w:rsidRPr="00667FFD" w:rsidRDefault="00000000">
            <w:pPr>
              <w:spacing w:line="276" w:lineRule="auto"/>
              <w:jc w:val="both"/>
            </w:pPr>
            <w:r w:rsidRPr="00667FFD">
              <w:rPr>
                <w:sz w:val="24"/>
                <w:szCs w:val="24"/>
              </w:rPr>
              <w:t>7.25</w:t>
            </w:r>
            <w:r w:rsidRPr="00667FFD">
              <w:rPr>
                <w:b/>
                <w:sz w:val="24"/>
                <w:szCs w:val="24"/>
                <w:vertAlign w:val="superscript"/>
              </w:rPr>
              <w:t>a</w:t>
            </w:r>
            <w:r w:rsidRPr="00667FFD">
              <w:rPr>
                <w:sz w:val="24"/>
                <w:szCs w:val="24"/>
              </w:rPr>
              <w:t>±0.85</w:t>
            </w:r>
          </w:p>
        </w:tc>
        <w:tc>
          <w:tcPr>
            <w:tcW w:w="1261" w:type="dxa"/>
            <w:vAlign w:val="center"/>
          </w:tcPr>
          <w:p w14:paraId="7D8EBA37" w14:textId="77777777" w:rsidR="000B0212" w:rsidRPr="00667FFD" w:rsidRDefault="00000000">
            <w:pPr>
              <w:spacing w:line="276" w:lineRule="auto"/>
              <w:jc w:val="both"/>
            </w:pPr>
            <w:r w:rsidRPr="00667FFD">
              <w:rPr>
                <w:sz w:val="24"/>
                <w:szCs w:val="24"/>
              </w:rPr>
              <w:t>8.05</w:t>
            </w:r>
            <w:r w:rsidRPr="00667FFD">
              <w:rPr>
                <w:b/>
                <w:sz w:val="24"/>
                <w:szCs w:val="24"/>
                <w:vertAlign w:val="superscript"/>
              </w:rPr>
              <w:t>a</w:t>
            </w:r>
            <w:r w:rsidRPr="00667FFD">
              <w:rPr>
                <w:sz w:val="24"/>
                <w:szCs w:val="24"/>
              </w:rPr>
              <w:t>±1.05</w:t>
            </w:r>
          </w:p>
        </w:tc>
        <w:tc>
          <w:tcPr>
            <w:tcW w:w="1688" w:type="dxa"/>
            <w:vAlign w:val="center"/>
          </w:tcPr>
          <w:p w14:paraId="678AB9DA" w14:textId="77777777" w:rsidR="000B0212" w:rsidRPr="00667FFD" w:rsidRDefault="00000000">
            <w:pPr>
              <w:spacing w:line="276" w:lineRule="auto"/>
              <w:jc w:val="both"/>
            </w:pPr>
            <w:r w:rsidRPr="00667FFD">
              <w:rPr>
                <w:sz w:val="24"/>
                <w:szCs w:val="24"/>
              </w:rPr>
              <w:t>6.30</w:t>
            </w:r>
            <w:r w:rsidRPr="00667FFD">
              <w:rPr>
                <w:b/>
                <w:sz w:val="24"/>
                <w:szCs w:val="24"/>
                <w:vertAlign w:val="superscript"/>
              </w:rPr>
              <w:t>b</w:t>
            </w:r>
            <w:r w:rsidRPr="00667FFD">
              <w:rPr>
                <w:sz w:val="24"/>
                <w:szCs w:val="24"/>
              </w:rPr>
              <w:t>±1.17</w:t>
            </w:r>
          </w:p>
        </w:tc>
        <w:tc>
          <w:tcPr>
            <w:tcW w:w="1604" w:type="dxa"/>
            <w:vAlign w:val="center"/>
          </w:tcPr>
          <w:p w14:paraId="5008D35C" w14:textId="77777777" w:rsidR="000B0212" w:rsidRPr="00667FFD" w:rsidRDefault="00000000">
            <w:pPr>
              <w:spacing w:line="276" w:lineRule="auto"/>
              <w:jc w:val="both"/>
            </w:pPr>
            <w:r w:rsidRPr="00667FFD">
              <w:rPr>
                <w:sz w:val="24"/>
                <w:szCs w:val="24"/>
              </w:rPr>
              <w:t>7.10</w:t>
            </w:r>
            <w:r w:rsidRPr="00667FFD">
              <w:rPr>
                <w:b/>
                <w:sz w:val="24"/>
                <w:szCs w:val="24"/>
                <w:vertAlign w:val="superscript"/>
              </w:rPr>
              <w:t>a</w:t>
            </w:r>
            <w:r w:rsidRPr="00667FFD">
              <w:rPr>
                <w:sz w:val="24"/>
                <w:szCs w:val="24"/>
              </w:rPr>
              <w:t>±1.17</w:t>
            </w:r>
          </w:p>
        </w:tc>
        <w:tc>
          <w:tcPr>
            <w:tcW w:w="1261" w:type="dxa"/>
            <w:vAlign w:val="center"/>
          </w:tcPr>
          <w:p w14:paraId="7DA1513A" w14:textId="77777777" w:rsidR="000B0212" w:rsidRPr="00667FFD" w:rsidRDefault="00000000">
            <w:pPr>
              <w:spacing w:line="276" w:lineRule="auto"/>
              <w:jc w:val="both"/>
            </w:pPr>
            <w:r w:rsidRPr="00667FFD">
              <w:rPr>
                <w:sz w:val="24"/>
                <w:szCs w:val="24"/>
              </w:rPr>
              <w:t>6.15</w:t>
            </w:r>
            <w:r w:rsidRPr="00667FFD">
              <w:rPr>
                <w:b/>
                <w:sz w:val="24"/>
                <w:szCs w:val="24"/>
                <w:vertAlign w:val="superscript"/>
              </w:rPr>
              <w:t>b</w:t>
            </w:r>
            <w:r w:rsidRPr="00667FFD">
              <w:rPr>
                <w:sz w:val="24"/>
                <w:szCs w:val="24"/>
              </w:rPr>
              <w:t>±1.19</w:t>
            </w:r>
          </w:p>
        </w:tc>
        <w:tc>
          <w:tcPr>
            <w:tcW w:w="2000" w:type="dxa"/>
            <w:vAlign w:val="center"/>
          </w:tcPr>
          <w:p w14:paraId="30B611FC" w14:textId="77777777" w:rsidR="000B0212" w:rsidRPr="00667FFD" w:rsidRDefault="00000000">
            <w:pPr>
              <w:spacing w:line="276" w:lineRule="auto"/>
              <w:jc w:val="both"/>
            </w:pPr>
            <w:r w:rsidRPr="00667FFD">
              <w:rPr>
                <w:sz w:val="24"/>
                <w:szCs w:val="24"/>
              </w:rPr>
              <w:t>7.05</w:t>
            </w:r>
            <w:r w:rsidRPr="00667FFD">
              <w:rPr>
                <w:b/>
                <w:sz w:val="24"/>
                <w:szCs w:val="24"/>
                <w:vertAlign w:val="superscript"/>
              </w:rPr>
              <w:t>b</w:t>
            </w:r>
            <w:r w:rsidRPr="00667FFD">
              <w:rPr>
                <w:sz w:val="24"/>
                <w:szCs w:val="24"/>
              </w:rPr>
              <w:t>±0.51</w:t>
            </w:r>
          </w:p>
        </w:tc>
      </w:tr>
      <w:tr w:rsidR="000B0212" w:rsidRPr="00667FFD" w14:paraId="5360E4E3" w14:textId="77777777">
        <w:trPr>
          <w:trHeight w:val="885"/>
        </w:trPr>
        <w:tc>
          <w:tcPr>
            <w:tcW w:w="1219" w:type="dxa"/>
            <w:tcBorders>
              <w:bottom w:val="single" w:sz="4" w:space="0" w:color="000000"/>
            </w:tcBorders>
            <w:vAlign w:val="bottom"/>
          </w:tcPr>
          <w:p w14:paraId="584D09A3" w14:textId="77777777" w:rsidR="000B0212" w:rsidRPr="00667FFD" w:rsidRDefault="00000000">
            <w:pPr>
              <w:spacing w:line="276" w:lineRule="auto"/>
              <w:jc w:val="both"/>
              <w:rPr>
                <w:b/>
                <w:bCs/>
                <w:sz w:val="24"/>
                <w:szCs w:val="24"/>
              </w:rPr>
            </w:pPr>
            <w:r w:rsidRPr="00667FFD">
              <w:rPr>
                <w:b/>
                <w:bCs/>
                <w:sz w:val="24"/>
                <w:szCs w:val="24"/>
              </w:rPr>
              <w:t>LSD</w:t>
            </w:r>
            <w:r w:rsidRPr="00667FFD">
              <w:rPr>
                <w:b/>
                <w:bCs/>
                <w:sz w:val="24"/>
                <w:szCs w:val="24"/>
                <w:vertAlign w:val="subscript"/>
              </w:rPr>
              <w:t>(0.05)</w:t>
            </w:r>
          </w:p>
        </w:tc>
        <w:tc>
          <w:tcPr>
            <w:tcW w:w="1252" w:type="dxa"/>
            <w:tcBorders>
              <w:bottom w:val="single" w:sz="4" w:space="0" w:color="000000"/>
            </w:tcBorders>
            <w:vAlign w:val="bottom"/>
          </w:tcPr>
          <w:p w14:paraId="1E778B9B" w14:textId="77777777" w:rsidR="000B0212" w:rsidRPr="00667FFD" w:rsidRDefault="00000000">
            <w:pPr>
              <w:spacing w:line="276" w:lineRule="auto"/>
              <w:jc w:val="both"/>
              <w:rPr>
                <w:b/>
                <w:bCs/>
                <w:sz w:val="24"/>
                <w:szCs w:val="24"/>
              </w:rPr>
            </w:pPr>
            <w:r w:rsidRPr="00667FFD">
              <w:rPr>
                <w:b/>
                <w:bCs/>
                <w:sz w:val="24"/>
                <w:szCs w:val="24"/>
              </w:rPr>
              <w:t>0.55</w:t>
            </w:r>
          </w:p>
        </w:tc>
        <w:tc>
          <w:tcPr>
            <w:tcW w:w="1261" w:type="dxa"/>
            <w:tcBorders>
              <w:bottom w:val="single" w:sz="4" w:space="0" w:color="000000"/>
            </w:tcBorders>
            <w:vAlign w:val="bottom"/>
          </w:tcPr>
          <w:p w14:paraId="6B338788" w14:textId="77777777" w:rsidR="000B0212" w:rsidRPr="00667FFD" w:rsidRDefault="00000000">
            <w:pPr>
              <w:spacing w:line="276" w:lineRule="auto"/>
              <w:jc w:val="both"/>
              <w:rPr>
                <w:b/>
                <w:bCs/>
                <w:sz w:val="24"/>
                <w:szCs w:val="24"/>
              </w:rPr>
            </w:pPr>
            <w:r w:rsidRPr="00667FFD">
              <w:rPr>
                <w:b/>
                <w:bCs/>
                <w:sz w:val="24"/>
                <w:szCs w:val="24"/>
              </w:rPr>
              <w:t>0.74</w:t>
            </w:r>
          </w:p>
        </w:tc>
        <w:tc>
          <w:tcPr>
            <w:tcW w:w="1688" w:type="dxa"/>
            <w:tcBorders>
              <w:bottom w:val="single" w:sz="4" w:space="0" w:color="000000"/>
            </w:tcBorders>
            <w:vAlign w:val="bottom"/>
          </w:tcPr>
          <w:p w14:paraId="32E35E86" w14:textId="77777777" w:rsidR="000B0212" w:rsidRPr="00667FFD" w:rsidRDefault="00000000">
            <w:pPr>
              <w:spacing w:line="276" w:lineRule="auto"/>
              <w:jc w:val="both"/>
              <w:rPr>
                <w:b/>
                <w:bCs/>
                <w:sz w:val="24"/>
                <w:szCs w:val="24"/>
              </w:rPr>
            </w:pPr>
            <w:r w:rsidRPr="00667FFD">
              <w:rPr>
                <w:b/>
                <w:bCs/>
                <w:sz w:val="24"/>
                <w:szCs w:val="24"/>
              </w:rPr>
              <w:t>0.27</w:t>
            </w:r>
          </w:p>
        </w:tc>
        <w:tc>
          <w:tcPr>
            <w:tcW w:w="1604" w:type="dxa"/>
            <w:tcBorders>
              <w:bottom w:val="single" w:sz="4" w:space="0" w:color="000000"/>
            </w:tcBorders>
            <w:vAlign w:val="bottom"/>
          </w:tcPr>
          <w:p w14:paraId="57AE06BB" w14:textId="77777777" w:rsidR="000B0212" w:rsidRPr="00667FFD" w:rsidRDefault="00000000">
            <w:pPr>
              <w:spacing w:line="276" w:lineRule="auto"/>
              <w:jc w:val="both"/>
              <w:rPr>
                <w:b/>
                <w:bCs/>
                <w:sz w:val="24"/>
                <w:szCs w:val="24"/>
              </w:rPr>
            </w:pPr>
            <w:r w:rsidRPr="00667FFD">
              <w:rPr>
                <w:b/>
                <w:bCs/>
                <w:sz w:val="24"/>
                <w:szCs w:val="24"/>
              </w:rPr>
              <w:t>0.79</w:t>
            </w:r>
          </w:p>
        </w:tc>
        <w:tc>
          <w:tcPr>
            <w:tcW w:w="1261" w:type="dxa"/>
            <w:tcBorders>
              <w:bottom w:val="single" w:sz="4" w:space="0" w:color="000000"/>
            </w:tcBorders>
            <w:vAlign w:val="bottom"/>
          </w:tcPr>
          <w:p w14:paraId="4A451BC9" w14:textId="77777777" w:rsidR="000B0212" w:rsidRPr="00667FFD" w:rsidRDefault="00000000">
            <w:pPr>
              <w:spacing w:line="276" w:lineRule="auto"/>
              <w:jc w:val="both"/>
              <w:rPr>
                <w:b/>
                <w:bCs/>
                <w:sz w:val="24"/>
                <w:szCs w:val="24"/>
              </w:rPr>
            </w:pPr>
            <w:r w:rsidRPr="00667FFD">
              <w:rPr>
                <w:b/>
                <w:bCs/>
                <w:sz w:val="24"/>
                <w:szCs w:val="24"/>
              </w:rPr>
              <w:t>0.58</w:t>
            </w:r>
          </w:p>
        </w:tc>
        <w:tc>
          <w:tcPr>
            <w:tcW w:w="2000" w:type="dxa"/>
            <w:tcBorders>
              <w:bottom w:val="single" w:sz="4" w:space="0" w:color="000000"/>
            </w:tcBorders>
            <w:vAlign w:val="bottom"/>
          </w:tcPr>
          <w:p w14:paraId="5847BE6B" w14:textId="77777777" w:rsidR="000B0212" w:rsidRPr="00667FFD" w:rsidRDefault="00000000">
            <w:pPr>
              <w:spacing w:line="276" w:lineRule="auto"/>
              <w:jc w:val="both"/>
              <w:rPr>
                <w:b/>
                <w:bCs/>
                <w:sz w:val="24"/>
                <w:szCs w:val="24"/>
              </w:rPr>
            </w:pPr>
            <w:r w:rsidRPr="00667FFD">
              <w:rPr>
                <w:b/>
                <w:bCs/>
                <w:sz w:val="24"/>
                <w:szCs w:val="24"/>
              </w:rPr>
              <w:t>0.33</w:t>
            </w:r>
          </w:p>
        </w:tc>
      </w:tr>
    </w:tbl>
    <w:p w14:paraId="4739C662" w14:textId="77777777" w:rsidR="000B0212" w:rsidRPr="00667FFD" w:rsidRDefault="000B0212">
      <w:pPr>
        <w:tabs>
          <w:tab w:val="left" w:pos="2116"/>
        </w:tabs>
        <w:spacing w:line="276" w:lineRule="auto"/>
        <w:jc w:val="both"/>
        <w:rPr>
          <w:sz w:val="24"/>
          <w:szCs w:val="24"/>
        </w:rPr>
      </w:pPr>
    </w:p>
    <w:p w14:paraId="0E7C895A" w14:textId="77777777" w:rsidR="000B0212" w:rsidRPr="00667FFD" w:rsidRDefault="00000000">
      <w:pPr>
        <w:spacing w:line="276" w:lineRule="auto"/>
        <w:jc w:val="both"/>
      </w:pPr>
      <w:r w:rsidRPr="00667FFD">
        <w:rPr>
          <w:i/>
          <w:sz w:val="24"/>
          <w:szCs w:val="24"/>
        </w:rPr>
        <w:t>Each value is the mean of 20</w:t>
      </w:r>
      <w:r w:rsidRPr="00667FFD">
        <w:rPr>
          <w:i/>
          <w:sz w:val="24"/>
          <w:szCs w:val="24"/>
          <w:vertAlign w:val="superscript"/>
        </w:rPr>
        <w:t>th</w:t>
      </w:r>
      <w:r w:rsidRPr="00667FFD">
        <w:rPr>
          <w:i/>
          <w:sz w:val="24"/>
          <w:szCs w:val="24"/>
        </w:rPr>
        <w:t xml:space="preserve"> panelists. The mean values with different superscripts down a row are significantly different.</w:t>
      </w:r>
    </w:p>
    <w:p w14:paraId="5AADFCD0" w14:textId="77777777" w:rsidR="000B0212" w:rsidRPr="00667FFD" w:rsidRDefault="00000000">
      <w:pPr>
        <w:spacing w:line="276" w:lineRule="auto"/>
        <w:jc w:val="both"/>
      </w:pPr>
      <w:r w:rsidRPr="00667FFD">
        <w:rPr>
          <w:i/>
          <w:sz w:val="24"/>
          <w:szCs w:val="24"/>
        </w:rPr>
        <w:t>SBJ= Store bought jam (black currant-strawberry Jam), BPJ= Black plum jam.</w:t>
      </w:r>
    </w:p>
    <w:p w14:paraId="5FC89D77" w14:textId="77777777" w:rsidR="000B0212" w:rsidRPr="00667FFD" w:rsidRDefault="000B0212">
      <w:pPr>
        <w:tabs>
          <w:tab w:val="left" w:pos="5833"/>
        </w:tabs>
        <w:spacing w:line="276" w:lineRule="auto"/>
        <w:jc w:val="both"/>
        <w:rPr>
          <w:i/>
          <w:sz w:val="24"/>
          <w:szCs w:val="24"/>
        </w:rPr>
      </w:pPr>
    </w:p>
    <w:p w14:paraId="2E4DB945" w14:textId="77777777" w:rsidR="000B0212" w:rsidRPr="00667FFD" w:rsidRDefault="00000000">
      <w:pPr>
        <w:pStyle w:val="Heading1"/>
        <w:spacing w:before="0" w:after="0" w:line="276" w:lineRule="auto"/>
        <w:rPr>
          <w:szCs w:val="24"/>
        </w:rPr>
      </w:pPr>
      <w:r w:rsidRPr="00667FFD">
        <w:rPr>
          <w:szCs w:val="24"/>
        </w:rPr>
        <w:t>Proximate composition of the Jams</w:t>
      </w:r>
    </w:p>
    <w:p w14:paraId="76C95A23" w14:textId="77777777" w:rsidR="000B0212" w:rsidRPr="00667FFD" w:rsidRDefault="00000000">
      <w:pPr>
        <w:spacing w:line="276" w:lineRule="auto"/>
        <w:jc w:val="both"/>
      </w:pPr>
      <w:r w:rsidRPr="00667FFD">
        <w:t>The results of the proximate composition of the three jam samples produced and the commercially produced black currant jam are shown in Table 1. The jam samples were produced from the same quantities of black plum pulp and skin (45 parts) and sugar (55 parts). Sample RHJ was produced from 100% ripe black plum fruit, RSJ from 60% ripe and 40% unripe fruit, and RFJ from 40% ripe and 60% unripe black plum fruit. Sample SBJ was the commercially purchased black currant jam. The moisture content of the jam samples ranged from 18.09% (RFJ) to 26.46% (RHJ). The moisture content of RHJ was significantly higher, followed by that of the commercially produced jam (SBJ, 24.31%). There was no significant difference (P ≥ 0.05) in the moisture content of the commercially produced jam (SBJ) and jam sample RSJ. The moisture content of sample RFJ was lower than that of the other samples. Sample RHJ, which contained 100% ripe fruit, had a higher moisture content than the other samples. This suggests that the pectin in the 40% ripe fruit jam (RFJ) did not retain as much moisture as the other samples. Some moisture may also have evaporated during boiling.</w:t>
      </w:r>
    </w:p>
    <w:p w14:paraId="2593FB42" w14:textId="003AE831" w:rsidR="000B0212" w:rsidRPr="00667FFD" w:rsidRDefault="00000000">
      <w:pPr>
        <w:spacing w:line="276" w:lineRule="auto"/>
        <w:jc w:val="both"/>
        <w:rPr>
          <w:sz w:val="24"/>
          <w:szCs w:val="24"/>
        </w:rPr>
      </w:pPr>
      <w:r w:rsidRPr="00667FFD">
        <w:t xml:space="preserve">The three jam samples produced from black plum fruit had higher ash contents than the commercially produced jam. The higher ash content of the produced jam samples suggests that fruit-derived components contributed to the mineral residue, whereas the commercial pectin used in the commercial black currant-strawberry jam may have contributed less ash. There was no significant difference (P ≥ 0.05) in ash content between the jam produced with 60% ripe fruit (RSJ) and that produced with 40% ripe fruit (RFJ). The results obtained in this study are related to those reported by Amah and </w:t>
      </w:r>
      <w:proofErr w:type="spellStart"/>
      <w:r w:rsidRPr="00667FFD">
        <w:t>Okogeri</w:t>
      </w:r>
      <w:proofErr w:type="spellEnd"/>
      <w:r w:rsidRPr="00667FFD">
        <w:t xml:space="preserve"> (2019) and </w:t>
      </w:r>
      <w:r w:rsidR="00017BC0" w:rsidRPr="00017BC0">
        <w:t>Kader</w:t>
      </w:r>
      <w:r w:rsidRPr="00667FFD">
        <w:t xml:space="preserve"> (200</w:t>
      </w:r>
      <w:r w:rsidR="00017BC0">
        <w:t>5</w:t>
      </w:r>
      <w:r w:rsidRPr="00667FFD">
        <w:t>).</w:t>
      </w:r>
    </w:p>
    <w:p w14:paraId="391AE746" w14:textId="77777777" w:rsidR="000B0212" w:rsidRPr="00667FFD" w:rsidRDefault="00000000">
      <w:pPr>
        <w:pStyle w:val="Heading1"/>
        <w:spacing w:before="0" w:after="0" w:line="276" w:lineRule="auto"/>
        <w:rPr>
          <w:szCs w:val="24"/>
        </w:rPr>
      </w:pPr>
      <w:r w:rsidRPr="00667FFD">
        <w:rPr>
          <w:szCs w:val="24"/>
        </w:rPr>
        <w:lastRenderedPageBreak/>
        <w:t xml:space="preserve"> </w:t>
      </w:r>
      <w:proofErr w:type="spellStart"/>
      <w:r w:rsidRPr="00667FFD">
        <w:rPr>
          <w:szCs w:val="24"/>
        </w:rPr>
        <w:t>Physico</w:t>
      </w:r>
      <w:proofErr w:type="spellEnd"/>
      <w:r w:rsidRPr="00667FFD">
        <w:rPr>
          <w:szCs w:val="24"/>
        </w:rPr>
        <w:t>-chemical composition of Jam samples</w:t>
      </w:r>
    </w:p>
    <w:p w14:paraId="5827292B" w14:textId="77777777" w:rsidR="000B0212" w:rsidRPr="00667FFD" w:rsidRDefault="00000000">
      <w:pPr>
        <w:spacing w:line="276" w:lineRule="auto"/>
        <w:jc w:val="both"/>
        <w:rPr>
          <w:sz w:val="24"/>
          <w:szCs w:val="24"/>
        </w:rPr>
      </w:pPr>
      <w:r w:rsidRPr="00667FFD">
        <w:t>The results of the physicochemical composition are shown in Table 2. The titratable acidity of the jam samples ranged from 0.41% to 0.64%, with the jam made from 40% ripe and 60% unripe black plum fruit (RFJ) having the highest value and the jam from 100% ripe black plum fruit (RHJ) having the lowest value. This implies that a higher percentage of unripe fruit in the jam formulation increased titratable acidity and that ripening reduced acid values. There was no significant difference in titratable acidity among the jam containing 60% ripe fruit, the jam containing 40% ripe fruit and the store-bought jam. The pH level increased with ripening; therefore, as the fruit ripened, acidity decreased. However, the store-bought jam (SBJ) had a significantly higher pH than the jam produced from 100% ripe fruit (RHJ).</w:t>
      </w:r>
    </w:p>
    <w:p w14:paraId="71632E0F" w14:textId="77777777" w:rsidR="000B0212" w:rsidRPr="00667FFD" w:rsidRDefault="00000000">
      <w:pPr>
        <w:spacing w:line="276" w:lineRule="auto"/>
        <w:jc w:val="both"/>
      </w:pPr>
      <w:r w:rsidRPr="00667FFD">
        <w:t>The pH measures the amount of hydrogen ions and hydroxyl ions in a solution (</w:t>
      </w:r>
      <w:proofErr w:type="spellStart"/>
      <w:r w:rsidRPr="00667FFD">
        <w:t>Ofoedum</w:t>
      </w:r>
      <w:proofErr w:type="spellEnd"/>
      <w:r w:rsidRPr="00667FFD">
        <w:t xml:space="preserve"> et al., 2024). The viscosity of the jam samples ranged from 74.62 dynes/cm² in RHJ to 87.47 dynes/cm² in RFJ. The viscosity of RSJ was significantly higher than that of RHJ but lower than that of RFJ. This implies that a higher unripe fruit component in the jam increased pectin content and viscosity. Fruit tends to lose pectin content as it ripens. The store-bought jam (SBJ) had the highest viscosity among the jam samples. The high viscosity and pectin content of SBJ may be due to the commercial pectin added during production. The pectin from black plum improved the viscosity and acceptability of the jam. Similarly, °Brix and reducing sugar content increased with a higher percentage of ripe fruit. The store-bought jam (SBJ) recorded the highest °Brix and reducing sugar content, possibly because of the type of fruit and sugar used in its formulation. This may explain why the organoleptic analysis of syrup produced by concentrating black plum juice compared </w:t>
      </w:r>
      <w:proofErr w:type="spellStart"/>
      <w:r w:rsidRPr="00667FFD">
        <w:t>favourably</w:t>
      </w:r>
      <w:proofErr w:type="spellEnd"/>
      <w:r w:rsidRPr="00667FFD">
        <w:t xml:space="preserve"> with sucrose in sensory properties in model foods (Abu &amp; Arogba, 2001; Jat et al., 2018).</w:t>
      </w:r>
    </w:p>
    <w:p w14:paraId="04EAF4AE" w14:textId="77777777" w:rsidR="000B0212" w:rsidRPr="00667FFD" w:rsidRDefault="000B0212">
      <w:pPr>
        <w:spacing w:line="276" w:lineRule="auto"/>
        <w:jc w:val="both"/>
        <w:rPr>
          <w:sz w:val="24"/>
          <w:szCs w:val="24"/>
        </w:rPr>
      </w:pPr>
    </w:p>
    <w:p w14:paraId="44B97B2C" w14:textId="77777777" w:rsidR="000B0212" w:rsidRPr="00667FFD" w:rsidRDefault="00000000">
      <w:pPr>
        <w:pStyle w:val="Heading1"/>
        <w:spacing w:before="0" w:after="0" w:line="276" w:lineRule="auto"/>
        <w:rPr>
          <w:szCs w:val="24"/>
        </w:rPr>
      </w:pPr>
      <w:r w:rsidRPr="00667FFD">
        <w:rPr>
          <w:szCs w:val="24"/>
        </w:rPr>
        <w:t>Sensory evaluation of Jam samples</w:t>
      </w:r>
    </w:p>
    <w:p w14:paraId="1AB71729" w14:textId="77777777" w:rsidR="000B0212" w:rsidRPr="00667FFD" w:rsidRDefault="000B0212">
      <w:pPr>
        <w:spacing w:line="276" w:lineRule="auto"/>
        <w:jc w:val="both"/>
        <w:rPr>
          <w:sz w:val="24"/>
          <w:szCs w:val="24"/>
        </w:rPr>
      </w:pPr>
    </w:p>
    <w:p w14:paraId="7D004101" w14:textId="77777777" w:rsidR="000B0212" w:rsidRPr="00667FFD" w:rsidRDefault="00000000">
      <w:pPr>
        <w:spacing w:line="276" w:lineRule="auto"/>
        <w:jc w:val="both"/>
        <w:rPr>
          <w:sz w:val="24"/>
          <w:szCs w:val="24"/>
        </w:rPr>
      </w:pPr>
      <w:r w:rsidRPr="00667FFD">
        <w:t xml:space="preserve">The results of the sensory evaluation between the store-bought jam (SBJ) and the jam produced from fully ripe black plum fruit (BPJ) are shown in Table 3. There was no statistical difference in taste between the two jams. However, there was a significant difference (P ≤ 0.05) in aroma, with black plum jam (BPJ) receiving a higher score (8.05) than black currant-strawberry jam (SBJ; 7.15). For appearance, the store-bought jam had a higher score (6.70), while the 100% ripe black plum jam had a lower score (6.30). There was also no significant difference in taste and mouthfeel between the black plum jam produced with 100% ripe fruit and the store-bought jam. However, the store-bought jam was more acceptable than the black plum jam because of the dark </w:t>
      </w:r>
      <w:proofErr w:type="spellStart"/>
      <w:r w:rsidRPr="00667FFD">
        <w:t>colour</w:t>
      </w:r>
      <w:proofErr w:type="spellEnd"/>
      <w:r w:rsidRPr="00667FFD">
        <w:t xml:space="preserve"> of the black plum jam. This implies that the taste of the two jam samples was statistically similar, but the black plum jam was rated lower in appearance, possibly because of its very dark black-brown </w:t>
      </w:r>
      <w:proofErr w:type="spellStart"/>
      <w:r w:rsidRPr="00667FFD">
        <w:t>colour</w:t>
      </w:r>
      <w:proofErr w:type="spellEnd"/>
      <w:r w:rsidRPr="00667FFD">
        <w:t xml:space="preserve">, which may have resulted from high heat treatment, </w:t>
      </w:r>
      <w:proofErr w:type="spellStart"/>
      <w:r w:rsidRPr="00667FFD">
        <w:t>caramelisation</w:t>
      </w:r>
      <w:proofErr w:type="spellEnd"/>
      <w:r w:rsidRPr="00667FFD">
        <w:t xml:space="preserve"> and the Maillard reaction. When subjected to high temperatures, sugars in the presence of ascorbic acid can turn brown and may also </w:t>
      </w:r>
      <w:proofErr w:type="spellStart"/>
      <w:r w:rsidRPr="00667FFD">
        <w:t>caramelise</w:t>
      </w:r>
      <w:proofErr w:type="spellEnd"/>
      <w:r w:rsidRPr="00667FFD">
        <w:t xml:space="preserve">. The mouthfeel evaluation of the jam samples was statistically similar, and the </w:t>
      </w:r>
      <w:proofErr w:type="spellStart"/>
      <w:r w:rsidRPr="00667FFD">
        <w:t>flavour</w:t>
      </w:r>
      <w:proofErr w:type="spellEnd"/>
      <w:r w:rsidRPr="00667FFD">
        <w:t xml:space="preserve"> of the black plum jam was rated higher than that of the store-bought jam. In terms of texture, consistency and </w:t>
      </w:r>
      <w:proofErr w:type="spellStart"/>
      <w:r w:rsidRPr="00667FFD">
        <w:t>spreadability</w:t>
      </w:r>
      <w:proofErr w:type="spellEnd"/>
      <w:r w:rsidRPr="00667FFD">
        <w:t xml:space="preserve">, the store-bought jam differed significantly from the black plum jam. For overall acceptability, the store-bought jam had a higher score (7.80) than the black plum jam (7.05), although the black plum jam was still accepted. The dark appearance of the black plum jam may have reduced its acceptability, even though it had acceptable taste. The use of mixed fruit in this formulation to improve </w:t>
      </w:r>
      <w:proofErr w:type="spellStart"/>
      <w:r w:rsidRPr="00667FFD">
        <w:t>colour</w:t>
      </w:r>
      <w:proofErr w:type="spellEnd"/>
      <w:r w:rsidRPr="00667FFD">
        <w:t xml:space="preserve"> acceptance is recommended. Yellow fruits such as mango or pawpaw could be blended with black plum to produce a lighter </w:t>
      </w:r>
      <w:proofErr w:type="spellStart"/>
      <w:r w:rsidRPr="00667FFD">
        <w:t>colour</w:t>
      </w:r>
      <w:proofErr w:type="spellEnd"/>
      <w:r w:rsidRPr="00667FFD">
        <w:t xml:space="preserve"> that may be more acceptable to consumers. </w:t>
      </w:r>
      <w:proofErr w:type="spellStart"/>
      <w:r w:rsidRPr="00667FFD">
        <w:t>Agbede</w:t>
      </w:r>
      <w:proofErr w:type="spellEnd"/>
      <w:r w:rsidRPr="00667FFD">
        <w:t xml:space="preserve"> and Ibitoye (2007), </w:t>
      </w:r>
      <w:proofErr w:type="spellStart"/>
      <w:r w:rsidRPr="00667FFD">
        <w:t>Ofoedum</w:t>
      </w:r>
      <w:proofErr w:type="spellEnd"/>
      <w:r w:rsidRPr="00667FFD">
        <w:t xml:space="preserve"> et al. (2025a) and </w:t>
      </w:r>
      <w:proofErr w:type="spellStart"/>
      <w:r w:rsidRPr="00667FFD">
        <w:t>Ofoedum</w:t>
      </w:r>
      <w:proofErr w:type="spellEnd"/>
      <w:r w:rsidRPr="00667FFD">
        <w:t xml:space="preserve"> et al. (2025b) reported </w:t>
      </w:r>
      <w:r w:rsidRPr="00667FFD">
        <w:lastRenderedPageBreak/>
        <w:t>comparable findings in sensory evaluation studies.</w:t>
      </w:r>
    </w:p>
    <w:p w14:paraId="0DCABDA6" w14:textId="77777777" w:rsidR="000B0212" w:rsidRPr="00667FFD" w:rsidRDefault="00000000">
      <w:pPr>
        <w:widowControl/>
        <w:autoSpaceDE/>
        <w:spacing w:before="280" w:after="280"/>
        <w:outlineLvl w:val="2"/>
        <w:rPr>
          <w:b/>
          <w:bCs/>
          <w:sz w:val="27"/>
          <w:szCs w:val="27"/>
        </w:rPr>
      </w:pPr>
      <w:r w:rsidRPr="00667FFD">
        <w:rPr>
          <w:b/>
          <w:bCs/>
          <w:sz w:val="27"/>
          <w:szCs w:val="27"/>
        </w:rPr>
        <w:t>Conclusions</w:t>
      </w:r>
    </w:p>
    <w:p w14:paraId="721BAA78" w14:textId="77777777" w:rsidR="00451EB5" w:rsidRDefault="00451EB5" w:rsidP="00451EB5">
      <w:pPr>
        <w:pStyle w:val="pdq2pgselectionanchorcontainer"/>
      </w:pPr>
      <w:r>
        <w:t xml:space="preserve">This study showed that black plum fruit can be used to produce acceptable jam. Fruit maturity affected the proximate and physicochemical properties of the jam samples. The inclusion of unripe fruit increased pectin content, viscosity and titratable acidity, indicating its contribution to gel formation and product consistency. Jam produced from fully ripe fruit had higher reducing sugar content and total soluble solids, while formulations containing higher proportions of unripe fruit showed improved pectin-related characteristics. Sensory evaluation indicated that black plum jam was generally accepted by the </w:t>
      </w:r>
      <w:proofErr w:type="spellStart"/>
      <w:r>
        <w:t>panellists</w:t>
      </w:r>
      <w:proofErr w:type="spellEnd"/>
      <w:r>
        <w:t xml:space="preserve"> and compared </w:t>
      </w:r>
      <w:proofErr w:type="spellStart"/>
      <w:r>
        <w:t>favourably</w:t>
      </w:r>
      <w:proofErr w:type="spellEnd"/>
      <w:r>
        <w:t xml:space="preserve"> with commercial jam in taste, aroma and mouthfeel. However, the darker </w:t>
      </w:r>
      <w:proofErr w:type="spellStart"/>
      <w:r>
        <w:t>colour</w:t>
      </w:r>
      <w:proofErr w:type="spellEnd"/>
      <w:r>
        <w:t xml:space="preserve"> of the product reduced its appearance score and slightly lowered overall acceptability. These findings suggest that black plum fruit is a useful raw material for jam production and may support value addition to this </w:t>
      </w:r>
      <w:proofErr w:type="spellStart"/>
      <w:r>
        <w:t>underutilised</w:t>
      </w:r>
      <w:proofErr w:type="spellEnd"/>
      <w:r>
        <w:t xml:space="preserve"> indigenous fruit. Further work should improve </w:t>
      </w:r>
      <w:proofErr w:type="spellStart"/>
      <w:r>
        <w:t>colour</w:t>
      </w:r>
      <w:proofErr w:type="spellEnd"/>
      <w:r>
        <w:t>, formulation balance, storage stability and shelf-life evaluation.</w:t>
      </w:r>
    </w:p>
    <w:p w14:paraId="12DE795D" w14:textId="77777777" w:rsidR="000B0212" w:rsidRPr="00667FFD" w:rsidRDefault="00000000">
      <w:pPr>
        <w:widowControl/>
        <w:autoSpaceDE/>
        <w:spacing w:before="280" w:after="280"/>
        <w:outlineLvl w:val="2"/>
        <w:rPr>
          <w:b/>
          <w:bCs/>
          <w:sz w:val="27"/>
          <w:szCs w:val="27"/>
        </w:rPr>
      </w:pPr>
      <w:r w:rsidRPr="00667FFD">
        <w:rPr>
          <w:b/>
          <w:bCs/>
          <w:sz w:val="27"/>
          <w:szCs w:val="27"/>
        </w:rPr>
        <w:t>Limitations</w:t>
      </w:r>
    </w:p>
    <w:p w14:paraId="7BE29569" w14:textId="77777777" w:rsidR="000B0212" w:rsidRPr="00667FFD" w:rsidRDefault="00000000">
      <w:pPr>
        <w:widowControl/>
        <w:autoSpaceDE/>
        <w:spacing w:before="280" w:after="280"/>
        <w:jc w:val="both"/>
      </w:pPr>
      <w:r w:rsidRPr="00667FFD">
        <w:t xml:space="preserve">This study was limited to three jam formulations prepared from ripe and unripe black plum fruit. Storage stability, shelf life, microbial quality, antioxidant activity and </w:t>
      </w:r>
      <w:proofErr w:type="spellStart"/>
      <w:r w:rsidRPr="00667FFD">
        <w:t>colour</w:t>
      </w:r>
      <w:proofErr w:type="spellEnd"/>
      <w:r w:rsidRPr="00667FFD">
        <w:t xml:space="preserve"> parameters were not fully reported. The sensory evaluation used a limited panel size and compared only one black plum jam sample with a commercial product. Processing conditions, pectin determination and formulation basis require clearer reporting. Further studies should include </w:t>
      </w:r>
      <w:proofErr w:type="spellStart"/>
      <w:r w:rsidRPr="00667FFD">
        <w:t>standardised</w:t>
      </w:r>
      <w:proofErr w:type="spellEnd"/>
      <w:r w:rsidRPr="00667FFD">
        <w:t xml:space="preserve"> processing, larger sensory panels and detailed shelf-life evaluation.</w:t>
      </w:r>
    </w:p>
    <w:p w14:paraId="3E8AD8ED" w14:textId="77777777" w:rsidR="000B0212" w:rsidRPr="00667FFD" w:rsidRDefault="00000000">
      <w:pPr>
        <w:widowControl/>
        <w:autoSpaceDE/>
        <w:rPr>
          <w:rFonts w:eastAsia="Calibri"/>
          <w:b/>
        </w:rPr>
      </w:pPr>
      <w:r w:rsidRPr="00667FFD">
        <w:rPr>
          <w:rFonts w:eastAsia="Calibri"/>
          <w:b/>
        </w:rPr>
        <w:t>Declaration of AI Use</w:t>
      </w:r>
    </w:p>
    <w:p w14:paraId="6FB0D8A2" w14:textId="77777777" w:rsidR="000B0212" w:rsidRPr="00667FFD" w:rsidRDefault="000B0212">
      <w:pPr>
        <w:widowControl/>
        <w:autoSpaceDE/>
        <w:rPr>
          <w:rFonts w:eastAsia="Calibri"/>
          <w:b/>
        </w:rPr>
      </w:pPr>
    </w:p>
    <w:p w14:paraId="6E73A533" w14:textId="77777777" w:rsidR="000B0212" w:rsidRPr="00667FFD" w:rsidRDefault="00000000">
      <w:pPr>
        <w:widowControl/>
        <w:autoSpaceDE/>
        <w:jc w:val="both"/>
      </w:pPr>
      <w:r w:rsidRPr="00667FFD">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5959A86" w14:textId="77777777" w:rsidR="000B0212" w:rsidRPr="00667FFD" w:rsidRDefault="000B0212">
      <w:pPr>
        <w:pStyle w:val="NormalWeb"/>
        <w:spacing w:before="0" w:after="0" w:line="276" w:lineRule="auto"/>
        <w:jc w:val="both"/>
        <w:rPr>
          <w:rFonts w:eastAsia="Calibri"/>
        </w:rPr>
      </w:pPr>
    </w:p>
    <w:p w14:paraId="3755F068" w14:textId="77777777" w:rsidR="000B0212" w:rsidRDefault="00000000">
      <w:pPr>
        <w:pStyle w:val="Heading1"/>
        <w:spacing w:before="0" w:after="0" w:line="276" w:lineRule="auto"/>
        <w:rPr>
          <w:szCs w:val="24"/>
        </w:rPr>
      </w:pPr>
      <w:r w:rsidRPr="00667FFD">
        <w:rPr>
          <w:szCs w:val="24"/>
        </w:rPr>
        <w:t>REFERENCES</w:t>
      </w:r>
    </w:p>
    <w:p w14:paraId="6EAA2E16" w14:textId="77777777" w:rsidR="007412A2" w:rsidRDefault="007412A2" w:rsidP="007412A2"/>
    <w:p w14:paraId="51CBB3CA"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Abu, J. D., &amp; </w:t>
      </w:r>
      <w:proofErr w:type="spellStart"/>
      <w:r w:rsidRPr="007412A2">
        <w:rPr>
          <w:sz w:val="24"/>
          <w:szCs w:val="24"/>
          <w:lang w:eastAsia="en-US"/>
        </w:rPr>
        <w:t>Arogba</w:t>
      </w:r>
      <w:proofErr w:type="spellEnd"/>
      <w:r w:rsidRPr="007412A2">
        <w:rPr>
          <w:sz w:val="24"/>
          <w:szCs w:val="24"/>
          <w:lang w:eastAsia="en-US"/>
        </w:rPr>
        <w:t>, S. S. (2001). High temperature drying characteristics and moisture adsorption isotherms of black plum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syrup and syrup-starch. </w:t>
      </w:r>
      <w:r w:rsidRPr="007412A2">
        <w:rPr>
          <w:i/>
          <w:iCs/>
          <w:sz w:val="24"/>
          <w:szCs w:val="24"/>
          <w:lang w:eastAsia="en-US"/>
        </w:rPr>
        <w:t>International Journal of Food Properties, 4</w:t>
      </w:r>
      <w:r w:rsidRPr="007412A2">
        <w:rPr>
          <w:sz w:val="24"/>
          <w:szCs w:val="24"/>
          <w:lang w:eastAsia="en-US"/>
        </w:rPr>
        <w:t xml:space="preserve">(2), 285–295. </w:t>
      </w:r>
      <w:hyperlink r:id="rId13" w:tgtFrame="_new" w:history="1">
        <w:r w:rsidRPr="007412A2">
          <w:rPr>
            <w:color w:val="0000FF"/>
            <w:sz w:val="24"/>
            <w:szCs w:val="24"/>
            <w:u w:val="single"/>
            <w:lang w:eastAsia="en-US"/>
          </w:rPr>
          <w:t>https://doi.org/10.1081/JFP-100105194</w:t>
        </w:r>
      </w:hyperlink>
      <w:r w:rsidRPr="007412A2">
        <w:rPr>
          <w:sz w:val="24"/>
          <w:szCs w:val="24"/>
          <w:lang w:eastAsia="en-US"/>
        </w:rPr>
        <w:t xml:space="preserve"> </w:t>
      </w:r>
    </w:p>
    <w:p w14:paraId="0EBD2421"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Adejumo, A. A., Alaye, S. A., Ajagbe, R. O., Abi, E. A., &amp; Adedokun, F. T. (2013). Nutritional and anti-nutritional composition of black plum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w:t>
      </w:r>
      <w:r w:rsidRPr="007412A2">
        <w:rPr>
          <w:i/>
          <w:iCs/>
          <w:sz w:val="24"/>
          <w:szCs w:val="24"/>
          <w:lang w:eastAsia="en-US"/>
        </w:rPr>
        <w:t>Journal of Natural Sciences Research, 3</w:t>
      </w:r>
      <w:r w:rsidRPr="007412A2">
        <w:rPr>
          <w:sz w:val="24"/>
          <w:szCs w:val="24"/>
          <w:lang w:eastAsia="en-US"/>
        </w:rPr>
        <w:t xml:space="preserve">(12), 144–148. </w:t>
      </w:r>
      <w:hyperlink r:id="rId14" w:tgtFrame="_new" w:history="1">
        <w:r w:rsidRPr="007412A2">
          <w:rPr>
            <w:color w:val="0000FF"/>
            <w:sz w:val="24"/>
            <w:szCs w:val="24"/>
            <w:u w:val="single"/>
            <w:lang w:eastAsia="en-US"/>
          </w:rPr>
          <w:t>https://www.iiste.org/Journals/index.php/JNSR/article/view/8520</w:t>
        </w:r>
      </w:hyperlink>
      <w:r w:rsidRPr="007412A2">
        <w:rPr>
          <w:sz w:val="24"/>
          <w:szCs w:val="24"/>
          <w:lang w:eastAsia="en-US"/>
        </w:rPr>
        <w:t xml:space="preserve"> </w:t>
      </w:r>
    </w:p>
    <w:p w14:paraId="091FAE01"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lastRenderedPageBreak/>
        <w:t></w:t>
      </w:r>
      <w:r w:rsidRPr="007412A2">
        <w:rPr>
          <w:sz w:val="24"/>
          <w:szCs w:val="24"/>
          <w:lang w:eastAsia="en-US"/>
        </w:rPr>
        <w:t xml:space="preserve">  Adelani, D. O., Suleiman, R., &amp; </w:t>
      </w:r>
      <w:proofErr w:type="spellStart"/>
      <w:r w:rsidRPr="007412A2">
        <w:rPr>
          <w:sz w:val="24"/>
          <w:szCs w:val="24"/>
          <w:lang w:eastAsia="en-US"/>
        </w:rPr>
        <w:t>Apene</w:t>
      </w:r>
      <w:proofErr w:type="spellEnd"/>
      <w:r w:rsidRPr="007412A2">
        <w:rPr>
          <w:sz w:val="24"/>
          <w:szCs w:val="24"/>
          <w:lang w:eastAsia="en-US"/>
        </w:rPr>
        <w:t xml:space="preserve">, E. (2019). Effect of periods of hydro-priming and seed weights on the germination of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Sweet seeds. </w:t>
      </w:r>
      <w:r w:rsidRPr="007412A2">
        <w:rPr>
          <w:i/>
          <w:iCs/>
          <w:sz w:val="24"/>
          <w:szCs w:val="24"/>
          <w:lang w:eastAsia="en-US"/>
        </w:rPr>
        <w:t>Journal of Research in Forestry, Wildlife and Environment, 11</w:t>
      </w:r>
      <w:r w:rsidRPr="007412A2">
        <w:rPr>
          <w:sz w:val="24"/>
          <w:szCs w:val="24"/>
          <w:lang w:eastAsia="en-US"/>
        </w:rPr>
        <w:t xml:space="preserve">(3), 185–194. </w:t>
      </w:r>
      <w:hyperlink r:id="rId15" w:tgtFrame="_new" w:history="1">
        <w:r w:rsidRPr="007412A2">
          <w:rPr>
            <w:color w:val="0000FF"/>
            <w:sz w:val="24"/>
            <w:szCs w:val="24"/>
            <w:u w:val="single"/>
            <w:lang w:eastAsia="en-US"/>
          </w:rPr>
          <w:t>https://www.ajol.info/index.php/jrfwe/article/view/190292</w:t>
        </w:r>
      </w:hyperlink>
      <w:r w:rsidRPr="007412A2">
        <w:rPr>
          <w:sz w:val="24"/>
          <w:szCs w:val="24"/>
          <w:lang w:eastAsia="en-US"/>
        </w:rPr>
        <w:t xml:space="preserve"> </w:t>
      </w:r>
    </w:p>
    <w:p w14:paraId="1F630FB1" w14:textId="577F1008"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proofErr w:type="spellStart"/>
      <w:r w:rsidRPr="007412A2">
        <w:rPr>
          <w:sz w:val="24"/>
          <w:szCs w:val="24"/>
          <w:lang w:eastAsia="en-US"/>
        </w:rPr>
        <w:t>Agbede</w:t>
      </w:r>
      <w:proofErr w:type="spellEnd"/>
      <w:r w:rsidRPr="007412A2">
        <w:rPr>
          <w:sz w:val="24"/>
          <w:szCs w:val="24"/>
          <w:lang w:eastAsia="en-US"/>
        </w:rPr>
        <w:t>, J. O., &amp; Ibitoye, A. A. (2007). Chemical composition of black plum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An underutilized fruit. </w:t>
      </w:r>
      <w:r w:rsidRPr="007412A2">
        <w:rPr>
          <w:i/>
          <w:iCs/>
          <w:sz w:val="24"/>
          <w:szCs w:val="24"/>
          <w:lang w:eastAsia="en-US"/>
        </w:rPr>
        <w:t>Journal of Food, Agriculture and Environment, 5</w:t>
      </w:r>
      <w:r w:rsidRPr="007412A2">
        <w:rPr>
          <w:sz w:val="24"/>
          <w:szCs w:val="24"/>
          <w:lang w:eastAsia="en-US"/>
        </w:rPr>
        <w:t xml:space="preserve">(2), 95–96. </w:t>
      </w:r>
    </w:p>
    <w:p w14:paraId="365DBD09"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proofErr w:type="spellStart"/>
      <w:r w:rsidRPr="007412A2">
        <w:rPr>
          <w:sz w:val="24"/>
          <w:szCs w:val="24"/>
          <w:lang w:eastAsia="en-US"/>
        </w:rPr>
        <w:t>Ajenifujah-Solebo</w:t>
      </w:r>
      <w:proofErr w:type="spellEnd"/>
      <w:r w:rsidRPr="007412A2">
        <w:rPr>
          <w:sz w:val="24"/>
          <w:szCs w:val="24"/>
          <w:lang w:eastAsia="en-US"/>
        </w:rPr>
        <w:t xml:space="preserve">, S. O., &amp; Aina, J. O. (2011). </w:t>
      </w:r>
      <w:proofErr w:type="spellStart"/>
      <w:r w:rsidRPr="007412A2">
        <w:rPr>
          <w:sz w:val="24"/>
          <w:szCs w:val="24"/>
          <w:lang w:eastAsia="en-US"/>
        </w:rPr>
        <w:t>Physico</w:t>
      </w:r>
      <w:proofErr w:type="spellEnd"/>
      <w:r w:rsidRPr="007412A2">
        <w:rPr>
          <w:sz w:val="24"/>
          <w:szCs w:val="24"/>
          <w:lang w:eastAsia="en-US"/>
        </w:rPr>
        <w:t>-chemical properties and sensory evaluation of jam made from black-plum fruit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w:t>
      </w:r>
      <w:r w:rsidRPr="007412A2">
        <w:rPr>
          <w:i/>
          <w:iCs/>
          <w:sz w:val="24"/>
          <w:szCs w:val="24"/>
          <w:lang w:eastAsia="en-US"/>
        </w:rPr>
        <w:t>African Journal of Food, Agriculture, Nutrition and Development, 11</w:t>
      </w:r>
      <w:r w:rsidRPr="007412A2">
        <w:rPr>
          <w:sz w:val="24"/>
          <w:szCs w:val="24"/>
          <w:lang w:eastAsia="en-US"/>
        </w:rPr>
        <w:t xml:space="preserve">(3), 4772–4784. </w:t>
      </w:r>
      <w:hyperlink r:id="rId16" w:tgtFrame="_new" w:history="1">
        <w:r w:rsidRPr="007412A2">
          <w:rPr>
            <w:color w:val="0000FF"/>
            <w:sz w:val="24"/>
            <w:szCs w:val="24"/>
            <w:u w:val="single"/>
            <w:lang w:eastAsia="en-US"/>
          </w:rPr>
          <w:t>https://doi.org/10.4314/ajfand.v11i3.66629</w:t>
        </w:r>
      </w:hyperlink>
      <w:r w:rsidRPr="007412A2">
        <w:rPr>
          <w:sz w:val="24"/>
          <w:szCs w:val="24"/>
          <w:lang w:eastAsia="en-US"/>
        </w:rPr>
        <w:t xml:space="preserve"> </w:t>
      </w:r>
    </w:p>
    <w:p w14:paraId="4529E3E7"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Ali, M., Aminu, F., &amp; Ibrahim, I. S. (2017). In vitro assessment of antibacterial activity and phytochemical screening of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on clinical isolates of </w:t>
      </w:r>
      <w:r w:rsidRPr="007412A2">
        <w:rPr>
          <w:i/>
          <w:iCs/>
          <w:sz w:val="24"/>
          <w:szCs w:val="24"/>
          <w:lang w:eastAsia="en-US"/>
        </w:rPr>
        <w:t>Salmonella typhi</w:t>
      </w:r>
      <w:r w:rsidRPr="007412A2">
        <w:rPr>
          <w:sz w:val="24"/>
          <w:szCs w:val="24"/>
          <w:lang w:eastAsia="en-US"/>
        </w:rPr>
        <w:t xml:space="preserve">. </w:t>
      </w:r>
      <w:r w:rsidRPr="007412A2">
        <w:rPr>
          <w:i/>
          <w:iCs/>
          <w:sz w:val="24"/>
          <w:szCs w:val="24"/>
          <w:lang w:eastAsia="en-US"/>
        </w:rPr>
        <w:t>International Journal of Advanced Academic Research, 3</w:t>
      </w:r>
      <w:r w:rsidRPr="007412A2">
        <w:rPr>
          <w:sz w:val="24"/>
          <w:szCs w:val="24"/>
          <w:lang w:eastAsia="en-US"/>
        </w:rPr>
        <w:t xml:space="preserve">(1), 9–16. </w:t>
      </w:r>
      <w:hyperlink r:id="rId17" w:tgtFrame="_new" w:history="1">
        <w:r w:rsidRPr="007412A2">
          <w:rPr>
            <w:color w:val="0000FF"/>
            <w:sz w:val="24"/>
            <w:szCs w:val="24"/>
            <w:u w:val="single"/>
            <w:lang w:eastAsia="en-US"/>
          </w:rPr>
          <w:t>https://www.ijaar.org/articles/Volume3-Number1/Sciences-Technology-Engineering/ijaar-ste-v3n1-jan17-p13.pdf</w:t>
        </w:r>
      </w:hyperlink>
      <w:r w:rsidRPr="007412A2">
        <w:rPr>
          <w:sz w:val="24"/>
          <w:szCs w:val="24"/>
          <w:lang w:eastAsia="en-US"/>
        </w:rPr>
        <w:t xml:space="preserve"> </w:t>
      </w:r>
    </w:p>
    <w:p w14:paraId="7318E264"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Amah, U. J., &amp; </w:t>
      </w:r>
      <w:proofErr w:type="spellStart"/>
      <w:r w:rsidRPr="007412A2">
        <w:rPr>
          <w:sz w:val="24"/>
          <w:szCs w:val="24"/>
          <w:lang w:eastAsia="en-US"/>
        </w:rPr>
        <w:t>Okogeri</w:t>
      </w:r>
      <w:proofErr w:type="spellEnd"/>
      <w:r w:rsidRPr="007412A2">
        <w:rPr>
          <w:sz w:val="24"/>
          <w:szCs w:val="24"/>
          <w:lang w:eastAsia="en-US"/>
        </w:rPr>
        <w:t>, O. (2019). Nutritional and phytochemical properties of wild black plum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seed from Ebonyi State. </w:t>
      </w:r>
      <w:r w:rsidRPr="007412A2">
        <w:rPr>
          <w:i/>
          <w:iCs/>
          <w:sz w:val="24"/>
          <w:szCs w:val="24"/>
          <w:lang w:eastAsia="en-US"/>
        </w:rPr>
        <w:t>International Journal of Horticulture, Agriculture and Food Science, 3</w:t>
      </w:r>
      <w:r w:rsidRPr="007412A2">
        <w:rPr>
          <w:sz w:val="24"/>
          <w:szCs w:val="24"/>
          <w:lang w:eastAsia="en-US"/>
        </w:rPr>
        <w:t xml:space="preserve">(1), 32–36. https://doi.org/10.22161/ijhaf.3.1.5 </w:t>
      </w:r>
    </w:p>
    <w:p w14:paraId="1CB20F7D"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Amit, S. K., Uddin, M. M., Rahman, R., Islam, S. M. R., &amp; Khan, M. S. (2017). A review on mechanisms and commercial aspects of food preservation and processing. </w:t>
      </w:r>
      <w:r w:rsidRPr="007412A2">
        <w:rPr>
          <w:i/>
          <w:iCs/>
          <w:sz w:val="24"/>
          <w:szCs w:val="24"/>
          <w:lang w:eastAsia="en-US"/>
        </w:rPr>
        <w:t>Agriculture &amp; Food Security, 6</w:t>
      </w:r>
      <w:r w:rsidRPr="007412A2">
        <w:rPr>
          <w:sz w:val="24"/>
          <w:szCs w:val="24"/>
          <w:lang w:eastAsia="en-US"/>
        </w:rPr>
        <w:t xml:space="preserve">, Article 51. </w:t>
      </w:r>
      <w:hyperlink r:id="rId18" w:tgtFrame="_new" w:history="1">
        <w:r w:rsidRPr="007412A2">
          <w:rPr>
            <w:color w:val="0000FF"/>
            <w:sz w:val="24"/>
            <w:szCs w:val="24"/>
            <w:u w:val="single"/>
            <w:lang w:eastAsia="en-US"/>
          </w:rPr>
          <w:t>https://doi.org/10.1186/s40066-017-0130-8</w:t>
        </w:r>
      </w:hyperlink>
      <w:r w:rsidRPr="007412A2">
        <w:rPr>
          <w:sz w:val="24"/>
          <w:szCs w:val="24"/>
          <w:lang w:eastAsia="en-US"/>
        </w:rPr>
        <w:t xml:space="preserve"> </w:t>
      </w:r>
    </w:p>
    <w:p w14:paraId="7608FD4F" w14:textId="17A47A8A"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r w:rsidRPr="00017BC0">
        <w:rPr>
          <w:sz w:val="24"/>
          <w:szCs w:val="24"/>
          <w:lang w:eastAsia="en-US"/>
        </w:rPr>
        <w:t xml:space="preserve">Kader, A. A. (2005). Increasing food availability by reducing postharvest losses of fresh produce. </w:t>
      </w:r>
      <w:r w:rsidRPr="00017BC0">
        <w:rPr>
          <w:i/>
          <w:iCs/>
          <w:sz w:val="24"/>
          <w:szCs w:val="24"/>
          <w:lang w:eastAsia="en-US"/>
        </w:rPr>
        <w:t xml:space="preserve">Acta </w:t>
      </w:r>
      <w:proofErr w:type="spellStart"/>
      <w:r w:rsidRPr="00017BC0">
        <w:rPr>
          <w:i/>
          <w:iCs/>
          <w:sz w:val="24"/>
          <w:szCs w:val="24"/>
          <w:lang w:eastAsia="en-US"/>
        </w:rPr>
        <w:t>Horticulturae</w:t>
      </w:r>
      <w:proofErr w:type="spellEnd"/>
      <w:r w:rsidRPr="00017BC0">
        <w:rPr>
          <w:i/>
          <w:iCs/>
          <w:sz w:val="24"/>
          <w:szCs w:val="24"/>
          <w:lang w:eastAsia="en-US"/>
        </w:rPr>
        <w:t>, 682</w:t>
      </w:r>
      <w:r w:rsidRPr="00017BC0">
        <w:rPr>
          <w:sz w:val="24"/>
          <w:szCs w:val="24"/>
          <w:lang w:eastAsia="en-US"/>
        </w:rPr>
        <w:t>, 2169–2176. https://doi.org/10.17660/ActaHortic.2005.682.296</w:t>
      </w:r>
    </w:p>
    <w:p w14:paraId="51EAA3CD" w14:textId="5A8CEC33"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AOAC International. (2016). </w:t>
      </w:r>
      <w:r w:rsidRPr="007412A2">
        <w:rPr>
          <w:i/>
          <w:iCs/>
          <w:sz w:val="24"/>
          <w:szCs w:val="24"/>
          <w:lang w:eastAsia="en-US"/>
        </w:rPr>
        <w:t>Official methods of analysis of AOAC International</w:t>
      </w:r>
      <w:r w:rsidRPr="007412A2">
        <w:rPr>
          <w:sz w:val="24"/>
          <w:szCs w:val="24"/>
          <w:lang w:eastAsia="en-US"/>
        </w:rPr>
        <w:t xml:space="preserve"> (20th ed.). AOAC International. </w:t>
      </w:r>
      <w:hyperlink r:id="rId19" w:tgtFrame="_new" w:history="1">
        <w:r w:rsidRPr="007412A2">
          <w:rPr>
            <w:color w:val="0000FF"/>
            <w:sz w:val="24"/>
            <w:szCs w:val="24"/>
            <w:u w:val="single"/>
            <w:lang w:eastAsia="en-US"/>
          </w:rPr>
          <w:t>https://www.aoac.org/scientific-solutions/standards-and-official-methods/</w:t>
        </w:r>
      </w:hyperlink>
      <w:r w:rsidRPr="007412A2">
        <w:rPr>
          <w:sz w:val="24"/>
          <w:szCs w:val="24"/>
          <w:lang w:eastAsia="en-US"/>
        </w:rPr>
        <w:t xml:space="preserve"> </w:t>
      </w:r>
    </w:p>
    <w:p w14:paraId="319AE317"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Arora, P., &amp; Avinash, P. (2025). Development of micronutrient-rich ready-to-eat food products using millet flours: Nutritional and sensory evaluation. </w:t>
      </w:r>
      <w:r w:rsidRPr="007412A2">
        <w:rPr>
          <w:i/>
          <w:iCs/>
          <w:sz w:val="24"/>
          <w:szCs w:val="24"/>
          <w:lang w:eastAsia="en-US"/>
        </w:rPr>
        <w:t>Asian Journal of Current Research, 10</w:t>
      </w:r>
      <w:r w:rsidRPr="007412A2">
        <w:rPr>
          <w:sz w:val="24"/>
          <w:szCs w:val="24"/>
          <w:lang w:eastAsia="en-US"/>
        </w:rPr>
        <w:t xml:space="preserve">(4), 416–428. </w:t>
      </w:r>
      <w:hyperlink r:id="rId20" w:tgtFrame="_new" w:history="1">
        <w:r w:rsidRPr="007412A2">
          <w:rPr>
            <w:color w:val="0000FF"/>
            <w:sz w:val="24"/>
            <w:szCs w:val="24"/>
            <w:u w:val="single"/>
            <w:lang w:eastAsia="en-US"/>
          </w:rPr>
          <w:t>https://doi.org/10.56557/ajocr/2025/v10i410083</w:t>
        </w:r>
      </w:hyperlink>
      <w:r w:rsidRPr="007412A2">
        <w:rPr>
          <w:sz w:val="24"/>
          <w:szCs w:val="24"/>
          <w:lang w:eastAsia="en-US"/>
        </w:rPr>
        <w:t xml:space="preserve"> </w:t>
      </w:r>
    </w:p>
    <w:p w14:paraId="1E06A740"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proofErr w:type="spellStart"/>
      <w:r w:rsidRPr="007412A2">
        <w:rPr>
          <w:sz w:val="24"/>
          <w:szCs w:val="24"/>
          <w:lang w:eastAsia="en-US"/>
        </w:rPr>
        <w:t>Awolu</w:t>
      </w:r>
      <w:proofErr w:type="spellEnd"/>
      <w:r w:rsidRPr="007412A2">
        <w:rPr>
          <w:sz w:val="24"/>
          <w:szCs w:val="24"/>
          <w:lang w:eastAsia="en-US"/>
        </w:rPr>
        <w:t xml:space="preserve">, O. O., </w:t>
      </w:r>
      <w:proofErr w:type="spellStart"/>
      <w:r w:rsidRPr="007412A2">
        <w:rPr>
          <w:sz w:val="24"/>
          <w:szCs w:val="24"/>
          <w:lang w:eastAsia="en-US"/>
        </w:rPr>
        <w:t>Okedele</w:t>
      </w:r>
      <w:proofErr w:type="spellEnd"/>
      <w:r w:rsidRPr="007412A2">
        <w:rPr>
          <w:sz w:val="24"/>
          <w:szCs w:val="24"/>
          <w:lang w:eastAsia="en-US"/>
        </w:rPr>
        <w:t xml:space="preserve">, G. O., Ojewumi, M. E., &amp; </w:t>
      </w:r>
      <w:proofErr w:type="spellStart"/>
      <w:r w:rsidRPr="007412A2">
        <w:rPr>
          <w:sz w:val="24"/>
          <w:szCs w:val="24"/>
          <w:lang w:eastAsia="en-US"/>
        </w:rPr>
        <w:t>Oseyemi</w:t>
      </w:r>
      <w:proofErr w:type="spellEnd"/>
      <w:r w:rsidRPr="007412A2">
        <w:rPr>
          <w:sz w:val="24"/>
          <w:szCs w:val="24"/>
          <w:lang w:eastAsia="en-US"/>
        </w:rPr>
        <w:t xml:space="preserve">, F. G. (2018). Functional jam production from blends of banana, pineapple and watermelon pulp. </w:t>
      </w:r>
      <w:r w:rsidRPr="007412A2">
        <w:rPr>
          <w:i/>
          <w:iCs/>
          <w:sz w:val="24"/>
          <w:szCs w:val="24"/>
          <w:lang w:eastAsia="en-US"/>
        </w:rPr>
        <w:t>International Journal of Food Science and Biotechnology, 3</w:t>
      </w:r>
      <w:r w:rsidRPr="007412A2">
        <w:rPr>
          <w:sz w:val="24"/>
          <w:szCs w:val="24"/>
          <w:lang w:eastAsia="en-US"/>
        </w:rPr>
        <w:t xml:space="preserve">(1), 7–14. https://doi.org/10.11648/j.ijfsb.20180301.12 </w:t>
      </w:r>
    </w:p>
    <w:p w14:paraId="004AF714"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Baker, R. A., Berry, N., Hui, Y. H., &amp; Barrett, D. M. (2005). Fruit preserves and jams. In D. M. Barrett, L. Somogyi, &amp; H. Ramaswamy (Eds.), </w:t>
      </w:r>
      <w:r w:rsidRPr="007412A2">
        <w:rPr>
          <w:i/>
          <w:iCs/>
          <w:sz w:val="24"/>
          <w:szCs w:val="24"/>
          <w:lang w:eastAsia="en-US"/>
        </w:rPr>
        <w:t>Processing fruits: Science and technology</w:t>
      </w:r>
      <w:r w:rsidRPr="007412A2">
        <w:rPr>
          <w:sz w:val="24"/>
          <w:szCs w:val="24"/>
          <w:lang w:eastAsia="en-US"/>
        </w:rPr>
        <w:t xml:space="preserve"> (2nd ed., pp. 113–132). CRC Press. https://doi.org/10.1201/9781420040074 </w:t>
      </w:r>
    </w:p>
    <w:p w14:paraId="56F56FEA"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Bartholomew, D. P., Paull, R. E., &amp; Rohrbach, K. G. (Eds.). (2003). </w:t>
      </w:r>
      <w:r w:rsidRPr="007412A2">
        <w:rPr>
          <w:i/>
          <w:iCs/>
          <w:sz w:val="24"/>
          <w:szCs w:val="24"/>
          <w:lang w:eastAsia="en-US"/>
        </w:rPr>
        <w:t>The pineapple: Botany, production and uses</w:t>
      </w:r>
      <w:r w:rsidRPr="007412A2">
        <w:rPr>
          <w:sz w:val="24"/>
          <w:szCs w:val="24"/>
          <w:lang w:eastAsia="en-US"/>
        </w:rPr>
        <w:t xml:space="preserve">. CABI Publishing. https://doi.org/10.1079/9780851995038.0000 </w:t>
      </w:r>
    </w:p>
    <w:p w14:paraId="20D33FF3"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Begum, S., Das, P. C., &amp; </w:t>
      </w:r>
      <w:proofErr w:type="spellStart"/>
      <w:r w:rsidRPr="007412A2">
        <w:rPr>
          <w:sz w:val="24"/>
          <w:szCs w:val="24"/>
          <w:lang w:eastAsia="en-US"/>
        </w:rPr>
        <w:t>Karmoker</w:t>
      </w:r>
      <w:proofErr w:type="spellEnd"/>
      <w:r w:rsidRPr="007412A2">
        <w:rPr>
          <w:sz w:val="24"/>
          <w:szCs w:val="24"/>
          <w:lang w:eastAsia="en-US"/>
        </w:rPr>
        <w:t xml:space="preserve">, P. (2018). Processing of mixed fruit juice from mango, orange and pineapple. </w:t>
      </w:r>
      <w:r w:rsidRPr="007412A2">
        <w:rPr>
          <w:i/>
          <w:iCs/>
          <w:sz w:val="24"/>
          <w:szCs w:val="24"/>
          <w:lang w:eastAsia="en-US"/>
        </w:rPr>
        <w:t>Fundamental and Applied Agriculture, 3</w:t>
      </w:r>
      <w:r w:rsidRPr="007412A2">
        <w:rPr>
          <w:sz w:val="24"/>
          <w:szCs w:val="24"/>
          <w:lang w:eastAsia="en-US"/>
        </w:rPr>
        <w:t xml:space="preserve">(2), 440–445. https://doi.org/10.5455/faa.289995 </w:t>
      </w:r>
    </w:p>
    <w:p w14:paraId="63490A44"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Brandão, T. M., do Carmo, E. L., Elias, H. E. S., de Carvalho, E. E. N., Borges, S. V., &amp; Martins, G. A. S. (2018). Physicochemical and microbiological quality of dietetic functional mixed </w:t>
      </w:r>
      <w:proofErr w:type="spellStart"/>
      <w:r w:rsidRPr="007412A2">
        <w:rPr>
          <w:sz w:val="24"/>
          <w:szCs w:val="24"/>
          <w:lang w:eastAsia="en-US"/>
        </w:rPr>
        <w:t>cerrado</w:t>
      </w:r>
      <w:proofErr w:type="spellEnd"/>
      <w:r w:rsidRPr="007412A2">
        <w:rPr>
          <w:sz w:val="24"/>
          <w:szCs w:val="24"/>
          <w:lang w:eastAsia="en-US"/>
        </w:rPr>
        <w:t xml:space="preserve"> fruit jam during storage. </w:t>
      </w:r>
      <w:r w:rsidRPr="007412A2">
        <w:rPr>
          <w:i/>
          <w:iCs/>
          <w:sz w:val="24"/>
          <w:szCs w:val="24"/>
          <w:lang w:eastAsia="en-US"/>
        </w:rPr>
        <w:t>The Scientific World Journal, 2018</w:t>
      </w:r>
      <w:r w:rsidRPr="007412A2">
        <w:rPr>
          <w:sz w:val="24"/>
          <w:szCs w:val="24"/>
          <w:lang w:eastAsia="en-US"/>
        </w:rPr>
        <w:t xml:space="preserve">, Article 2878215. </w:t>
      </w:r>
      <w:hyperlink r:id="rId21" w:tgtFrame="_new" w:history="1">
        <w:r w:rsidRPr="007412A2">
          <w:rPr>
            <w:color w:val="0000FF"/>
            <w:sz w:val="24"/>
            <w:szCs w:val="24"/>
            <w:u w:val="single"/>
            <w:lang w:eastAsia="en-US"/>
          </w:rPr>
          <w:t>https://doi.org/10.1155/2018/2878215</w:t>
        </w:r>
      </w:hyperlink>
      <w:r w:rsidRPr="007412A2">
        <w:rPr>
          <w:sz w:val="24"/>
          <w:szCs w:val="24"/>
          <w:lang w:eastAsia="en-US"/>
        </w:rPr>
        <w:t xml:space="preserve"> </w:t>
      </w:r>
    </w:p>
    <w:p w14:paraId="041BCD5D"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Burkill, H. M. (2000). </w:t>
      </w:r>
      <w:r w:rsidRPr="007412A2">
        <w:rPr>
          <w:i/>
          <w:iCs/>
          <w:sz w:val="24"/>
          <w:szCs w:val="24"/>
          <w:lang w:eastAsia="en-US"/>
        </w:rPr>
        <w:t>The useful plants of West Tropical Africa: Volume 5, Families S–Z</w:t>
      </w:r>
      <w:r w:rsidRPr="007412A2">
        <w:rPr>
          <w:sz w:val="24"/>
          <w:szCs w:val="24"/>
          <w:lang w:eastAsia="en-US"/>
        </w:rPr>
        <w:t xml:space="preserve">. Royal Botanic Gardens, Kew. </w:t>
      </w:r>
      <w:hyperlink r:id="rId22" w:tgtFrame="_new" w:history="1">
        <w:r w:rsidRPr="007412A2">
          <w:rPr>
            <w:color w:val="0000FF"/>
            <w:sz w:val="24"/>
            <w:szCs w:val="24"/>
            <w:u w:val="single"/>
            <w:lang w:eastAsia="en-US"/>
          </w:rPr>
          <w:t>https://press.uchicago.edu/ucp/books/book/distributed/U/bo9857025.html</w:t>
        </w:r>
      </w:hyperlink>
      <w:r w:rsidRPr="007412A2">
        <w:rPr>
          <w:sz w:val="24"/>
          <w:szCs w:val="24"/>
          <w:lang w:eastAsia="en-US"/>
        </w:rPr>
        <w:t xml:space="preserve"> </w:t>
      </w:r>
    </w:p>
    <w:p w14:paraId="39A22986"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lastRenderedPageBreak/>
        <w:t></w:t>
      </w:r>
      <w:r w:rsidRPr="007412A2">
        <w:rPr>
          <w:sz w:val="24"/>
          <w:szCs w:val="24"/>
          <w:lang w:eastAsia="en-US"/>
        </w:rPr>
        <w:t xml:space="preserve">  </w:t>
      </w:r>
      <w:proofErr w:type="spellStart"/>
      <w:r w:rsidRPr="007412A2">
        <w:rPr>
          <w:sz w:val="24"/>
          <w:szCs w:val="24"/>
          <w:lang w:eastAsia="en-US"/>
        </w:rPr>
        <w:t>Chalchisa</w:t>
      </w:r>
      <w:proofErr w:type="spellEnd"/>
      <w:r w:rsidRPr="007412A2">
        <w:rPr>
          <w:sz w:val="24"/>
          <w:szCs w:val="24"/>
          <w:lang w:eastAsia="en-US"/>
        </w:rPr>
        <w:t xml:space="preserve">, T., Zegeye, A., Dereje, B., &amp; Tolesa, Y. (2022). Effect of sugar, pectin, and processing temperature on the qualities of pineapple jam. </w:t>
      </w:r>
      <w:r w:rsidRPr="007412A2">
        <w:rPr>
          <w:i/>
          <w:iCs/>
          <w:sz w:val="24"/>
          <w:szCs w:val="24"/>
          <w:lang w:eastAsia="en-US"/>
        </w:rPr>
        <w:t>International Journal of Fruit Science, 22</w:t>
      </w:r>
      <w:r w:rsidRPr="007412A2">
        <w:rPr>
          <w:sz w:val="24"/>
          <w:szCs w:val="24"/>
          <w:lang w:eastAsia="en-US"/>
        </w:rPr>
        <w:t xml:space="preserve">(1), 711–724. </w:t>
      </w:r>
      <w:hyperlink r:id="rId23" w:tgtFrame="_new" w:history="1">
        <w:r w:rsidRPr="007412A2">
          <w:rPr>
            <w:color w:val="0000FF"/>
            <w:sz w:val="24"/>
            <w:szCs w:val="24"/>
            <w:u w:val="single"/>
            <w:lang w:eastAsia="en-US"/>
          </w:rPr>
          <w:t>https://doi.org/10.1080/15538362.2022.2113598</w:t>
        </w:r>
      </w:hyperlink>
      <w:r w:rsidRPr="007412A2">
        <w:rPr>
          <w:sz w:val="24"/>
          <w:szCs w:val="24"/>
          <w:lang w:eastAsia="en-US"/>
        </w:rPr>
        <w:t xml:space="preserve"> </w:t>
      </w:r>
    </w:p>
    <w:p w14:paraId="1D1FD120"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Chan, S. Y., Choo, W. S., Young, D. J., &amp; Loh, X. J. (2017). Pectin as a rheology modifier: Origin, structure, commercial production and rheology. </w:t>
      </w:r>
      <w:r w:rsidRPr="007412A2">
        <w:rPr>
          <w:i/>
          <w:iCs/>
          <w:sz w:val="24"/>
          <w:szCs w:val="24"/>
          <w:lang w:eastAsia="en-US"/>
        </w:rPr>
        <w:t>Carbohydrate Polymers, 161</w:t>
      </w:r>
      <w:r w:rsidRPr="007412A2">
        <w:rPr>
          <w:sz w:val="24"/>
          <w:szCs w:val="24"/>
          <w:lang w:eastAsia="en-US"/>
        </w:rPr>
        <w:t xml:space="preserve">, 118–139. </w:t>
      </w:r>
      <w:hyperlink r:id="rId24" w:tgtFrame="_new" w:history="1">
        <w:r w:rsidRPr="007412A2">
          <w:rPr>
            <w:color w:val="0000FF"/>
            <w:sz w:val="24"/>
            <w:szCs w:val="24"/>
            <w:u w:val="single"/>
            <w:lang w:eastAsia="en-US"/>
          </w:rPr>
          <w:t>https://doi.org/10.1016/j.carbpol.2016.12.033</w:t>
        </w:r>
      </w:hyperlink>
      <w:r w:rsidRPr="007412A2">
        <w:rPr>
          <w:sz w:val="24"/>
          <w:szCs w:val="24"/>
          <w:lang w:eastAsia="en-US"/>
        </w:rPr>
        <w:t xml:space="preserve"> </w:t>
      </w:r>
    </w:p>
    <w:p w14:paraId="68A66B20"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Chauhan, S. K., Tyagi, S. M., &amp; Singh, D. (2001). Pectinolytic liquefaction of apricot, plum and mango pulps for juice extraction. </w:t>
      </w:r>
      <w:r w:rsidRPr="007412A2">
        <w:rPr>
          <w:i/>
          <w:iCs/>
          <w:sz w:val="24"/>
          <w:szCs w:val="24"/>
          <w:lang w:eastAsia="en-US"/>
        </w:rPr>
        <w:t>International Journal of Food Properties, 4</w:t>
      </w:r>
      <w:r w:rsidRPr="007412A2">
        <w:rPr>
          <w:sz w:val="24"/>
          <w:szCs w:val="24"/>
          <w:lang w:eastAsia="en-US"/>
        </w:rPr>
        <w:t xml:space="preserve">(1), 103–109. https://doi.org/10.1081/JFP-100002190 </w:t>
      </w:r>
    </w:p>
    <w:p w14:paraId="536894CC"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Chinyere, I., Julius, I. U., &amp; Samuel, O. E. (2021). Determination of the flavoring components in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fruit following </w:t>
      </w:r>
      <w:proofErr w:type="spellStart"/>
      <w:r w:rsidRPr="007412A2">
        <w:rPr>
          <w:sz w:val="24"/>
          <w:szCs w:val="24"/>
          <w:lang w:eastAsia="en-US"/>
        </w:rPr>
        <w:t>hydrodistillation</w:t>
      </w:r>
      <w:proofErr w:type="spellEnd"/>
      <w:r w:rsidRPr="007412A2">
        <w:rPr>
          <w:sz w:val="24"/>
          <w:szCs w:val="24"/>
          <w:lang w:eastAsia="en-US"/>
        </w:rPr>
        <w:t xml:space="preserve"> extraction. </w:t>
      </w:r>
      <w:r w:rsidRPr="007412A2">
        <w:rPr>
          <w:i/>
          <w:iCs/>
          <w:sz w:val="24"/>
          <w:szCs w:val="24"/>
          <w:lang w:eastAsia="en-US"/>
        </w:rPr>
        <w:t>American Journal of Food and Nutrition, 9</w:t>
      </w:r>
      <w:r w:rsidRPr="007412A2">
        <w:rPr>
          <w:sz w:val="24"/>
          <w:szCs w:val="24"/>
          <w:lang w:eastAsia="en-US"/>
        </w:rPr>
        <w:t xml:space="preserve">(2), 69–75. https://doi.org/10.12691/ajfn-9-2-2 </w:t>
      </w:r>
    </w:p>
    <w:p w14:paraId="6E213EB5"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Chukwu, M. (2017). Production and organoleptic attributes of </w:t>
      </w:r>
      <w:proofErr w:type="spellStart"/>
      <w:r w:rsidRPr="007412A2">
        <w:rPr>
          <w:sz w:val="24"/>
          <w:szCs w:val="24"/>
          <w:lang w:eastAsia="en-US"/>
        </w:rPr>
        <w:t>ogiri-ahuekere</w:t>
      </w:r>
      <w:proofErr w:type="spellEnd"/>
      <w:r w:rsidRPr="007412A2">
        <w:rPr>
          <w:sz w:val="24"/>
          <w:szCs w:val="24"/>
          <w:lang w:eastAsia="en-US"/>
        </w:rPr>
        <w:t xml:space="preserve"> produced from groundnut (</w:t>
      </w:r>
      <w:r w:rsidRPr="007412A2">
        <w:rPr>
          <w:i/>
          <w:iCs/>
          <w:sz w:val="24"/>
          <w:szCs w:val="24"/>
          <w:lang w:eastAsia="en-US"/>
        </w:rPr>
        <w:t>Arachis hypogaea</w:t>
      </w:r>
      <w:r w:rsidRPr="007412A2">
        <w:rPr>
          <w:sz w:val="24"/>
          <w:szCs w:val="24"/>
          <w:lang w:eastAsia="en-US"/>
        </w:rPr>
        <w:t xml:space="preserve"> Linn.) seeds. </w:t>
      </w:r>
      <w:r w:rsidRPr="007412A2">
        <w:rPr>
          <w:i/>
          <w:iCs/>
          <w:sz w:val="24"/>
          <w:szCs w:val="24"/>
          <w:lang w:eastAsia="en-US"/>
        </w:rPr>
        <w:t>Research Journal of Food Science and Quality Control, 3</w:t>
      </w:r>
      <w:r w:rsidRPr="007412A2">
        <w:rPr>
          <w:sz w:val="24"/>
          <w:szCs w:val="24"/>
          <w:lang w:eastAsia="en-US"/>
        </w:rPr>
        <w:t xml:space="preserve">(2), 39–45. </w:t>
      </w:r>
      <w:hyperlink r:id="rId25" w:tgtFrame="_new" w:history="1">
        <w:r w:rsidRPr="007412A2">
          <w:rPr>
            <w:color w:val="0000FF"/>
            <w:sz w:val="24"/>
            <w:szCs w:val="24"/>
            <w:u w:val="single"/>
            <w:lang w:eastAsia="en-US"/>
          </w:rPr>
          <w:t>https://iiardjournals.org/get/RJFSQC/VOL.%203%20NO.%202%202017/PRODUCTION%20AND%20ORGANOLEPTIC.pdf</w:t>
        </w:r>
      </w:hyperlink>
      <w:r w:rsidRPr="007412A2">
        <w:rPr>
          <w:sz w:val="24"/>
          <w:szCs w:val="24"/>
          <w:lang w:eastAsia="en-US"/>
        </w:rPr>
        <w:t xml:space="preserve"> </w:t>
      </w:r>
    </w:p>
    <w:p w14:paraId="0C6F957A" w14:textId="4889670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Codex Alimentarius Commission. (2009). </w:t>
      </w:r>
      <w:r w:rsidRPr="007412A2">
        <w:rPr>
          <w:i/>
          <w:iCs/>
          <w:sz w:val="24"/>
          <w:szCs w:val="24"/>
          <w:lang w:eastAsia="en-US"/>
        </w:rPr>
        <w:t>Standard for jams, jellies and marmalades (CXS 296-2009)</w:t>
      </w:r>
      <w:r w:rsidRPr="007412A2">
        <w:rPr>
          <w:sz w:val="24"/>
          <w:szCs w:val="24"/>
          <w:lang w:eastAsia="en-US"/>
        </w:rPr>
        <w:t xml:space="preserve">. Food and Agriculture Organization/World Health Organization. </w:t>
      </w:r>
      <w:hyperlink r:id="rId26" w:tgtFrame="_new" w:history="1">
        <w:r w:rsidRPr="007412A2">
          <w:rPr>
            <w:color w:val="0000FF"/>
            <w:sz w:val="24"/>
            <w:szCs w:val="24"/>
            <w:u w:val="single"/>
            <w:lang w:eastAsia="en-US"/>
          </w:rPr>
          <w:t>https://www.fao.org/input/download/standards/11254/CXS_296e.pdf</w:t>
        </w:r>
      </w:hyperlink>
      <w:r w:rsidRPr="007412A2">
        <w:rPr>
          <w:sz w:val="24"/>
          <w:szCs w:val="24"/>
          <w:lang w:eastAsia="en-US"/>
        </w:rPr>
        <w:t xml:space="preserve">  </w:t>
      </w:r>
    </w:p>
    <w:p w14:paraId="2FC61634" w14:textId="3548693D"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Dadjo, C. (2014). </w:t>
      </w:r>
      <w:r w:rsidRPr="007412A2">
        <w:rPr>
          <w:i/>
          <w:iCs/>
          <w:sz w:val="24"/>
          <w:szCs w:val="24"/>
          <w:lang w:eastAsia="en-US"/>
        </w:rPr>
        <w:t xml:space="preserve">Assessment of nutritional variation and establishment of an efficient tissue culture propagation protocol for Vitex </w:t>
      </w:r>
      <w:proofErr w:type="spellStart"/>
      <w:r w:rsidRPr="007412A2">
        <w:rPr>
          <w:i/>
          <w:iCs/>
          <w:sz w:val="24"/>
          <w:szCs w:val="24"/>
          <w:lang w:eastAsia="en-US"/>
        </w:rPr>
        <w:t>doniana</w:t>
      </w:r>
      <w:proofErr w:type="spellEnd"/>
      <w:r w:rsidRPr="007412A2">
        <w:rPr>
          <w:i/>
          <w:iCs/>
          <w:sz w:val="24"/>
          <w:szCs w:val="24"/>
          <w:lang w:eastAsia="en-US"/>
        </w:rPr>
        <w:t xml:space="preserve"> Sweet (</w:t>
      </w:r>
      <w:proofErr w:type="spellStart"/>
      <w:r w:rsidRPr="007412A2">
        <w:rPr>
          <w:i/>
          <w:iCs/>
          <w:sz w:val="24"/>
          <w:szCs w:val="24"/>
          <w:lang w:eastAsia="en-US"/>
        </w:rPr>
        <w:t>Lamiaceae</w:t>
      </w:r>
      <w:proofErr w:type="spellEnd"/>
      <w:r w:rsidRPr="007412A2">
        <w:rPr>
          <w:i/>
          <w:iCs/>
          <w:sz w:val="24"/>
          <w:szCs w:val="24"/>
          <w:lang w:eastAsia="en-US"/>
        </w:rPr>
        <w:t>) from Benin (Western Africa)</w:t>
      </w:r>
      <w:r w:rsidRPr="007412A2">
        <w:rPr>
          <w:sz w:val="24"/>
          <w:szCs w:val="24"/>
          <w:lang w:eastAsia="en-US"/>
        </w:rPr>
        <w:t xml:space="preserve"> [Master’s thesis, Jomo Kenyatta University of Agriculture and Technology]. https://ir.jkuat.ac.ke/bitstream/handle/123456789/3897/Colombe%20DADJO%20MSc%20Thesis.pdf  </w:t>
      </w:r>
    </w:p>
    <w:p w14:paraId="5D4E9B29"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Dadjo, C., Assogbadjo, A. E., </w:t>
      </w:r>
      <w:proofErr w:type="spellStart"/>
      <w:r w:rsidRPr="007412A2">
        <w:rPr>
          <w:sz w:val="24"/>
          <w:szCs w:val="24"/>
          <w:lang w:eastAsia="en-US"/>
        </w:rPr>
        <w:t>Fandohan</w:t>
      </w:r>
      <w:proofErr w:type="spellEnd"/>
      <w:r w:rsidRPr="007412A2">
        <w:rPr>
          <w:sz w:val="24"/>
          <w:szCs w:val="24"/>
          <w:lang w:eastAsia="en-US"/>
        </w:rPr>
        <w:t xml:space="preserve">, B., </w:t>
      </w:r>
      <w:proofErr w:type="spellStart"/>
      <w:r w:rsidRPr="007412A2">
        <w:rPr>
          <w:sz w:val="24"/>
          <w:szCs w:val="24"/>
          <w:lang w:eastAsia="en-US"/>
        </w:rPr>
        <w:t>Kakaï</w:t>
      </w:r>
      <w:proofErr w:type="spellEnd"/>
      <w:r w:rsidRPr="007412A2">
        <w:rPr>
          <w:sz w:val="24"/>
          <w:szCs w:val="24"/>
          <w:lang w:eastAsia="en-US"/>
        </w:rPr>
        <w:t xml:space="preserve">, R. G., </w:t>
      </w:r>
      <w:proofErr w:type="spellStart"/>
      <w:r w:rsidRPr="007412A2">
        <w:rPr>
          <w:sz w:val="24"/>
          <w:szCs w:val="24"/>
          <w:lang w:eastAsia="en-US"/>
        </w:rPr>
        <w:t>Chakeredza</w:t>
      </w:r>
      <w:proofErr w:type="spellEnd"/>
      <w:r w:rsidRPr="007412A2">
        <w:rPr>
          <w:sz w:val="24"/>
          <w:szCs w:val="24"/>
          <w:lang w:eastAsia="en-US"/>
        </w:rPr>
        <w:t xml:space="preserve">, S., </w:t>
      </w:r>
      <w:proofErr w:type="spellStart"/>
      <w:r w:rsidRPr="007412A2">
        <w:rPr>
          <w:sz w:val="24"/>
          <w:szCs w:val="24"/>
          <w:lang w:eastAsia="en-US"/>
        </w:rPr>
        <w:t>Houehanou</w:t>
      </w:r>
      <w:proofErr w:type="spellEnd"/>
      <w:r w:rsidRPr="007412A2">
        <w:rPr>
          <w:sz w:val="24"/>
          <w:szCs w:val="24"/>
          <w:lang w:eastAsia="en-US"/>
        </w:rPr>
        <w:t xml:space="preserve">, T. D., van Damme, P., &amp; </w:t>
      </w:r>
      <w:proofErr w:type="spellStart"/>
      <w:r w:rsidRPr="007412A2">
        <w:rPr>
          <w:sz w:val="24"/>
          <w:szCs w:val="24"/>
          <w:lang w:eastAsia="en-US"/>
        </w:rPr>
        <w:t>Sinsin</w:t>
      </w:r>
      <w:proofErr w:type="spellEnd"/>
      <w:r w:rsidRPr="007412A2">
        <w:rPr>
          <w:sz w:val="24"/>
          <w:szCs w:val="24"/>
          <w:lang w:eastAsia="en-US"/>
        </w:rPr>
        <w:t>, B. (2012). Uses and management of black plum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Sweet) in southern Benin. </w:t>
      </w:r>
      <w:r w:rsidRPr="007412A2">
        <w:rPr>
          <w:i/>
          <w:iCs/>
          <w:sz w:val="24"/>
          <w:szCs w:val="24"/>
          <w:lang w:eastAsia="en-US"/>
        </w:rPr>
        <w:t>Fruits, 67</w:t>
      </w:r>
      <w:r w:rsidRPr="007412A2">
        <w:rPr>
          <w:sz w:val="24"/>
          <w:szCs w:val="24"/>
          <w:lang w:eastAsia="en-US"/>
        </w:rPr>
        <w:t xml:space="preserve">(4), 239–248. </w:t>
      </w:r>
      <w:hyperlink r:id="rId27" w:tgtFrame="_new" w:history="1">
        <w:r w:rsidRPr="007412A2">
          <w:rPr>
            <w:color w:val="0000FF"/>
            <w:sz w:val="24"/>
            <w:szCs w:val="24"/>
            <w:u w:val="single"/>
            <w:lang w:eastAsia="en-US"/>
          </w:rPr>
          <w:t>https://doi.org/10.1051/fruits/2012017</w:t>
        </w:r>
      </w:hyperlink>
      <w:r w:rsidRPr="007412A2">
        <w:rPr>
          <w:sz w:val="24"/>
          <w:szCs w:val="24"/>
          <w:lang w:eastAsia="en-US"/>
        </w:rPr>
        <w:t xml:space="preserve"> </w:t>
      </w:r>
    </w:p>
    <w:p w14:paraId="2BA35EAB"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Jat, R., </w:t>
      </w:r>
      <w:proofErr w:type="spellStart"/>
      <w:r w:rsidRPr="007412A2">
        <w:rPr>
          <w:sz w:val="24"/>
          <w:szCs w:val="24"/>
          <w:lang w:eastAsia="en-US"/>
        </w:rPr>
        <w:t>Mahawer</w:t>
      </w:r>
      <w:proofErr w:type="spellEnd"/>
      <w:r w:rsidRPr="007412A2">
        <w:rPr>
          <w:sz w:val="24"/>
          <w:szCs w:val="24"/>
          <w:lang w:eastAsia="en-US"/>
        </w:rPr>
        <w:t xml:space="preserve">, L. N., Bairwa, H. L., Meena, R. H., Pilania, S., &amp; Singh, M. (2018). Sensory evaluation and microbial analysis of rose petal jam. </w:t>
      </w:r>
      <w:r w:rsidRPr="007412A2">
        <w:rPr>
          <w:i/>
          <w:iCs/>
          <w:sz w:val="24"/>
          <w:szCs w:val="24"/>
          <w:lang w:eastAsia="en-US"/>
        </w:rPr>
        <w:t>Journal of Pharmacognosy and Phytochemistry, 7</w:t>
      </w:r>
      <w:r w:rsidRPr="007412A2">
        <w:rPr>
          <w:sz w:val="24"/>
          <w:szCs w:val="24"/>
          <w:lang w:eastAsia="en-US"/>
        </w:rPr>
        <w:t xml:space="preserve">(5), 617–620. </w:t>
      </w:r>
      <w:hyperlink r:id="rId28" w:tgtFrame="_new" w:history="1">
        <w:r w:rsidRPr="007412A2">
          <w:rPr>
            <w:color w:val="0000FF"/>
            <w:sz w:val="24"/>
            <w:szCs w:val="24"/>
            <w:u w:val="single"/>
            <w:lang w:eastAsia="en-US"/>
          </w:rPr>
          <w:t>https://www.phytojournal.com/archives/2018.v7.i5.5611/sensory-evaluation-and-microbial-analysis-of-rose-petal-jam</w:t>
        </w:r>
      </w:hyperlink>
      <w:r w:rsidRPr="007412A2">
        <w:rPr>
          <w:sz w:val="24"/>
          <w:szCs w:val="24"/>
          <w:lang w:eastAsia="en-US"/>
        </w:rPr>
        <w:t xml:space="preserve"> </w:t>
      </w:r>
    </w:p>
    <w:p w14:paraId="357399BE"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Machalela, A. A., </w:t>
      </w:r>
      <w:proofErr w:type="spellStart"/>
      <w:r w:rsidRPr="007412A2">
        <w:rPr>
          <w:sz w:val="24"/>
          <w:szCs w:val="24"/>
          <w:lang w:eastAsia="en-US"/>
        </w:rPr>
        <w:t>Massingue</w:t>
      </w:r>
      <w:proofErr w:type="spellEnd"/>
      <w:r w:rsidRPr="007412A2">
        <w:rPr>
          <w:sz w:val="24"/>
          <w:szCs w:val="24"/>
          <w:lang w:eastAsia="en-US"/>
        </w:rPr>
        <w:t xml:space="preserve"> Júnior, A. A., Vatiro, A., &amp; </w:t>
      </w:r>
      <w:proofErr w:type="spellStart"/>
      <w:r w:rsidRPr="007412A2">
        <w:rPr>
          <w:sz w:val="24"/>
          <w:szCs w:val="24"/>
          <w:lang w:eastAsia="en-US"/>
        </w:rPr>
        <w:t>Nanelo</w:t>
      </w:r>
      <w:proofErr w:type="spellEnd"/>
      <w:r w:rsidRPr="007412A2">
        <w:rPr>
          <w:sz w:val="24"/>
          <w:szCs w:val="24"/>
          <w:lang w:eastAsia="en-US"/>
        </w:rPr>
        <w:t>, R. F. (2023). Production and characterization of tomato (</w:t>
      </w:r>
      <w:r w:rsidRPr="007412A2">
        <w:rPr>
          <w:i/>
          <w:iCs/>
          <w:sz w:val="24"/>
          <w:szCs w:val="24"/>
          <w:lang w:eastAsia="en-US"/>
        </w:rPr>
        <w:t>Lycopersicon esculentum</w:t>
      </w:r>
      <w:r w:rsidRPr="007412A2">
        <w:rPr>
          <w:sz w:val="24"/>
          <w:szCs w:val="24"/>
          <w:lang w:eastAsia="en-US"/>
        </w:rPr>
        <w:t xml:space="preserve">) jam. </w:t>
      </w:r>
      <w:r w:rsidRPr="007412A2">
        <w:rPr>
          <w:i/>
          <w:iCs/>
          <w:sz w:val="24"/>
          <w:szCs w:val="24"/>
          <w:lang w:eastAsia="en-US"/>
        </w:rPr>
        <w:t>Asian Food Science Journal, 22</w:t>
      </w:r>
      <w:r w:rsidRPr="007412A2">
        <w:rPr>
          <w:sz w:val="24"/>
          <w:szCs w:val="24"/>
          <w:lang w:eastAsia="en-US"/>
        </w:rPr>
        <w:t xml:space="preserve">(10), 120–131. </w:t>
      </w:r>
      <w:hyperlink r:id="rId29" w:tgtFrame="_new" w:history="1">
        <w:r w:rsidRPr="007412A2">
          <w:rPr>
            <w:color w:val="0000FF"/>
            <w:sz w:val="24"/>
            <w:szCs w:val="24"/>
            <w:u w:val="single"/>
            <w:lang w:eastAsia="en-US"/>
          </w:rPr>
          <w:t>https://doi.org/10.9734/afsj/2023/v22i10679</w:t>
        </w:r>
      </w:hyperlink>
      <w:r w:rsidRPr="007412A2">
        <w:rPr>
          <w:sz w:val="24"/>
          <w:szCs w:val="24"/>
          <w:lang w:eastAsia="en-US"/>
        </w:rPr>
        <w:t xml:space="preserve"> </w:t>
      </w:r>
    </w:p>
    <w:p w14:paraId="2EDDDCC6"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proofErr w:type="spellStart"/>
      <w:r w:rsidRPr="007412A2">
        <w:rPr>
          <w:sz w:val="24"/>
          <w:szCs w:val="24"/>
          <w:lang w:eastAsia="en-US"/>
        </w:rPr>
        <w:t>Ofoedum</w:t>
      </w:r>
      <w:proofErr w:type="spellEnd"/>
      <w:r w:rsidRPr="007412A2">
        <w:rPr>
          <w:sz w:val="24"/>
          <w:szCs w:val="24"/>
          <w:lang w:eastAsia="en-US"/>
        </w:rPr>
        <w:t xml:space="preserve">, A. F., Chikelu, E. C., </w:t>
      </w:r>
      <w:proofErr w:type="spellStart"/>
      <w:r w:rsidRPr="007412A2">
        <w:rPr>
          <w:sz w:val="24"/>
          <w:szCs w:val="24"/>
          <w:lang w:eastAsia="en-US"/>
        </w:rPr>
        <w:t>Nwuka</w:t>
      </w:r>
      <w:proofErr w:type="spellEnd"/>
      <w:r w:rsidRPr="007412A2">
        <w:rPr>
          <w:sz w:val="24"/>
          <w:szCs w:val="24"/>
          <w:lang w:eastAsia="en-US"/>
        </w:rPr>
        <w:t xml:space="preserve">, M. U., </w:t>
      </w:r>
      <w:proofErr w:type="spellStart"/>
      <w:r w:rsidRPr="007412A2">
        <w:rPr>
          <w:sz w:val="24"/>
          <w:szCs w:val="24"/>
          <w:lang w:eastAsia="en-US"/>
        </w:rPr>
        <w:t>Olawuni</w:t>
      </w:r>
      <w:proofErr w:type="spellEnd"/>
      <w:r w:rsidRPr="007412A2">
        <w:rPr>
          <w:sz w:val="24"/>
          <w:szCs w:val="24"/>
          <w:lang w:eastAsia="en-US"/>
        </w:rPr>
        <w:t xml:space="preserve">, I. A., </w:t>
      </w:r>
      <w:proofErr w:type="spellStart"/>
      <w:r w:rsidRPr="007412A2">
        <w:rPr>
          <w:sz w:val="24"/>
          <w:szCs w:val="24"/>
          <w:lang w:eastAsia="en-US"/>
        </w:rPr>
        <w:t>Uzoukwu</w:t>
      </w:r>
      <w:proofErr w:type="spellEnd"/>
      <w:r w:rsidRPr="007412A2">
        <w:rPr>
          <w:sz w:val="24"/>
          <w:szCs w:val="24"/>
          <w:lang w:eastAsia="en-US"/>
        </w:rPr>
        <w:t xml:space="preserve">, A. E., </w:t>
      </w:r>
      <w:proofErr w:type="spellStart"/>
      <w:r w:rsidRPr="007412A2">
        <w:rPr>
          <w:sz w:val="24"/>
          <w:szCs w:val="24"/>
          <w:lang w:eastAsia="en-US"/>
        </w:rPr>
        <w:t>Alagbaoso</w:t>
      </w:r>
      <w:proofErr w:type="spellEnd"/>
      <w:r w:rsidRPr="007412A2">
        <w:rPr>
          <w:sz w:val="24"/>
          <w:szCs w:val="24"/>
          <w:lang w:eastAsia="en-US"/>
        </w:rPr>
        <w:t xml:space="preserve">, S. O., </w:t>
      </w:r>
      <w:proofErr w:type="spellStart"/>
      <w:r w:rsidRPr="007412A2">
        <w:rPr>
          <w:sz w:val="24"/>
          <w:szCs w:val="24"/>
          <w:lang w:eastAsia="en-US"/>
        </w:rPr>
        <w:t>Eluchie</w:t>
      </w:r>
      <w:proofErr w:type="spellEnd"/>
      <w:r w:rsidRPr="007412A2">
        <w:rPr>
          <w:sz w:val="24"/>
          <w:szCs w:val="24"/>
          <w:lang w:eastAsia="en-US"/>
        </w:rPr>
        <w:t xml:space="preserve">, C. N., Okezie, F. P., Anaeke, E. J., &amp; Odeyemi, T. A. (2024). Antioxidant activities and sensory evaluation of functional beverages produced by incorporation of crude extracts from tropical spices. </w:t>
      </w:r>
      <w:r w:rsidRPr="007412A2">
        <w:rPr>
          <w:i/>
          <w:iCs/>
          <w:sz w:val="24"/>
          <w:szCs w:val="24"/>
          <w:lang w:eastAsia="en-US"/>
        </w:rPr>
        <w:t>Journal of Food Legumes, 37</w:t>
      </w:r>
      <w:r w:rsidRPr="007412A2">
        <w:rPr>
          <w:sz w:val="24"/>
          <w:szCs w:val="24"/>
          <w:lang w:eastAsia="en-US"/>
        </w:rPr>
        <w:t xml:space="preserve">(4), 462–471. https://doi.org/10.59797/jfl.v37.i4.234 </w:t>
      </w:r>
    </w:p>
    <w:p w14:paraId="106B6E1A"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proofErr w:type="spellStart"/>
      <w:r w:rsidRPr="007412A2">
        <w:rPr>
          <w:sz w:val="24"/>
          <w:szCs w:val="24"/>
          <w:lang w:eastAsia="en-US"/>
        </w:rPr>
        <w:t>Ofoedum</w:t>
      </w:r>
      <w:proofErr w:type="spellEnd"/>
      <w:r w:rsidRPr="007412A2">
        <w:rPr>
          <w:sz w:val="24"/>
          <w:szCs w:val="24"/>
          <w:lang w:eastAsia="en-US"/>
        </w:rPr>
        <w:t xml:space="preserve">, A. F., </w:t>
      </w:r>
      <w:proofErr w:type="spellStart"/>
      <w:r w:rsidRPr="007412A2">
        <w:rPr>
          <w:sz w:val="24"/>
          <w:szCs w:val="24"/>
          <w:lang w:eastAsia="en-US"/>
        </w:rPr>
        <w:t>Owuamanam</w:t>
      </w:r>
      <w:proofErr w:type="spellEnd"/>
      <w:r w:rsidRPr="007412A2">
        <w:rPr>
          <w:sz w:val="24"/>
          <w:szCs w:val="24"/>
          <w:lang w:eastAsia="en-US"/>
        </w:rPr>
        <w:t xml:space="preserve">, C. I., </w:t>
      </w:r>
      <w:proofErr w:type="spellStart"/>
      <w:r w:rsidRPr="007412A2">
        <w:rPr>
          <w:sz w:val="24"/>
          <w:szCs w:val="24"/>
          <w:lang w:eastAsia="en-US"/>
        </w:rPr>
        <w:t>Iwouno</w:t>
      </w:r>
      <w:proofErr w:type="spellEnd"/>
      <w:r w:rsidRPr="007412A2">
        <w:rPr>
          <w:sz w:val="24"/>
          <w:szCs w:val="24"/>
          <w:lang w:eastAsia="en-US"/>
        </w:rPr>
        <w:t xml:space="preserve">, J. O., Olawuni, I. A., Abbah, E. C., </w:t>
      </w:r>
      <w:proofErr w:type="spellStart"/>
      <w:r w:rsidRPr="007412A2">
        <w:rPr>
          <w:sz w:val="24"/>
          <w:szCs w:val="24"/>
          <w:lang w:eastAsia="en-US"/>
        </w:rPr>
        <w:t>Uyanwa</w:t>
      </w:r>
      <w:proofErr w:type="spellEnd"/>
      <w:r w:rsidRPr="007412A2">
        <w:rPr>
          <w:sz w:val="24"/>
          <w:szCs w:val="24"/>
          <w:lang w:eastAsia="en-US"/>
        </w:rPr>
        <w:t xml:space="preserve">, N. C., Anaeke, E. J., &amp; </w:t>
      </w:r>
      <w:proofErr w:type="spellStart"/>
      <w:r w:rsidRPr="007412A2">
        <w:rPr>
          <w:sz w:val="24"/>
          <w:szCs w:val="24"/>
          <w:lang w:eastAsia="en-US"/>
        </w:rPr>
        <w:t>Ofoedum</w:t>
      </w:r>
      <w:proofErr w:type="spellEnd"/>
      <w:r w:rsidRPr="007412A2">
        <w:rPr>
          <w:sz w:val="24"/>
          <w:szCs w:val="24"/>
          <w:lang w:eastAsia="en-US"/>
        </w:rPr>
        <w:t>, S. L. (2025a). Functional and storage stabilities of functional beverages developed from crude extracts from tropical spices (</w:t>
      </w:r>
      <w:r w:rsidRPr="007412A2">
        <w:rPr>
          <w:i/>
          <w:iCs/>
          <w:sz w:val="24"/>
          <w:szCs w:val="24"/>
          <w:lang w:eastAsia="en-US"/>
        </w:rPr>
        <w:t>Zingiber officinale</w:t>
      </w:r>
      <w:r w:rsidRPr="007412A2">
        <w:rPr>
          <w:sz w:val="24"/>
          <w:szCs w:val="24"/>
          <w:lang w:eastAsia="en-US"/>
        </w:rPr>
        <w:t xml:space="preserve">, </w:t>
      </w:r>
      <w:proofErr w:type="spellStart"/>
      <w:r w:rsidRPr="007412A2">
        <w:rPr>
          <w:i/>
          <w:iCs/>
          <w:sz w:val="24"/>
          <w:szCs w:val="24"/>
          <w:lang w:eastAsia="en-US"/>
        </w:rPr>
        <w:t>Monodora</w:t>
      </w:r>
      <w:proofErr w:type="spellEnd"/>
      <w:r w:rsidRPr="007412A2">
        <w:rPr>
          <w:i/>
          <w:iCs/>
          <w:sz w:val="24"/>
          <w:szCs w:val="24"/>
          <w:lang w:eastAsia="en-US"/>
        </w:rPr>
        <w:t xml:space="preserve"> </w:t>
      </w:r>
      <w:proofErr w:type="spellStart"/>
      <w:r w:rsidRPr="007412A2">
        <w:rPr>
          <w:i/>
          <w:iCs/>
          <w:sz w:val="24"/>
          <w:szCs w:val="24"/>
          <w:lang w:eastAsia="en-US"/>
        </w:rPr>
        <w:t>myristica</w:t>
      </w:r>
      <w:proofErr w:type="spellEnd"/>
      <w:r w:rsidRPr="007412A2">
        <w:rPr>
          <w:sz w:val="24"/>
          <w:szCs w:val="24"/>
          <w:lang w:eastAsia="en-US"/>
        </w:rPr>
        <w:t xml:space="preserve"> and </w:t>
      </w:r>
      <w:proofErr w:type="spellStart"/>
      <w:r w:rsidRPr="007412A2">
        <w:rPr>
          <w:i/>
          <w:iCs/>
          <w:sz w:val="24"/>
          <w:szCs w:val="24"/>
          <w:lang w:eastAsia="en-US"/>
        </w:rPr>
        <w:t>Tetrapluera</w:t>
      </w:r>
      <w:proofErr w:type="spellEnd"/>
      <w:r w:rsidRPr="007412A2">
        <w:rPr>
          <w:i/>
          <w:iCs/>
          <w:sz w:val="24"/>
          <w:szCs w:val="24"/>
          <w:lang w:eastAsia="en-US"/>
        </w:rPr>
        <w:t xml:space="preserve"> tetraptera</w:t>
      </w:r>
      <w:r w:rsidRPr="007412A2">
        <w:rPr>
          <w:sz w:val="24"/>
          <w:szCs w:val="24"/>
          <w:lang w:eastAsia="en-US"/>
        </w:rPr>
        <w:t xml:space="preserve">). </w:t>
      </w:r>
      <w:r w:rsidRPr="007412A2">
        <w:rPr>
          <w:i/>
          <w:iCs/>
          <w:sz w:val="24"/>
          <w:szCs w:val="24"/>
          <w:lang w:eastAsia="en-US"/>
        </w:rPr>
        <w:t>Journal of Food Legumes, 38</w:t>
      </w:r>
      <w:r w:rsidRPr="007412A2">
        <w:rPr>
          <w:sz w:val="24"/>
          <w:szCs w:val="24"/>
          <w:lang w:eastAsia="en-US"/>
        </w:rPr>
        <w:t xml:space="preserve">(4), 624–632. https://doi.org/10.53550/jfl.v38.i4.313 </w:t>
      </w:r>
    </w:p>
    <w:p w14:paraId="046B8A94"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lastRenderedPageBreak/>
        <w:t></w:t>
      </w:r>
      <w:r w:rsidRPr="007412A2">
        <w:rPr>
          <w:sz w:val="24"/>
          <w:szCs w:val="24"/>
          <w:lang w:eastAsia="en-US"/>
        </w:rPr>
        <w:t xml:space="preserve">  </w:t>
      </w:r>
      <w:proofErr w:type="spellStart"/>
      <w:r w:rsidRPr="007412A2">
        <w:rPr>
          <w:sz w:val="24"/>
          <w:szCs w:val="24"/>
          <w:lang w:eastAsia="en-US"/>
        </w:rPr>
        <w:t>Ofoedum</w:t>
      </w:r>
      <w:proofErr w:type="spellEnd"/>
      <w:r w:rsidRPr="007412A2">
        <w:rPr>
          <w:sz w:val="24"/>
          <w:szCs w:val="24"/>
          <w:lang w:eastAsia="en-US"/>
        </w:rPr>
        <w:t xml:space="preserve">, A. F., </w:t>
      </w:r>
      <w:proofErr w:type="spellStart"/>
      <w:r w:rsidRPr="007412A2">
        <w:rPr>
          <w:sz w:val="24"/>
          <w:szCs w:val="24"/>
          <w:lang w:eastAsia="en-US"/>
        </w:rPr>
        <w:t>Owuamanam</w:t>
      </w:r>
      <w:proofErr w:type="spellEnd"/>
      <w:r w:rsidRPr="007412A2">
        <w:rPr>
          <w:sz w:val="24"/>
          <w:szCs w:val="24"/>
          <w:lang w:eastAsia="en-US"/>
        </w:rPr>
        <w:t xml:space="preserve">, C. I., </w:t>
      </w:r>
      <w:proofErr w:type="spellStart"/>
      <w:r w:rsidRPr="007412A2">
        <w:rPr>
          <w:sz w:val="24"/>
          <w:szCs w:val="24"/>
          <w:lang w:eastAsia="en-US"/>
        </w:rPr>
        <w:t>Iwouno</w:t>
      </w:r>
      <w:proofErr w:type="spellEnd"/>
      <w:r w:rsidRPr="007412A2">
        <w:rPr>
          <w:sz w:val="24"/>
          <w:szCs w:val="24"/>
          <w:lang w:eastAsia="en-US"/>
        </w:rPr>
        <w:t xml:space="preserve">, J. O., </w:t>
      </w:r>
      <w:proofErr w:type="spellStart"/>
      <w:r w:rsidRPr="007412A2">
        <w:rPr>
          <w:sz w:val="24"/>
          <w:szCs w:val="24"/>
          <w:lang w:eastAsia="en-US"/>
        </w:rPr>
        <w:t>Ofoedu</w:t>
      </w:r>
      <w:proofErr w:type="spellEnd"/>
      <w:r w:rsidRPr="007412A2">
        <w:rPr>
          <w:sz w:val="24"/>
          <w:szCs w:val="24"/>
          <w:lang w:eastAsia="en-US"/>
        </w:rPr>
        <w:t xml:space="preserve">, C. E., Chikelu, E. C., Odimegwu, E. N., </w:t>
      </w:r>
      <w:proofErr w:type="spellStart"/>
      <w:r w:rsidRPr="007412A2">
        <w:rPr>
          <w:sz w:val="24"/>
          <w:szCs w:val="24"/>
          <w:lang w:eastAsia="en-US"/>
        </w:rPr>
        <w:t>Alagbaoso</w:t>
      </w:r>
      <w:proofErr w:type="spellEnd"/>
      <w:r w:rsidRPr="007412A2">
        <w:rPr>
          <w:sz w:val="24"/>
          <w:szCs w:val="24"/>
          <w:lang w:eastAsia="en-US"/>
        </w:rPr>
        <w:t xml:space="preserve">, S. O., Njoku, N. E., &amp; </w:t>
      </w:r>
      <w:proofErr w:type="spellStart"/>
      <w:r w:rsidRPr="007412A2">
        <w:rPr>
          <w:sz w:val="24"/>
          <w:szCs w:val="24"/>
          <w:lang w:eastAsia="en-US"/>
        </w:rPr>
        <w:t>Anaeke</w:t>
      </w:r>
      <w:proofErr w:type="spellEnd"/>
      <w:r w:rsidRPr="007412A2">
        <w:rPr>
          <w:sz w:val="24"/>
          <w:szCs w:val="24"/>
          <w:lang w:eastAsia="en-US"/>
        </w:rPr>
        <w:t>, E. J. (2025b). Physicochemical and shelf life studies of functional beverages developed from crude extracts from tropical spices (</w:t>
      </w:r>
      <w:r w:rsidRPr="007412A2">
        <w:rPr>
          <w:i/>
          <w:iCs/>
          <w:sz w:val="24"/>
          <w:szCs w:val="24"/>
          <w:lang w:eastAsia="en-US"/>
        </w:rPr>
        <w:t>Zingiber officinale</w:t>
      </w:r>
      <w:r w:rsidRPr="007412A2">
        <w:rPr>
          <w:sz w:val="24"/>
          <w:szCs w:val="24"/>
          <w:lang w:eastAsia="en-US"/>
        </w:rPr>
        <w:t xml:space="preserve">, </w:t>
      </w:r>
      <w:proofErr w:type="spellStart"/>
      <w:r w:rsidRPr="007412A2">
        <w:rPr>
          <w:i/>
          <w:iCs/>
          <w:sz w:val="24"/>
          <w:szCs w:val="24"/>
          <w:lang w:eastAsia="en-US"/>
        </w:rPr>
        <w:t>Monodora</w:t>
      </w:r>
      <w:proofErr w:type="spellEnd"/>
      <w:r w:rsidRPr="007412A2">
        <w:rPr>
          <w:i/>
          <w:iCs/>
          <w:sz w:val="24"/>
          <w:szCs w:val="24"/>
          <w:lang w:eastAsia="en-US"/>
        </w:rPr>
        <w:t xml:space="preserve"> </w:t>
      </w:r>
      <w:proofErr w:type="spellStart"/>
      <w:r w:rsidRPr="007412A2">
        <w:rPr>
          <w:i/>
          <w:iCs/>
          <w:sz w:val="24"/>
          <w:szCs w:val="24"/>
          <w:lang w:eastAsia="en-US"/>
        </w:rPr>
        <w:t>myristica</w:t>
      </w:r>
      <w:proofErr w:type="spellEnd"/>
      <w:r w:rsidRPr="007412A2">
        <w:rPr>
          <w:sz w:val="24"/>
          <w:szCs w:val="24"/>
          <w:lang w:eastAsia="en-US"/>
        </w:rPr>
        <w:t xml:space="preserve"> and </w:t>
      </w:r>
      <w:proofErr w:type="spellStart"/>
      <w:r w:rsidRPr="007412A2">
        <w:rPr>
          <w:i/>
          <w:iCs/>
          <w:sz w:val="24"/>
          <w:szCs w:val="24"/>
          <w:lang w:eastAsia="en-US"/>
        </w:rPr>
        <w:t>Tetrapluera</w:t>
      </w:r>
      <w:proofErr w:type="spellEnd"/>
      <w:r w:rsidRPr="007412A2">
        <w:rPr>
          <w:i/>
          <w:iCs/>
          <w:sz w:val="24"/>
          <w:szCs w:val="24"/>
          <w:lang w:eastAsia="en-US"/>
        </w:rPr>
        <w:t xml:space="preserve"> tetraptera</w:t>
      </w:r>
      <w:r w:rsidRPr="007412A2">
        <w:rPr>
          <w:sz w:val="24"/>
          <w:szCs w:val="24"/>
          <w:lang w:eastAsia="en-US"/>
        </w:rPr>
        <w:t xml:space="preserve">). </w:t>
      </w:r>
      <w:r w:rsidRPr="007412A2">
        <w:rPr>
          <w:i/>
          <w:iCs/>
          <w:sz w:val="24"/>
          <w:szCs w:val="24"/>
          <w:lang w:eastAsia="en-US"/>
        </w:rPr>
        <w:t>Asian Journal of Dairy and Food Research, 44</w:t>
      </w:r>
      <w:r w:rsidRPr="007412A2">
        <w:rPr>
          <w:sz w:val="24"/>
          <w:szCs w:val="24"/>
          <w:lang w:eastAsia="en-US"/>
        </w:rPr>
        <w:t xml:space="preserve">(5), 799–806. </w:t>
      </w:r>
      <w:hyperlink r:id="rId30" w:tgtFrame="_new" w:history="1">
        <w:r w:rsidRPr="007412A2">
          <w:rPr>
            <w:color w:val="0000FF"/>
            <w:sz w:val="24"/>
            <w:szCs w:val="24"/>
            <w:u w:val="single"/>
            <w:lang w:eastAsia="en-US"/>
          </w:rPr>
          <w:t>https://doi.org/10.18805/ajdfr.DRF-478</w:t>
        </w:r>
      </w:hyperlink>
      <w:r w:rsidRPr="007412A2">
        <w:rPr>
          <w:sz w:val="24"/>
          <w:szCs w:val="24"/>
          <w:lang w:eastAsia="en-US"/>
        </w:rPr>
        <w:t xml:space="preserve"> </w:t>
      </w:r>
    </w:p>
    <w:p w14:paraId="2CB00CE9"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proofErr w:type="spellStart"/>
      <w:r w:rsidRPr="007412A2">
        <w:rPr>
          <w:sz w:val="24"/>
          <w:szCs w:val="24"/>
          <w:lang w:eastAsia="en-US"/>
        </w:rPr>
        <w:t>Okigbo</w:t>
      </w:r>
      <w:proofErr w:type="spellEnd"/>
      <w:r w:rsidRPr="007412A2">
        <w:rPr>
          <w:sz w:val="24"/>
          <w:szCs w:val="24"/>
          <w:lang w:eastAsia="en-US"/>
        </w:rPr>
        <w:t>, R. N. (2001). Mycoflora within black plum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Sweet) fruits. </w:t>
      </w:r>
      <w:r w:rsidRPr="007412A2">
        <w:rPr>
          <w:i/>
          <w:iCs/>
          <w:sz w:val="24"/>
          <w:szCs w:val="24"/>
          <w:lang w:eastAsia="en-US"/>
        </w:rPr>
        <w:t>Fruits, 56</w:t>
      </w:r>
      <w:r w:rsidRPr="007412A2">
        <w:rPr>
          <w:sz w:val="24"/>
          <w:szCs w:val="24"/>
          <w:lang w:eastAsia="en-US"/>
        </w:rPr>
        <w:t xml:space="preserve">(2), 85–92. </w:t>
      </w:r>
      <w:hyperlink r:id="rId31" w:tgtFrame="_new" w:history="1">
        <w:r w:rsidRPr="007412A2">
          <w:rPr>
            <w:color w:val="0000FF"/>
            <w:sz w:val="24"/>
            <w:szCs w:val="24"/>
            <w:u w:val="single"/>
            <w:lang w:eastAsia="en-US"/>
          </w:rPr>
          <w:t>https://www.cambridge.org/core/journals/fruits/article/mycoflora-within-black-plum-vitex-doniana-sweet-fruits/5E008C74F5A27E5429BB97030E22CEC0</w:t>
        </w:r>
      </w:hyperlink>
      <w:r w:rsidRPr="007412A2">
        <w:rPr>
          <w:sz w:val="24"/>
          <w:szCs w:val="24"/>
          <w:lang w:eastAsia="en-US"/>
        </w:rPr>
        <w:t xml:space="preserve"> </w:t>
      </w:r>
    </w:p>
    <w:p w14:paraId="78EC0282"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Onwuka, G. I. (2005). </w:t>
      </w:r>
      <w:r w:rsidRPr="007412A2">
        <w:rPr>
          <w:i/>
          <w:iCs/>
          <w:sz w:val="24"/>
          <w:szCs w:val="24"/>
          <w:lang w:eastAsia="en-US"/>
        </w:rPr>
        <w:t>Food analysis and instrumentation: Theory and practice</w:t>
      </w:r>
      <w:r w:rsidRPr="007412A2">
        <w:rPr>
          <w:sz w:val="24"/>
          <w:szCs w:val="24"/>
          <w:lang w:eastAsia="en-US"/>
        </w:rPr>
        <w:t xml:space="preserve"> (2nd ed.). Naphtali Prints. https://futapac.futa.edu.ng/cgi-bin/koha/opac-detail.pl?biblionumber=25980 </w:t>
      </w:r>
    </w:p>
    <w:p w14:paraId="11293A74"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Orwa, C., Mutua, A., Kindt, R., </w:t>
      </w:r>
      <w:proofErr w:type="spellStart"/>
      <w:r w:rsidRPr="007412A2">
        <w:rPr>
          <w:sz w:val="24"/>
          <w:szCs w:val="24"/>
          <w:lang w:eastAsia="en-US"/>
        </w:rPr>
        <w:t>Jamnadass</w:t>
      </w:r>
      <w:proofErr w:type="spellEnd"/>
      <w:r w:rsidRPr="007412A2">
        <w:rPr>
          <w:sz w:val="24"/>
          <w:szCs w:val="24"/>
          <w:lang w:eastAsia="en-US"/>
        </w:rPr>
        <w:t xml:space="preserve">, R., &amp; Simons, A. (2009). </w:t>
      </w:r>
      <w:proofErr w:type="spellStart"/>
      <w:r w:rsidRPr="007412A2">
        <w:rPr>
          <w:i/>
          <w:iCs/>
          <w:sz w:val="24"/>
          <w:szCs w:val="24"/>
          <w:lang w:eastAsia="en-US"/>
        </w:rPr>
        <w:t>Agroforestree</w:t>
      </w:r>
      <w:proofErr w:type="spellEnd"/>
      <w:r w:rsidRPr="007412A2">
        <w:rPr>
          <w:i/>
          <w:iCs/>
          <w:sz w:val="24"/>
          <w:szCs w:val="24"/>
          <w:lang w:eastAsia="en-US"/>
        </w:rPr>
        <w:t xml:space="preserve"> Database: A tree reference and selection guide version 4.0</w:t>
      </w:r>
      <w:r w:rsidRPr="007412A2">
        <w:rPr>
          <w:sz w:val="24"/>
          <w:szCs w:val="24"/>
          <w:lang w:eastAsia="en-US"/>
        </w:rPr>
        <w:t xml:space="preserve">. World Agroforestry Centre. </w:t>
      </w:r>
      <w:hyperlink r:id="rId32" w:tgtFrame="_new" w:history="1">
        <w:r w:rsidRPr="007412A2">
          <w:rPr>
            <w:color w:val="0000FF"/>
            <w:sz w:val="24"/>
            <w:szCs w:val="24"/>
            <w:u w:val="single"/>
            <w:lang w:eastAsia="en-US"/>
          </w:rPr>
          <w:t>https://apps.worldagroforestry.org/treedb/</w:t>
        </w:r>
      </w:hyperlink>
      <w:r w:rsidRPr="007412A2">
        <w:rPr>
          <w:sz w:val="24"/>
          <w:szCs w:val="24"/>
          <w:lang w:eastAsia="en-US"/>
        </w:rPr>
        <w:t xml:space="preserve"> </w:t>
      </w:r>
    </w:p>
    <w:p w14:paraId="75B4261D"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proofErr w:type="spellStart"/>
      <w:r w:rsidRPr="007412A2">
        <w:rPr>
          <w:sz w:val="24"/>
          <w:szCs w:val="24"/>
          <w:lang w:eastAsia="en-US"/>
        </w:rPr>
        <w:t>Oumorou</w:t>
      </w:r>
      <w:proofErr w:type="spellEnd"/>
      <w:r w:rsidRPr="007412A2">
        <w:rPr>
          <w:sz w:val="24"/>
          <w:szCs w:val="24"/>
          <w:lang w:eastAsia="en-US"/>
        </w:rPr>
        <w:t xml:space="preserve">, M., </w:t>
      </w:r>
      <w:proofErr w:type="spellStart"/>
      <w:r w:rsidRPr="007412A2">
        <w:rPr>
          <w:sz w:val="24"/>
          <w:szCs w:val="24"/>
          <w:lang w:eastAsia="en-US"/>
        </w:rPr>
        <w:t>Sinadouwirou</w:t>
      </w:r>
      <w:proofErr w:type="spellEnd"/>
      <w:r w:rsidRPr="007412A2">
        <w:rPr>
          <w:sz w:val="24"/>
          <w:szCs w:val="24"/>
          <w:lang w:eastAsia="en-US"/>
        </w:rPr>
        <w:t xml:space="preserve">, T., Kiki, M., </w:t>
      </w:r>
      <w:proofErr w:type="spellStart"/>
      <w:r w:rsidRPr="007412A2">
        <w:rPr>
          <w:sz w:val="24"/>
          <w:szCs w:val="24"/>
          <w:lang w:eastAsia="en-US"/>
        </w:rPr>
        <w:t>Glele</w:t>
      </w:r>
      <w:proofErr w:type="spellEnd"/>
      <w:r w:rsidRPr="007412A2">
        <w:rPr>
          <w:sz w:val="24"/>
          <w:szCs w:val="24"/>
          <w:lang w:eastAsia="en-US"/>
        </w:rPr>
        <w:t xml:space="preserve"> Kakaï, R., Mensah, G. A., &amp; </w:t>
      </w:r>
      <w:proofErr w:type="spellStart"/>
      <w:r w:rsidRPr="007412A2">
        <w:rPr>
          <w:sz w:val="24"/>
          <w:szCs w:val="24"/>
          <w:lang w:eastAsia="en-US"/>
        </w:rPr>
        <w:t>Sinsin</w:t>
      </w:r>
      <w:proofErr w:type="spellEnd"/>
      <w:r w:rsidRPr="007412A2">
        <w:rPr>
          <w:sz w:val="24"/>
          <w:szCs w:val="24"/>
          <w:lang w:eastAsia="en-US"/>
        </w:rPr>
        <w:t xml:space="preserve">, B. (2010). Disturbance and population structure of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Sw. in northern Benin, West Africa. </w:t>
      </w:r>
      <w:r w:rsidRPr="007412A2">
        <w:rPr>
          <w:i/>
          <w:iCs/>
          <w:sz w:val="24"/>
          <w:szCs w:val="24"/>
          <w:lang w:eastAsia="en-US"/>
        </w:rPr>
        <w:t>International Journal of Biological and Chemical Sciences, 4</w:t>
      </w:r>
      <w:r w:rsidRPr="007412A2">
        <w:rPr>
          <w:sz w:val="24"/>
          <w:szCs w:val="24"/>
          <w:lang w:eastAsia="en-US"/>
        </w:rPr>
        <w:t xml:space="preserve">(3). https://doi.org/10.4314/ijbcs.v4i3.60467 </w:t>
      </w:r>
    </w:p>
    <w:p w14:paraId="1B272CA9"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Veliu, A., Abdullahi, X., Sulejmani, E., Celik, O. F., </w:t>
      </w:r>
      <w:proofErr w:type="spellStart"/>
      <w:r w:rsidRPr="007412A2">
        <w:rPr>
          <w:sz w:val="24"/>
          <w:szCs w:val="24"/>
          <w:lang w:eastAsia="en-US"/>
        </w:rPr>
        <w:t>Olcer</w:t>
      </w:r>
      <w:proofErr w:type="spellEnd"/>
      <w:r w:rsidRPr="007412A2">
        <w:rPr>
          <w:sz w:val="24"/>
          <w:szCs w:val="24"/>
          <w:lang w:eastAsia="en-US"/>
        </w:rPr>
        <w:t xml:space="preserve">, M. A., &amp; Ozturk, B. (2025). Effect of pectin on the quality attributes and phenolic composition of blackberry jam from wild and cultivated fruits at different altitudes. </w:t>
      </w:r>
      <w:r w:rsidRPr="007412A2">
        <w:rPr>
          <w:i/>
          <w:iCs/>
          <w:sz w:val="24"/>
          <w:szCs w:val="24"/>
          <w:lang w:eastAsia="en-US"/>
        </w:rPr>
        <w:t>Foods, 14</w:t>
      </w:r>
      <w:r w:rsidRPr="007412A2">
        <w:rPr>
          <w:sz w:val="24"/>
          <w:szCs w:val="24"/>
          <w:lang w:eastAsia="en-US"/>
        </w:rPr>
        <w:t xml:space="preserve">(19), Article 3420. </w:t>
      </w:r>
      <w:hyperlink r:id="rId33" w:tgtFrame="_new" w:history="1">
        <w:r w:rsidRPr="007412A2">
          <w:rPr>
            <w:color w:val="0000FF"/>
            <w:sz w:val="24"/>
            <w:szCs w:val="24"/>
            <w:u w:val="single"/>
            <w:lang w:eastAsia="en-US"/>
          </w:rPr>
          <w:t>https://doi.org/10.3390/foods14193420</w:t>
        </w:r>
      </w:hyperlink>
      <w:r w:rsidRPr="007412A2">
        <w:rPr>
          <w:sz w:val="24"/>
          <w:szCs w:val="24"/>
          <w:lang w:eastAsia="en-US"/>
        </w:rPr>
        <w:t xml:space="preserve"> </w:t>
      </w:r>
    </w:p>
    <w:p w14:paraId="48E90844" w14:textId="77777777" w:rsidR="007412A2" w:rsidRPr="007412A2" w:rsidRDefault="007412A2" w:rsidP="007412A2">
      <w:pPr>
        <w:widowControl/>
        <w:suppressAutoHyphens w:val="0"/>
        <w:autoSpaceDE/>
        <w:rPr>
          <w:sz w:val="24"/>
          <w:szCs w:val="24"/>
          <w:lang w:eastAsia="en-US"/>
        </w:rPr>
      </w:pPr>
      <w:r w:rsidRPr="007412A2">
        <w:rPr>
          <w:rFonts w:hAnsi="Symbol"/>
          <w:sz w:val="24"/>
          <w:szCs w:val="24"/>
          <w:lang w:eastAsia="en-US"/>
        </w:rPr>
        <w:t></w:t>
      </w:r>
      <w:r w:rsidRPr="007412A2">
        <w:rPr>
          <w:sz w:val="24"/>
          <w:szCs w:val="24"/>
          <w:lang w:eastAsia="en-US"/>
        </w:rPr>
        <w:t xml:space="preserve">  </w:t>
      </w:r>
      <w:proofErr w:type="spellStart"/>
      <w:r w:rsidRPr="007412A2">
        <w:rPr>
          <w:sz w:val="24"/>
          <w:szCs w:val="24"/>
          <w:lang w:eastAsia="en-US"/>
        </w:rPr>
        <w:t>Vunchi</w:t>
      </w:r>
      <w:proofErr w:type="spellEnd"/>
      <w:r w:rsidRPr="007412A2">
        <w:rPr>
          <w:sz w:val="24"/>
          <w:szCs w:val="24"/>
          <w:lang w:eastAsia="en-US"/>
        </w:rPr>
        <w:t xml:space="preserve">, M. A., Umar, A. N., King, M. A., Liman, A. A., Jeremiah, G., &amp; </w:t>
      </w:r>
      <w:proofErr w:type="spellStart"/>
      <w:r w:rsidRPr="007412A2">
        <w:rPr>
          <w:sz w:val="24"/>
          <w:szCs w:val="24"/>
          <w:lang w:eastAsia="en-US"/>
        </w:rPr>
        <w:t>Aigbe</w:t>
      </w:r>
      <w:proofErr w:type="spellEnd"/>
      <w:r w:rsidRPr="007412A2">
        <w:rPr>
          <w:sz w:val="24"/>
          <w:szCs w:val="24"/>
          <w:lang w:eastAsia="en-US"/>
        </w:rPr>
        <w:t xml:space="preserve">, C. O. (2011). Proximate, vitamins and mineral composition of </w:t>
      </w:r>
      <w:r w:rsidRPr="007412A2">
        <w:rPr>
          <w:i/>
          <w:iCs/>
          <w:sz w:val="24"/>
          <w:szCs w:val="24"/>
          <w:lang w:eastAsia="en-US"/>
        </w:rPr>
        <w:t xml:space="preserve">Vitex </w:t>
      </w:r>
      <w:proofErr w:type="spellStart"/>
      <w:r w:rsidRPr="007412A2">
        <w:rPr>
          <w:i/>
          <w:iCs/>
          <w:sz w:val="24"/>
          <w:szCs w:val="24"/>
          <w:lang w:eastAsia="en-US"/>
        </w:rPr>
        <w:t>doniana</w:t>
      </w:r>
      <w:proofErr w:type="spellEnd"/>
      <w:r w:rsidRPr="007412A2">
        <w:rPr>
          <w:sz w:val="24"/>
          <w:szCs w:val="24"/>
          <w:lang w:eastAsia="en-US"/>
        </w:rPr>
        <w:t xml:space="preserve"> (black plum) fruit pulp. </w:t>
      </w:r>
      <w:r w:rsidRPr="007412A2">
        <w:rPr>
          <w:i/>
          <w:iCs/>
          <w:sz w:val="24"/>
          <w:szCs w:val="24"/>
          <w:lang w:eastAsia="en-US"/>
        </w:rPr>
        <w:t>Nigerian Journal of Basic and Applied Sciences, 19</w:t>
      </w:r>
      <w:r w:rsidRPr="007412A2">
        <w:rPr>
          <w:sz w:val="24"/>
          <w:szCs w:val="24"/>
          <w:lang w:eastAsia="en-US"/>
        </w:rPr>
        <w:t xml:space="preserve">(1), 97–101. https://doi.org/10.4314/njbas.v19i1.69352 </w:t>
      </w:r>
    </w:p>
    <w:p w14:paraId="339178B6" w14:textId="2EEEED60" w:rsidR="007412A2" w:rsidRPr="007412A2" w:rsidRDefault="007412A2" w:rsidP="007412A2">
      <w:r w:rsidRPr="007412A2">
        <w:rPr>
          <w:rFonts w:hAnsi="Symbol"/>
          <w:sz w:val="24"/>
          <w:szCs w:val="24"/>
          <w:lang w:eastAsia="en-US"/>
        </w:rPr>
        <w:t></w:t>
      </w:r>
      <w:r w:rsidRPr="007412A2">
        <w:rPr>
          <w:sz w:val="24"/>
          <w:szCs w:val="24"/>
          <w:lang w:eastAsia="en-US"/>
        </w:rPr>
        <w:t xml:space="preserve">  Zhang, M., Li, B., Pan, S., Xu, H., Qian, G., Yan, M., Pan, A., Xin, D., &amp; Xin, G. (2025). Selection of </w:t>
      </w:r>
      <w:r w:rsidRPr="007412A2">
        <w:rPr>
          <w:i/>
          <w:iCs/>
          <w:sz w:val="24"/>
          <w:szCs w:val="24"/>
          <w:lang w:eastAsia="en-US"/>
        </w:rPr>
        <w:t>Actinidia arguta</w:t>
      </w:r>
      <w:r w:rsidRPr="007412A2">
        <w:rPr>
          <w:sz w:val="24"/>
          <w:szCs w:val="24"/>
          <w:lang w:eastAsia="en-US"/>
        </w:rPr>
        <w:t xml:space="preserve"> germplasm resources suitable for processing into high-quality jam. </w:t>
      </w:r>
      <w:r w:rsidRPr="007412A2">
        <w:rPr>
          <w:i/>
          <w:iCs/>
          <w:sz w:val="24"/>
          <w:szCs w:val="24"/>
          <w:lang w:eastAsia="en-US"/>
        </w:rPr>
        <w:t>Journal of Future Foods</w:t>
      </w:r>
      <w:r w:rsidRPr="007412A2">
        <w:rPr>
          <w:sz w:val="24"/>
          <w:szCs w:val="24"/>
          <w:lang w:eastAsia="en-US"/>
        </w:rPr>
        <w:t xml:space="preserve">. Advance online publication. </w:t>
      </w:r>
      <w:hyperlink r:id="rId34" w:tgtFrame="_new" w:history="1">
        <w:r w:rsidRPr="007412A2">
          <w:rPr>
            <w:color w:val="0000FF"/>
            <w:sz w:val="24"/>
            <w:szCs w:val="24"/>
            <w:u w:val="single"/>
            <w:lang w:eastAsia="en-US"/>
          </w:rPr>
          <w:t>https://doi.org/10.1016/j.jfutfo.2025.03.009</w:t>
        </w:r>
      </w:hyperlink>
    </w:p>
    <w:sectPr w:rsidR="007412A2" w:rsidRPr="007412A2">
      <w:headerReference w:type="default" r:id="rId35"/>
      <w:footerReference w:type="default" r:id="rId36"/>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75711" w14:textId="77777777" w:rsidR="00FE03D3" w:rsidRDefault="00FE03D3">
      <w:r>
        <w:separator/>
      </w:r>
    </w:p>
  </w:endnote>
  <w:endnote w:type="continuationSeparator" w:id="0">
    <w:p w14:paraId="6CDA783B" w14:textId="77777777" w:rsidR="00FE03D3" w:rsidRDefault="00FE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4A40" w14:textId="77777777" w:rsidR="000B0212" w:rsidRDefault="00000000">
    <w:pPr>
      <w:pStyle w:val="Footer"/>
      <w:jc w:val="center"/>
    </w:pPr>
    <w:r>
      <w:fldChar w:fldCharType="begin"/>
    </w:r>
    <w:r>
      <w:instrText xml:space="preserve"> PAGE </w:instrText>
    </w:r>
    <w:r>
      <w:fldChar w:fldCharType="separate"/>
    </w:r>
    <w:r>
      <w:t>14</w:t>
    </w:r>
    <w:r>
      <w:fldChar w:fldCharType="end"/>
    </w:r>
  </w:p>
  <w:p w14:paraId="0E0D6034" w14:textId="77777777" w:rsidR="000B0212" w:rsidRDefault="000B0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5202E" w14:textId="77777777" w:rsidR="00FE03D3" w:rsidRDefault="00FE03D3">
      <w:r>
        <w:separator/>
      </w:r>
    </w:p>
  </w:footnote>
  <w:footnote w:type="continuationSeparator" w:id="0">
    <w:p w14:paraId="69DA4679" w14:textId="77777777" w:rsidR="00FE03D3" w:rsidRDefault="00FE0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7AEB" w14:textId="77777777" w:rsidR="000B0212" w:rsidRDefault="00000000">
    <w:pPr>
      <w:pStyle w:val="Header"/>
      <w:rPr>
        <w:lang w:eastAsia="en-US"/>
      </w:rPr>
    </w:pPr>
    <w:r>
      <w:rPr>
        <w:lang w:eastAsia="en-US"/>
      </w:rPr>
      <w:pict w14:anchorId="50D88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88533" o:spid="_x0000_s1025" type="#_x0000_t136" style="position:absolute;margin-left:0;margin-top:0;width:593.8pt;height:70.8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B12A0"/>
    <w:multiLevelType w:val="multilevel"/>
    <w:tmpl w:val="816A3324"/>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EEA780C"/>
    <w:multiLevelType w:val="hybridMultilevel"/>
    <w:tmpl w:val="8A58D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950146">
    <w:abstractNumId w:val="0"/>
  </w:num>
  <w:num w:numId="2" w16cid:durableId="904529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autoHyphenation/>
  <w:hyphenationZone w:val="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e0MLAwNTEwNTY2NzNS0lEKTi0uzszPAykwrAUAQ1TMhywAAAA="/>
  </w:docVars>
  <w:rsids>
    <w:rsidRoot w:val="000B0212"/>
    <w:rsid w:val="00017BC0"/>
    <w:rsid w:val="00023079"/>
    <w:rsid w:val="000B0212"/>
    <w:rsid w:val="000F6E16"/>
    <w:rsid w:val="00135868"/>
    <w:rsid w:val="00192197"/>
    <w:rsid w:val="003160C0"/>
    <w:rsid w:val="00341C51"/>
    <w:rsid w:val="00347338"/>
    <w:rsid w:val="0037303B"/>
    <w:rsid w:val="00386EAE"/>
    <w:rsid w:val="003D6726"/>
    <w:rsid w:val="004027A0"/>
    <w:rsid w:val="004479CD"/>
    <w:rsid w:val="00451EB5"/>
    <w:rsid w:val="004E4E74"/>
    <w:rsid w:val="00637E3F"/>
    <w:rsid w:val="00642B7C"/>
    <w:rsid w:val="00667FFD"/>
    <w:rsid w:val="007412A2"/>
    <w:rsid w:val="009574B8"/>
    <w:rsid w:val="00AB4C33"/>
    <w:rsid w:val="00B0338D"/>
    <w:rsid w:val="00C15931"/>
    <w:rsid w:val="00C77C02"/>
    <w:rsid w:val="00D64101"/>
    <w:rsid w:val="00E204BB"/>
    <w:rsid w:val="00E67986"/>
    <w:rsid w:val="00EF7191"/>
    <w:rsid w:val="00FE0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F69F0D"/>
  <w15:docId w15:val="{CDB6BE98-424D-47A9-A414-CDA83929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Times New Roman" w:eastAsia="Times New Roman" w:hAnsi="Times New Roman" w:cs="Times New Roman"/>
      <w:sz w:val="22"/>
      <w:szCs w:val="22"/>
      <w:lang w:eastAsia="zh-CN"/>
    </w:rPr>
  </w:style>
  <w:style w:type="paragraph" w:styleId="Heading1">
    <w:name w:val="heading 1"/>
    <w:basedOn w:val="Normal"/>
    <w:next w:val="Normal"/>
    <w:uiPriority w:val="9"/>
    <w:qFormat/>
    <w:pPr>
      <w:keepNext/>
      <w:keepLines/>
      <w:numPr>
        <w:numId w:val="1"/>
      </w:numPr>
      <w:spacing w:before="360" w:after="360"/>
      <w:jc w:val="both"/>
      <w:outlineLvl w:val="0"/>
    </w:pPr>
    <w:rPr>
      <w:b/>
      <w:sz w:val="24"/>
      <w:szCs w:val="32"/>
    </w:rPr>
  </w:style>
  <w:style w:type="paragraph" w:styleId="Heading2">
    <w:name w:val="heading 2"/>
    <w:basedOn w:val="Normal"/>
    <w:next w:val="Normal"/>
    <w:uiPriority w:val="9"/>
    <w:unhideWhenUsed/>
    <w:qFormat/>
    <w:pPr>
      <w:keepNext/>
      <w:keepLines/>
      <w:numPr>
        <w:ilvl w:val="1"/>
        <w:numId w:val="1"/>
      </w:numPr>
      <w:spacing w:before="40"/>
      <w:outlineLvl w:val="1"/>
    </w:pPr>
    <w:rPr>
      <w:rFonts w:ascii="Calibri Light" w:hAnsi="Calibri Light"/>
      <w:color w:val="2E74B5"/>
      <w:sz w:val="26"/>
      <w:szCs w:val="26"/>
    </w:rPr>
  </w:style>
  <w:style w:type="paragraph" w:styleId="Heading3">
    <w:name w:val="heading 3"/>
    <w:basedOn w:val="Normal"/>
    <w:next w:val="Normal"/>
    <w:uiPriority w:val="9"/>
    <w:semiHidden/>
    <w:unhideWhenUsed/>
    <w:qFormat/>
    <w:pPr>
      <w:keepNext/>
      <w:keepLines/>
      <w:numPr>
        <w:ilvl w:val="2"/>
        <w:numId w:val="1"/>
      </w:numPr>
      <w:spacing w:before="40"/>
      <w:outlineLvl w:val="2"/>
    </w:pPr>
    <w:rPr>
      <w:rFonts w:ascii="Calibri Light"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qFormat/>
  </w:style>
  <w:style w:type="character" w:customStyle="1" w:styleId="Heading1Char">
    <w:name w:val="Heading 1 Char"/>
    <w:qFormat/>
    <w:rPr>
      <w:rFonts w:ascii="Times New Roman" w:eastAsia="Times New Roman" w:hAnsi="Times New Roman" w:cs="Times New Roman"/>
      <w:b/>
      <w:sz w:val="24"/>
      <w:szCs w:val="32"/>
    </w:rPr>
  </w:style>
  <w:style w:type="character" w:customStyle="1" w:styleId="SubtitleChar">
    <w:name w:val="Subtitle Char"/>
    <w:qFormat/>
    <w:rPr>
      <w:rFonts w:ascii="Calibri Light" w:eastAsia="Times New Roman" w:hAnsi="Calibri Light" w:cs="Times New Roman"/>
      <w:i/>
      <w:iCs/>
      <w:color w:val="4F81BD"/>
      <w:spacing w:val="15"/>
      <w:sz w:val="24"/>
      <w:szCs w:val="24"/>
    </w:rPr>
  </w:style>
  <w:style w:type="character" w:customStyle="1" w:styleId="Heading2Char">
    <w:name w:val="Heading 2 Char"/>
    <w:qFormat/>
    <w:rPr>
      <w:rFonts w:ascii="Calibri Light" w:eastAsia="Times New Roman" w:hAnsi="Calibri Light" w:cs="Times New Roman"/>
      <w:color w:val="2E74B5"/>
      <w:sz w:val="26"/>
      <w:szCs w:val="26"/>
    </w:rPr>
  </w:style>
  <w:style w:type="character" w:customStyle="1" w:styleId="Heading3Char">
    <w:name w:val="Heading 3 Char"/>
    <w:qFormat/>
    <w:rPr>
      <w:rFonts w:ascii="Calibri Light" w:eastAsia="Times New Roman" w:hAnsi="Calibri Light" w:cs="Times New Roman"/>
      <w:color w:val="1F4D78"/>
      <w:sz w:val="24"/>
      <w:szCs w:val="24"/>
    </w:rPr>
  </w:style>
  <w:style w:type="character" w:styleId="Emphasis">
    <w:name w:val="Emphasis"/>
    <w:uiPriority w:val="20"/>
    <w:qFormat/>
    <w:rPr>
      <w:i/>
      <w:iCs/>
    </w:rPr>
  </w:style>
  <w:style w:type="character" w:styleId="Strong">
    <w:name w:val="Strong"/>
    <w:uiPriority w:val="22"/>
    <w:qFormat/>
    <w:rPr>
      <w:b/>
      <w:bCs/>
    </w:rPr>
  </w:style>
  <w:style w:type="character" w:styleId="Hyperlink">
    <w:name w:val="Hyperlink"/>
    <w:rPr>
      <w:color w:val="0563C1"/>
      <w:u w:val="single"/>
    </w:rPr>
  </w:style>
  <w:style w:type="character" w:customStyle="1" w:styleId="UnresolvedMention1">
    <w:name w:val="Unresolved Mention1"/>
    <w:qFormat/>
    <w:rPr>
      <w:color w:val="605E5C"/>
      <w:shd w:val="clear" w:color="auto" w:fill="E1DFDD"/>
    </w:rPr>
  </w:style>
  <w:style w:type="character" w:customStyle="1" w:styleId="HeaderChar">
    <w:name w:val="Header Char"/>
    <w:qFormat/>
    <w:rPr>
      <w:rFonts w:ascii="Times New Roman" w:eastAsia="Times New Roman" w:hAnsi="Times New Roman" w:cs="Times New Roman"/>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qFormat/>
    <w:pPr>
      <w:widowControl/>
      <w:autoSpaceDE/>
      <w:spacing w:after="200"/>
      <w:jc w:val="center"/>
    </w:pPr>
    <w:rPr>
      <w:rFonts w:eastAsia="Calibri"/>
      <w:b/>
      <w:bCs/>
      <w:color w:val="000000"/>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widowControl/>
      <w:autoSpaceDE/>
    </w:pPr>
    <w:rPr>
      <w:rFonts w:ascii="Calibri" w:eastAsia="Calibri" w:hAnsi="Calibri"/>
    </w:rPr>
  </w:style>
  <w:style w:type="paragraph" w:styleId="NoSpacing">
    <w:name w:val="No Spacing"/>
    <w:qFormat/>
    <w:pPr>
      <w:suppressAutoHyphens/>
    </w:pPr>
    <w:rPr>
      <w:rFonts w:ascii="Calibri" w:eastAsia="Calibri" w:hAnsi="Calibri" w:cs="Times New Roman"/>
      <w:sz w:val="22"/>
      <w:szCs w:val="22"/>
      <w:lang w:val="en-GB" w:eastAsia="zh-CN"/>
    </w:rPr>
  </w:style>
  <w:style w:type="paragraph" w:styleId="Subtitle">
    <w:name w:val="Subtitle"/>
    <w:basedOn w:val="Normal"/>
    <w:next w:val="Normal"/>
    <w:uiPriority w:val="11"/>
    <w:qFormat/>
    <w:pPr>
      <w:widowControl/>
      <w:autoSpaceDE/>
      <w:spacing w:after="200" w:line="276" w:lineRule="auto"/>
    </w:pPr>
    <w:rPr>
      <w:rFonts w:ascii="Calibri Light" w:hAnsi="Calibri Light"/>
      <w:i/>
      <w:iCs/>
      <w:color w:val="4F81BD"/>
      <w:spacing w:val="15"/>
      <w:sz w:val="24"/>
      <w:szCs w:val="24"/>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styleId="NormalWeb">
    <w:name w:val="Normal (Web)"/>
    <w:basedOn w:val="Normal"/>
    <w:qFormat/>
    <w:pPr>
      <w:widowControl/>
      <w:autoSpaceDE/>
      <w:spacing w:before="280" w:after="280"/>
    </w:pPr>
    <w:rPr>
      <w:sz w:val="24"/>
      <w:szCs w:val="24"/>
    </w:rPr>
  </w:style>
  <w:style w:type="paragraph" w:styleId="Header">
    <w:name w:val="header"/>
    <w:basedOn w:val="Normal"/>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pdq2pgselectionanchorcontainer">
    <w:name w:val="pdq2pg_selectionanchorcontainer"/>
    <w:basedOn w:val="Normal"/>
    <w:rsid w:val="00135868"/>
    <w:pPr>
      <w:widowControl/>
      <w:suppressAutoHyphens w:val="0"/>
      <w:autoSpaceDE/>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1/JFP-100105194" TargetMode="External"/><Relationship Id="rId18" Type="http://schemas.openxmlformats.org/officeDocument/2006/relationships/hyperlink" Target="https://doi.org/10.1186/s40066-017-0130-8" TargetMode="External"/><Relationship Id="rId26" Type="http://schemas.openxmlformats.org/officeDocument/2006/relationships/hyperlink" Target="https://www.fao.org/input/download/standards/11254/CXS_296e.pdf?utm_source=chatgpt.com" TargetMode="External"/><Relationship Id="rId21" Type="http://schemas.openxmlformats.org/officeDocument/2006/relationships/hyperlink" Target="https://doi.org/10.1155/2018/2878215" TargetMode="External"/><Relationship Id="rId34" Type="http://schemas.openxmlformats.org/officeDocument/2006/relationships/hyperlink" Target="https://doi.org/10.1016/j.jfutfo.2025.03.009"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ijaar.org/articles/Volume3-Number1/Sciences-Technology-Engineering/ijaar-ste-v3n1-jan17-p13.pdf?utm_source=chatgpt.com" TargetMode="External"/><Relationship Id="rId25" Type="http://schemas.openxmlformats.org/officeDocument/2006/relationships/hyperlink" Target="https://iiardjournals.org/get/RJFSQC/VOL.%203%20NO.%202%202017/PRODUCTION%20AND%20ORGANOLEPTIC.pdf?utm_source=chatgpt.com" TargetMode="External"/><Relationship Id="rId33" Type="http://schemas.openxmlformats.org/officeDocument/2006/relationships/hyperlink" Target="https://doi.org/10.3390/foods1419342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4314/ajfand.v11i3.66629" TargetMode="External"/><Relationship Id="rId20" Type="http://schemas.openxmlformats.org/officeDocument/2006/relationships/hyperlink" Target="https://doi.org/10.56557/ajocr/2025/v10i410083" TargetMode="External"/><Relationship Id="rId29" Type="http://schemas.openxmlformats.org/officeDocument/2006/relationships/hyperlink" Target="https://doi.org/10.9734/afsj/2023/v22i106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16/j.carbpol.2016.12.033" TargetMode="External"/><Relationship Id="rId32" Type="http://schemas.openxmlformats.org/officeDocument/2006/relationships/hyperlink" Target="https://apps.worldagroforestry.org/treedb/?utm_source=chatgpt.com"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jol.info/index.php/jrfwe/article/view/190292?utm_source=chatgpt.com" TargetMode="External"/><Relationship Id="rId23" Type="http://schemas.openxmlformats.org/officeDocument/2006/relationships/hyperlink" Target="https://doi.org/10.1080/15538362.2022.2113598" TargetMode="External"/><Relationship Id="rId28" Type="http://schemas.openxmlformats.org/officeDocument/2006/relationships/hyperlink" Target="https://www.phytojournal.com/archives/2018.v7.i5.5611/sensory-evaluation-and-microbial-analysis-of-rose-petal-jam?utm_source=chatgpt.com" TargetMode="External"/><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www.aoac.org/scientific-solutions/standards-and-official-methods/?utm_source=chatgpt.com" TargetMode="External"/><Relationship Id="rId31" Type="http://schemas.openxmlformats.org/officeDocument/2006/relationships/hyperlink" Target="https://www.cambridge.org/core/journals/fruits/article/mycoflora-within-black-plum-vitex-doniana-sweet-fruits/5E008C74F5A27E5429BB97030E22CEC0?utm_source=chatgpt.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iiste.org/Journals/index.php/JNSR/article/view/8520?utm_source=chatgpt.com" TargetMode="External"/><Relationship Id="rId22" Type="http://schemas.openxmlformats.org/officeDocument/2006/relationships/hyperlink" Target="https://press.uchicago.edu/ucp/books/book/distributed/U/bo9857025.html?utm_source=chatgpt.com" TargetMode="External"/><Relationship Id="rId27" Type="http://schemas.openxmlformats.org/officeDocument/2006/relationships/hyperlink" Target="https://doi.org/10.1051/fruits/2012017" TargetMode="External"/><Relationship Id="rId30" Type="http://schemas.openxmlformats.org/officeDocument/2006/relationships/hyperlink" Target="https://doi.org/10.18805/ajdfr.DRF-478" TargetMode="External"/><Relationship Id="rId35"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5654</Words>
  <Characters>32231</Characters>
  <Application>Microsoft Office Word</Application>
  <DocSecurity>0</DocSecurity>
  <Lines>268</Lines>
  <Paragraphs>75</Paragraphs>
  <ScaleCrop>false</ScaleCrop>
  <Company/>
  <LinksUpToDate>false</LinksUpToDate>
  <CharactersWithSpaces>37810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2026_JAFSAT_15255</dc:title>
  <dc:subject/>
  <dc:creator>USER</dc:creator>
  <cp:keywords/>
  <dc:description/>
  <cp:lastModifiedBy>SDI 1087</cp:lastModifiedBy>
  <cp:revision>24</cp:revision>
  <dcterms:created xsi:type="dcterms:W3CDTF">2026-07-06T12:10:00Z</dcterms:created>
  <dcterms:modified xsi:type="dcterms:W3CDTF">2026-07-09T05:25:00Z</dcterms:modified>
  <dc:language>en-US</dc:language>
</cp:coreProperties>
</file>