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4EC8A" w14:textId="77777777" w:rsidR="00BC0DD8" w:rsidRPr="004923B9" w:rsidRDefault="00172625" w:rsidP="00050A6E">
      <w:pPr>
        <w:spacing w:after="0" w:line="240" w:lineRule="auto"/>
        <w:ind w:left="40"/>
        <w:jc w:val="center"/>
        <w:rPr>
          <w:rFonts w:ascii="Times New Roman" w:eastAsia="Times New Roman" w:hAnsi="Times New Roman" w:cs="Times New Roman"/>
          <w:b/>
          <w:sz w:val="24"/>
          <w:szCs w:val="24"/>
        </w:rPr>
      </w:pPr>
      <w:r w:rsidRPr="004923B9">
        <w:rPr>
          <w:rFonts w:ascii="Times New Roman" w:eastAsia="Times New Roman" w:hAnsi="Times New Roman" w:cs="Times New Roman"/>
          <w:b/>
          <w:sz w:val="24"/>
          <w:szCs w:val="24"/>
        </w:rPr>
        <w:t xml:space="preserve">Evaluation of </w:t>
      </w:r>
      <w:r w:rsidR="001C03BC" w:rsidRPr="004923B9">
        <w:rPr>
          <w:rFonts w:ascii="Times New Roman" w:eastAsia="Times New Roman" w:hAnsi="Times New Roman" w:cs="Times New Roman"/>
          <w:b/>
          <w:sz w:val="24"/>
          <w:szCs w:val="24"/>
        </w:rPr>
        <w:t xml:space="preserve">Bioactive Compounds from Selected Tropical Spices </w:t>
      </w:r>
      <w:r w:rsidRPr="004923B9">
        <w:rPr>
          <w:rFonts w:ascii="Times New Roman" w:eastAsia="Times New Roman" w:hAnsi="Times New Roman" w:cs="Times New Roman"/>
          <w:b/>
          <w:sz w:val="24"/>
          <w:szCs w:val="24"/>
        </w:rPr>
        <w:t xml:space="preserve">Extracted </w:t>
      </w:r>
      <w:r w:rsidR="001C03BC" w:rsidRPr="004923B9">
        <w:rPr>
          <w:rFonts w:ascii="Times New Roman" w:eastAsia="Times New Roman" w:hAnsi="Times New Roman" w:cs="Times New Roman"/>
          <w:b/>
          <w:sz w:val="24"/>
          <w:szCs w:val="24"/>
        </w:rPr>
        <w:t>Using Microwave-Assisted Extraction Technology</w:t>
      </w:r>
    </w:p>
    <w:p w14:paraId="17D319DD" w14:textId="77777777" w:rsidR="00FF42DC" w:rsidRPr="004923B9" w:rsidRDefault="00FF42DC" w:rsidP="00215775">
      <w:pPr>
        <w:spacing w:before="100" w:beforeAutospacing="1" w:after="100" w:afterAutospacing="1" w:line="240" w:lineRule="auto"/>
        <w:jc w:val="both"/>
        <w:rPr>
          <w:rFonts w:ascii="Times New Roman" w:eastAsia="Times New Roman" w:hAnsi="Times New Roman" w:cs="Times New Roman"/>
          <w:sz w:val="24"/>
          <w:szCs w:val="24"/>
        </w:rPr>
      </w:pPr>
      <w:r w:rsidRPr="004923B9">
        <w:rPr>
          <w:rFonts w:ascii="Times New Roman" w:eastAsia="Times New Roman" w:hAnsi="Times New Roman" w:cs="Times New Roman"/>
          <w:b/>
          <w:bCs/>
          <w:sz w:val="24"/>
          <w:szCs w:val="24"/>
        </w:rPr>
        <w:t>Abstract</w:t>
      </w:r>
    </w:p>
    <w:p w14:paraId="25102FF7" w14:textId="77777777" w:rsidR="00AB3B17" w:rsidRPr="004923B9" w:rsidRDefault="00AB3B17" w:rsidP="00447868">
      <w:pPr>
        <w:spacing w:line="240" w:lineRule="auto"/>
        <w:jc w:val="both"/>
        <w:rPr>
          <w:rStyle w:val="Strong"/>
        </w:rPr>
      </w:pPr>
      <w:r w:rsidRPr="004923B9">
        <w:t>This study evaluated the bioactive constituents and antioxidant properties of crude extracts obtained from three tropical spices, namely ginger (</w:t>
      </w:r>
      <w:r w:rsidRPr="004923B9">
        <w:rPr>
          <w:rStyle w:val="Emphasis"/>
        </w:rPr>
        <w:t>Zingiber officinale</w:t>
      </w:r>
      <w:r w:rsidRPr="004923B9">
        <w:t xml:space="preserve">), </w:t>
      </w:r>
      <w:proofErr w:type="spellStart"/>
      <w:r w:rsidRPr="004923B9">
        <w:rPr>
          <w:rStyle w:val="Emphasis"/>
        </w:rPr>
        <w:t>Tetrapleura</w:t>
      </w:r>
      <w:proofErr w:type="spellEnd"/>
      <w:r w:rsidRPr="004923B9">
        <w:rPr>
          <w:rStyle w:val="Emphasis"/>
        </w:rPr>
        <w:t xml:space="preserve"> tetraptera</w:t>
      </w:r>
      <w:r w:rsidRPr="004923B9">
        <w:t xml:space="preserve"> and </w:t>
      </w:r>
      <w:proofErr w:type="spellStart"/>
      <w:r w:rsidRPr="004923B9">
        <w:rPr>
          <w:rStyle w:val="Emphasis"/>
        </w:rPr>
        <w:t>Monodora</w:t>
      </w:r>
      <w:proofErr w:type="spellEnd"/>
      <w:r w:rsidRPr="004923B9">
        <w:rPr>
          <w:rStyle w:val="Emphasis"/>
        </w:rPr>
        <w:t xml:space="preserve"> </w:t>
      </w:r>
      <w:proofErr w:type="spellStart"/>
      <w:r w:rsidRPr="004923B9">
        <w:rPr>
          <w:rStyle w:val="Emphasis"/>
        </w:rPr>
        <w:t>myristica</w:t>
      </w:r>
      <w:proofErr w:type="spellEnd"/>
      <w:r w:rsidRPr="004923B9">
        <w:t xml:space="preserve">, using microwave-assisted extraction. The spice materials were processed into dried powders and extracted under microwave-assisted conditions using ethyl ether as the solvent. Extract yield, qualitative and quantitative phytochemical composition and </w:t>
      </w:r>
      <w:r w:rsidRPr="004923B9">
        <w:rPr>
          <w:rStyle w:val="Emphasis"/>
        </w:rPr>
        <w:t>in vitro</w:t>
      </w:r>
      <w:r w:rsidRPr="004923B9">
        <w:t xml:space="preserve"> antioxidant activities were determined. The extract yield was highest for </w:t>
      </w:r>
      <w:r w:rsidRPr="004923B9">
        <w:rPr>
          <w:rStyle w:val="Emphasis"/>
        </w:rPr>
        <w:t xml:space="preserve">M. </w:t>
      </w:r>
      <w:proofErr w:type="spellStart"/>
      <w:r w:rsidRPr="004923B9">
        <w:rPr>
          <w:rStyle w:val="Emphasis"/>
        </w:rPr>
        <w:t>myristica</w:t>
      </w:r>
      <w:proofErr w:type="spellEnd"/>
      <w:r w:rsidRPr="004923B9">
        <w:t xml:space="preserve"> (15.07%), followed by </w:t>
      </w:r>
      <w:r w:rsidRPr="004923B9">
        <w:rPr>
          <w:rStyle w:val="Emphasis"/>
        </w:rPr>
        <w:t>T. tetraptera</w:t>
      </w:r>
      <w:r w:rsidRPr="004923B9">
        <w:t xml:space="preserve"> (12.80%) and ginger (10.35%). Qualitative screening showed saponins, flavonoids, terpenoids, gingerols, alkaloids, phenolics, steroids, tannins and cardiac glycosides in varying relative abundance. Quantitative analysis showed that </w:t>
      </w:r>
      <w:r w:rsidRPr="004923B9">
        <w:rPr>
          <w:rStyle w:val="Emphasis"/>
        </w:rPr>
        <w:t xml:space="preserve">M. </w:t>
      </w:r>
      <w:proofErr w:type="spellStart"/>
      <w:r w:rsidRPr="004923B9">
        <w:rPr>
          <w:rStyle w:val="Emphasis"/>
        </w:rPr>
        <w:t>myristica</w:t>
      </w:r>
      <w:proofErr w:type="spellEnd"/>
      <w:r w:rsidRPr="004923B9">
        <w:t xml:space="preserve"> had the highest flavonoid, terpenoid, tannin and phenolic contents, with values of 14.33, 7.30, 5.46 and 26.06 mg/g, respectively. </w:t>
      </w:r>
      <w:r w:rsidRPr="004923B9">
        <w:rPr>
          <w:rStyle w:val="Emphasis"/>
        </w:rPr>
        <w:t>T. tetraptera</w:t>
      </w:r>
      <w:r w:rsidRPr="004923B9">
        <w:t xml:space="preserve"> recorded the highest alkaloid, steroid and cardiac glycoside contents, while ginger had the highest saponin content. Antioxidant assays indicated concentration-dependent activity across the extracts. In the DPPH assay, </w:t>
      </w:r>
      <w:r w:rsidRPr="004923B9">
        <w:rPr>
          <w:rStyle w:val="Emphasis"/>
        </w:rPr>
        <w:t xml:space="preserve">M. </w:t>
      </w:r>
      <w:proofErr w:type="spellStart"/>
      <w:r w:rsidRPr="004923B9">
        <w:rPr>
          <w:rStyle w:val="Emphasis"/>
        </w:rPr>
        <w:t>myristica</w:t>
      </w:r>
      <w:proofErr w:type="spellEnd"/>
      <w:r w:rsidRPr="004923B9">
        <w:t xml:space="preserve"> showed the highest activity, reaching 88.02% at 400 µg/ml, whereas ginger showed the highest FRAP activity, at 89.93% at 400 µg/ml. Lipid peroxidation inhibition also increased with concentration, with the control showing the highest activity at 400 µg/ml. The findings indicate that these tropical spices contain measurable phytochemicals and antioxidant activity under the study conditions.</w:t>
      </w:r>
      <w:r w:rsidRPr="004923B9">
        <w:rPr>
          <w:rStyle w:val="Strong"/>
        </w:rPr>
        <w:t xml:space="preserve"> </w:t>
      </w:r>
    </w:p>
    <w:p w14:paraId="2796B4DD" w14:textId="29650F7E" w:rsidR="00F305CC" w:rsidRPr="004923B9" w:rsidRDefault="00F305CC" w:rsidP="00447868">
      <w:pPr>
        <w:spacing w:line="240" w:lineRule="auto"/>
        <w:jc w:val="both"/>
        <w:rPr>
          <w:rFonts w:ascii="Times New Roman" w:eastAsia="Times New Roman" w:hAnsi="Times New Roman" w:cs="Times New Roman"/>
          <w:b/>
          <w:bCs/>
          <w:sz w:val="24"/>
          <w:szCs w:val="24"/>
        </w:rPr>
      </w:pPr>
      <w:r w:rsidRPr="004923B9">
        <w:rPr>
          <w:rStyle w:val="Strong"/>
        </w:rPr>
        <w:t>Keywords:</w:t>
      </w:r>
      <w:r w:rsidRPr="004923B9">
        <w:t xml:space="preserve"> Bioactive compounds; tropical spices; microwave-assisted extraction; </w:t>
      </w:r>
      <w:r w:rsidRPr="004923B9">
        <w:rPr>
          <w:rStyle w:val="Emphasis"/>
        </w:rPr>
        <w:t>Zingiber officinale</w:t>
      </w:r>
      <w:r w:rsidRPr="004923B9">
        <w:t xml:space="preserve">; </w:t>
      </w:r>
      <w:proofErr w:type="spellStart"/>
      <w:r w:rsidRPr="004923B9">
        <w:rPr>
          <w:rStyle w:val="Emphasis"/>
        </w:rPr>
        <w:t>Monodora</w:t>
      </w:r>
      <w:proofErr w:type="spellEnd"/>
      <w:r w:rsidRPr="004923B9">
        <w:rPr>
          <w:rStyle w:val="Emphasis"/>
        </w:rPr>
        <w:t xml:space="preserve"> </w:t>
      </w:r>
      <w:proofErr w:type="spellStart"/>
      <w:r w:rsidRPr="004923B9">
        <w:rPr>
          <w:rStyle w:val="Emphasis"/>
        </w:rPr>
        <w:t>myristica</w:t>
      </w:r>
      <w:proofErr w:type="spellEnd"/>
      <w:r w:rsidRPr="004923B9">
        <w:t xml:space="preserve">; </w:t>
      </w:r>
      <w:proofErr w:type="spellStart"/>
      <w:r w:rsidRPr="004923B9">
        <w:rPr>
          <w:rStyle w:val="Emphasis"/>
        </w:rPr>
        <w:t>Tetrapleura</w:t>
      </w:r>
      <w:proofErr w:type="spellEnd"/>
      <w:r w:rsidRPr="004923B9">
        <w:rPr>
          <w:rStyle w:val="Emphasis"/>
        </w:rPr>
        <w:t xml:space="preserve"> tetraptera</w:t>
      </w:r>
      <w:r w:rsidRPr="004923B9">
        <w:t>; phytochemicals; antioxidant activity; DPPH; FRAP.</w:t>
      </w:r>
      <w:r w:rsidRPr="004923B9">
        <w:rPr>
          <w:rFonts w:ascii="Times New Roman" w:eastAsia="Times New Roman" w:hAnsi="Times New Roman" w:cs="Times New Roman"/>
          <w:b/>
          <w:bCs/>
          <w:sz w:val="24"/>
          <w:szCs w:val="24"/>
        </w:rPr>
        <w:t xml:space="preserve"> </w:t>
      </w:r>
    </w:p>
    <w:p w14:paraId="50D441A8" w14:textId="07E642A0" w:rsidR="00BC0DD8" w:rsidRPr="004923B9" w:rsidRDefault="001C03BC" w:rsidP="00447868">
      <w:pPr>
        <w:spacing w:line="240" w:lineRule="auto"/>
        <w:jc w:val="both"/>
        <w:rPr>
          <w:rFonts w:ascii="Times New Roman" w:hAnsi="Times New Roman" w:cs="Times New Roman"/>
          <w:i/>
          <w:sz w:val="10"/>
          <w:szCs w:val="24"/>
        </w:rPr>
      </w:pPr>
      <w:r w:rsidRPr="004923B9">
        <w:rPr>
          <w:rFonts w:ascii="Times New Roman" w:eastAsia="Times New Roman" w:hAnsi="Times New Roman" w:cs="Times New Roman"/>
          <w:b/>
          <w:bCs/>
          <w:sz w:val="24"/>
          <w:szCs w:val="24"/>
        </w:rPr>
        <w:t>Introduction</w:t>
      </w:r>
    </w:p>
    <w:p w14:paraId="79E7ACD2" w14:textId="77777777" w:rsidR="00BC0DD8" w:rsidRPr="004923B9" w:rsidRDefault="001C03BC" w:rsidP="00215775">
      <w:pPr>
        <w:spacing w:after="0" w:line="240" w:lineRule="auto"/>
        <w:ind w:left="40"/>
        <w:jc w:val="both"/>
        <w:rPr>
          <w:rFonts w:ascii="Times New Roman" w:eastAsia="Times New Roman" w:hAnsi="Times New Roman" w:cs="Times New Roman"/>
          <w:sz w:val="24"/>
          <w:szCs w:val="24"/>
        </w:rPr>
      </w:pPr>
      <w:r w:rsidRPr="004923B9">
        <w:t>Biologically active substances, or simply "bioactive" substances, are substances that affect living tissue by creating a reaction or triggering a response (Wong et al., 2006). These compounds directly affect living organisms, and depending on the amount, their effects may be beneficial or detrimental (Vivekananthan et al., 2003). According to Suffredini et al. (2006), fruits, vegetables and some tropical plants contain bioactive chemicals. These compounds are ingredients in foods or dietary supplements that not only satisfy fundamental nutritional requirements but may also positively influence overall health.</w:t>
      </w:r>
      <w:r w:rsidRPr="004923B9">
        <w:br/>
        <w:t xml:space="preserve">Because of their reported health benefits, research interest in plant-derived bioactive chemicals has recently increased (Nile &amp; Park, 2015). Furthermore, the pursuit of a healthy lifestyle through the use of natural remedies to address chronic illnesses has contributed to increased awareness (Boots et al., 2008). Plants that naturally contain antioxidants can serve as natural supplements to meet the body's needs, according to Boots et al. (2008). Numerous studies have shown that antioxidants, such as flavonoids, tannins, vitamin A, ascorbic acid and tocopherol, are present in a variety of plants. Foods and drinks rich in phytochemicals have been reported to provide protection against cancers and other chronic diseases (Suffredini et al., 2006). This is because antioxidants in certain foods and beverages help the body remove free radicals, which can damage adjacent tissue. Therefore, research attention has focused on identifying bioactive components in tropical spices. </w:t>
      </w:r>
      <w:r w:rsidRPr="004923B9">
        <w:rPr>
          <w:i/>
        </w:rPr>
        <w:t>Zingiber officinale</w:t>
      </w:r>
      <w:r w:rsidRPr="004923B9">
        <w:t xml:space="preserve"> (ginger), also known as Roscoe, belongs to the family </w:t>
      </w:r>
      <w:proofErr w:type="spellStart"/>
      <w:r w:rsidRPr="004923B9">
        <w:t>Zingiberaceae</w:t>
      </w:r>
      <w:proofErr w:type="spellEnd"/>
      <w:r w:rsidRPr="004923B9">
        <w:t xml:space="preserve"> and has been used in herbal therapy for a long time. Emesis, headaches, colds and nausea are among the common ailments for which ginger roots are used. Many </w:t>
      </w:r>
      <w:proofErr w:type="spellStart"/>
      <w:r w:rsidRPr="004923B9">
        <w:t>recognised</w:t>
      </w:r>
      <w:proofErr w:type="spellEnd"/>
      <w:r w:rsidRPr="004923B9">
        <w:t xml:space="preserve"> bioactive compounds, including phenolic and terpene molecules, are found in ginger rhizome. Gingerols, shogaols and </w:t>
      </w:r>
      <w:proofErr w:type="spellStart"/>
      <w:r w:rsidRPr="004923B9">
        <w:t>paradols</w:t>
      </w:r>
      <w:proofErr w:type="spellEnd"/>
      <w:r w:rsidRPr="004923B9">
        <w:t xml:space="preserve"> are the main phenolic compounds associated with the bioactivities of ginger (Mao et al., 2019). In recent times, ginger has been associated with biological attributes such as anti-inflammatory, </w:t>
      </w:r>
      <w:r w:rsidRPr="004923B9">
        <w:lastRenderedPageBreak/>
        <w:t>anticancer, antibacterial and antioxidant qualities (Nile &amp; Park, 2015). Moreover, an increasing number of studies has demonstrated the potential benefits of ginger in the prevention and management of various ailments, such as cancers, diabetes mellitus, obesity, neurological conditions, respiratory disorders and chemotherapy-induced nausea (</w:t>
      </w:r>
      <w:proofErr w:type="spellStart"/>
      <w:r w:rsidRPr="004923B9">
        <w:t>Walstab</w:t>
      </w:r>
      <w:proofErr w:type="spellEnd"/>
      <w:r w:rsidRPr="004923B9">
        <w:t xml:space="preserve"> et al., 2013; Mao et al., 2019).</w:t>
      </w:r>
    </w:p>
    <w:p w14:paraId="47DDFFBB" w14:textId="77777777" w:rsidR="004003A4" w:rsidRPr="004923B9" w:rsidRDefault="00000000">
      <w:r w:rsidRPr="004923B9">
        <w:rPr>
          <w:b/>
        </w:rPr>
        <w:t xml:space="preserve">In selected Nigerian spices, the extracting solvent has been reported to influence the non-phenolic phytochemical profile of </w:t>
      </w:r>
      <w:proofErr w:type="spellStart"/>
      <w:r w:rsidRPr="004923B9">
        <w:rPr>
          <w:b/>
          <w:i/>
        </w:rPr>
        <w:t>Monodora</w:t>
      </w:r>
      <w:proofErr w:type="spellEnd"/>
      <w:r w:rsidRPr="004923B9">
        <w:rPr>
          <w:b/>
          <w:i/>
        </w:rPr>
        <w:t xml:space="preserve"> </w:t>
      </w:r>
      <w:proofErr w:type="spellStart"/>
      <w:r w:rsidRPr="004923B9">
        <w:rPr>
          <w:b/>
          <w:i/>
        </w:rPr>
        <w:t>myristica</w:t>
      </w:r>
      <w:proofErr w:type="spellEnd"/>
      <w:r w:rsidRPr="004923B9">
        <w:rPr>
          <w:b/>
        </w:rPr>
        <w:t xml:space="preserve"> and </w:t>
      </w:r>
      <w:proofErr w:type="spellStart"/>
      <w:r w:rsidRPr="004923B9">
        <w:rPr>
          <w:b/>
          <w:i/>
        </w:rPr>
        <w:t>Tetrapleura</w:t>
      </w:r>
      <w:proofErr w:type="spellEnd"/>
      <w:r w:rsidRPr="004923B9">
        <w:rPr>
          <w:b/>
          <w:i/>
        </w:rPr>
        <w:t xml:space="preserve"> tetraptera</w:t>
      </w:r>
      <w:r w:rsidRPr="004923B9">
        <w:rPr>
          <w:b/>
        </w:rPr>
        <w:t xml:space="preserve"> extracts, indicating the importance of extraction conditions when evaluating spice-derived </w:t>
      </w:r>
      <w:proofErr w:type="spellStart"/>
      <w:r w:rsidRPr="004923B9">
        <w:rPr>
          <w:b/>
        </w:rPr>
        <w:t>bioactives</w:t>
      </w:r>
      <w:proofErr w:type="spellEnd"/>
      <w:r w:rsidRPr="004923B9">
        <w:rPr>
          <w:b/>
        </w:rPr>
        <w:t xml:space="preserve"> (</w:t>
      </w:r>
      <w:proofErr w:type="spellStart"/>
      <w:r w:rsidRPr="004923B9">
        <w:rPr>
          <w:b/>
        </w:rPr>
        <w:t>Ugwuona</w:t>
      </w:r>
      <w:proofErr w:type="spellEnd"/>
      <w:r w:rsidRPr="004923B9">
        <w:rPr>
          <w:b/>
        </w:rPr>
        <w:t xml:space="preserve"> et al., 2021).</w:t>
      </w:r>
    </w:p>
    <w:p w14:paraId="2AA8841F" w14:textId="77777777" w:rsidR="00BC0DD8" w:rsidRPr="004923B9" w:rsidRDefault="001C03BC" w:rsidP="00215775">
      <w:pPr>
        <w:spacing w:line="240" w:lineRule="auto"/>
        <w:jc w:val="both"/>
        <w:rPr>
          <w:rFonts w:ascii="Times New Roman" w:hAnsi="Times New Roman" w:cs="Times New Roman"/>
          <w:b/>
          <w:i/>
          <w:sz w:val="24"/>
          <w:szCs w:val="24"/>
        </w:rPr>
      </w:pPr>
      <w:proofErr w:type="spellStart"/>
      <w:r w:rsidRPr="004923B9">
        <w:rPr>
          <w:rFonts w:ascii="Times New Roman" w:hAnsi="Times New Roman" w:cs="Times New Roman"/>
          <w:b/>
          <w:i/>
          <w:sz w:val="24"/>
          <w:szCs w:val="24"/>
        </w:rPr>
        <w:t>Tetrapleura</w:t>
      </w:r>
      <w:proofErr w:type="spellEnd"/>
      <w:r w:rsidRPr="004923B9">
        <w:rPr>
          <w:rFonts w:ascii="Times New Roman" w:hAnsi="Times New Roman" w:cs="Times New Roman"/>
          <w:b/>
          <w:i/>
          <w:sz w:val="24"/>
          <w:szCs w:val="24"/>
        </w:rPr>
        <w:t xml:space="preserve"> tetraptera</w:t>
      </w:r>
    </w:p>
    <w:p w14:paraId="1DE17547" w14:textId="77777777" w:rsidR="00BC0DD8" w:rsidRPr="004923B9" w:rsidRDefault="001C03BC" w:rsidP="00215775">
      <w:pPr>
        <w:spacing w:line="240" w:lineRule="auto"/>
        <w:jc w:val="both"/>
        <w:rPr>
          <w:rFonts w:ascii="Times New Roman" w:hAnsi="Times New Roman" w:cs="Times New Roman"/>
          <w:sz w:val="24"/>
          <w:szCs w:val="24"/>
        </w:rPr>
      </w:pPr>
      <w:r w:rsidRPr="004923B9">
        <w:rPr>
          <w:i/>
        </w:rPr>
        <w:t>T. tetraptera</w:t>
      </w:r>
      <w:r w:rsidRPr="004923B9">
        <w:t xml:space="preserve"> is an ornamental plant belonging to the pea family and is endemic to West African countries. It is a member of the order </w:t>
      </w:r>
      <w:proofErr w:type="spellStart"/>
      <w:r w:rsidRPr="004923B9">
        <w:t>Fabales</w:t>
      </w:r>
      <w:proofErr w:type="spellEnd"/>
      <w:r w:rsidRPr="004923B9">
        <w:t xml:space="preserve"> and the family Fabaceae. The deciduous tree is popularly known as the </w:t>
      </w:r>
      <w:proofErr w:type="spellStart"/>
      <w:r w:rsidRPr="004923B9">
        <w:t>aridan</w:t>
      </w:r>
      <w:proofErr w:type="spellEnd"/>
      <w:r w:rsidRPr="004923B9">
        <w:t xml:space="preserve"> tree. In some Igbo-speaking parts of Nigeria, the plant is known as </w:t>
      </w:r>
      <w:proofErr w:type="spellStart"/>
      <w:r w:rsidRPr="004923B9">
        <w:t>oshokirishi</w:t>
      </w:r>
      <w:proofErr w:type="spellEnd"/>
      <w:r w:rsidRPr="004923B9">
        <w:t xml:space="preserve">, </w:t>
      </w:r>
      <w:proofErr w:type="spellStart"/>
      <w:r w:rsidRPr="004923B9">
        <w:t>oshosho</w:t>
      </w:r>
      <w:proofErr w:type="spellEnd"/>
      <w:r w:rsidRPr="004923B9">
        <w:t xml:space="preserve"> or </w:t>
      </w:r>
      <w:proofErr w:type="spellStart"/>
      <w:r w:rsidRPr="004923B9">
        <w:t>ohiohio</w:t>
      </w:r>
      <w:proofErr w:type="spellEnd"/>
      <w:r w:rsidRPr="004923B9">
        <w:t xml:space="preserve">. </w:t>
      </w:r>
      <w:proofErr w:type="spellStart"/>
      <w:r w:rsidRPr="004923B9">
        <w:t>Prekese</w:t>
      </w:r>
      <w:proofErr w:type="spellEnd"/>
      <w:r w:rsidRPr="004923B9">
        <w:t xml:space="preserve"> is its local Ghanaian dialect name. The fruits, seeds and flowers are used in Ghana in several ways, such as in the production of fragrances, vegetable oil-based pomades, alcoholic beverages and cookie </w:t>
      </w:r>
      <w:proofErr w:type="spellStart"/>
      <w:r w:rsidRPr="004923B9">
        <w:t>flavourings</w:t>
      </w:r>
      <w:proofErr w:type="spellEnd"/>
      <w:r w:rsidRPr="004923B9">
        <w:t xml:space="preserve"> (</w:t>
      </w:r>
      <w:proofErr w:type="spellStart"/>
      <w:r w:rsidRPr="004923B9">
        <w:t>Aladesanmi</w:t>
      </w:r>
      <w:proofErr w:type="spellEnd"/>
      <w:r w:rsidRPr="004923B9">
        <w:t xml:space="preserve">, 2007). Because </w:t>
      </w:r>
      <w:proofErr w:type="spellStart"/>
      <w:r w:rsidRPr="004923B9">
        <w:rPr>
          <w:i/>
        </w:rPr>
        <w:t>Tetrapleura</w:t>
      </w:r>
      <w:proofErr w:type="spellEnd"/>
      <w:r w:rsidRPr="004923B9">
        <w:rPr>
          <w:i/>
        </w:rPr>
        <w:t xml:space="preserve"> tetraptera</w:t>
      </w:r>
      <w:r w:rsidRPr="004923B9">
        <w:t xml:space="preserve"> is rich in vitamins, it is also primarily </w:t>
      </w:r>
      <w:proofErr w:type="spellStart"/>
      <w:r w:rsidRPr="004923B9">
        <w:t>utilised</w:t>
      </w:r>
      <w:proofErr w:type="spellEnd"/>
      <w:r w:rsidRPr="004923B9">
        <w:t xml:space="preserve"> as a spice, medicine and dietary supplement in West Africa (</w:t>
      </w:r>
      <w:proofErr w:type="spellStart"/>
      <w:r w:rsidRPr="004923B9">
        <w:t>Ofoedu</w:t>
      </w:r>
      <w:proofErr w:type="spellEnd"/>
      <w:r w:rsidRPr="004923B9">
        <w:t xml:space="preserve"> et al., 2021). It is also frequently observed in rainforest regions of Nigeria, especially in some eastern regions (</w:t>
      </w:r>
      <w:proofErr w:type="spellStart"/>
      <w:r w:rsidRPr="004923B9">
        <w:t>Ofoedum</w:t>
      </w:r>
      <w:proofErr w:type="spellEnd"/>
      <w:r w:rsidRPr="004923B9">
        <w:t xml:space="preserve"> et al., 2025).</w:t>
      </w:r>
    </w:p>
    <w:p w14:paraId="6D5CDA5D" w14:textId="77777777" w:rsidR="00BC0DD8" w:rsidRPr="004923B9" w:rsidRDefault="001C03BC" w:rsidP="00215775">
      <w:pPr>
        <w:spacing w:line="240" w:lineRule="auto"/>
        <w:jc w:val="both"/>
        <w:rPr>
          <w:rFonts w:ascii="Times New Roman" w:hAnsi="Times New Roman" w:cs="Times New Roman"/>
          <w:sz w:val="24"/>
          <w:szCs w:val="24"/>
        </w:rPr>
      </w:pPr>
      <w:r w:rsidRPr="004923B9">
        <w:t xml:space="preserve">In addition to its well-known anti-inflammatory properties, the </w:t>
      </w:r>
      <w:r w:rsidRPr="004923B9">
        <w:rPr>
          <w:i/>
        </w:rPr>
        <w:t>T. tetraptera</w:t>
      </w:r>
      <w:r w:rsidRPr="004923B9">
        <w:t xml:space="preserve"> plant also possesses antibacterial properties against some human pathogens. Convulsions, leprosy, inflammation, rheumatic pain, schistosomiasis, asthma, hypertension and the rapid treatment of disorders such as malaria fever are among the main conditions for which the plant is </w:t>
      </w:r>
      <w:proofErr w:type="spellStart"/>
      <w:r w:rsidRPr="004923B9">
        <w:t>utilised</w:t>
      </w:r>
      <w:proofErr w:type="spellEnd"/>
      <w:r w:rsidRPr="004923B9">
        <w:t xml:space="preserve">, according to </w:t>
      </w:r>
      <w:proofErr w:type="spellStart"/>
      <w:r w:rsidRPr="004923B9">
        <w:t>Akinmoladun</w:t>
      </w:r>
      <w:proofErr w:type="spellEnd"/>
      <w:r w:rsidRPr="004923B9">
        <w:t xml:space="preserve"> et al. (2007). Consequently, the medicinal value of this plant is attributed to its phytochemical constituents.</w:t>
      </w:r>
      <w:r w:rsidRPr="004923B9">
        <w:br/>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w:t>
      </w:r>
      <w:proofErr w:type="spellStart"/>
      <w:r w:rsidRPr="004923B9">
        <w:t>ehuru</w:t>
      </w:r>
      <w:proofErr w:type="spellEnd"/>
      <w:r w:rsidRPr="004923B9">
        <w:t xml:space="preserve">), also known as African nutmeg, is a tropical tree belonging to the </w:t>
      </w:r>
      <w:proofErr w:type="spellStart"/>
      <w:r w:rsidRPr="004923B9">
        <w:t>Annonaceae</w:t>
      </w:r>
      <w:proofErr w:type="spellEnd"/>
      <w:r w:rsidRPr="004923B9">
        <w:t xml:space="preserve"> family. It is native to Africa, including the Republics of Congo, Sierra Leone, Sudan, Tanzania, Togo and Uganda; Angola, Benin Republic, Cameroon, Gabon, Côte d'Ivoire, Kenya, Liberia and Nigeria are also among the countries in which it occurs. According to </w:t>
      </w:r>
      <w:proofErr w:type="spellStart"/>
      <w:r w:rsidRPr="004923B9">
        <w:t>Ofoedum</w:t>
      </w:r>
      <w:proofErr w:type="spellEnd"/>
      <w:r w:rsidRPr="004923B9">
        <w:t xml:space="preserve"> et al. (2023), calabash nutmeg is also known by the names </w:t>
      </w:r>
      <w:proofErr w:type="spellStart"/>
      <w:r w:rsidRPr="004923B9">
        <w:t>ariwo</w:t>
      </w:r>
      <w:proofErr w:type="spellEnd"/>
      <w:r w:rsidRPr="004923B9">
        <w:t xml:space="preserve">, </w:t>
      </w:r>
      <w:proofErr w:type="spellStart"/>
      <w:r w:rsidRPr="004923B9">
        <w:t>ehuru</w:t>
      </w:r>
      <w:proofErr w:type="spellEnd"/>
      <w:r w:rsidRPr="004923B9">
        <w:t xml:space="preserve"> (in Igbo), African nutmeg, Jamaican nutmeg, </w:t>
      </w:r>
      <w:proofErr w:type="spellStart"/>
      <w:r w:rsidRPr="004923B9">
        <w:t>awerewa</w:t>
      </w:r>
      <w:proofErr w:type="spellEnd"/>
      <w:r w:rsidRPr="004923B9">
        <w:t xml:space="preserve">, </w:t>
      </w:r>
      <w:proofErr w:type="spellStart"/>
      <w:r w:rsidRPr="004923B9">
        <w:t>ehiri</w:t>
      </w:r>
      <w:proofErr w:type="spellEnd"/>
      <w:r w:rsidRPr="004923B9">
        <w:t xml:space="preserve">, </w:t>
      </w:r>
      <w:proofErr w:type="spellStart"/>
      <w:r w:rsidRPr="004923B9">
        <w:t>airama</w:t>
      </w:r>
      <w:proofErr w:type="spellEnd"/>
      <w:r w:rsidRPr="004923B9">
        <w:t xml:space="preserve"> and African orchid nutmeg. The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tree can reach a height of 35 m and a diameter at breast height (DBH) of 2 m. The leaves are arranged alternately and are drooping. The leaf blades are elliptical, oblong or broadest near the tip, and they taper towards the stalk. They are petiolate and can reach a maximum size of 45 x 20 cm (</w:t>
      </w:r>
      <w:proofErr w:type="spellStart"/>
      <w:r w:rsidRPr="004923B9">
        <w:t>PlantUse</w:t>
      </w:r>
      <w:proofErr w:type="spellEnd"/>
      <w:r w:rsidRPr="004923B9">
        <w:t xml:space="preserve">, n.d.). The fruits are smooth, green, spherical berries of approximately 20 cm in diameter that gradually become woody. They are attached to tall stalks that can grow up to 60 cm in length. The fruit contains many oblong, pale-brown seeds, approximately 1.5 cm long, surrounded by a whitish, aromatic pulp. Between 5 and 9% of the seeds comprise </w:t>
      </w:r>
      <w:proofErr w:type="spellStart"/>
      <w:r w:rsidRPr="004923B9">
        <w:t>colourless</w:t>
      </w:r>
      <w:proofErr w:type="spellEnd"/>
      <w:r w:rsidRPr="004923B9">
        <w:t xml:space="preserve"> essential oils (Uwakwe &amp; </w:t>
      </w:r>
      <w:proofErr w:type="spellStart"/>
      <w:r w:rsidRPr="004923B9">
        <w:t>Nwaoguikpe</w:t>
      </w:r>
      <w:proofErr w:type="spellEnd"/>
      <w:r w:rsidRPr="004923B9">
        <w:t xml:space="preserve">, 2008). Figures 1 and 2, respectively, show the mature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fruit and the seeds.</w:t>
      </w:r>
    </w:p>
    <w:p w14:paraId="1E321D1F" w14:textId="77777777" w:rsidR="004003A4" w:rsidRPr="004923B9" w:rsidRDefault="00000000">
      <w:r w:rsidRPr="004923B9">
        <w:rPr>
          <w:b/>
        </w:rPr>
        <w:t xml:space="preserve">In an animal model of carbon tetrachloride-induced oxidative stress, ethanol extract of </w:t>
      </w:r>
      <w:r w:rsidRPr="004923B9">
        <w:rPr>
          <w:b/>
          <w:i/>
        </w:rPr>
        <w:t>T. tetraptera</w:t>
      </w:r>
      <w:r w:rsidRPr="004923B9">
        <w:rPr>
          <w:b/>
        </w:rPr>
        <w:t xml:space="preserve"> fruit was reported to influence antioxidant enzyme activities and lipid peroxidation markers (Nwafor et al., 2025).</w:t>
      </w:r>
    </w:p>
    <w:p w14:paraId="0393E124" w14:textId="77777777" w:rsidR="004003A4" w:rsidRPr="004923B9" w:rsidRDefault="00000000">
      <w:r w:rsidRPr="004923B9">
        <w:rPr>
          <w:b/>
        </w:rPr>
        <w:t xml:space="preserve">For </w:t>
      </w:r>
      <w:proofErr w:type="spellStart"/>
      <w:r w:rsidRPr="004923B9">
        <w:rPr>
          <w:b/>
          <w:i/>
        </w:rPr>
        <w:t>Monodora</w:t>
      </w:r>
      <w:proofErr w:type="spellEnd"/>
      <w:r w:rsidRPr="004923B9">
        <w:rPr>
          <w:b/>
          <w:i/>
        </w:rPr>
        <w:t xml:space="preserve"> </w:t>
      </w:r>
      <w:proofErr w:type="spellStart"/>
      <w:r w:rsidRPr="004923B9">
        <w:rPr>
          <w:b/>
          <w:i/>
        </w:rPr>
        <w:t>myristica</w:t>
      </w:r>
      <w:proofErr w:type="spellEnd"/>
      <w:r w:rsidRPr="004923B9">
        <w:rPr>
          <w:b/>
        </w:rPr>
        <w:t xml:space="preserve"> and </w:t>
      </w:r>
      <w:proofErr w:type="spellStart"/>
      <w:r w:rsidRPr="004923B9">
        <w:rPr>
          <w:b/>
          <w:i/>
        </w:rPr>
        <w:t>Tetrapleura</w:t>
      </w:r>
      <w:proofErr w:type="spellEnd"/>
      <w:r w:rsidRPr="004923B9">
        <w:rPr>
          <w:b/>
          <w:i/>
        </w:rPr>
        <w:t xml:space="preserve"> tetraptera</w:t>
      </w:r>
      <w:r w:rsidRPr="004923B9">
        <w:rPr>
          <w:b/>
        </w:rPr>
        <w:t xml:space="preserve"> from Southeast Nigeria, essential oil and oleoresin extracts have also been reported to show concentration-dependent antioxidant activity in DPPH, ferric reducing power and total antioxidant capacity assays (Okechukwu et al., 2022).</w:t>
      </w:r>
    </w:p>
    <w:p w14:paraId="5B30E25E" w14:textId="77777777" w:rsidR="00BC0DD8" w:rsidRPr="004923B9" w:rsidRDefault="001C03BC" w:rsidP="00215775">
      <w:pPr>
        <w:spacing w:line="240" w:lineRule="auto"/>
        <w:jc w:val="both"/>
        <w:rPr>
          <w:rFonts w:ascii="Times New Roman" w:hAnsi="Times New Roman" w:cs="Times New Roman"/>
          <w:sz w:val="24"/>
          <w:szCs w:val="24"/>
        </w:rPr>
      </w:pPr>
      <w:r w:rsidRPr="004923B9">
        <w:lastRenderedPageBreak/>
        <w:t xml:space="preserve">Microwave-assisted extraction has been used more frequently in recent years to remove </w:t>
      </w:r>
      <w:proofErr w:type="spellStart"/>
      <w:r w:rsidRPr="004923B9">
        <w:t>bioactives</w:t>
      </w:r>
      <w:proofErr w:type="spellEnd"/>
      <w:r w:rsidRPr="004923B9">
        <w:t xml:space="preserve"> from plant tissues. This is because conventional extraction procedures, which require more solvent and take longer, may degrade heat-sensitive bioactive chemicals. Microwave-assisted extraction (MAE) has attracted considerable interest among non-conventional extraction techniques because of its lower solvent consumption, shorter operation time, repeatability, higher recovery yield, strong selectivity and reduced sample manipulation (Chan et al., 2011). A relatively recent extraction method, MAE combines conventional solvent extraction with microwave technology. Because the method provides faster extraction times, higher extraction rates, lower solvent requirements and lower costs, it offers advantages over conventional approaches (</w:t>
      </w:r>
      <w:proofErr w:type="spellStart"/>
      <w:r w:rsidRPr="004923B9">
        <w:t>Delazar</w:t>
      </w:r>
      <w:proofErr w:type="spellEnd"/>
      <w:r w:rsidRPr="004923B9">
        <w:t xml:space="preserve"> et al., 2012). The primary advantage of MAE over Soxhlet extraction and ultrasound-assisted extraction is that plant chemicals can be extracted more rapidly (Chan et al., 2011). Kerem et al. (2005) extracted </w:t>
      </w:r>
      <w:proofErr w:type="spellStart"/>
      <w:r w:rsidRPr="004923B9">
        <w:t>mangiferin</w:t>
      </w:r>
      <w:proofErr w:type="spellEnd"/>
      <w:r w:rsidRPr="004923B9">
        <w:t xml:space="preserve"> from </w:t>
      </w:r>
      <w:r w:rsidRPr="004923B9">
        <w:rPr>
          <w:i/>
        </w:rPr>
        <w:t xml:space="preserve">Curcuma </w:t>
      </w:r>
      <w:proofErr w:type="spellStart"/>
      <w:r w:rsidRPr="004923B9">
        <w:rPr>
          <w:i/>
        </w:rPr>
        <w:t>amada</w:t>
      </w:r>
      <w:proofErr w:type="spellEnd"/>
      <w:r w:rsidRPr="004923B9">
        <w:t xml:space="preserve"> using ethanol and MAE as the solvent-based extraction method.</w:t>
      </w:r>
    </w:p>
    <w:p w14:paraId="7D690424" w14:textId="77777777" w:rsidR="004003A4" w:rsidRPr="004923B9" w:rsidRDefault="00000000">
      <w:r w:rsidRPr="004923B9">
        <w:rPr>
          <w:b/>
        </w:rPr>
        <w:t xml:space="preserve">Recent </w:t>
      </w:r>
      <w:proofErr w:type="spellStart"/>
      <w:r w:rsidRPr="004923B9">
        <w:rPr>
          <w:b/>
        </w:rPr>
        <w:t>optimisation</w:t>
      </w:r>
      <w:proofErr w:type="spellEnd"/>
      <w:r w:rsidRPr="004923B9">
        <w:rPr>
          <w:b/>
        </w:rPr>
        <w:t xml:space="preserve"> work with plant matrices further indicates that MAE variables, including temperature, extraction time, extraction volume and ethanol concentration, can be modelled to improve the recovery of antioxidant-rich polyphenolic extracts (Aquino et al., 2023).</w:t>
      </w:r>
    </w:p>
    <w:p w14:paraId="40D0CAAB" w14:textId="77777777" w:rsidR="00BC0DD8" w:rsidRPr="004923B9" w:rsidRDefault="001C03BC" w:rsidP="00215775">
      <w:pPr>
        <w:shd w:val="clear" w:color="auto" w:fill="FFFFFF"/>
        <w:spacing w:before="270" w:after="0" w:line="240" w:lineRule="auto"/>
        <w:jc w:val="both"/>
        <w:outlineLvl w:val="1"/>
        <w:rPr>
          <w:rFonts w:ascii="Times New Roman" w:hAnsi="Times New Roman" w:cs="Times New Roman"/>
          <w:sz w:val="24"/>
          <w:szCs w:val="24"/>
        </w:rPr>
      </w:pPr>
      <w:r w:rsidRPr="004923B9">
        <w:t xml:space="preserve">A 500 W microwave power level and a 15.32 s extraction time resulted in an optimal yield of 41 µg/ml </w:t>
      </w:r>
      <w:proofErr w:type="spellStart"/>
      <w:r w:rsidRPr="004923B9">
        <w:t>mangiferin</w:t>
      </w:r>
      <w:proofErr w:type="spellEnd"/>
      <w:r w:rsidRPr="004923B9">
        <w:t>. In terms of time, energy and solvent requirements, Kerem et al. (2005) reported that MAE was more effective than Soxhlet extraction for extracting saponins from chickpeas (</w:t>
      </w:r>
      <w:r w:rsidRPr="004923B9">
        <w:rPr>
          <w:i/>
        </w:rPr>
        <w:t>Cicer arietinum</w:t>
      </w:r>
      <w:r w:rsidRPr="004923B9">
        <w:t xml:space="preserve">). Kerem et al. (2005) similarly used water as a solvent under microwave-assisted extraction conditions to extract </w:t>
      </w:r>
      <w:proofErr w:type="spellStart"/>
      <w:r w:rsidRPr="004923B9">
        <w:t>mangiferin</w:t>
      </w:r>
      <w:proofErr w:type="spellEnd"/>
      <w:r w:rsidRPr="004923B9">
        <w:t xml:space="preserve"> from </w:t>
      </w:r>
      <w:r w:rsidRPr="004923B9">
        <w:rPr>
          <w:i/>
        </w:rPr>
        <w:t>Mangifera indica</w:t>
      </w:r>
      <w:r w:rsidRPr="004923B9">
        <w:t xml:space="preserve"> leaves. A 1:20 material-to-solvent ratio, 272 W microwave power and 5 min extraction time were used to obtain the highest extraction yield of 55 mg/g. Compared with conventional procedures, MAE used less solvent and produced a higher extraction yield more rapidly than Soxhlet and sequential batch extraction methods. MAE and </w:t>
      </w:r>
      <w:proofErr w:type="spellStart"/>
      <w:r w:rsidRPr="004923B9">
        <w:t>pressurised</w:t>
      </w:r>
      <w:proofErr w:type="spellEnd"/>
      <w:r w:rsidRPr="004923B9">
        <w:t xml:space="preserve"> liquid extraction (PLE) are advanced techniques used by </w:t>
      </w:r>
      <w:proofErr w:type="spellStart"/>
      <w:r w:rsidRPr="004923B9">
        <w:t>Smiderle</w:t>
      </w:r>
      <w:proofErr w:type="spellEnd"/>
      <w:r w:rsidRPr="004923B9">
        <w:t xml:space="preserve"> et al. (2017) to extract polysaccharides, especially physiologically active β-glucans, from </w:t>
      </w:r>
      <w:r w:rsidRPr="004923B9">
        <w:rPr>
          <w:i/>
        </w:rPr>
        <w:t>Pleurotus ostreatus</w:t>
      </w:r>
      <w:r w:rsidRPr="004923B9">
        <w:t xml:space="preserve"> and </w:t>
      </w:r>
      <w:r w:rsidRPr="004923B9">
        <w:rPr>
          <w:i/>
        </w:rPr>
        <w:t>Ganoderma lucidum</w:t>
      </w:r>
      <w:r w:rsidRPr="004923B9">
        <w:t xml:space="preserve"> fruiting bodies. β- and α-glucans, as well as heteropolysaccharides, were present in all extracts. Alara et al. (2020) conducted an </w:t>
      </w:r>
      <w:proofErr w:type="spellStart"/>
      <w:r w:rsidRPr="004923B9">
        <w:t>optimisation</w:t>
      </w:r>
      <w:proofErr w:type="spellEnd"/>
      <w:r w:rsidRPr="004923B9">
        <w:t xml:space="preserve"> study in which microwave-assisted extraction of phenolic compounds from </w:t>
      </w:r>
      <w:r w:rsidRPr="004923B9">
        <w:rPr>
          <w:i/>
        </w:rPr>
        <w:t xml:space="preserve">Ocimum </w:t>
      </w:r>
      <w:proofErr w:type="spellStart"/>
      <w:r w:rsidRPr="004923B9">
        <w:rPr>
          <w:i/>
        </w:rPr>
        <w:t>gratissimum</w:t>
      </w:r>
      <w:proofErr w:type="spellEnd"/>
      <w:r w:rsidRPr="004923B9">
        <w:t xml:space="preserve"> leaves was improved using response surface methodology. The ideal extraction parameters were 50% ethanol, 442 W microwave power and a 15 min extraction period. Under these conditions, the basil liquid extract produced a total flavonoid content of 0.849 g catechin equivalents/100 g DW and a total polyphenol content of 4.299 g GAE/100 g. The use of MAE to extract phenolics from plant materials such as bitter leaf, purple fleabane, roselle, tea leaf, vanilla, radix, flax seeds, scent leaf and </w:t>
      </w:r>
      <w:proofErr w:type="spellStart"/>
      <w:r w:rsidRPr="004923B9">
        <w:t>siam</w:t>
      </w:r>
      <w:proofErr w:type="spellEnd"/>
      <w:r w:rsidRPr="004923B9">
        <w:t xml:space="preserve"> weed has been documented in several studies (Alara et al., 2020). The phytochemical and antioxidant properties of crude products extracted by MAE from ginger, </w:t>
      </w:r>
      <w:proofErr w:type="spellStart"/>
      <w:r w:rsidRPr="004923B9">
        <w:rPr>
          <w:i/>
        </w:rPr>
        <w:t>Tetrapleura</w:t>
      </w:r>
      <w:proofErr w:type="spellEnd"/>
      <w:r w:rsidRPr="004923B9">
        <w:rPr>
          <w:i/>
        </w:rPr>
        <w:t xml:space="preserve"> tetraptera</w:t>
      </w:r>
      <w:r w:rsidRPr="004923B9">
        <w:t xml:space="preserve"> and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were assessed in the present investigation.</w:t>
      </w:r>
    </w:p>
    <w:p w14:paraId="24FBEA0C" w14:textId="77777777" w:rsidR="004003A4" w:rsidRPr="004923B9" w:rsidRDefault="00000000">
      <w:r w:rsidRPr="004923B9">
        <w:rPr>
          <w:b/>
        </w:rPr>
        <w:t xml:space="preserve">However, a comparative evaluation of crude extracts from ginger, </w:t>
      </w:r>
      <w:proofErr w:type="spellStart"/>
      <w:r w:rsidRPr="004923B9">
        <w:rPr>
          <w:b/>
          <w:i/>
        </w:rPr>
        <w:t>Tetrapleura</w:t>
      </w:r>
      <w:proofErr w:type="spellEnd"/>
      <w:r w:rsidRPr="004923B9">
        <w:rPr>
          <w:b/>
          <w:i/>
        </w:rPr>
        <w:t xml:space="preserve"> tetraptera</w:t>
      </w:r>
      <w:r w:rsidRPr="004923B9">
        <w:rPr>
          <w:b/>
        </w:rPr>
        <w:t xml:space="preserve"> and </w:t>
      </w:r>
      <w:proofErr w:type="spellStart"/>
      <w:r w:rsidRPr="004923B9">
        <w:rPr>
          <w:b/>
          <w:i/>
        </w:rPr>
        <w:t>Monodora</w:t>
      </w:r>
      <w:proofErr w:type="spellEnd"/>
      <w:r w:rsidRPr="004923B9">
        <w:rPr>
          <w:b/>
          <w:i/>
        </w:rPr>
        <w:t xml:space="preserve"> </w:t>
      </w:r>
      <w:proofErr w:type="spellStart"/>
      <w:r w:rsidRPr="004923B9">
        <w:rPr>
          <w:b/>
          <w:i/>
        </w:rPr>
        <w:t>myristica</w:t>
      </w:r>
      <w:proofErr w:type="spellEnd"/>
      <w:r w:rsidRPr="004923B9">
        <w:rPr>
          <w:b/>
        </w:rPr>
        <w:t xml:space="preserve"> under a common microwave-assisted extraction framework remains important for clarifying their relative phytochemical and antioxidant profiles.</w:t>
      </w:r>
    </w:p>
    <w:p w14:paraId="6F4EA5B9" w14:textId="77777777" w:rsidR="004003A4" w:rsidRPr="004923B9" w:rsidRDefault="00000000">
      <w:r w:rsidRPr="004923B9">
        <w:rPr>
          <w:b/>
        </w:rPr>
        <w:t>Objective</w:t>
      </w:r>
    </w:p>
    <w:p w14:paraId="3738A278" w14:textId="77777777" w:rsidR="004003A4" w:rsidRPr="004923B9" w:rsidRDefault="00000000">
      <w:r w:rsidRPr="004923B9">
        <w:t>The objective of this study was to extract bioactive compounds from selected tropical spices using microwave-assisted extraction technology.</w:t>
      </w:r>
    </w:p>
    <w:p w14:paraId="12BD9D9A" w14:textId="77777777" w:rsidR="00BC0DD8" w:rsidRPr="004923B9" w:rsidRDefault="001C03BC" w:rsidP="00215775">
      <w:pPr>
        <w:shd w:val="clear" w:color="auto" w:fill="FFFFFF"/>
        <w:spacing w:before="270" w:after="0" w:line="240" w:lineRule="auto"/>
        <w:jc w:val="both"/>
        <w:outlineLvl w:val="1"/>
        <w:rPr>
          <w:rFonts w:ascii="Times New Roman" w:eastAsia="Times New Roman" w:hAnsi="Times New Roman" w:cs="Times New Roman"/>
          <w:b/>
          <w:sz w:val="24"/>
          <w:szCs w:val="24"/>
        </w:rPr>
      </w:pPr>
      <w:r w:rsidRPr="004923B9">
        <w:rPr>
          <w:rFonts w:ascii="Times New Roman" w:eastAsia="Times New Roman" w:hAnsi="Times New Roman" w:cs="Times New Roman"/>
          <w:b/>
          <w:sz w:val="24"/>
          <w:szCs w:val="24"/>
        </w:rPr>
        <w:t>Materials and Methods</w:t>
      </w:r>
    </w:p>
    <w:p w14:paraId="0F53E5C7" w14:textId="77777777" w:rsidR="00BC0DD8" w:rsidRPr="004923B9" w:rsidRDefault="001C03BC" w:rsidP="00215775">
      <w:pPr>
        <w:shd w:val="clear" w:color="auto" w:fill="FFFFFF"/>
        <w:spacing w:before="270" w:after="0" w:line="240" w:lineRule="auto"/>
        <w:jc w:val="both"/>
        <w:outlineLvl w:val="1"/>
        <w:rPr>
          <w:rFonts w:ascii="Times New Roman" w:eastAsia="Times New Roman" w:hAnsi="Times New Roman" w:cs="Times New Roman"/>
          <w:b/>
          <w:sz w:val="24"/>
          <w:szCs w:val="24"/>
        </w:rPr>
      </w:pPr>
      <w:r w:rsidRPr="004923B9">
        <w:rPr>
          <w:rFonts w:ascii="Times New Roman" w:eastAsia="Times New Roman" w:hAnsi="Times New Roman" w:cs="Times New Roman"/>
          <w:b/>
          <w:sz w:val="24"/>
          <w:szCs w:val="24"/>
        </w:rPr>
        <w:lastRenderedPageBreak/>
        <w:t>Sample Procurement</w:t>
      </w:r>
    </w:p>
    <w:p w14:paraId="20A2CC0D" w14:textId="77777777" w:rsidR="00A46899" w:rsidRPr="004923B9" w:rsidRDefault="00A46899" w:rsidP="00215775">
      <w:pPr>
        <w:spacing w:after="0" w:line="240" w:lineRule="auto"/>
        <w:jc w:val="both"/>
        <w:rPr>
          <w:rFonts w:ascii="Times New Roman" w:eastAsia="Times New Roman" w:hAnsi="Times New Roman" w:cs="Times New Roman"/>
          <w:sz w:val="24"/>
          <w:szCs w:val="24"/>
        </w:rPr>
      </w:pPr>
      <w:r w:rsidRPr="004923B9">
        <w:t>Mature and freshly picked ginger (</w:t>
      </w:r>
      <w:r w:rsidRPr="004923B9">
        <w:rPr>
          <w:i/>
        </w:rPr>
        <w:t>Zingiber officinale</w:t>
      </w:r>
      <w:r w:rsidRPr="004923B9">
        <w:t xml:space="preserve">) and dried </w:t>
      </w:r>
      <w:proofErr w:type="spellStart"/>
      <w:r w:rsidRPr="004923B9">
        <w:t>ehuru</w:t>
      </w:r>
      <w:proofErr w:type="spellEnd"/>
      <w:r w:rsidRPr="004923B9">
        <w:t xml:space="preserve">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seeds were purchased directly from farmers in </w:t>
      </w:r>
      <w:proofErr w:type="spellStart"/>
      <w:r w:rsidRPr="004923B9">
        <w:t>Ihiagwa</w:t>
      </w:r>
      <w:proofErr w:type="spellEnd"/>
      <w:r w:rsidRPr="004923B9">
        <w:t xml:space="preserve">, Owerri West Local Government Area, Imo State, Nigeria. Mature dried </w:t>
      </w:r>
      <w:proofErr w:type="spellStart"/>
      <w:r w:rsidRPr="004923B9">
        <w:t>oshiokirisho</w:t>
      </w:r>
      <w:proofErr w:type="spellEnd"/>
      <w:r w:rsidRPr="004923B9">
        <w:t xml:space="preserve"> (</w:t>
      </w:r>
      <w:proofErr w:type="spellStart"/>
      <w:r w:rsidRPr="004923B9">
        <w:rPr>
          <w:i/>
        </w:rPr>
        <w:t>Tetrapleura</w:t>
      </w:r>
      <w:proofErr w:type="spellEnd"/>
      <w:r w:rsidRPr="004923B9">
        <w:rPr>
          <w:i/>
        </w:rPr>
        <w:t xml:space="preserve"> tetraptera</w:t>
      </w:r>
      <w:r w:rsidRPr="004923B9">
        <w:t>) fruits were collected from the ornamental garden of the Federal University of Technology, Owerri (FUTO). The samples were identified by a crop scientist and subsequently taken to the Department of Food Science and Technology laboratory, Federal University of Technology, Owerri, where sample preparation was performed and analytical-grade chemicals used for the experiments were obtained.</w:t>
      </w:r>
    </w:p>
    <w:p w14:paraId="207AD083" w14:textId="77777777" w:rsidR="00447868" w:rsidRPr="004923B9" w:rsidRDefault="00447868" w:rsidP="00215775">
      <w:pPr>
        <w:autoSpaceDE w:val="0"/>
        <w:autoSpaceDN w:val="0"/>
        <w:adjustRightInd w:val="0"/>
        <w:spacing w:line="240" w:lineRule="auto"/>
        <w:jc w:val="both"/>
        <w:rPr>
          <w:rFonts w:ascii="Times New Roman" w:hAnsi="Times New Roman" w:cs="Times New Roman"/>
          <w:b/>
          <w:bCs/>
          <w:sz w:val="24"/>
          <w:szCs w:val="24"/>
        </w:rPr>
      </w:pPr>
    </w:p>
    <w:p w14:paraId="229DF780" w14:textId="77777777" w:rsidR="00BC0DD8" w:rsidRPr="004923B9" w:rsidRDefault="001C03BC" w:rsidP="00215775">
      <w:pPr>
        <w:autoSpaceDE w:val="0"/>
        <w:autoSpaceDN w:val="0"/>
        <w:adjustRightInd w:val="0"/>
        <w:spacing w:line="240" w:lineRule="auto"/>
        <w:jc w:val="both"/>
        <w:rPr>
          <w:rFonts w:ascii="Times New Roman" w:hAnsi="Times New Roman" w:cs="Times New Roman"/>
          <w:b/>
          <w:bCs/>
          <w:sz w:val="24"/>
          <w:szCs w:val="24"/>
        </w:rPr>
      </w:pPr>
      <w:r w:rsidRPr="004923B9">
        <w:rPr>
          <w:rFonts w:ascii="Times New Roman" w:hAnsi="Times New Roman" w:cs="Times New Roman"/>
          <w:b/>
          <w:bCs/>
          <w:sz w:val="24"/>
          <w:szCs w:val="24"/>
        </w:rPr>
        <w:t>Processing of Ginger (</w:t>
      </w:r>
      <w:r w:rsidRPr="004923B9">
        <w:rPr>
          <w:rFonts w:ascii="Times New Roman" w:hAnsi="Times New Roman" w:cs="Times New Roman"/>
          <w:b/>
          <w:bCs/>
          <w:i/>
          <w:sz w:val="24"/>
          <w:szCs w:val="24"/>
        </w:rPr>
        <w:t>Z. officinale</w:t>
      </w:r>
      <w:r w:rsidRPr="004923B9">
        <w:rPr>
          <w:rFonts w:ascii="Times New Roman" w:hAnsi="Times New Roman" w:cs="Times New Roman"/>
          <w:b/>
          <w:bCs/>
          <w:sz w:val="24"/>
          <w:szCs w:val="24"/>
        </w:rPr>
        <w:t>) Extracts</w:t>
      </w:r>
    </w:p>
    <w:p w14:paraId="212CAF09" w14:textId="4DD40E54" w:rsidR="00A46899" w:rsidRPr="004923B9" w:rsidRDefault="00A46899" w:rsidP="00215775">
      <w:pPr>
        <w:spacing w:after="0" w:line="240" w:lineRule="auto"/>
        <w:jc w:val="both"/>
        <w:rPr>
          <w:rFonts w:ascii="Times New Roman" w:eastAsia="Times New Roman" w:hAnsi="Times New Roman" w:cs="Times New Roman"/>
          <w:sz w:val="24"/>
          <w:szCs w:val="24"/>
        </w:rPr>
      </w:pPr>
      <w:r w:rsidRPr="004923B9">
        <w:t>The crude ginger (</w:t>
      </w:r>
      <w:r w:rsidRPr="004923B9">
        <w:rPr>
          <w:i/>
        </w:rPr>
        <w:t>Z. officinale</w:t>
      </w:r>
      <w:r w:rsidRPr="004923B9">
        <w:t xml:space="preserve">) extract was processed and extracted according to the technique described by </w:t>
      </w:r>
      <w:r w:rsidR="00840F43" w:rsidRPr="00840F43">
        <w:t>AOAC International</w:t>
      </w:r>
      <w:r w:rsidRPr="004923B9">
        <w:t xml:space="preserve"> (2019). The ginger rhizomes were cleaned and rinsed with a 40% alcohol solution to reduce microbial load before peeling. Then, 10 kg of peeled ginger rhizomes were chopped into smaller pieces and sun-dried for 7 days before grinding into powder and storing in airtight containers for further processing. The flow chart for processing ginger roots is shown in Figure 1.</w:t>
      </w:r>
    </w:p>
    <w:p w14:paraId="4A43B553"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22900ED1" w14:textId="77777777" w:rsidR="00BC0DD8" w:rsidRPr="004923B9" w:rsidRDefault="001C03BC" w:rsidP="00215775">
      <w:pPr>
        <w:autoSpaceDE w:val="0"/>
        <w:autoSpaceDN w:val="0"/>
        <w:adjustRightInd w:val="0"/>
        <w:spacing w:after="0" w:line="240" w:lineRule="auto"/>
        <w:jc w:val="both"/>
        <w:rPr>
          <w:rFonts w:ascii="Times New Roman" w:hAnsi="Times New Roman" w:cs="Times New Roman"/>
          <w:bCs/>
          <w:sz w:val="24"/>
          <w:szCs w:val="24"/>
        </w:rPr>
      </w:pPr>
      <w:r w:rsidRPr="004923B9">
        <w:rPr>
          <w:rFonts w:ascii="Times New Roman" w:hAnsi="Times New Roman" w:cs="Times New Roman"/>
          <w:bCs/>
          <w:noProof/>
          <w:sz w:val="24"/>
          <w:szCs w:val="24"/>
        </w:rPr>
        <mc:AlternateContent>
          <mc:Choice Requires="wpg">
            <w:drawing>
              <wp:anchor distT="0" distB="0" distL="0" distR="0" simplePos="0" relativeHeight="2" behindDoc="0" locked="0" layoutInCell="1" allowOverlap="1" wp14:anchorId="359B91A2" wp14:editId="2C2EC79F">
                <wp:simplePos x="0" y="0"/>
                <wp:positionH relativeFrom="margin">
                  <wp:posOffset>645459</wp:posOffset>
                </wp:positionH>
                <wp:positionV relativeFrom="paragraph">
                  <wp:posOffset>-86061</wp:posOffset>
                </wp:positionV>
                <wp:extent cx="4700905" cy="3818480"/>
                <wp:effectExtent l="0" t="0" r="4445" b="10795"/>
                <wp:wrapNone/>
                <wp:docPr id="102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00905" cy="3818480"/>
                          <a:chOff x="-740229" y="-221985"/>
                          <a:chExt cx="4920343" cy="7163110"/>
                        </a:xfrm>
                      </wpg:grpSpPr>
                      <wps:wsp>
                        <wps:cNvPr id="1" name="Rectangle 1"/>
                        <wps:cNvSpPr/>
                        <wps:spPr>
                          <a:xfrm>
                            <a:off x="120117" y="-221985"/>
                            <a:ext cx="1524002" cy="66986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2FDC8FD" w14:textId="77777777" w:rsidR="00DF337D" w:rsidRDefault="00DF337D" w:rsidP="003313A4">
                              <w:pPr>
                                <w:jc w:val="center"/>
                                <w:rPr>
                                  <w:rFonts w:ascii="Times New Roman" w:hAnsi="Times New Roman" w:cs="Times New Roman"/>
                                  <w:b/>
                                </w:rPr>
                              </w:pPr>
                              <w:r>
                                <w:rPr>
                                  <w:rFonts w:ascii="Times New Roman" w:hAnsi="Times New Roman" w:cs="Times New Roman"/>
                                  <w:b/>
                                </w:rPr>
                                <w:t>Ginger Roots</w:t>
                              </w:r>
                            </w:p>
                          </w:txbxContent>
                        </wps:txbx>
                        <wps:bodyPr vert="horz" wrap="square" lIns="91440" tIns="45720" rIns="91440" bIns="45720" anchor="t" upright="1">
                          <a:prstTxWarp prst="textNoShape">
                            <a:avLst/>
                          </a:prstTxWarp>
                          <a:noAutofit/>
                        </wps:bodyPr>
                      </wps:wsp>
                      <wps:wsp>
                        <wps:cNvPr id="2" name="Rectangle 2"/>
                        <wps:cNvSpPr/>
                        <wps:spPr>
                          <a:xfrm>
                            <a:off x="379529" y="6502014"/>
                            <a:ext cx="1393460" cy="439111"/>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6C39066" w14:textId="77777777" w:rsidR="00DF337D" w:rsidRDefault="00DF337D">
                              <w:pPr>
                                <w:rPr>
                                  <w:rFonts w:ascii="Times New Roman" w:hAnsi="Times New Roman" w:cs="Times New Roman"/>
                                </w:rPr>
                              </w:pPr>
                              <w:r>
                                <w:rPr>
                                  <w:rFonts w:ascii="Times New Roman" w:hAnsi="Times New Roman" w:cs="Times New Roman"/>
                                </w:rPr>
                                <w:t>Ginger Extracts</w:t>
                              </w:r>
                            </w:p>
                          </w:txbxContent>
                        </wps:txbx>
                        <wps:bodyPr vert="horz" wrap="square" lIns="91440" tIns="45720" rIns="91440" bIns="45720" anchor="t" upright="1">
                          <a:prstTxWarp prst="textNoShape">
                            <a:avLst/>
                          </a:prstTxWarp>
                          <a:noAutofit/>
                        </wps:bodyPr>
                      </wps:wsp>
                      <wps:wsp>
                        <wps:cNvPr id="3" name="Straight Arrow Connector 3"/>
                        <wps:cNvCnPr/>
                        <wps:spPr>
                          <a:xfrm>
                            <a:off x="947057" y="6219128"/>
                            <a:ext cx="0" cy="293720"/>
                          </a:xfrm>
                          <a:prstGeom prst="straightConnector1">
                            <a:avLst/>
                          </a:prstGeom>
                          <a:ln w="9525" cap="flat" cmpd="sng">
                            <a:solidFill>
                              <a:srgbClr val="000000"/>
                            </a:solidFill>
                            <a:prstDash val="solid"/>
                            <a:round/>
                            <a:headEnd type="none" w="med" len="med"/>
                            <a:tailEnd type="triangle" w="med" len="med"/>
                          </a:ln>
                        </wps:spPr>
                        <wps:bodyPr/>
                      </wps:wsp>
                      <wps:wsp>
                        <wps:cNvPr id="4" name="Rectangle 4"/>
                        <wps:cNvSpPr/>
                        <wps:spPr>
                          <a:xfrm>
                            <a:off x="-65313" y="5787144"/>
                            <a:ext cx="4245427" cy="495252"/>
                          </a:xfrm>
                          <a:prstGeom prst="rect">
                            <a:avLst/>
                          </a:prstGeom>
                          <a:solidFill>
                            <a:srgbClr val="FFFFFF"/>
                          </a:solidFill>
                          <a:ln>
                            <a:noFill/>
                          </a:ln>
                        </wps:spPr>
                        <wps:txbx>
                          <w:txbxContent>
                            <w:p w14:paraId="04A571F8" w14:textId="77777777" w:rsidR="00DF337D" w:rsidRDefault="00DF337D">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Extraction (Using Microwave Assisted Extraction)</w:t>
                              </w:r>
                            </w:p>
                            <w:p w14:paraId="5A11DCEE" w14:textId="77777777" w:rsidR="00DF337D" w:rsidRDefault="00DF337D">
                              <w:pPr>
                                <w:rPr>
                                  <w:rFonts w:ascii="Times New Roman" w:hAnsi="Times New Roman" w:cs="Times New Roman"/>
                                  <w:b/>
                                </w:rPr>
                              </w:pPr>
                            </w:p>
                          </w:txbxContent>
                        </wps:txbx>
                        <wps:bodyPr vert="horz" wrap="square" lIns="91440" tIns="45720" rIns="91440" bIns="45720" anchor="t" upright="1">
                          <a:prstTxWarp prst="textNoShape">
                            <a:avLst/>
                          </a:prstTxWarp>
                          <a:noAutofit/>
                        </wps:bodyPr>
                      </wps:wsp>
                      <wps:wsp>
                        <wps:cNvPr id="5" name="Rectangle 5"/>
                        <wps:cNvSpPr/>
                        <wps:spPr>
                          <a:xfrm>
                            <a:off x="47958" y="5181043"/>
                            <a:ext cx="2725017" cy="425101"/>
                          </a:xfrm>
                          <a:prstGeom prst="rect">
                            <a:avLst/>
                          </a:prstGeom>
                          <a:solidFill>
                            <a:srgbClr val="FFFFFF"/>
                          </a:solidFill>
                          <a:ln>
                            <a:noFill/>
                          </a:ln>
                        </wps:spPr>
                        <wps:txbx>
                          <w:txbxContent>
                            <w:p w14:paraId="3EF23B68" w14:textId="77777777" w:rsidR="00DF337D" w:rsidRDefault="00DF337D">
                              <w:pPr>
                                <w:rPr>
                                  <w:rFonts w:ascii="Times New Roman" w:hAnsi="Times New Roman" w:cs="Times New Roman"/>
                                  <w:b/>
                                </w:rPr>
                              </w:pPr>
                              <w:r>
                                <w:rPr>
                                  <w:rFonts w:ascii="Times New Roman" w:hAnsi="Times New Roman" w:cs="Times New Roman"/>
                                  <w:bCs/>
                                </w:rPr>
                                <w:t xml:space="preserve">    Grinding into Powder (37µm)</w:t>
                              </w:r>
                            </w:p>
                          </w:txbxContent>
                        </wps:txbx>
                        <wps:bodyPr vert="horz" wrap="square" lIns="91440" tIns="45720" rIns="91440" bIns="45720" anchor="t" upright="1">
                          <a:prstTxWarp prst="textNoShape">
                            <a:avLst/>
                          </a:prstTxWarp>
                          <a:noAutofit/>
                        </wps:bodyPr>
                      </wps:wsp>
                      <wps:wsp>
                        <wps:cNvPr id="6" name="Straight Arrow Connector 6"/>
                        <wps:cNvCnPr/>
                        <wps:spPr>
                          <a:xfrm>
                            <a:off x="957943" y="5606143"/>
                            <a:ext cx="0" cy="293719"/>
                          </a:xfrm>
                          <a:prstGeom prst="straightConnector1">
                            <a:avLst/>
                          </a:prstGeom>
                          <a:ln w="9525" cap="flat" cmpd="sng">
                            <a:solidFill>
                              <a:srgbClr val="000000"/>
                            </a:solidFill>
                            <a:prstDash val="solid"/>
                            <a:round/>
                            <a:headEnd type="none" w="med" len="med"/>
                            <a:tailEnd type="triangle" w="med" len="med"/>
                          </a:ln>
                        </wps:spPr>
                        <wps:bodyPr/>
                      </wps:wsp>
                      <wps:wsp>
                        <wps:cNvPr id="7" name="Straight Arrow Connector 7"/>
                        <wps:cNvCnPr/>
                        <wps:spPr>
                          <a:xfrm>
                            <a:off x="947057" y="4887686"/>
                            <a:ext cx="0" cy="293370"/>
                          </a:xfrm>
                          <a:prstGeom prst="straightConnector1">
                            <a:avLst/>
                          </a:prstGeom>
                          <a:ln w="9525" cap="flat" cmpd="sng">
                            <a:solidFill>
                              <a:srgbClr val="000000"/>
                            </a:solidFill>
                            <a:prstDash val="solid"/>
                            <a:round/>
                            <a:headEnd type="none" w="med" len="med"/>
                            <a:tailEnd type="triangle" w="med" len="med"/>
                          </a:ln>
                        </wps:spPr>
                        <wps:bodyPr/>
                      </wps:wsp>
                      <wps:wsp>
                        <wps:cNvPr id="8" name="Straight Arrow Connector 8"/>
                        <wps:cNvCnPr/>
                        <wps:spPr>
                          <a:xfrm>
                            <a:off x="946119" y="3906682"/>
                            <a:ext cx="0" cy="588048"/>
                          </a:xfrm>
                          <a:prstGeom prst="straightConnector1">
                            <a:avLst/>
                          </a:prstGeom>
                          <a:ln w="9525" cap="flat" cmpd="sng">
                            <a:solidFill>
                              <a:srgbClr val="000000"/>
                            </a:solidFill>
                            <a:prstDash val="solid"/>
                            <a:round/>
                            <a:headEnd type="none" w="med" len="med"/>
                            <a:tailEnd type="triangle" w="med" len="med"/>
                          </a:ln>
                        </wps:spPr>
                        <wps:bodyPr/>
                      </wps:wsp>
                      <wps:wsp>
                        <wps:cNvPr id="9" name="Straight Arrow Connector 9"/>
                        <wps:cNvCnPr/>
                        <wps:spPr>
                          <a:xfrm flipH="1" flipV="1">
                            <a:off x="892629" y="3744359"/>
                            <a:ext cx="32656" cy="6"/>
                          </a:xfrm>
                          <a:prstGeom prst="straightConnector1">
                            <a:avLst/>
                          </a:prstGeom>
                          <a:ln w="9525" cap="flat" cmpd="sng">
                            <a:solidFill>
                              <a:srgbClr val="000000"/>
                            </a:solidFill>
                            <a:prstDash val="solid"/>
                            <a:round/>
                            <a:headEnd type="none" w="med" len="med"/>
                            <a:tailEnd type="triangle" w="med" len="med"/>
                          </a:ln>
                        </wps:spPr>
                        <wps:bodyPr/>
                      </wps:wsp>
                      <wps:wsp>
                        <wps:cNvPr id="10" name="Rectangle 10"/>
                        <wps:cNvSpPr/>
                        <wps:spPr>
                          <a:xfrm>
                            <a:off x="206758" y="4494726"/>
                            <a:ext cx="2471127" cy="500128"/>
                          </a:xfrm>
                          <a:prstGeom prst="rect">
                            <a:avLst/>
                          </a:prstGeom>
                          <a:solidFill>
                            <a:srgbClr val="FFFFFF"/>
                          </a:solidFill>
                          <a:ln>
                            <a:noFill/>
                          </a:ln>
                        </wps:spPr>
                        <wps:txbx>
                          <w:txbxContent>
                            <w:p w14:paraId="733F509B" w14:textId="77777777" w:rsidR="00DF337D" w:rsidRDefault="00DF337D">
                              <w:pPr>
                                <w:rPr>
                                  <w:rFonts w:ascii="Times New Roman" w:hAnsi="Times New Roman" w:cs="Times New Roman"/>
                                  <w:b/>
                                </w:rPr>
                              </w:pPr>
                              <w:r>
                                <w:rPr>
                                  <w:rFonts w:ascii="Times New Roman" w:hAnsi="Times New Roman" w:cs="Times New Roman"/>
                                  <w:bCs/>
                                </w:rPr>
                                <w:t>Sun Drying (for 7 days)</w:t>
                              </w:r>
                            </w:p>
                          </w:txbxContent>
                        </wps:txbx>
                        <wps:bodyPr vert="horz" wrap="square" lIns="91440" tIns="45720" rIns="91440" bIns="45720" anchor="t" upright="1">
                          <a:prstTxWarp prst="textNoShape">
                            <a:avLst/>
                          </a:prstTxWarp>
                          <a:noAutofit/>
                        </wps:bodyPr>
                      </wps:wsp>
                      <wps:wsp>
                        <wps:cNvPr id="11" name="Rectangle 11"/>
                        <wps:cNvSpPr/>
                        <wps:spPr>
                          <a:xfrm>
                            <a:off x="-20274" y="3692964"/>
                            <a:ext cx="3875314" cy="537667"/>
                          </a:xfrm>
                          <a:prstGeom prst="rect">
                            <a:avLst/>
                          </a:prstGeom>
                          <a:solidFill>
                            <a:srgbClr val="FFFFFF"/>
                          </a:solidFill>
                          <a:ln>
                            <a:noFill/>
                          </a:ln>
                        </wps:spPr>
                        <wps:txbx>
                          <w:txbxContent>
                            <w:p w14:paraId="3E950469" w14:textId="77777777" w:rsidR="00DF337D" w:rsidRDefault="00DF337D">
                              <w:pPr>
                                <w:rPr>
                                  <w:rFonts w:ascii="Times New Roman" w:hAnsi="Times New Roman" w:cs="Times New Roman"/>
                                  <w:bCs/>
                                </w:rPr>
                              </w:pPr>
                              <w:r>
                                <w:rPr>
                                  <w:rFonts w:ascii="Times New Roman" w:hAnsi="Times New Roman" w:cs="Times New Roman"/>
                                  <w:bCs/>
                                </w:rPr>
                                <w:t xml:space="preserve">         Cutting/Slicing</w:t>
                              </w:r>
                            </w:p>
                          </w:txbxContent>
                        </wps:txbx>
                        <wps:bodyPr vert="horz" wrap="square" lIns="91440" tIns="45720" rIns="91440" bIns="45720" anchor="t" upright="1">
                          <a:prstTxWarp prst="textNoShape">
                            <a:avLst/>
                          </a:prstTxWarp>
                          <a:noAutofit/>
                        </wps:bodyPr>
                      </wps:wsp>
                      <wps:wsp>
                        <wps:cNvPr id="12" name="Rectangle 12"/>
                        <wps:cNvSpPr/>
                        <wps:spPr>
                          <a:xfrm>
                            <a:off x="185057" y="3004327"/>
                            <a:ext cx="1524000" cy="423178"/>
                          </a:xfrm>
                          <a:prstGeom prst="rect">
                            <a:avLst/>
                          </a:prstGeom>
                          <a:solidFill>
                            <a:srgbClr val="FFFFFF"/>
                          </a:solidFill>
                          <a:ln>
                            <a:noFill/>
                          </a:ln>
                        </wps:spPr>
                        <wps:txbx>
                          <w:txbxContent>
                            <w:p w14:paraId="5736683E" w14:textId="77777777" w:rsidR="00DF337D" w:rsidRDefault="00DF337D">
                              <w:pPr>
                                <w:rPr>
                                  <w:rFonts w:ascii="Times New Roman" w:hAnsi="Times New Roman" w:cs="Times New Roman"/>
                                  <w:b/>
                                </w:rPr>
                              </w:pPr>
                              <w:r>
                                <w:rPr>
                                  <w:rFonts w:ascii="Times New Roman" w:hAnsi="Times New Roman" w:cs="Times New Roman"/>
                                  <w:bCs/>
                                </w:rPr>
                                <w:t xml:space="preserve">         Peeling</w:t>
                              </w:r>
                            </w:p>
                          </w:txbxContent>
                        </wps:txbx>
                        <wps:bodyPr vert="horz" wrap="square" lIns="91440" tIns="45720" rIns="91440" bIns="45720" anchor="t" upright="1">
                          <a:prstTxWarp prst="textNoShape">
                            <a:avLst/>
                          </a:prstTxWarp>
                          <a:noAutofit/>
                        </wps:bodyPr>
                      </wps:wsp>
                      <wps:wsp>
                        <wps:cNvPr id="13" name="Rectangle 13"/>
                        <wps:cNvSpPr/>
                        <wps:spPr>
                          <a:xfrm>
                            <a:off x="185020" y="2326591"/>
                            <a:ext cx="1664508" cy="559198"/>
                          </a:xfrm>
                          <a:prstGeom prst="rect">
                            <a:avLst/>
                          </a:prstGeom>
                          <a:solidFill>
                            <a:srgbClr val="FFFFFF"/>
                          </a:solidFill>
                          <a:ln>
                            <a:noFill/>
                          </a:ln>
                        </wps:spPr>
                        <wps:txbx>
                          <w:txbxContent>
                            <w:p w14:paraId="7853B993" w14:textId="77777777" w:rsidR="00DF337D" w:rsidRDefault="00DF337D">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Draining</w:t>
                              </w:r>
                            </w:p>
                            <w:p w14:paraId="3F03339D" w14:textId="77777777" w:rsidR="00DF337D" w:rsidRDefault="00DF337D">
                              <w:pPr>
                                <w:ind w:firstLine="720"/>
                                <w:rPr>
                                  <w:rFonts w:ascii="Times New Roman" w:hAnsi="Times New Roman" w:cs="Times New Roman"/>
                                  <w:b/>
                                </w:rPr>
                              </w:pPr>
                            </w:p>
                          </w:txbxContent>
                        </wps:txbx>
                        <wps:bodyPr vert="horz" wrap="square" lIns="91440" tIns="45720" rIns="91440" bIns="45720" anchor="t" upright="1">
                          <a:prstTxWarp prst="textNoShape">
                            <a:avLst/>
                          </a:prstTxWarp>
                          <a:noAutofit/>
                        </wps:bodyPr>
                      </wps:wsp>
                      <wps:wsp>
                        <wps:cNvPr id="14" name="Straight Arrow Connector 14"/>
                        <wps:cNvCnPr/>
                        <wps:spPr>
                          <a:xfrm>
                            <a:off x="892629" y="2782290"/>
                            <a:ext cx="0" cy="293718"/>
                          </a:xfrm>
                          <a:prstGeom prst="straightConnector1">
                            <a:avLst/>
                          </a:prstGeom>
                          <a:ln w="9525" cap="flat" cmpd="sng">
                            <a:solidFill>
                              <a:srgbClr val="000000"/>
                            </a:solidFill>
                            <a:prstDash val="solid"/>
                            <a:round/>
                            <a:headEnd type="none" w="med" len="med"/>
                            <a:tailEnd type="triangle" w="med" len="med"/>
                          </a:ln>
                        </wps:spPr>
                        <wps:bodyPr/>
                      </wps:wsp>
                      <wps:wsp>
                        <wps:cNvPr id="15" name="Straight Arrow Connector 15"/>
                        <wps:cNvCnPr/>
                        <wps:spPr>
                          <a:xfrm>
                            <a:off x="855069" y="2032783"/>
                            <a:ext cx="0" cy="374022"/>
                          </a:xfrm>
                          <a:prstGeom prst="straightConnector1">
                            <a:avLst/>
                          </a:prstGeom>
                          <a:ln w="9525" cap="flat" cmpd="sng">
                            <a:solidFill>
                              <a:srgbClr val="000000"/>
                            </a:solidFill>
                            <a:prstDash val="solid"/>
                            <a:round/>
                            <a:headEnd type="none" w="med" len="med"/>
                            <a:tailEnd type="triangle" w="med" len="med"/>
                          </a:ln>
                        </wps:spPr>
                        <wps:bodyPr/>
                      </wps:wsp>
                      <wps:wsp>
                        <wps:cNvPr id="16" name="Straight Arrow Connector 16"/>
                        <wps:cNvCnPr/>
                        <wps:spPr>
                          <a:xfrm>
                            <a:off x="870857" y="1251857"/>
                            <a:ext cx="0" cy="293719"/>
                          </a:xfrm>
                          <a:prstGeom prst="straightConnector1">
                            <a:avLst/>
                          </a:prstGeom>
                          <a:ln w="9525" cap="flat" cmpd="sng">
                            <a:solidFill>
                              <a:srgbClr val="000000"/>
                            </a:solidFill>
                            <a:prstDash val="solid"/>
                            <a:round/>
                            <a:headEnd type="none" w="med" len="med"/>
                            <a:tailEnd type="triangle" w="med" len="med"/>
                          </a:ln>
                        </wps:spPr>
                        <wps:bodyPr/>
                      </wps:wsp>
                      <wps:wsp>
                        <wps:cNvPr id="17" name="Rectangle 17"/>
                        <wps:cNvSpPr/>
                        <wps:spPr>
                          <a:xfrm>
                            <a:off x="108857" y="838107"/>
                            <a:ext cx="1524000" cy="707403"/>
                          </a:xfrm>
                          <a:prstGeom prst="rect">
                            <a:avLst/>
                          </a:prstGeom>
                          <a:solidFill>
                            <a:srgbClr val="FFFFFF"/>
                          </a:solidFill>
                          <a:ln>
                            <a:noFill/>
                          </a:ln>
                        </wps:spPr>
                        <wps:txbx>
                          <w:txbxContent>
                            <w:p w14:paraId="40C3CE90" w14:textId="77777777" w:rsidR="00DF337D" w:rsidRDefault="00DF337D">
                              <w:pPr>
                                <w:rPr>
                                  <w:rFonts w:ascii="Times New Roman" w:hAnsi="Times New Roman" w:cs="Times New Roman"/>
                                  <w:b/>
                                </w:rPr>
                              </w:pPr>
                              <w:r>
                                <w:rPr>
                                  <w:rFonts w:ascii="Times New Roman" w:hAnsi="Times New Roman" w:cs="Times New Roman"/>
                                </w:rPr>
                                <w:t xml:space="preserve">             Sorting</w:t>
                              </w:r>
                            </w:p>
                          </w:txbxContent>
                        </wps:txbx>
                        <wps:bodyPr vert="horz" wrap="square" lIns="91440" tIns="45720" rIns="91440" bIns="45720" anchor="t" upright="1">
                          <a:prstTxWarp prst="textNoShape">
                            <a:avLst/>
                          </a:prstTxWarp>
                          <a:noAutofit/>
                        </wps:bodyPr>
                      </wps:wsp>
                      <wps:wsp>
                        <wps:cNvPr id="18" name="Rectangle 18"/>
                        <wps:cNvSpPr/>
                        <wps:spPr>
                          <a:xfrm>
                            <a:off x="-740229" y="1599360"/>
                            <a:ext cx="4550230" cy="433423"/>
                          </a:xfrm>
                          <a:prstGeom prst="rect">
                            <a:avLst/>
                          </a:prstGeom>
                          <a:solidFill>
                            <a:srgbClr val="FFFFFF"/>
                          </a:solidFill>
                          <a:ln>
                            <a:noFill/>
                          </a:ln>
                        </wps:spPr>
                        <wps:txbx>
                          <w:txbxContent>
                            <w:p w14:paraId="302841E8" w14:textId="77777777" w:rsidR="00DF337D" w:rsidRDefault="00DF337D">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Cleaning and Washing (Disinfection with 40% alcohol solution) </w:t>
                              </w:r>
                            </w:p>
                            <w:p w14:paraId="137532E2" w14:textId="77777777" w:rsidR="00DF337D" w:rsidRDefault="00DF337D">
                              <w:pPr>
                                <w:ind w:firstLine="720"/>
                                <w:rPr>
                                  <w:rFonts w:ascii="Times New Roman" w:hAnsi="Times New Roman" w:cs="Times New Roman"/>
                                  <w:b/>
                                </w:rPr>
                              </w:pPr>
                            </w:p>
                          </w:txbxContent>
                        </wps:txbx>
                        <wps:bodyPr vert="horz" wrap="square" lIns="91440" tIns="45720" rIns="91440" bIns="45720" anchor="t" upright="1">
                          <a:prstTxWarp prst="textNoShape">
                            <a:avLst/>
                          </a:prstTxWarp>
                          <a:noAutofit/>
                        </wps:bodyPr>
                      </wps:wsp>
                      <wps:wsp>
                        <wps:cNvPr id="19" name="Straight Arrow Connector 19"/>
                        <wps:cNvCnPr/>
                        <wps:spPr>
                          <a:xfrm>
                            <a:off x="838200" y="468086"/>
                            <a:ext cx="0" cy="293370"/>
                          </a:xfrm>
                          <a:prstGeom prst="straightConnector1">
                            <a:avLst/>
                          </a:prstGeom>
                          <a:ln w="9525" cap="flat" cmpd="sng">
                            <a:solidFill>
                              <a:srgbClr val="000000"/>
                            </a:solidFill>
                            <a:prstDash val="solid"/>
                            <a:round/>
                            <a:headEnd type="none" w="med" len="med"/>
                            <a:tailEnd type="triangle" w="med" len="med"/>
                          </a:ln>
                        </wps:spPr>
                        <wps:bodyPr/>
                      </wps:wsp>
                    </wpg:wgp>
                  </a:graphicData>
                </a:graphic>
                <wp14:sizeRelH relativeFrom="margin">
                  <wp14:pctWidth>0</wp14:pctWidth>
                </wp14:sizeRelH>
                <wp14:sizeRelV relativeFrom="margin">
                  <wp14:pctHeight>0</wp14:pctHeight>
                </wp14:sizeRelV>
              </wp:anchor>
            </w:drawing>
          </mc:Choice>
          <mc:Fallback>
            <w:pict>
              <v:group w14:anchorId="359B91A2" id="Group 30" o:spid="_x0000_s1026" style="position:absolute;left:0;text-align:left;margin-left:50.8pt;margin-top:-6.8pt;width:370.15pt;height:300.65pt;z-index:2;mso-wrap-distance-left:0;mso-wrap-distance-right:0;mso-position-horizontal-relative:margin;mso-width-relative:margin;mso-height-relative:margin" coordorigin="-7402,-2219" coordsize="49203,71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">
                <v:rect id="_x0000_s1027" style="position:absolute;left:1201;top:-2219;width:15240;height:6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14:paraId="52FDC8FD" w14:textId="77777777" w:rsidR="00DF337D" w:rsidRDefault="00DF337D" w:rsidP="003313A4">
                        <w:pPr>
                          <w:jc w:val="center"/>
                          <w:rPr>
                            <w:rFonts w:ascii="Times New Roman" w:hAnsi="Times New Roman" w:cs="Times New Roman"/>
                            <w:b/>
                          </w:rPr>
                        </w:pPr>
                        <w:r>
                          <w:rPr>
                            <w:rFonts w:ascii="Times New Roman" w:hAnsi="Times New Roman" w:cs="Times New Roman"/>
                            <w:b/>
                          </w:rPr>
                          <w:t>Ginger Roots</w:t>
                        </w:r>
                      </w:p>
                    </w:txbxContent>
                  </v:textbox>
                </v:rect>
                <v:rect id="Rectangle 2" o:spid="_x0000_s1028" style="position:absolute;left:3795;top:65020;width:13934;height:4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14:paraId="46C39066" w14:textId="77777777" w:rsidR="00DF337D" w:rsidRDefault="00DF337D">
                        <w:pPr>
                          <w:rPr>
                            <w:rFonts w:ascii="Times New Roman" w:hAnsi="Times New Roman" w:cs="Times New Roman"/>
                          </w:rPr>
                        </w:pPr>
                        <w:r>
                          <w:rPr>
                            <w:rFonts w:ascii="Times New Roman" w:hAnsi="Times New Roman" w:cs="Times New Roman"/>
                          </w:rPr>
                          <w:t>Ginger Extracts</w:t>
                        </w:r>
                      </w:p>
                    </w:txbxContent>
                  </v:textbox>
                </v:rect>
                <v:shapetype id="_x0000_t32" coordsize="21600,21600" o:spt="32" o:oned="t" path="m,l21600,21600e" filled="f">
                  <v:path arrowok="t" fillok="f" o:connecttype="none"/>
                  <o:lock v:ext="edit" shapetype="t"/>
                </v:shapetype>
                <v:shape id="Straight Arrow Connector 3" o:spid="_x0000_s1029" type="#_x0000_t32" style="position:absolute;left:9470;top:62191;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rect id="Rectangle 4" o:spid="_x0000_s1030" style="position:absolute;left:-653;top:57871;width:42454;height:4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" stroked="f">
                  <v:textbox>
                    <w:txbxContent>
                      <w:p w14:paraId="04A571F8" w14:textId="77777777" w:rsidR="00DF337D" w:rsidRDefault="00DF337D">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Extraction (Using Microwave Assisted Extraction)</w:t>
                        </w:r>
                      </w:p>
                      <w:p w14:paraId="5A11DCEE" w14:textId="77777777" w:rsidR="00DF337D" w:rsidRDefault="00DF337D">
                        <w:pPr>
                          <w:rPr>
                            <w:rFonts w:ascii="Times New Roman" w:hAnsi="Times New Roman" w:cs="Times New Roman"/>
                            <w:b/>
                          </w:rPr>
                        </w:pPr>
                      </w:p>
                    </w:txbxContent>
                  </v:textbox>
                </v:rect>
                <v:rect id="_x0000_s1031" style="position:absolute;left:479;top:51810;width:27250;height:4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v:textbox>
                    <w:txbxContent>
                      <w:p w14:paraId="3EF23B68" w14:textId="77777777" w:rsidR="00DF337D" w:rsidRDefault="00DF337D">
                        <w:pPr>
                          <w:rPr>
                            <w:rFonts w:ascii="Times New Roman" w:hAnsi="Times New Roman" w:cs="Times New Roman"/>
                            <w:b/>
                          </w:rPr>
                        </w:pPr>
                        <w:r>
                          <w:rPr>
                            <w:rFonts w:ascii="Times New Roman" w:hAnsi="Times New Roman" w:cs="Times New Roman"/>
                            <w:bCs/>
                          </w:rPr>
                          <w:t xml:space="preserve">    Grinding into Powder (37µm)</w:t>
                        </w:r>
                      </w:p>
                    </w:txbxContent>
                  </v:textbox>
                </v:rect>
                <v:shape id="Straight Arrow Connector 6" o:spid="_x0000_s1032" type="#_x0000_t32" style="position:absolute;left:9579;top:56061;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">
                  <v:stroke endarrow="block"/>
                </v:shape>
                <v:shape id="Straight Arrow Connector 7" o:spid="_x0000_s1033" type="#_x0000_t32" style="position:absolute;left:9470;top:48876;width:0;height:29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Straight Arrow Connector 8" o:spid="_x0000_s1034" type="#_x0000_t32" style="position:absolute;left:9461;top:39066;width:0;height:58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Straight Arrow Connector 9" o:spid="_x0000_s1035" type="#_x0000_t32" style="position:absolute;left:8926;top:37443;width:326;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">
                  <v:stroke endarrow="block"/>
                </v:shape>
                <v:rect id="Rectangle 10" o:spid="_x0000_s1036" style="position:absolute;left:2067;top:44947;width:24711;height:5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textbox>
                    <w:txbxContent>
                      <w:p w14:paraId="733F509B" w14:textId="77777777" w:rsidR="00DF337D" w:rsidRDefault="00DF337D">
                        <w:pPr>
                          <w:rPr>
                            <w:rFonts w:ascii="Times New Roman" w:hAnsi="Times New Roman" w:cs="Times New Roman"/>
                            <w:b/>
                          </w:rPr>
                        </w:pPr>
                        <w:r>
                          <w:rPr>
                            <w:rFonts w:ascii="Times New Roman" w:hAnsi="Times New Roman" w:cs="Times New Roman"/>
                            <w:bCs/>
                          </w:rPr>
                          <w:t>Sun Drying (for 7 days)</w:t>
                        </w:r>
                      </w:p>
                    </w:txbxContent>
                  </v:textbox>
                </v:rect>
                <v:rect id="Rectangle 11" o:spid="_x0000_s1037" style="position:absolute;left:-202;top:36929;width:38752;height:5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textbox>
                    <w:txbxContent>
                      <w:p w14:paraId="3E950469" w14:textId="77777777" w:rsidR="00DF337D" w:rsidRDefault="00DF337D">
                        <w:pPr>
                          <w:rPr>
                            <w:rFonts w:ascii="Times New Roman" w:hAnsi="Times New Roman" w:cs="Times New Roman"/>
                            <w:bCs/>
                          </w:rPr>
                        </w:pPr>
                        <w:r>
                          <w:rPr>
                            <w:rFonts w:ascii="Times New Roman" w:hAnsi="Times New Roman" w:cs="Times New Roman"/>
                            <w:bCs/>
                          </w:rPr>
                          <w:t xml:space="preserve">         Cutting/Slicing</w:t>
                        </w:r>
                      </w:p>
                    </w:txbxContent>
                  </v:textbox>
                </v:rect>
                <v:rect id="Rectangle 12" o:spid="_x0000_s1038" style="position:absolute;left:1850;top:30043;width:15240;height:4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textbox>
                    <w:txbxContent>
                      <w:p w14:paraId="5736683E" w14:textId="77777777" w:rsidR="00DF337D" w:rsidRDefault="00DF337D">
                        <w:pPr>
                          <w:rPr>
                            <w:rFonts w:ascii="Times New Roman" w:hAnsi="Times New Roman" w:cs="Times New Roman"/>
                            <w:b/>
                          </w:rPr>
                        </w:pPr>
                        <w:r>
                          <w:rPr>
                            <w:rFonts w:ascii="Times New Roman" w:hAnsi="Times New Roman" w:cs="Times New Roman"/>
                            <w:bCs/>
                          </w:rPr>
                          <w:t xml:space="preserve">         Peeling</w:t>
                        </w:r>
                      </w:p>
                    </w:txbxContent>
                  </v:textbox>
                </v:rect>
                <v:rect id="Rectangle 13" o:spid="_x0000_s1039" style="position:absolute;left:1850;top:23265;width:16645;height:5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textbox>
                    <w:txbxContent>
                      <w:p w14:paraId="7853B993" w14:textId="77777777" w:rsidR="00DF337D" w:rsidRDefault="00DF337D">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Draining</w:t>
                        </w:r>
                      </w:p>
                      <w:p w14:paraId="3F03339D" w14:textId="77777777" w:rsidR="00DF337D" w:rsidRDefault="00DF337D">
                        <w:pPr>
                          <w:ind w:firstLine="720"/>
                          <w:rPr>
                            <w:rFonts w:ascii="Times New Roman" w:hAnsi="Times New Roman" w:cs="Times New Roman"/>
                            <w:b/>
                          </w:rPr>
                        </w:pPr>
                      </w:p>
                    </w:txbxContent>
                  </v:textbox>
                </v:rect>
                <v:shape id="Straight Arrow Connector 14" o:spid="_x0000_s1040" type="#_x0000_t32" style="position:absolute;left:8926;top:27822;width:0;height:29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Straight Arrow Connector 15" o:spid="_x0000_s1041" type="#_x0000_t32" style="position:absolute;left:8550;top:20327;width:0;height:37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kvhwgAAANsAAAAPAAAAZHJzL2Rvd25yZXYueG1sRE9Ni8Iw&#10;EL0L/ocwgjdNXVD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DPdkvhwgAAANsAAAAPAAAA&#10;AAAAAAAAAAAAAAcCAABkcnMvZG93bnJldi54bWxQSwUGAAAAAAMAAwC3AAAA9gIAAAAA&#10;">
                  <v:stroke endarrow="block"/>
                </v:shape>
                <v:shape id="Straight Arrow Connector 16" o:spid="_x0000_s1042" type="#_x0000_t32" style="position:absolute;left:8708;top:12518;width:0;height:2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rect id="Rectangle 17" o:spid="_x0000_s1043" style="position:absolute;left:1088;top:8381;width:15240;height:7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" stroked="f">
                  <v:textbox>
                    <w:txbxContent>
                      <w:p w14:paraId="40C3CE90" w14:textId="77777777" w:rsidR="00DF337D" w:rsidRDefault="00DF337D">
                        <w:pPr>
                          <w:rPr>
                            <w:rFonts w:ascii="Times New Roman" w:hAnsi="Times New Roman" w:cs="Times New Roman"/>
                            <w:b/>
                          </w:rPr>
                        </w:pPr>
                        <w:r>
                          <w:rPr>
                            <w:rFonts w:ascii="Times New Roman" w:hAnsi="Times New Roman" w:cs="Times New Roman"/>
                          </w:rPr>
                          <w:t xml:space="preserve">             Sorting</w:t>
                        </w:r>
                      </w:p>
                    </w:txbxContent>
                  </v:textbox>
                </v:rect>
                <v:rect id="Rectangle 18" o:spid="_x0000_s1044" style="position:absolute;left:-7402;top:15993;width:45502;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" stroked="f">
                  <v:textbox>
                    <w:txbxContent>
                      <w:p w14:paraId="302841E8" w14:textId="77777777" w:rsidR="00DF337D" w:rsidRDefault="00DF337D">
                        <w:pPr>
                          <w:autoSpaceDE w:val="0"/>
                          <w:autoSpaceDN w:val="0"/>
                          <w:adjustRightInd w:val="0"/>
                          <w:spacing w:after="0" w:line="240" w:lineRule="auto"/>
                          <w:jc w:val="both"/>
                          <w:rPr>
                            <w:rFonts w:ascii="Times New Roman" w:hAnsi="Times New Roman" w:cs="Times New Roman"/>
                            <w:bCs/>
                          </w:rPr>
                        </w:pPr>
                        <w:r>
                          <w:rPr>
                            <w:rFonts w:ascii="Times New Roman" w:hAnsi="Times New Roman" w:cs="Times New Roman"/>
                            <w:bCs/>
                          </w:rPr>
                          <w:t xml:space="preserve">          Cleaning and Washing (Disinfection with 40% alcohol solution) </w:t>
                        </w:r>
                      </w:p>
                      <w:p w14:paraId="137532E2" w14:textId="77777777" w:rsidR="00DF337D" w:rsidRDefault="00DF337D">
                        <w:pPr>
                          <w:ind w:firstLine="720"/>
                          <w:rPr>
                            <w:rFonts w:ascii="Times New Roman" w:hAnsi="Times New Roman" w:cs="Times New Roman"/>
                            <w:b/>
                          </w:rPr>
                        </w:pPr>
                      </w:p>
                    </w:txbxContent>
                  </v:textbox>
                </v:rect>
                <v:shape id="Straight Arrow Connector 19" o:spid="_x0000_s1045" type="#_x0000_t32" style="position:absolute;left:8382;top:4680;width:0;height:29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w10:wrap anchorx="margin"/>
              </v:group>
            </w:pict>
          </mc:Fallback>
        </mc:AlternateContent>
      </w:r>
    </w:p>
    <w:p w14:paraId="0B951D5A"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7293CCB9"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2B21DCE7" w14:textId="77777777" w:rsidR="00BC0DD8" w:rsidRPr="004923B9" w:rsidRDefault="001C03BC" w:rsidP="00215775">
      <w:pPr>
        <w:tabs>
          <w:tab w:val="left" w:pos="3405"/>
        </w:tabs>
        <w:autoSpaceDE w:val="0"/>
        <w:autoSpaceDN w:val="0"/>
        <w:adjustRightInd w:val="0"/>
        <w:spacing w:after="0" w:line="240" w:lineRule="auto"/>
        <w:jc w:val="both"/>
        <w:rPr>
          <w:rFonts w:ascii="Times New Roman" w:hAnsi="Times New Roman" w:cs="Times New Roman"/>
          <w:bCs/>
          <w:sz w:val="24"/>
          <w:szCs w:val="24"/>
        </w:rPr>
      </w:pPr>
      <w:r w:rsidRPr="004923B9">
        <w:rPr>
          <w:rFonts w:ascii="Times New Roman" w:hAnsi="Times New Roman" w:cs="Times New Roman"/>
          <w:noProof/>
          <w:sz w:val="24"/>
          <w:szCs w:val="24"/>
        </w:rPr>
        <mc:AlternateContent>
          <mc:Choice Requires="wps">
            <w:drawing>
              <wp:anchor distT="0" distB="0" distL="0" distR="0" simplePos="0" relativeHeight="3" behindDoc="0" locked="0" layoutInCell="1" allowOverlap="1" wp14:anchorId="19ACFB73" wp14:editId="1C3738B5">
                <wp:simplePos x="0" y="0"/>
                <wp:positionH relativeFrom="column">
                  <wp:posOffset>2148840</wp:posOffset>
                </wp:positionH>
                <wp:positionV relativeFrom="paragraph">
                  <wp:posOffset>170815</wp:posOffset>
                </wp:positionV>
                <wp:extent cx="0" cy="257809"/>
                <wp:effectExtent l="76200" t="0" r="57150" b="66040"/>
                <wp:wrapNone/>
                <wp:docPr id="1049"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809"/>
                        </a:xfrm>
                        <a:prstGeom prst="straightConnector1">
                          <a:avLst/>
                        </a:prstGeom>
                        <a:ln w="9525" cap="flat" cmpd="sng">
                          <a:solidFill>
                            <a:srgbClr val="000000"/>
                          </a:solidFill>
                          <a:prstDash val="solid"/>
                          <a:round/>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shape id="1049" type="#_x0000_t32" filled="f" style="position:absolute;margin-left:169.2pt;margin-top:13.45pt;width:0.0pt;height:20.3pt;z-index:3;mso-position-horizontal-relative:text;mso-position-vertical-relative:text;mso-width-percent:0;mso-height-percent:0;mso-width-relative:margin;mso-height-relative:margin;mso-wrap-distance-left:0.0pt;mso-wrap-distance-right:0.0pt;visibility:visible;">
                <v:stroke endarrow="block"/>
                <v:fill/>
              </v:shape>
            </w:pict>
          </mc:Fallback>
        </mc:AlternateContent>
      </w:r>
      <w:r w:rsidRPr="004923B9">
        <w:rPr>
          <w:rFonts w:ascii="Times New Roman" w:hAnsi="Times New Roman" w:cs="Times New Roman"/>
          <w:bCs/>
          <w:sz w:val="24"/>
          <w:szCs w:val="24"/>
        </w:rPr>
        <w:tab/>
      </w:r>
    </w:p>
    <w:p w14:paraId="4D2461F5"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07CEDE42"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26312CD2"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47913986" w14:textId="77777777" w:rsidR="00BC0DD8" w:rsidRPr="004923B9" w:rsidRDefault="001C03BC" w:rsidP="00215775">
      <w:pPr>
        <w:tabs>
          <w:tab w:val="left" w:pos="3405"/>
        </w:tabs>
        <w:autoSpaceDE w:val="0"/>
        <w:autoSpaceDN w:val="0"/>
        <w:adjustRightInd w:val="0"/>
        <w:spacing w:after="0" w:line="240" w:lineRule="auto"/>
        <w:jc w:val="both"/>
        <w:rPr>
          <w:rFonts w:ascii="Times New Roman" w:hAnsi="Times New Roman" w:cs="Times New Roman"/>
          <w:bCs/>
          <w:sz w:val="24"/>
          <w:szCs w:val="24"/>
        </w:rPr>
      </w:pPr>
      <w:r w:rsidRPr="004923B9">
        <w:rPr>
          <w:rFonts w:ascii="Times New Roman" w:hAnsi="Times New Roman" w:cs="Times New Roman"/>
          <w:bCs/>
          <w:sz w:val="24"/>
          <w:szCs w:val="24"/>
        </w:rPr>
        <w:tab/>
      </w:r>
    </w:p>
    <w:p w14:paraId="29589D3A"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479481DA"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2746627C" w14:textId="77777777" w:rsidR="00BC0DD8" w:rsidRPr="004923B9" w:rsidRDefault="001C03BC" w:rsidP="00215775">
      <w:pPr>
        <w:autoSpaceDE w:val="0"/>
        <w:autoSpaceDN w:val="0"/>
        <w:adjustRightInd w:val="0"/>
        <w:spacing w:after="0" w:line="240" w:lineRule="auto"/>
        <w:jc w:val="both"/>
        <w:rPr>
          <w:rFonts w:ascii="Times New Roman" w:hAnsi="Times New Roman" w:cs="Times New Roman"/>
          <w:bCs/>
          <w:sz w:val="24"/>
          <w:szCs w:val="24"/>
        </w:rPr>
      </w:pPr>
      <w:r w:rsidRPr="004923B9">
        <w:rPr>
          <w:rFonts w:ascii="Times New Roman" w:hAnsi="Times New Roman" w:cs="Times New Roman"/>
          <w:noProof/>
        </w:rPr>
        <mc:AlternateContent>
          <mc:Choice Requires="wps">
            <w:drawing>
              <wp:anchor distT="0" distB="0" distL="0" distR="0" simplePos="0" relativeHeight="36" behindDoc="0" locked="0" layoutInCell="1" allowOverlap="1" wp14:anchorId="0D8727A3" wp14:editId="15084E51">
                <wp:simplePos x="0" y="0"/>
                <wp:positionH relativeFrom="column">
                  <wp:posOffset>2184694</wp:posOffset>
                </wp:positionH>
                <wp:positionV relativeFrom="paragraph">
                  <wp:posOffset>88564</wp:posOffset>
                </wp:positionV>
                <wp:extent cx="0" cy="199370"/>
                <wp:effectExtent l="0" t="0" r="0" b="0"/>
                <wp:wrapNone/>
                <wp:docPr id="105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9370"/>
                        </a:xfrm>
                        <a:prstGeom prst="straightConnector1">
                          <a:avLst/>
                        </a:prstGeom>
                        <a:ln w="9525" cap="flat" cmpd="sng">
                          <a:solidFill>
                            <a:srgbClr val="000000"/>
                          </a:solidFill>
                          <a:prstDash val="solid"/>
                          <a:round/>
                          <a:headEnd type="none" w="med" len="med"/>
                          <a:tailEnd type="triangle" w="med" len="med"/>
                        </a:ln>
                      </wps:spPr>
                      <wps:bodyPr/>
                    </wps:wsp>
                  </a:graphicData>
                </a:graphic>
              </wp:anchor>
            </w:drawing>
          </mc:Choice>
          <mc:Fallback xmlns:wpsCustomData="http://www.wps.cn/officeDocument/2013/wpsCustomData">
            <w:pict>
              <v:shape id="1050" type="#_x0000_t32" filled="f" style="position:absolute;margin-left:172.02pt;margin-top:6.97pt;width:0.0pt;height:15.7pt;z-index:36;mso-position-horizontal-relative:text;mso-position-vertical-relative:text;mso-width-relative:page;mso-height-relative:page;mso-wrap-distance-left:0.0pt;mso-wrap-distance-right:0.0pt;visibility:visible;">
                <v:stroke endarrow="block"/>
                <v:fill/>
              </v:shape>
            </w:pict>
          </mc:Fallback>
        </mc:AlternateContent>
      </w:r>
    </w:p>
    <w:p w14:paraId="523D042A"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09D5A64A"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64590EFE"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47A10342"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0706E4C7"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2E836C0D"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02D50CB0"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425466DF"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3AFB55ED"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571C3891" w14:textId="77777777" w:rsidR="00BC0DD8" w:rsidRPr="004923B9" w:rsidRDefault="00BC0DD8" w:rsidP="00215775">
      <w:pPr>
        <w:autoSpaceDE w:val="0"/>
        <w:autoSpaceDN w:val="0"/>
        <w:adjustRightInd w:val="0"/>
        <w:spacing w:after="0" w:line="240" w:lineRule="auto"/>
        <w:jc w:val="both"/>
        <w:rPr>
          <w:rFonts w:ascii="Times New Roman" w:hAnsi="Times New Roman" w:cs="Times New Roman"/>
          <w:bCs/>
          <w:sz w:val="24"/>
          <w:szCs w:val="24"/>
        </w:rPr>
      </w:pPr>
    </w:p>
    <w:p w14:paraId="70B2F9D9" w14:textId="77777777" w:rsidR="00BC0DD8" w:rsidRPr="004923B9" w:rsidRDefault="00BC0DD8" w:rsidP="00215775">
      <w:pPr>
        <w:spacing w:line="240" w:lineRule="auto"/>
        <w:ind w:left="810" w:hanging="810"/>
        <w:jc w:val="both"/>
        <w:rPr>
          <w:rFonts w:ascii="Times New Roman" w:hAnsi="Times New Roman" w:cs="Times New Roman"/>
          <w:bCs/>
          <w:sz w:val="24"/>
          <w:szCs w:val="24"/>
        </w:rPr>
      </w:pPr>
    </w:p>
    <w:p w14:paraId="1D27FE9B" w14:textId="77777777" w:rsidR="00BC0DD8" w:rsidRPr="004923B9" w:rsidRDefault="001C03BC" w:rsidP="00215775">
      <w:pPr>
        <w:spacing w:line="240" w:lineRule="auto"/>
        <w:ind w:left="810" w:hanging="810"/>
        <w:jc w:val="both"/>
        <w:rPr>
          <w:rFonts w:ascii="Times New Roman" w:hAnsi="Times New Roman" w:cs="Times New Roman"/>
          <w:bCs/>
          <w:sz w:val="24"/>
          <w:szCs w:val="24"/>
        </w:rPr>
      </w:pPr>
      <w:r w:rsidRPr="004923B9">
        <w:rPr>
          <w:rFonts w:ascii="Times New Roman" w:hAnsi="Times New Roman" w:cs="Times New Roman"/>
          <w:bCs/>
          <w:sz w:val="24"/>
          <w:szCs w:val="24"/>
        </w:rPr>
        <w:t xml:space="preserve">Figure </w:t>
      </w:r>
      <w:r w:rsidR="00425D62" w:rsidRPr="004923B9">
        <w:rPr>
          <w:rFonts w:ascii="Times New Roman" w:hAnsi="Times New Roman" w:cs="Times New Roman"/>
          <w:bCs/>
          <w:sz w:val="24"/>
          <w:szCs w:val="24"/>
        </w:rPr>
        <w:t>1</w:t>
      </w:r>
      <w:r w:rsidRPr="004923B9">
        <w:rPr>
          <w:rFonts w:ascii="Times New Roman" w:hAnsi="Times New Roman" w:cs="Times New Roman"/>
          <w:bCs/>
          <w:sz w:val="24"/>
          <w:szCs w:val="24"/>
        </w:rPr>
        <w:t xml:space="preserve">. Processing/Extraction of Ginger </w:t>
      </w:r>
      <w:proofErr w:type="spellStart"/>
      <w:r w:rsidRPr="004923B9">
        <w:rPr>
          <w:rFonts w:ascii="Times New Roman" w:hAnsi="Times New Roman" w:cs="Times New Roman"/>
          <w:sz w:val="24"/>
          <w:szCs w:val="24"/>
        </w:rPr>
        <w:t>Ginger</w:t>
      </w:r>
      <w:proofErr w:type="spellEnd"/>
      <w:r w:rsidRPr="004923B9">
        <w:rPr>
          <w:rFonts w:ascii="Times New Roman" w:hAnsi="Times New Roman" w:cs="Times New Roman"/>
          <w:sz w:val="24"/>
          <w:szCs w:val="24"/>
        </w:rPr>
        <w:t xml:space="preserve"> (</w:t>
      </w:r>
      <w:r w:rsidRPr="004923B9">
        <w:rPr>
          <w:rFonts w:ascii="Times New Roman" w:hAnsi="Times New Roman" w:cs="Times New Roman"/>
          <w:i/>
          <w:sz w:val="24"/>
          <w:szCs w:val="24"/>
        </w:rPr>
        <w:t>Zingiber officinale</w:t>
      </w:r>
      <w:r w:rsidRPr="004923B9">
        <w:rPr>
          <w:rFonts w:ascii="Times New Roman" w:hAnsi="Times New Roman" w:cs="Times New Roman"/>
          <w:sz w:val="24"/>
          <w:szCs w:val="24"/>
        </w:rPr>
        <w:t>)</w:t>
      </w:r>
    </w:p>
    <w:p w14:paraId="225F550E" w14:textId="77777777" w:rsidR="00BC0DD8" w:rsidRPr="004923B9" w:rsidRDefault="001C03BC" w:rsidP="00215775">
      <w:pPr>
        <w:autoSpaceDE w:val="0"/>
        <w:autoSpaceDN w:val="0"/>
        <w:adjustRightInd w:val="0"/>
        <w:spacing w:after="0" w:line="240" w:lineRule="auto"/>
        <w:jc w:val="both"/>
        <w:rPr>
          <w:rFonts w:ascii="Times New Roman" w:hAnsi="Times New Roman" w:cs="Times New Roman"/>
          <w:b/>
          <w:bCs/>
          <w:i/>
          <w:sz w:val="24"/>
          <w:szCs w:val="24"/>
        </w:rPr>
      </w:pPr>
      <w:r w:rsidRPr="004923B9">
        <w:rPr>
          <w:rFonts w:ascii="Times New Roman" w:hAnsi="Times New Roman" w:cs="Times New Roman"/>
          <w:b/>
          <w:bCs/>
          <w:sz w:val="24"/>
          <w:szCs w:val="24"/>
        </w:rPr>
        <w:t xml:space="preserve"> Processing of </w:t>
      </w:r>
      <w:proofErr w:type="spellStart"/>
      <w:r w:rsidRPr="004923B9">
        <w:rPr>
          <w:rFonts w:ascii="Times New Roman" w:hAnsi="Times New Roman" w:cs="Times New Roman"/>
          <w:b/>
          <w:bCs/>
          <w:sz w:val="24"/>
          <w:szCs w:val="24"/>
        </w:rPr>
        <w:t>Ehuru</w:t>
      </w:r>
      <w:proofErr w:type="spellEnd"/>
      <w:r w:rsidRPr="004923B9">
        <w:rPr>
          <w:rFonts w:ascii="Times New Roman" w:hAnsi="Times New Roman" w:cs="Times New Roman"/>
          <w:b/>
          <w:bCs/>
          <w:sz w:val="24"/>
          <w:szCs w:val="24"/>
        </w:rPr>
        <w:t xml:space="preserve"> </w:t>
      </w:r>
      <w:r w:rsidRPr="004923B9">
        <w:rPr>
          <w:rFonts w:ascii="Times New Roman" w:hAnsi="Times New Roman" w:cs="Times New Roman"/>
          <w:b/>
          <w:bCs/>
          <w:i/>
          <w:sz w:val="24"/>
          <w:szCs w:val="24"/>
        </w:rPr>
        <w:t>(</w:t>
      </w:r>
      <w:proofErr w:type="spellStart"/>
      <w:r w:rsidRPr="004923B9">
        <w:rPr>
          <w:rFonts w:ascii="Times New Roman" w:hAnsi="Times New Roman" w:cs="Times New Roman"/>
          <w:b/>
          <w:bCs/>
          <w:i/>
          <w:sz w:val="24"/>
          <w:szCs w:val="24"/>
        </w:rPr>
        <w:t>Monodora</w:t>
      </w:r>
      <w:proofErr w:type="spellEnd"/>
      <w:r w:rsidRPr="004923B9">
        <w:rPr>
          <w:rFonts w:ascii="Times New Roman" w:hAnsi="Times New Roman" w:cs="Times New Roman"/>
          <w:b/>
          <w:bCs/>
          <w:i/>
          <w:sz w:val="24"/>
          <w:szCs w:val="24"/>
        </w:rPr>
        <w:t xml:space="preserve"> </w:t>
      </w:r>
      <w:proofErr w:type="spellStart"/>
      <w:r w:rsidRPr="004923B9">
        <w:rPr>
          <w:rFonts w:ascii="Times New Roman" w:hAnsi="Times New Roman" w:cs="Times New Roman"/>
          <w:b/>
          <w:bCs/>
          <w:i/>
          <w:sz w:val="24"/>
          <w:szCs w:val="24"/>
        </w:rPr>
        <w:t>myristica</w:t>
      </w:r>
      <w:proofErr w:type="spellEnd"/>
      <w:r w:rsidRPr="004923B9">
        <w:rPr>
          <w:rFonts w:ascii="Times New Roman" w:hAnsi="Times New Roman" w:cs="Times New Roman"/>
          <w:b/>
          <w:bCs/>
          <w:i/>
          <w:sz w:val="24"/>
          <w:szCs w:val="24"/>
        </w:rPr>
        <w:t>)</w:t>
      </w:r>
      <w:r w:rsidRPr="004923B9">
        <w:rPr>
          <w:rFonts w:ascii="Times New Roman" w:hAnsi="Times New Roman" w:cs="Times New Roman"/>
          <w:b/>
          <w:bCs/>
          <w:sz w:val="24"/>
          <w:szCs w:val="24"/>
        </w:rPr>
        <w:t xml:space="preserve"> seeds</w:t>
      </w:r>
      <w:r w:rsidRPr="004923B9">
        <w:rPr>
          <w:rFonts w:ascii="Times New Roman" w:hAnsi="Times New Roman" w:cs="Times New Roman"/>
          <w:b/>
          <w:bCs/>
          <w:i/>
          <w:sz w:val="24"/>
          <w:szCs w:val="24"/>
        </w:rPr>
        <w:t>.</w:t>
      </w:r>
    </w:p>
    <w:p w14:paraId="3E4EBE45" w14:textId="77777777" w:rsidR="00BC0DD8" w:rsidRPr="004923B9" w:rsidRDefault="001C03BC" w:rsidP="00215775">
      <w:pPr>
        <w:shd w:val="clear" w:color="auto" w:fill="FFFFFF"/>
        <w:spacing w:before="100" w:beforeAutospacing="1" w:after="100" w:afterAutospacing="1" w:line="240" w:lineRule="auto"/>
        <w:jc w:val="both"/>
        <w:outlineLvl w:val="3"/>
        <w:rPr>
          <w:noProof/>
        </w:rPr>
      </w:pPr>
      <w:r w:rsidRPr="004923B9">
        <w:t xml:space="preserve">The method described by Onwuka (2005) was adopted for this protocol with slight modification. A 2.0 kg quantity of mature dried </w:t>
      </w:r>
      <w:proofErr w:type="spellStart"/>
      <w:r w:rsidRPr="004923B9">
        <w:t>ehuru</w:t>
      </w:r>
      <w:proofErr w:type="spellEnd"/>
      <w:r w:rsidRPr="004923B9">
        <w:t xml:space="preserve">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seeds was sorted and mildly roasted to facilitate dehulling. The dehulled seeds were further dried using a drying oven (EUROSONIC; Model No. ES-9080, </w:t>
      </w:r>
      <w:r w:rsidRPr="004923B9">
        <w:lastRenderedPageBreak/>
        <w:t>China) at 105°C for 10 min to reduce the moisture content substantially. The dried seeds were milled using an attrition mill and stored in airtight containers for subsequent extraction using MAE. The flow chart is shown in Figure 2.</w:t>
      </w:r>
    </w:p>
    <w:p w14:paraId="6DE64224" w14:textId="77777777" w:rsidR="00E87E03" w:rsidRPr="004923B9" w:rsidRDefault="00E87E03" w:rsidP="00215775">
      <w:pPr>
        <w:shd w:val="clear" w:color="auto" w:fill="FFFFFF"/>
        <w:spacing w:before="100" w:beforeAutospacing="1" w:after="100" w:afterAutospacing="1" w:line="240" w:lineRule="auto"/>
        <w:jc w:val="center"/>
        <w:outlineLvl w:val="3"/>
        <w:rPr>
          <w:rFonts w:ascii="Times New Roman" w:hAnsi="Times New Roman" w:cs="Times New Roman"/>
          <w:b/>
          <w:bCs/>
          <w:sz w:val="24"/>
          <w:szCs w:val="24"/>
        </w:rPr>
      </w:pPr>
      <w:r w:rsidRPr="004923B9">
        <w:rPr>
          <w:noProof/>
        </w:rPr>
        <w:drawing>
          <wp:inline distT="0" distB="0" distL="0" distR="0" wp14:anchorId="6C322DDF" wp14:editId="2709B8B3">
            <wp:extent cx="4160519" cy="4533900"/>
            <wp:effectExtent l="0" t="0" r="0" b="0"/>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1612" t="18837" r="61974" b="14337"/>
                    <a:stretch/>
                  </pic:blipFill>
                  <pic:spPr bwMode="auto">
                    <a:xfrm>
                      <a:off x="0" y="0"/>
                      <a:ext cx="4227063" cy="4606416"/>
                    </a:xfrm>
                    <a:prstGeom prst="rect">
                      <a:avLst/>
                    </a:prstGeom>
                    <a:ln>
                      <a:noFill/>
                    </a:ln>
                    <a:extLst>
                      <a:ext uri="{53640926-AAD7-44D8-BBD7-CCE9431645EC}">
                        <a14:shadowObscured xmlns:a14="http://schemas.microsoft.com/office/drawing/2010/main"/>
                      </a:ext>
                    </a:extLst>
                  </pic:spPr>
                </pic:pic>
              </a:graphicData>
            </a:graphic>
          </wp:inline>
        </w:drawing>
      </w:r>
    </w:p>
    <w:p w14:paraId="3584608E" w14:textId="77777777" w:rsidR="00BC0DD8" w:rsidRPr="004923B9" w:rsidRDefault="001C03BC" w:rsidP="00215775">
      <w:pPr>
        <w:spacing w:line="240" w:lineRule="auto"/>
        <w:jc w:val="both"/>
        <w:rPr>
          <w:rFonts w:ascii="Times New Roman" w:hAnsi="Times New Roman" w:cs="Times New Roman"/>
          <w:i/>
          <w:sz w:val="24"/>
          <w:szCs w:val="24"/>
        </w:rPr>
      </w:pPr>
      <w:r w:rsidRPr="004923B9">
        <w:rPr>
          <w:rFonts w:ascii="Times New Roman" w:hAnsi="Times New Roman" w:cs="Times New Roman"/>
          <w:sz w:val="24"/>
          <w:szCs w:val="24"/>
        </w:rPr>
        <w:t xml:space="preserve">Figure.2. The production of crude extracts of </w:t>
      </w:r>
      <w:proofErr w:type="spellStart"/>
      <w:r w:rsidRPr="004923B9">
        <w:rPr>
          <w:rFonts w:ascii="Times New Roman" w:hAnsi="Times New Roman" w:cs="Times New Roman"/>
          <w:i/>
          <w:sz w:val="24"/>
          <w:szCs w:val="24"/>
        </w:rPr>
        <w:t>Monodora</w:t>
      </w:r>
      <w:proofErr w:type="spellEnd"/>
      <w:r w:rsidRPr="004923B9">
        <w:rPr>
          <w:rFonts w:ascii="Times New Roman" w:hAnsi="Times New Roman" w:cs="Times New Roman"/>
          <w:i/>
          <w:sz w:val="24"/>
          <w:szCs w:val="24"/>
        </w:rPr>
        <w:t xml:space="preserve"> </w:t>
      </w:r>
      <w:proofErr w:type="spellStart"/>
      <w:r w:rsidRPr="004923B9">
        <w:rPr>
          <w:rFonts w:ascii="Times New Roman" w:hAnsi="Times New Roman" w:cs="Times New Roman"/>
          <w:i/>
          <w:sz w:val="24"/>
          <w:szCs w:val="24"/>
        </w:rPr>
        <w:t>myristica</w:t>
      </w:r>
      <w:proofErr w:type="spellEnd"/>
      <w:r w:rsidRPr="004923B9">
        <w:rPr>
          <w:rFonts w:ascii="Times New Roman" w:hAnsi="Times New Roman" w:cs="Times New Roman"/>
          <w:i/>
          <w:sz w:val="24"/>
          <w:szCs w:val="24"/>
        </w:rPr>
        <w:t>.(</w:t>
      </w:r>
      <w:proofErr w:type="spellStart"/>
      <w:r w:rsidRPr="004923B9">
        <w:rPr>
          <w:rFonts w:ascii="Times New Roman" w:hAnsi="Times New Roman" w:cs="Times New Roman"/>
          <w:i/>
          <w:sz w:val="24"/>
          <w:szCs w:val="24"/>
        </w:rPr>
        <w:t>Ehuru</w:t>
      </w:r>
      <w:proofErr w:type="spellEnd"/>
      <w:r w:rsidRPr="004923B9">
        <w:rPr>
          <w:rFonts w:ascii="Times New Roman" w:hAnsi="Times New Roman" w:cs="Times New Roman"/>
          <w:i/>
          <w:sz w:val="24"/>
          <w:szCs w:val="24"/>
        </w:rPr>
        <w:t>)</w:t>
      </w:r>
    </w:p>
    <w:p w14:paraId="3278FCA1" w14:textId="77777777" w:rsidR="00BC0DD8" w:rsidRPr="004923B9" w:rsidRDefault="001C03BC" w:rsidP="00215775">
      <w:pPr>
        <w:autoSpaceDE w:val="0"/>
        <w:autoSpaceDN w:val="0"/>
        <w:adjustRightInd w:val="0"/>
        <w:spacing w:after="0" w:line="240" w:lineRule="auto"/>
        <w:jc w:val="both"/>
        <w:rPr>
          <w:rFonts w:ascii="Times New Roman" w:hAnsi="Times New Roman" w:cs="Times New Roman"/>
          <w:b/>
          <w:bCs/>
          <w:sz w:val="24"/>
          <w:szCs w:val="24"/>
        </w:rPr>
      </w:pPr>
      <w:r w:rsidRPr="004923B9">
        <w:rPr>
          <w:rFonts w:ascii="Times New Roman" w:hAnsi="Times New Roman" w:cs="Times New Roman"/>
          <w:b/>
          <w:bCs/>
          <w:sz w:val="24"/>
          <w:szCs w:val="24"/>
        </w:rPr>
        <w:t xml:space="preserve">Processing of </w:t>
      </w:r>
      <w:proofErr w:type="spellStart"/>
      <w:r w:rsidRPr="004923B9">
        <w:rPr>
          <w:rFonts w:ascii="Times New Roman" w:hAnsi="Times New Roman" w:cs="Times New Roman"/>
          <w:b/>
          <w:bCs/>
          <w:sz w:val="24"/>
          <w:szCs w:val="24"/>
        </w:rPr>
        <w:t>Oshiokirisho</w:t>
      </w:r>
      <w:proofErr w:type="spellEnd"/>
      <w:r w:rsidRPr="004923B9">
        <w:rPr>
          <w:rFonts w:ascii="Times New Roman" w:hAnsi="Times New Roman" w:cs="Times New Roman"/>
          <w:b/>
          <w:bCs/>
          <w:sz w:val="24"/>
          <w:szCs w:val="24"/>
        </w:rPr>
        <w:t xml:space="preserve"> </w:t>
      </w:r>
      <w:r w:rsidR="003313A4" w:rsidRPr="004923B9">
        <w:rPr>
          <w:rFonts w:ascii="Times New Roman" w:hAnsi="Times New Roman" w:cs="Times New Roman"/>
          <w:b/>
          <w:bCs/>
          <w:i/>
          <w:sz w:val="24"/>
          <w:szCs w:val="24"/>
        </w:rPr>
        <w:t>(</w:t>
      </w:r>
      <w:proofErr w:type="spellStart"/>
      <w:r w:rsidR="003313A4" w:rsidRPr="004923B9">
        <w:rPr>
          <w:rFonts w:ascii="Times New Roman" w:hAnsi="Times New Roman" w:cs="Times New Roman"/>
          <w:b/>
          <w:bCs/>
          <w:i/>
          <w:sz w:val="24"/>
          <w:szCs w:val="24"/>
        </w:rPr>
        <w:t>Tetrapl</w:t>
      </w:r>
      <w:r w:rsidRPr="004923B9">
        <w:rPr>
          <w:rFonts w:ascii="Times New Roman" w:hAnsi="Times New Roman" w:cs="Times New Roman"/>
          <w:b/>
          <w:bCs/>
          <w:i/>
          <w:sz w:val="24"/>
          <w:szCs w:val="24"/>
        </w:rPr>
        <w:t>e</w:t>
      </w:r>
      <w:r w:rsidR="003313A4" w:rsidRPr="004923B9">
        <w:rPr>
          <w:rFonts w:ascii="Times New Roman" w:hAnsi="Times New Roman" w:cs="Times New Roman"/>
          <w:b/>
          <w:bCs/>
          <w:i/>
          <w:sz w:val="24"/>
          <w:szCs w:val="24"/>
        </w:rPr>
        <w:t>u</w:t>
      </w:r>
      <w:r w:rsidRPr="004923B9">
        <w:rPr>
          <w:rFonts w:ascii="Times New Roman" w:hAnsi="Times New Roman" w:cs="Times New Roman"/>
          <w:b/>
          <w:bCs/>
          <w:i/>
          <w:sz w:val="24"/>
          <w:szCs w:val="24"/>
        </w:rPr>
        <w:t>ra</w:t>
      </w:r>
      <w:proofErr w:type="spellEnd"/>
      <w:r w:rsidRPr="004923B9">
        <w:rPr>
          <w:rFonts w:ascii="Times New Roman" w:hAnsi="Times New Roman" w:cs="Times New Roman"/>
          <w:b/>
          <w:bCs/>
          <w:i/>
          <w:sz w:val="24"/>
          <w:szCs w:val="24"/>
        </w:rPr>
        <w:t xml:space="preserve"> tetraptera) </w:t>
      </w:r>
      <w:r w:rsidRPr="004923B9">
        <w:rPr>
          <w:rFonts w:ascii="Times New Roman" w:hAnsi="Times New Roman" w:cs="Times New Roman"/>
          <w:b/>
          <w:bCs/>
          <w:sz w:val="24"/>
          <w:szCs w:val="24"/>
        </w:rPr>
        <w:t>Pod</w:t>
      </w:r>
    </w:p>
    <w:p w14:paraId="66808C8B" w14:textId="77777777" w:rsidR="00A46899" w:rsidRPr="004923B9" w:rsidRDefault="00A46899" w:rsidP="00215775">
      <w:pPr>
        <w:spacing w:after="0" w:line="240" w:lineRule="auto"/>
        <w:jc w:val="both"/>
        <w:rPr>
          <w:rFonts w:ascii="Times New Roman" w:eastAsia="Times New Roman" w:hAnsi="Times New Roman" w:cs="Times New Roman"/>
          <w:sz w:val="24"/>
          <w:szCs w:val="24"/>
        </w:rPr>
      </w:pPr>
      <w:r w:rsidRPr="004923B9">
        <w:t xml:space="preserve">The method reported by </w:t>
      </w:r>
      <w:proofErr w:type="spellStart"/>
      <w:r w:rsidRPr="004923B9">
        <w:t>Odimegwu</w:t>
      </w:r>
      <w:proofErr w:type="spellEnd"/>
      <w:r w:rsidRPr="004923B9">
        <w:t xml:space="preserve"> et al. (2020) was adopted for processing the pod sample. To reduce surface microorganisms, about 10 mature dried pods of </w:t>
      </w:r>
      <w:proofErr w:type="spellStart"/>
      <w:r w:rsidRPr="004923B9">
        <w:t>oshiokirisho</w:t>
      </w:r>
      <w:proofErr w:type="spellEnd"/>
      <w:r w:rsidRPr="004923B9">
        <w:t xml:space="preserve"> (</w:t>
      </w:r>
      <w:proofErr w:type="spellStart"/>
      <w:r w:rsidRPr="004923B9">
        <w:rPr>
          <w:i/>
        </w:rPr>
        <w:t>Tetrapleura</w:t>
      </w:r>
      <w:proofErr w:type="spellEnd"/>
      <w:r w:rsidRPr="004923B9">
        <w:rPr>
          <w:i/>
        </w:rPr>
        <w:t xml:space="preserve"> tetraptera</w:t>
      </w:r>
      <w:r w:rsidRPr="004923B9">
        <w:t xml:space="preserve">) were collected, cleaned and washed with a 40% alcohol solution. The pods were dried in an electric oven (EUROSONIC; Model No. ES-9080, China) at 60°C. The dried pods were broken into pieces to facilitate grinding. The </w:t>
      </w:r>
      <w:proofErr w:type="spellStart"/>
      <w:r w:rsidRPr="004923B9">
        <w:t>pulverised</w:t>
      </w:r>
      <w:proofErr w:type="spellEnd"/>
      <w:r w:rsidRPr="004923B9">
        <w:t xml:space="preserve"> sample was stored in an airtight container before extraction. Figure 3 shows the flow chart for the procedure.</w:t>
      </w:r>
    </w:p>
    <w:p w14:paraId="6C9CAB73" w14:textId="77777777" w:rsidR="00BC0DD8" w:rsidRPr="004923B9" w:rsidRDefault="00215775" w:rsidP="00215775">
      <w:pPr>
        <w:autoSpaceDE w:val="0"/>
        <w:autoSpaceDN w:val="0"/>
        <w:adjustRightInd w:val="0"/>
        <w:spacing w:after="0" w:line="240" w:lineRule="auto"/>
        <w:jc w:val="center"/>
        <w:rPr>
          <w:rFonts w:ascii="Times New Roman" w:hAnsi="Times New Roman" w:cs="Times New Roman"/>
          <w:b/>
          <w:bCs/>
          <w:sz w:val="24"/>
          <w:szCs w:val="24"/>
        </w:rPr>
      </w:pPr>
      <w:r w:rsidRPr="004923B9">
        <w:rPr>
          <w:noProof/>
        </w:rPr>
        <w:lastRenderedPageBreak/>
        <w:drawing>
          <wp:inline distT="0" distB="0" distL="0" distR="0" wp14:anchorId="102CAFE6" wp14:editId="1D64B2A5">
            <wp:extent cx="3589020" cy="4472940"/>
            <wp:effectExtent l="0" t="0" r="0" b="3810"/>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615" t="23248" r="67564" b="10883"/>
                    <a:stretch/>
                  </pic:blipFill>
                  <pic:spPr bwMode="auto">
                    <a:xfrm>
                      <a:off x="0" y="0"/>
                      <a:ext cx="3589749" cy="4473849"/>
                    </a:xfrm>
                    <a:prstGeom prst="rect">
                      <a:avLst/>
                    </a:prstGeom>
                    <a:ln>
                      <a:noFill/>
                    </a:ln>
                    <a:extLst>
                      <a:ext uri="{53640926-AAD7-44D8-BBD7-CCE9431645EC}">
                        <a14:shadowObscured xmlns:a14="http://schemas.microsoft.com/office/drawing/2010/main"/>
                      </a:ext>
                    </a:extLst>
                  </pic:spPr>
                </pic:pic>
              </a:graphicData>
            </a:graphic>
          </wp:inline>
        </w:drawing>
      </w:r>
    </w:p>
    <w:p w14:paraId="516A5DC0" w14:textId="77777777" w:rsidR="00BC0DD8" w:rsidRPr="004923B9" w:rsidRDefault="001C03BC" w:rsidP="00215775">
      <w:pPr>
        <w:spacing w:line="240" w:lineRule="auto"/>
        <w:jc w:val="both"/>
        <w:rPr>
          <w:rFonts w:ascii="Times New Roman" w:hAnsi="Times New Roman" w:cs="Times New Roman"/>
          <w:i/>
          <w:sz w:val="24"/>
          <w:szCs w:val="24"/>
        </w:rPr>
      </w:pPr>
      <w:r w:rsidRPr="004923B9">
        <w:rPr>
          <w:rFonts w:ascii="Times New Roman" w:hAnsi="Times New Roman" w:cs="Times New Roman"/>
          <w:sz w:val="24"/>
          <w:szCs w:val="24"/>
        </w:rPr>
        <w:t xml:space="preserve">Figure 3. The crude extracts from </w:t>
      </w:r>
      <w:proofErr w:type="spellStart"/>
      <w:r w:rsidRPr="004923B9">
        <w:rPr>
          <w:rFonts w:ascii="Times New Roman" w:hAnsi="Times New Roman" w:cs="Times New Roman"/>
          <w:i/>
          <w:sz w:val="24"/>
          <w:szCs w:val="24"/>
        </w:rPr>
        <w:t>Tetrapluera</w:t>
      </w:r>
      <w:proofErr w:type="spellEnd"/>
      <w:r w:rsidRPr="004923B9">
        <w:rPr>
          <w:rFonts w:ascii="Times New Roman" w:hAnsi="Times New Roman" w:cs="Times New Roman"/>
          <w:i/>
          <w:sz w:val="24"/>
          <w:szCs w:val="24"/>
        </w:rPr>
        <w:t xml:space="preserve"> tetraptera </w:t>
      </w:r>
    </w:p>
    <w:p w14:paraId="789B7C11" w14:textId="77777777" w:rsidR="00BC0DD8" w:rsidRPr="004923B9" w:rsidRDefault="001C03BC" w:rsidP="00215775">
      <w:pPr>
        <w:autoSpaceDE w:val="0"/>
        <w:autoSpaceDN w:val="0"/>
        <w:adjustRightInd w:val="0"/>
        <w:spacing w:line="240" w:lineRule="auto"/>
        <w:jc w:val="both"/>
        <w:rPr>
          <w:rFonts w:ascii="Times New Roman" w:hAnsi="Times New Roman" w:cs="Times New Roman"/>
          <w:bCs/>
          <w:sz w:val="24"/>
          <w:szCs w:val="24"/>
        </w:rPr>
      </w:pPr>
      <w:r w:rsidRPr="004923B9">
        <w:rPr>
          <w:rFonts w:ascii="Times New Roman" w:hAnsi="Times New Roman" w:cs="Times New Roman"/>
          <w:b/>
          <w:bCs/>
          <w:sz w:val="24"/>
          <w:szCs w:val="24"/>
        </w:rPr>
        <w:t>Extraction of Crude Extracts from the Spices.</w:t>
      </w:r>
    </w:p>
    <w:p w14:paraId="7FF398E6" w14:textId="77777777" w:rsidR="00A46899" w:rsidRPr="004923B9" w:rsidRDefault="00A46899" w:rsidP="00215775">
      <w:pPr>
        <w:spacing w:after="0" w:line="240" w:lineRule="auto"/>
        <w:jc w:val="both"/>
        <w:rPr>
          <w:rFonts w:ascii="Times New Roman" w:eastAsia="Times New Roman" w:hAnsi="Times New Roman" w:cs="Times New Roman"/>
          <w:sz w:val="24"/>
          <w:szCs w:val="24"/>
        </w:rPr>
      </w:pPr>
      <w:r w:rsidRPr="004923B9">
        <w:t xml:space="preserve">The crude extract was extracted from the tropical spices using the procedures outlined by Chan et al. (2011) and </w:t>
      </w:r>
      <w:proofErr w:type="spellStart"/>
      <w:r w:rsidRPr="004923B9">
        <w:t>Delazar</w:t>
      </w:r>
      <w:proofErr w:type="spellEnd"/>
      <w:r w:rsidRPr="004923B9">
        <w:t xml:space="preserve"> et al. (2012). The processed spice samples of </w:t>
      </w:r>
      <w:r w:rsidRPr="004923B9">
        <w:rPr>
          <w:i/>
        </w:rPr>
        <w:t>Zingiber officinale</w:t>
      </w:r>
      <w:r w:rsidRPr="004923B9">
        <w:t xml:space="preserve">, </w:t>
      </w:r>
      <w:proofErr w:type="spellStart"/>
      <w:r w:rsidRPr="004923B9">
        <w:rPr>
          <w:i/>
        </w:rPr>
        <w:t>Tetrapleura</w:t>
      </w:r>
      <w:proofErr w:type="spellEnd"/>
      <w:r w:rsidRPr="004923B9">
        <w:rPr>
          <w:i/>
        </w:rPr>
        <w:t xml:space="preserve"> tetraptera</w:t>
      </w:r>
      <w:r w:rsidRPr="004923B9">
        <w:t xml:space="preserve"> and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were extracted using the microwave-assisted extraction method, as stated in Section 2.4. Figure 4 shows the flow chart for the extraction process.</w:t>
      </w:r>
    </w:p>
    <w:p w14:paraId="3F3DB228" w14:textId="77777777" w:rsidR="00BC0DD8" w:rsidRPr="004923B9" w:rsidRDefault="001C03BC" w:rsidP="00215775">
      <w:pPr>
        <w:autoSpaceDE w:val="0"/>
        <w:autoSpaceDN w:val="0"/>
        <w:adjustRightInd w:val="0"/>
        <w:spacing w:line="240" w:lineRule="auto"/>
        <w:jc w:val="both"/>
        <w:rPr>
          <w:rFonts w:ascii="Times New Roman" w:hAnsi="Times New Roman" w:cs="Times New Roman"/>
          <w:bCs/>
          <w:sz w:val="24"/>
          <w:szCs w:val="24"/>
        </w:rPr>
      </w:pPr>
      <w:r w:rsidRPr="004923B9">
        <w:rPr>
          <w:rFonts w:ascii="Times New Roman" w:eastAsia="Times New Roman" w:hAnsi="Times New Roman" w:cs="Times New Roman"/>
          <w:bCs/>
          <w:noProof/>
          <w:sz w:val="24"/>
          <w:szCs w:val="24"/>
        </w:rPr>
        <mc:AlternateContent>
          <mc:Choice Requires="wps">
            <w:drawing>
              <wp:anchor distT="0" distB="0" distL="0" distR="0" simplePos="0" relativeHeight="33" behindDoc="0" locked="0" layoutInCell="1" allowOverlap="1" wp14:anchorId="57C9E7C6" wp14:editId="77CD6D52">
                <wp:simplePos x="0" y="0"/>
                <wp:positionH relativeFrom="column">
                  <wp:posOffset>2215661</wp:posOffset>
                </wp:positionH>
                <wp:positionV relativeFrom="paragraph">
                  <wp:posOffset>295422</wp:posOffset>
                </wp:positionV>
                <wp:extent cx="1055077" cy="471268"/>
                <wp:effectExtent l="0" t="0" r="12065" b="24130"/>
                <wp:wrapNone/>
                <wp:docPr id="108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5077" cy="471268"/>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7E655B3D" w14:textId="77777777" w:rsidR="00DF337D" w:rsidRDefault="00DF337D">
                            <w:pPr>
                              <w:jc w:val="center"/>
                              <w:rPr>
                                <w:rFonts w:ascii="Times New Roman" w:hAnsi="Times New Roman" w:cs="Times New Roman"/>
                                <w:b/>
                                <w:sz w:val="24"/>
                                <w:szCs w:val="24"/>
                              </w:rPr>
                            </w:pPr>
                            <w:proofErr w:type="spellStart"/>
                            <w:r>
                              <w:rPr>
                                <w:rFonts w:ascii="Times New Roman" w:hAnsi="Times New Roman" w:cs="Times New Roman"/>
                                <w:b/>
                                <w:sz w:val="24"/>
                                <w:szCs w:val="24"/>
                              </w:rPr>
                              <w:t>Ehuru</w:t>
                            </w:r>
                            <w:proofErr w:type="spellEnd"/>
                          </w:p>
                        </w:txbxContent>
                      </wps:txbx>
                      <wps:bodyPr vert="horz" wrap="square" lIns="91440" tIns="45720" rIns="91440" bIns="45720" anchor="ctr">
                        <a:prstTxWarp prst="textNoShape">
                          <a:avLst/>
                        </a:prstTxWarp>
                        <a:noAutofit/>
                      </wps:bodyPr>
                    </wps:wsp>
                  </a:graphicData>
                </a:graphic>
              </wp:anchor>
            </w:drawing>
          </mc:Choice>
          <mc:Fallback>
            <w:pict>
              <v:rect w14:anchorId="57C9E7C6" id="Rectangle 1" o:spid="_x0000_s1046" style="position:absolute;left:0;text-align:left;margin-left:174.45pt;margin-top:23.25pt;width:83.1pt;height:37.1pt;z-index:33;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" strokeweight="1pt">
                <v:path arrowok="t"/>
                <v:textbox>
                  <w:txbxContent>
                    <w:p w14:paraId="7E655B3D" w14:textId="77777777" w:rsidR="00DF337D" w:rsidRDefault="00DF337D">
                      <w:pPr>
                        <w:jc w:val="center"/>
                        <w:rPr>
                          <w:rFonts w:ascii="Times New Roman" w:hAnsi="Times New Roman" w:cs="Times New Roman"/>
                          <w:b/>
                          <w:sz w:val="24"/>
                          <w:szCs w:val="24"/>
                        </w:rPr>
                      </w:pPr>
                      <w:proofErr w:type="spellStart"/>
                      <w:r>
                        <w:rPr>
                          <w:rFonts w:ascii="Times New Roman" w:hAnsi="Times New Roman" w:cs="Times New Roman"/>
                          <w:b/>
                          <w:sz w:val="24"/>
                          <w:szCs w:val="24"/>
                        </w:rPr>
                        <w:t>Ehuru</w:t>
                      </w:r>
                      <w:proofErr w:type="spellEnd"/>
                    </w:p>
                  </w:txbxContent>
                </v:textbox>
              </v:rect>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34" behindDoc="0" locked="0" layoutInCell="1" allowOverlap="1" wp14:anchorId="1EE7CD31" wp14:editId="3DB78194">
                <wp:simplePos x="0" y="0"/>
                <wp:positionH relativeFrom="column">
                  <wp:posOffset>4203700</wp:posOffset>
                </wp:positionH>
                <wp:positionV relativeFrom="paragraph">
                  <wp:posOffset>292784</wp:posOffset>
                </wp:positionV>
                <wp:extent cx="1055077" cy="471268"/>
                <wp:effectExtent l="0" t="0" r="12065" b="24130"/>
                <wp:wrapNone/>
                <wp:docPr id="109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5077" cy="471268"/>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30168191" w14:textId="77777777" w:rsidR="00DF337D" w:rsidRDefault="00DF337D">
                            <w:pPr>
                              <w:jc w:val="center"/>
                              <w:rPr>
                                <w:rFonts w:ascii="Times New Roman" w:hAnsi="Times New Roman" w:cs="Times New Roman"/>
                                <w:b/>
                                <w:sz w:val="24"/>
                                <w:szCs w:val="24"/>
                              </w:rPr>
                            </w:pPr>
                            <w:proofErr w:type="spellStart"/>
                            <w:r>
                              <w:rPr>
                                <w:rFonts w:ascii="Times New Roman" w:hAnsi="Times New Roman" w:cs="Times New Roman"/>
                                <w:b/>
                                <w:sz w:val="24"/>
                                <w:szCs w:val="24"/>
                              </w:rPr>
                              <w:t>Oshiokirisho</w:t>
                            </w:r>
                            <w:proofErr w:type="spellEnd"/>
                          </w:p>
                        </w:txbxContent>
                      </wps:txbx>
                      <wps:bodyPr vert="horz" wrap="square" lIns="91440" tIns="45720" rIns="91440" bIns="45720" anchor="ctr">
                        <a:prstTxWarp prst="textNoShape">
                          <a:avLst/>
                        </a:prstTxWarp>
                        <a:noAutofit/>
                      </wps:bodyPr>
                    </wps:wsp>
                  </a:graphicData>
                </a:graphic>
              </wp:anchor>
            </w:drawing>
          </mc:Choice>
          <mc:Fallback>
            <w:pict>
              <v:rect w14:anchorId="1EE7CD31" id="_x0000_s1047" style="position:absolute;left:0;text-align:left;margin-left:331pt;margin-top:23.05pt;width:83.1pt;height:37.1pt;z-index:3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" strokeweight="1pt">
                <v:path arrowok="t"/>
                <v:textbox>
                  <w:txbxContent>
                    <w:p w14:paraId="30168191" w14:textId="77777777" w:rsidR="00DF337D" w:rsidRDefault="00DF337D">
                      <w:pPr>
                        <w:jc w:val="center"/>
                        <w:rPr>
                          <w:rFonts w:ascii="Times New Roman" w:hAnsi="Times New Roman" w:cs="Times New Roman"/>
                          <w:b/>
                          <w:sz w:val="24"/>
                          <w:szCs w:val="24"/>
                        </w:rPr>
                      </w:pPr>
                      <w:proofErr w:type="spellStart"/>
                      <w:r>
                        <w:rPr>
                          <w:rFonts w:ascii="Times New Roman" w:hAnsi="Times New Roman" w:cs="Times New Roman"/>
                          <w:b/>
                          <w:sz w:val="24"/>
                          <w:szCs w:val="24"/>
                        </w:rPr>
                        <w:t>Oshiokirisho</w:t>
                      </w:r>
                      <w:proofErr w:type="spellEnd"/>
                    </w:p>
                  </w:txbxContent>
                </v:textbox>
              </v:rect>
            </w:pict>
          </mc:Fallback>
        </mc:AlternateContent>
      </w:r>
    </w:p>
    <w:p w14:paraId="3CE87316" w14:textId="77777777" w:rsidR="00BC0DD8" w:rsidRPr="004923B9" w:rsidRDefault="001C03BC" w:rsidP="00215775">
      <w:pPr>
        <w:spacing w:line="240" w:lineRule="auto"/>
        <w:jc w:val="both"/>
        <w:rPr>
          <w:rFonts w:ascii="Times New Roman" w:hAnsi="Times New Roman" w:cs="Times New Roman"/>
          <w:bCs/>
          <w:sz w:val="24"/>
          <w:szCs w:val="24"/>
        </w:rPr>
      </w:pPr>
      <w:r w:rsidRPr="004923B9">
        <w:rPr>
          <w:rFonts w:ascii="Times New Roman" w:eastAsia="Times New Roman" w:hAnsi="Times New Roman" w:cs="Times New Roman"/>
          <w:bCs/>
          <w:noProof/>
          <w:sz w:val="24"/>
          <w:szCs w:val="24"/>
        </w:rPr>
        <mc:AlternateContent>
          <mc:Choice Requires="wps">
            <w:drawing>
              <wp:anchor distT="0" distB="0" distL="0" distR="0" simplePos="0" relativeHeight="27" behindDoc="0" locked="0" layoutInCell="1" allowOverlap="1" wp14:anchorId="43F2EE1F" wp14:editId="59A5EF8E">
                <wp:simplePos x="0" y="0"/>
                <wp:positionH relativeFrom="column">
                  <wp:posOffset>5876535</wp:posOffset>
                </wp:positionH>
                <wp:positionV relativeFrom="paragraph">
                  <wp:posOffset>4198766</wp:posOffset>
                </wp:positionV>
                <wp:extent cx="0" cy="316619"/>
                <wp:effectExtent l="76200" t="0" r="76200" b="64770"/>
                <wp:wrapNone/>
                <wp:docPr id="109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19"/>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091" type="#_x0000_t32" filled="f" style="position:absolute;margin-left:462.72pt;margin-top:330.61pt;width:0.0pt;height:24.93pt;z-index:27;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28" behindDoc="0" locked="0" layoutInCell="1" allowOverlap="1" wp14:anchorId="4DE401B0" wp14:editId="3F219461">
                <wp:simplePos x="0" y="0"/>
                <wp:positionH relativeFrom="column">
                  <wp:posOffset>1761440</wp:posOffset>
                </wp:positionH>
                <wp:positionV relativeFrom="paragraph">
                  <wp:posOffset>4227097</wp:posOffset>
                </wp:positionV>
                <wp:extent cx="0" cy="316619"/>
                <wp:effectExtent l="76200" t="0" r="76200" b="64770"/>
                <wp:wrapNone/>
                <wp:docPr id="109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19"/>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092" type="#_x0000_t32" filled="f" style="position:absolute;margin-left:138.7pt;margin-top:332.84pt;width:0.0pt;height:24.93pt;z-index:28;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26" behindDoc="0" locked="0" layoutInCell="1" allowOverlap="1" wp14:anchorId="0646261B" wp14:editId="4C309D9E">
                <wp:simplePos x="0" y="0"/>
                <wp:positionH relativeFrom="column">
                  <wp:posOffset>-259080</wp:posOffset>
                </wp:positionH>
                <wp:positionV relativeFrom="paragraph">
                  <wp:posOffset>4232861</wp:posOffset>
                </wp:positionV>
                <wp:extent cx="0" cy="316619"/>
                <wp:effectExtent l="76200" t="0" r="76200" b="64770"/>
                <wp:wrapNone/>
                <wp:docPr id="109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19"/>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093" type="#_x0000_t32" filled="f" style="position:absolute;margin-left:-20.4pt;margin-top:333.3pt;width:0.0pt;height:24.93pt;z-index:26;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25" behindDoc="0" locked="0" layoutInCell="1" allowOverlap="1" wp14:anchorId="001B9F01" wp14:editId="3EAF8C5B">
                <wp:simplePos x="0" y="0"/>
                <wp:positionH relativeFrom="column">
                  <wp:posOffset>2783840</wp:posOffset>
                </wp:positionH>
                <wp:positionV relativeFrom="paragraph">
                  <wp:posOffset>3926790</wp:posOffset>
                </wp:positionV>
                <wp:extent cx="0" cy="309195"/>
                <wp:effectExtent l="0" t="0" r="19050" b="34290"/>
                <wp:wrapNone/>
                <wp:docPr id="109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9195"/>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line id="1094" filled="f" stroked="t" from="219.20001pt,309.19604pt" to="219.20001pt,333.5421pt" style="position:absolute;z-index:25;mso-position-horizontal-relative:text;mso-position-vertical-relative:text;mso-width-relative:page;mso-height-relative:page;mso-wrap-distance-left:0.0pt;mso-wrap-distance-right:0.0pt;visibility:visible;">
                <v:stroke joinstyle="miter" weight="0.5pt"/>
                <v:fill/>
              </v:lin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22" behindDoc="0" locked="0" layoutInCell="1" allowOverlap="1" wp14:anchorId="6FA8523A" wp14:editId="27677B20">
                <wp:simplePos x="0" y="0"/>
                <wp:positionH relativeFrom="column">
                  <wp:posOffset>1720850</wp:posOffset>
                </wp:positionH>
                <wp:positionV relativeFrom="paragraph">
                  <wp:posOffset>3642312</wp:posOffset>
                </wp:positionV>
                <wp:extent cx="2201594" cy="471268"/>
                <wp:effectExtent l="0" t="0" r="8255" b="5080"/>
                <wp:wrapNone/>
                <wp:docPr id="109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1594" cy="471268"/>
                        </a:xfrm>
                        <a:prstGeom prst="rect">
                          <a:avLst/>
                        </a:prstGeom>
                        <a:solidFill>
                          <a:srgbClr val="FFFFFF"/>
                        </a:solidFill>
                        <a:ln>
                          <a:noFill/>
                        </a:ln>
                      </wps:spPr>
                      <wps:txbx>
                        <w:txbxContent>
                          <w:p w14:paraId="370C4111"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Quality evaluation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6FA8523A" id="_x0000_s1048" style="position:absolute;left:0;text-align:left;margin-left:135.5pt;margin-top:286.8pt;width:173.35pt;height:37.1pt;z-index:2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" stroked="f">
                <v:textbox>
                  <w:txbxContent>
                    <w:p w14:paraId="370C4111"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Quality evaluation</w:t>
                      </w:r>
                    </w:p>
                  </w:txbxContent>
                </v:textbox>
              </v:rect>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23" behindDoc="0" locked="0" layoutInCell="1" allowOverlap="1" wp14:anchorId="47EB3E6F" wp14:editId="26C710ED">
                <wp:simplePos x="0" y="0"/>
                <wp:positionH relativeFrom="column">
                  <wp:posOffset>2781886</wp:posOffset>
                </wp:positionH>
                <wp:positionV relativeFrom="paragraph">
                  <wp:posOffset>3329305</wp:posOffset>
                </wp:positionV>
                <wp:extent cx="0" cy="316619"/>
                <wp:effectExtent l="76200" t="0" r="76200" b="64770"/>
                <wp:wrapNone/>
                <wp:docPr id="109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19"/>
                        </a:xfrm>
                        <a:prstGeom prst="straightConnector1">
                          <a:avLst/>
                        </a:prstGeom>
                        <a:ln w="6350" cap="flat" cmpd="sng">
                          <a:solidFill>
                            <a:srgbClr val="000000"/>
                          </a:solidFill>
                          <a:prstDash val="solid"/>
                          <a:miter/>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xmlns:wpsCustomData="http://www.wps.cn/officeDocument/2013/wpsCustomData">
            <w:pict>
              <v:shape id="1096" type="#_x0000_t32" filled="f" style="position:absolute;margin-left:219.05pt;margin-top:262.15pt;width:0.0pt;height:24.93pt;z-index:23;mso-position-horizontal-relative:text;mso-position-vertical-relative:text;mso-width-percent:0;mso-height-percent:0;mso-width-relative:margin;mso-height-relative:margin;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2" behindDoc="0" locked="0" layoutInCell="1" allowOverlap="1" wp14:anchorId="3DE11D74" wp14:editId="0033BE51">
                <wp:simplePos x="0" y="0"/>
                <wp:positionH relativeFrom="column">
                  <wp:posOffset>2752139</wp:posOffset>
                </wp:positionH>
                <wp:positionV relativeFrom="paragraph">
                  <wp:posOffset>2559685</wp:posOffset>
                </wp:positionV>
                <wp:extent cx="0" cy="316620"/>
                <wp:effectExtent l="76200" t="0" r="76200" b="64770"/>
                <wp:wrapNone/>
                <wp:docPr id="109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097" type="#_x0000_t32" filled="f" style="position:absolute;margin-left:216.7pt;margin-top:201.55pt;width:0.0pt;height:24.93pt;z-index:12;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21" behindDoc="0" locked="0" layoutInCell="1" allowOverlap="1" wp14:anchorId="5C18CE5D" wp14:editId="3EB1B4AE">
                <wp:simplePos x="0" y="0"/>
                <wp:positionH relativeFrom="column">
                  <wp:posOffset>1652856</wp:posOffset>
                </wp:positionH>
                <wp:positionV relativeFrom="paragraph">
                  <wp:posOffset>2091055</wp:posOffset>
                </wp:positionV>
                <wp:extent cx="2201594" cy="471266"/>
                <wp:effectExtent l="0" t="0" r="8255" b="5080"/>
                <wp:wrapNone/>
                <wp:docPr id="109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1594" cy="471266"/>
                        </a:xfrm>
                        <a:prstGeom prst="rect">
                          <a:avLst/>
                        </a:prstGeom>
                        <a:solidFill>
                          <a:srgbClr val="FFFFFF"/>
                        </a:solidFill>
                        <a:ln>
                          <a:noFill/>
                        </a:ln>
                      </wps:spPr>
                      <wps:txbx>
                        <w:txbxContent>
                          <w:p w14:paraId="78C50BE5"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Microwave-assisted extraction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5C18CE5D" id="_x0000_s1049" style="position:absolute;left:0;text-align:left;margin-left:130.15pt;margin-top:164.65pt;width:173.35pt;height:37.1pt;z-index:21;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" stroked="f">
                <v:textbox>
                  <w:txbxContent>
                    <w:p w14:paraId="78C50BE5"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Microwave-assisted extraction</w:t>
                      </w:r>
                    </w:p>
                  </w:txbxContent>
                </v:textbox>
              </v:rect>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9" behindDoc="0" locked="0" layoutInCell="1" allowOverlap="1" wp14:anchorId="426D58D8" wp14:editId="77F623F1">
                <wp:simplePos x="0" y="0"/>
                <wp:positionH relativeFrom="column">
                  <wp:posOffset>1992581</wp:posOffset>
                </wp:positionH>
                <wp:positionV relativeFrom="paragraph">
                  <wp:posOffset>1310640</wp:posOffset>
                </wp:positionV>
                <wp:extent cx="1533378" cy="471170"/>
                <wp:effectExtent l="0" t="0" r="0" b="5080"/>
                <wp:wrapNone/>
                <wp:docPr id="10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378" cy="471170"/>
                        </a:xfrm>
                        <a:prstGeom prst="rect">
                          <a:avLst/>
                        </a:prstGeom>
                        <a:solidFill>
                          <a:srgbClr val="FFFFFF"/>
                        </a:solidFill>
                        <a:ln>
                          <a:noFill/>
                        </a:ln>
                      </wps:spPr>
                      <wps:txbx>
                        <w:txbxContent>
                          <w:p w14:paraId="005B1922" w14:textId="77777777" w:rsidR="00DF337D" w:rsidRDefault="00DF337D">
                            <w:pPr>
                              <w:jc w:val="center"/>
                              <w:rPr>
                                <w:rFonts w:ascii="Times New Roman" w:hAnsi="Times New Roman" w:cs="Times New Roman"/>
                              </w:rPr>
                            </w:pPr>
                            <w:r>
                              <w:rPr>
                                <w:rFonts w:ascii="Times New Roman" w:hAnsi="Times New Roman" w:cs="Times New Roman"/>
                              </w:rPr>
                              <w:t>Processing into powder</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426D58D8" id="_x0000_s1050" style="position:absolute;left:0;text-align:left;margin-left:156.9pt;margin-top:103.2pt;width:120.75pt;height:37.1pt;z-index:19;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" stroked="f">
                <v:textbox>
                  <w:txbxContent>
                    <w:p w14:paraId="005B1922" w14:textId="77777777" w:rsidR="00DF337D" w:rsidRDefault="00DF337D">
                      <w:pPr>
                        <w:jc w:val="center"/>
                        <w:rPr>
                          <w:rFonts w:ascii="Times New Roman" w:hAnsi="Times New Roman" w:cs="Times New Roman"/>
                        </w:rPr>
                      </w:pPr>
                      <w:r>
                        <w:rPr>
                          <w:rFonts w:ascii="Times New Roman" w:hAnsi="Times New Roman" w:cs="Times New Roman"/>
                        </w:rPr>
                        <w:t>Processing into powder</w:t>
                      </w:r>
                    </w:p>
                  </w:txbxContent>
                </v:textbox>
              </v:rect>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3" behindDoc="0" locked="0" layoutInCell="1" allowOverlap="1" wp14:anchorId="38CDCDB6" wp14:editId="4A598E04">
                <wp:simplePos x="0" y="0"/>
                <wp:positionH relativeFrom="column">
                  <wp:posOffset>2739146</wp:posOffset>
                </wp:positionH>
                <wp:positionV relativeFrom="paragraph">
                  <wp:posOffset>1779466</wp:posOffset>
                </wp:positionV>
                <wp:extent cx="0" cy="316620"/>
                <wp:effectExtent l="76200" t="0" r="76200" b="64770"/>
                <wp:wrapNone/>
                <wp:docPr id="110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100" type="#_x0000_t32" filled="f" style="position:absolute;margin-left:215.68pt;margin-top:140.12pt;width:0.0pt;height:24.93pt;z-index:13;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4" behindDoc="0" locked="0" layoutInCell="1" allowOverlap="1" wp14:anchorId="68AA138E" wp14:editId="5FBD2233">
                <wp:simplePos x="0" y="0"/>
                <wp:positionH relativeFrom="column">
                  <wp:posOffset>2740025</wp:posOffset>
                </wp:positionH>
                <wp:positionV relativeFrom="paragraph">
                  <wp:posOffset>997634</wp:posOffset>
                </wp:positionV>
                <wp:extent cx="0" cy="316620"/>
                <wp:effectExtent l="76200" t="0" r="76200" b="64770"/>
                <wp:wrapNone/>
                <wp:docPr id="110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101" type="#_x0000_t32" filled="f" style="position:absolute;margin-left:215.75pt;margin-top:78.55pt;width:0.0pt;height:24.93pt;z-index:14;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8" behindDoc="0" locked="0" layoutInCell="1" allowOverlap="1" wp14:anchorId="75D5E2C7" wp14:editId="2969EDD8">
                <wp:simplePos x="0" y="0"/>
                <wp:positionH relativeFrom="column">
                  <wp:posOffset>533400</wp:posOffset>
                </wp:positionH>
                <wp:positionV relativeFrom="paragraph">
                  <wp:posOffset>1015316</wp:posOffset>
                </wp:positionV>
                <wp:extent cx="4200378" cy="0"/>
                <wp:effectExtent l="0" t="0" r="29210" b="19050"/>
                <wp:wrapNone/>
                <wp:docPr id="110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00378" cy="0"/>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line id="1102" filled="f" stroked="t" from="42.0pt,79.946144pt" to="372.73843pt,79.946144pt" style="position:absolute;z-index:18;mso-position-horizontal-relative:text;mso-position-vertical-relative:text;mso-width-relative:page;mso-height-relative:page;mso-wrap-distance-left:0.0pt;mso-wrap-distance-right:0.0pt;visibility:visible;">
                <v:stroke joinstyle="miter" weight="0.5pt"/>
                <v:fill/>
              </v:lin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5" behindDoc="0" locked="0" layoutInCell="1" allowOverlap="1" wp14:anchorId="5FD6538E" wp14:editId="3C50517E">
                <wp:simplePos x="0" y="0"/>
                <wp:positionH relativeFrom="column">
                  <wp:posOffset>533351</wp:posOffset>
                </wp:positionH>
                <wp:positionV relativeFrom="paragraph">
                  <wp:posOffset>473710</wp:posOffset>
                </wp:positionV>
                <wp:extent cx="0" cy="548640"/>
                <wp:effectExtent l="0" t="0" r="19050" b="22860"/>
                <wp:wrapNone/>
                <wp:docPr id="110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8640"/>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line id="1103" filled="f" stroked="t" from="41.99614pt,37.3pt" to="41.99614pt,80.5pt" style="position:absolute;z-index:15;mso-position-horizontal-relative:text;mso-position-vertical-relative:text;mso-width-relative:page;mso-height-relative:page;mso-wrap-distance-left:0.0pt;mso-wrap-distance-right:0.0pt;visibility:visible;">
                <v:stroke joinstyle="miter" weight="0.5pt"/>
                <v:fill/>
              </v:lin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7" behindDoc="0" locked="0" layoutInCell="1" allowOverlap="1" wp14:anchorId="70531F9E" wp14:editId="3FF0F03A">
                <wp:simplePos x="0" y="0"/>
                <wp:positionH relativeFrom="column">
                  <wp:posOffset>4737051</wp:posOffset>
                </wp:positionH>
                <wp:positionV relativeFrom="paragraph">
                  <wp:posOffset>469900</wp:posOffset>
                </wp:positionV>
                <wp:extent cx="0" cy="548639"/>
                <wp:effectExtent l="0" t="0" r="19050" b="22860"/>
                <wp:wrapNone/>
                <wp:docPr id="110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8639"/>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line id="1104" filled="f" stroked="t" from="372.99615pt,37.0pt" to="372.99615pt,80.19992pt" style="position:absolute;z-index:17;mso-position-horizontal-relative:text;mso-position-vertical-relative:text;mso-width-relative:page;mso-height-relative:page;mso-wrap-distance-left:0.0pt;mso-wrap-distance-right:0.0pt;visibility:visible;">
                <v:stroke joinstyle="miter" weight="0.5pt"/>
                <v:fill/>
              </v:lin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0" behindDoc="0" locked="0" layoutInCell="1" allowOverlap="1" wp14:anchorId="193CB66B" wp14:editId="492ED613">
                <wp:simplePos x="0" y="0"/>
                <wp:positionH relativeFrom="column">
                  <wp:posOffset>4730115</wp:posOffset>
                </wp:positionH>
                <wp:positionV relativeFrom="paragraph">
                  <wp:posOffset>449629</wp:posOffset>
                </wp:positionV>
                <wp:extent cx="0" cy="316621"/>
                <wp:effectExtent l="76200" t="0" r="76200" b="64770"/>
                <wp:wrapNone/>
                <wp:docPr id="110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1"/>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105" type="#_x0000_t32" filled="f" style="position:absolute;margin-left:372.45pt;margin-top:35.4pt;width:0.0pt;height:24.93pt;z-index:10;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11" behindDoc="0" locked="0" layoutInCell="1" allowOverlap="1" wp14:anchorId="24D78161" wp14:editId="7A8B1DFB">
                <wp:simplePos x="0" y="0"/>
                <wp:positionH relativeFrom="column">
                  <wp:posOffset>2739243</wp:posOffset>
                </wp:positionH>
                <wp:positionV relativeFrom="paragraph">
                  <wp:posOffset>463793</wp:posOffset>
                </wp:positionV>
                <wp:extent cx="0" cy="316620"/>
                <wp:effectExtent l="76200" t="0" r="76200" b="64770"/>
                <wp:wrapNone/>
                <wp:docPr id="1106"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106" type="#_x0000_t32" filled="f" style="position:absolute;margin-left:215.69pt;margin-top:36.52pt;width:0.0pt;height:24.93pt;z-index:11;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9" behindDoc="0" locked="0" layoutInCell="1" allowOverlap="1" wp14:anchorId="460A2BC8" wp14:editId="0F3E6C67">
                <wp:simplePos x="0" y="0"/>
                <wp:positionH relativeFrom="column">
                  <wp:posOffset>534572</wp:posOffset>
                </wp:positionH>
                <wp:positionV relativeFrom="paragraph">
                  <wp:posOffset>473612</wp:posOffset>
                </wp:positionV>
                <wp:extent cx="0" cy="316620"/>
                <wp:effectExtent l="76200" t="0" r="76200" b="64770"/>
                <wp:wrapNone/>
                <wp:docPr id="1107"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620"/>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107" type="#_x0000_t32" filled="f" style="position:absolute;margin-left:42.09pt;margin-top:37.29pt;width:0.0pt;height:24.93pt;z-index:9;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8" behindDoc="0" locked="0" layoutInCell="1" allowOverlap="1" wp14:anchorId="68D16F9A" wp14:editId="45B34C06">
                <wp:simplePos x="0" y="0"/>
                <wp:positionH relativeFrom="column">
                  <wp:posOffset>0</wp:posOffset>
                </wp:positionH>
                <wp:positionV relativeFrom="paragraph">
                  <wp:posOffset>-635</wp:posOffset>
                </wp:positionV>
                <wp:extent cx="1055077" cy="471268"/>
                <wp:effectExtent l="0" t="0" r="12065" b="24130"/>
                <wp:wrapNone/>
                <wp:docPr id="110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5077" cy="471268"/>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46CEFF06"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Ginger</w:t>
                            </w:r>
                          </w:p>
                        </w:txbxContent>
                      </wps:txbx>
                      <wps:bodyPr vert="horz" wrap="square" lIns="91440" tIns="45720" rIns="91440" bIns="45720" anchor="ctr">
                        <a:prstTxWarp prst="textNoShape">
                          <a:avLst/>
                        </a:prstTxWarp>
                        <a:noAutofit/>
                      </wps:bodyPr>
                    </wps:wsp>
                  </a:graphicData>
                </a:graphic>
              </wp:anchor>
            </w:drawing>
          </mc:Choice>
          <mc:Fallback>
            <w:pict>
              <v:rect w14:anchorId="68D16F9A" id="_x0000_s1051" style="position:absolute;left:0;text-align:left;margin-left:0;margin-top:-.05pt;width:83.1pt;height:37.1pt;z-index: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" strokeweight="1pt">
                <v:path arrowok="t"/>
                <v:textbox>
                  <w:txbxContent>
                    <w:p w14:paraId="46CEFF06"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Ginger</w:t>
                      </w:r>
                    </w:p>
                  </w:txbxContent>
                </v:textbox>
              </v:rect>
            </w:pict>
          </mc:Fallback>
        </mc:AlternateContent>
      </w:r>
    </w:p>
    <w:p w14:paraId="3C93E291" w14:textId="77777777" w:rsidR="00BC0DD8" w:rsidRPr="004923B9" w:rsidRDefault="001C03BC" w:rsidP="00215775">
      <w:pPr>
        <w:spacing w:line="240" w:lineRule="auto"/>
        <w:jc w:val="both"/>
        <w:rPr>
          <w:rFonts w:ascii="Times New Roman" w:hAnsi="Times New Roman" w:cs="Times New Roman"/>
          <w:bCs/>
          <w:sz w:val="24"/>
          <w:szCs w:val="24"/>
        </w:rPr>
      </w:pPr>
      <w:r w:rsidRPr="004923B9">
        <w:rPr>
          <w:rFonts w:ascii="Times New Roman" w:eastAsia="Times New Roman" w:hAnsi="Times New Roman" w:cs="Times New Roman"/>
          <w:bCs/>
          <w:noProof/>
          <w:sz w:val="24"/>
          <w:szCs w:val="24"/>
        </w:rPr>
        <mc:AlternateContent>
          <mc:Choice Requires="wps">
            <w:drawing>
              <wp:anchor distT="0" distB="0" distL="0" distR="0" simplePos="0" relativeHeight="16" behindDoc="0" locked="0" layoutInCell="1" allowOverlap="1" wp14:anchorId="0A785D4C" wp14:editId="469FDB4A">
                <wp:simplePos x="0" y="0"/>
                <wp:positionH relativeFrom="column">
                  <wp:posOffset>2734183</wp:posOffset>
                </wp:positionH>
                <wp:positionV relativeFrom="paragraph">
                  <wp:posOffset>102869</wp:posOffset>
                </wp:positionV>
                <wp:extent cx="0" cy="548640"/>
                <wp:effectExtent l="0" t="0" r="19050" b="22860"/>
                <wp:wrapNone/>
                <wp:docPr id="110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8640"/>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line id="1109" filled="f" stroked="t" from="215.29001pt,8.099921pt" to="215.29001pt,51.299923pt" style="position:absolute;z-index:16;mso-position-horizontal-relative:text;mso-position-vertical-relative:text;mso-width-relative:page;mso-height-relative:page;mso-wrap-distance-left:0.0pt;mso-wrap-distance-right:0.0pt;visibility:visible;">
                <v:stroke joinstyle="miter" weight="0.5pt"/>
                <v:fill/>
              </v:line>
            </w:pict>
          </mc:Fallback>
        </mc:AlternateContent>
      </w:r>
    </w:p>
    <w:p w14:paraId="1067AAC6" w14:textId="77777777" w:rsidR="00BC0DD8" w:rsidRPr="004923B9" w:rsidRDefault="00BC0DD8" w:rsidP="00215775">
      <w:pPr>
        <w:spacing w:line="240" w:lineRule="auto"/>
        <w:jc w:val="both"/>
        <w:rPr>
          <w:rFonts w:ascii="Times New Roman" w:hAnsi="Times New Roman" w:cs="Times New Roman"/>
          <w:sz w:val="24"/>
          <w:szCs w:val="24"/>
        </w:rPr>
      </w:pPr>
    </w:p>
    <w:p w14:paraId="740F1617" w14:textId="77777777" w:rsidR="00BC0DD8" w:rsidRPr="004923B9" w:rsidRDefault="00BC0DD8" w:rsidP="00215775">
      <w:pPr>
        <w:spacing w:line="240" w:lineRule="auto"/>
        <w:jc w:val="both"/>
        <w:rPr>
          <w:rFonts w:ascii="Times New Roman" w:hAnsi="Times New Roman" w:cs="Times New Roman"/>
          <w:sz w:val="24"/>
          <w:szCs w:val="24"/>
        </w:rPr>
      </w:pPr>
    </w:p>
    <w:p w14:paraId="01CF57FC" w14:textId="77777777" w:rsidR="00BC0DD8" w:rsidRPr="004923B9" w:rsidRDefault="00BC0DD8" w:rsidP="00215775">
      <w:pPr>
        <w:spacing w:line="240" w:lineRule="auto"/>
        <w:jc w:val="both"/>
        <w:rPr>
          <w:rFonts w:ascii="Times New Roman" w:hAnsi="Times New Roman" w:cs="Times New Roman"/>
          <w:sz w:val="24"/>
          <w:szCs w:val="24"/>
        </w:rPr>
      </w:pPr>
    </w:p>
    <w:p w14:paraId="0A6F1A1E" w14:textId="77777777" w:rsidR="00BC0DD8" w:rsidRPr="004923B9" w:rsidRDefault="00BC0DD8" w:rsidP="00215775">
      <w:pPr>
        <w:spacing w:line="240" w:lineRule="auto"/>
        <w:jc w:val="both"/>
        <w:rPr>
          <w:rFonts w:ascii="Times New Roman" w:hAnsi="Times New Roman" w:cs="Times New Roman"/>
          <w:sz w:val="24"/>
          <w:szCs w:val="24"/>
        </w:rPr>
      </w:pPr>
    </w:p>
    <w:p w14:paraId="6349B3E3" w14:textId="77777777" w:rsidR="00BC0DD8" w:rsidRPr="004923B9" w:rsidRDefault="00BC0DD8" w:rsidP="00215775">
      <w:pPr>
        <w:spacing w:line="240" w:lineRule="auto"/>
        <w:jc w:val="both"/>
        <w:rPr>
          <w:rFonts w:ascii="Times New Roman" w:hAnsi="Times New Roman" w:cs="Times New Roman"/>
          <w:sz w:val="24"/>
          <w:szCs w:val="24"/>
        </w:rPr>
      </w:pPr>
    </w:p>
    <w:p w14:paraId="1D86E4C6" w14:textId="77777777" w:rsidR="00BC0DD8" w:rsidRPr="004923B9" w:rsidRDefault="00BC0DD8" w:rsidP="00215775">
      <w:pPr>
        <w:spacing w:line="240" w:lineRule="auto"/>
        <w:jc w:val="both"/>
        <w:rPr>
          <w:rFonts w:ascii="Times New Roman" w:hAnsi="Times New Roman" w:cs="Times New Roman"/>
          <w:sz w:val="24"/>
          <w:szCs w:val="24"/>
        </w:rPr>
      </w:pPr>
    </w:p>
    <w:p w14:paraId="5B0337E6" w14:textId="77777777" w:rsidR="00BC0DD8" w:rsidRPr="004923B9" w:rsidRDefault="00BC0DD8" w:rsidP="00215775">
      <w:pPr>
        <w:spacing w:line="240" w:lineRule="auto"/>
        <w:jc w:val="both"/>
        <w:rPr>
          <w:rFonts w:ascii="Times New Roman" w:hAnsi="Times New Roman" w:cs="Times New Roman"/>
          <w:sz w:val="24"/>
          <w:szCs w:val="24"/>
        </w:rPr>
      </w:pPr>
    </w:p>
    <w:p w14:paraId="258466B2"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eastAsia="Times New Roman" w:hAnsi="Times New Roman" w:cs="Times New Roman"/>
          <w:bCs/>
          <w:noProof/>
          <w:sz w:val="24"/>
          <w:szCs w:val="24"/>
        </w:rPr>
        <mc:AlternateContent>
          <mc:Choice Requires="wps">
            <w:drawing>
              <wp:anchor distT="0" distB="0" distL="0" distR="0" simplePos="0" relativeHeight="20" behindDoc="0" locked="0" layoutInCell="1" allowOverlap="1" wp14:anchorId="7DAC85F0" wp14:editId="5E9B4325">
                <wp:simplePos x="0" y="0"/>
                <wp:positionH relativeFrom="column">
                  <wp:posOffset>2267712</wp:posOffset>
                </wp:positionH>
                <wp:positionV relativeFrom="paragraph">
                  <wp:posOffset>159512</wp:posOffset>
                </wp:positionV>
                <wp:extent cx="1304544" cy="471170"/>
                <wp:effectExtent l="0" t="0" r="10160" b="24130"/>
                <wp:wrapNone/>
                <wp:docPr id="111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544" cy="471170"/>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23A37C05"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Spices extracts</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7DAC85F0" id="_x0000_s1052" style="position:absolute;left:0;text-align:left;margin-left:178.55pt;margin-top:12.55pt;width:102.7pt;height:37.1pt;z-index:2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" strokeweight="1pt">
                <v:path arrowok="t"/>
                <v:textbox>
                  <w:txbxContent>
                    <w:p w14:paraId="23A37C05"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Spices extracts</w:t>
                      </w:r>
                    </w:p>
                  </w:txbxContent>
                </v:textbox>
              </v:rect>
            </w:pict>
          </mc:Fallback>
        </mc:AlternateContent>
      </w:r>
    </w:p>
    <w:p w14:paraId="636482F8" w14:textId="77777777" w:rsidR="00BC0DD8" w:rsidRPr="004923B9" w:rsidRDefault="00BC0DD8" w:rsidP="00215775">
      <w:pPr>
        <w:spacing w:line="240" w:lineRule="auto"/>
        <w:jc w:val="both"/>
        <w:rPr>
          <w:rFonts w:ascii="Times New Roman" w:hAnsi="Times New Roman" w:cs="Times New Roman"/>
          <w:sz w:val="24"/>
          <w:szCs w:val="24"/>
        </w:rPr>
      </w:pPr>
    </w:p>
    <w:p w14:paraId="220148CD" w14:textId="77777777" w:rsidR="00BC0DD8" w:rsidRPr="004923B9" w:rsidRDefault="00BC0DD8" w:rsidP="00215775">
      <w:pPr>
        <w:spacing w:line="240" w:lineRule="auto"/>
        <w:jc w:val="both"/>
        <w:rPr>
          <w:rFonts w:ascii="Times New Roman" w:hAnsi="Times New Roman" w:cs="Times New Roman"/>
          <w:sz w:val="24"/>
          <w:szCs w:val="24"/>
        </w:rPr>
      </w:pPr>
    </w:p>
    <w:p w14:paraId="265298BF" w14:textId="77777777" w:rsidR="00BC0DD8" w:rsidRPr="004923B9" w:rsidRDefault="00BC0DD8" w:rsidP="00215775">
      <w:pPr>
        <w:spacing w:line="240" w:lineRule="auto"/>
        <w:jc w:val="both"/>
        <w:rPr>
          <w:rFonts w:ascii="Times New Roman" w:hAnsi="Times New Roman" w:cs="Times New Roman"/>
          <w:sz w:val="24"/>
          <w:szCs w:val="24"/>
        </w:rPr>
      </w:pPr>
    </w:p>
    <w:p w14:paraId="49BA9AAC"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eastAsia="Times New Roman" w:hAnsi="Times New Roman" w:cs="Times New Roman"/>
          <w:bCs/>
          <w:noProof/>
          <w:sz w:val="24"/>
          <w:szCs w:val="24"/>
        </w:rPr>
        <mc:AlternateContent>
          <mc:Choice Requires="wps">
            <w:drawing>
              <wp:anchor distT="0" distB="0" distL="0" distR="0" simplePos="0" relativeHeight="29" behindDoc="0" locked="0" layoutInCell="1" allowOverlap="1" wp14:anchorId="056BBF22" wp14:editId="119022EB">
                <wp:simplePos x="0" y="0"/>
                <wp:positionH relativeFrom="column">
                  <wp:posOffset>4110990</wp:posOffset>
                </wp:positionH>
                <wp:positionV relativeFrom="paragraph">
                  <wp:posOffset>272415</wp:posOffset>
                </wp:positionV>
                <wp:extent cx="0" cy="316229"/>
                <wp:effectExtent l="76200" t="0" r="76200" b="64770"/>
                <wp:wrapNone/>
                <wp:docPr id="111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6229"/>
                        </a:xfrm>
                        <a:prstGeom prst="straightConnector1">
                          <a:avLst/>
                        </a:prstGeom>
                        <a:ln w="6350" cap="flat" cmpd="sng">
                          <a:solidFill>
                            <a:srgbClr val="000000"/>
                          </a:solidFill>
                          <a:prstDash val="solid"/>
                          <a:miter/>
                          <a:headEnd type="none" w="med" len="med"/>
                          <a:tailEnd type="triangle" w="med" len="med"/>
                        </a:ln>
                      </wps:spPr>
                      <wps:bodyPr/>
                    </wps:wsp>
                  </a:graphicData>
                </a:graphic>
              </wp:anchor>
            </w:drawing>
          </mc:Choice>
          <mc:Fallback xmlns:wpsCustomData="http://www.wps.cn/officeDocument/2013/wpsCustomData">
            <w:pict>
              <v:shape id="1111" type="#_x0000_t32" filled="f" style="position:absolute;margin-left:323.7pt;margin-top:21.45pt;width:0.0pt;height:24.9pt;z-index:29;mso-position-horizontal-relative:text;mso-position-vertical-relative:text;mso-width-relative:page;mso-height-relative:page;mso-wrap-distance-left:0.0pt;mso-wrap-distance-right:0.0pt;visibility:visible;">
                <v:stroke endarrow="block" joinstyle="miter" weight="0.5pt"/>
                <v:fill/>
              </v:shape>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24" behindDoc="0" locked="0" layoutInCell="1" allowOverlap="1" wp14:anchorId="61984140" wp14:editId="290C10B7">
                <wp:simplePos x="0" y="0"/>
                <wp:positionH relativeFrom="column">
                  <wp:posOffset>-259715</wp:posOffset>
                </wp:positionH>
                <wp:positionV relativeFrom="paragraph">
                  <wp:posOffset>274320</wp:posOffset>
                </wp:positionV>
                <wp:extent cx="6147435" cy="41910"/>
                <wp:effectExtent l="0" t="0" r="24765" b="34290"/>
                <wp:wrapNone/>
                <wp:docPr id="1112"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47435" cy="41910"/>
                        </a:xfrm>
                        <a:prstGeom prst="line">
                          <a:avLst/>
                        </a:prstGeom>
                        <a:ln w="6350" cap="flat" cmpd="sng">
                          <a:solidFill>
                            <a:srgbClr val="000000"/>
                          </a:solidFill>
                          <a:prstDash val="solid"/>
                          <a:miter/>
                          <a:headEnd type="none" w="med" len="med"/>
                          <a:tailEnd type="none" w="med" len="med"/>
                        </a:ln>
                      </wps:spPr>
                      <wps:bodyPr/>
                    </wps:wsp>
                  </a:graphicData>
                </a:graphic>
              </wp:anchor>
            </w:drawing>
          </mc:Choice>
          <mc:Fallback xmlns:wpsCustomData="http://www.wps.cn/officeDocument/2013/wpsCustomData">
            <w:pict>
              <v:line id="1112" filled="f" stroked="t" from="-20.45pt,21.6pt" to="463.59998pt,24.900002pt" style="position:absolute;z-index:24;mso-position-horizontal-relative:text;mso-position-vertical-relative:text;mso-width-relative:page;mso-height-relative:page;mso-wrap-distance-left:0.0pt;mso-wrap-distance-right:0.0pt;visibility:visible;flip:y;">
                <v:stroke joinstyle="miter" weight="0.5pt"/>
                <v:fill/>
              </v:line>
            </w:pict>
          </mc:Fallback>
        </mc:AlternateContent>
      </w:r>
    </w:p>
    <w:p w14:paraId="16CC96AC"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eastAsia="Times New Roman" w:hAnsi="Times New Roman" w:cs="Times New Roman"/>
          <w:bCs/>
          <w:noProof/>
          <w:sz w:val="24"/>
          <w:szCs w:val="24"/>
        </w:rPr>
        <mc:AlternateContent>
          <mc:Choice Requires="wps">
            <w:drawing>
              <wp:anchor distT="0" distB="0" distL="0" distR="0" simplePos="0" relativeHeight="35" behindDoc="0" locked="0" layoutInCell="1" allowOverlap="1" wp14:anchorId="4EE9F580" wp14:editId="007C121C">
                <wp:simplePos x="0" y="0"/>
                <wp:positionH relativeFrom="page">
                  <wp:align>left</wp:align>
                </wp:positionH>
                <wp:positionV relativeFrom="paragraph">
                  <wp:posOffset>322580</wp:posOffset>
                </wp:positionV>
                <wp:extent cx="1406770" cy="471268"/>
                <wp:effectExtent l="0" t="0" r="3175" b="5080"/>
                <wp:wrapNone/>
                <wp:docPr id="11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6770" cy="471268"/>
                        </a:xfrm>
                        <a:prstGeom prst="rect">
                          <a:avLst/>
                        </a:prstGeom>
                        <a:solidFill>
                          <a:srgbClr val="FFFFFF"/>
                        </a:solidFill>
                        <a:ln>
                          <a:noFill/>
                        </a:ln>
                      </wps:spPr>
                      <wps:txbx>
                        <w:txbxContent>
                          <w:p w14:paraId="2128C415"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Extraction Yield</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4EE9F580" id="Rectangle 5" o:spid="_x0000_s1053" style="position:absolute;left:0;text-align:left;margin-left:0;margin-top:25.4pt;width:110.75pt;height:37.1pt;z-index:35;visibility:visible;mso-wrap-style:square;mso-width-percent:0;mso-wrap-distance-left:0;mso-wrap-distance-top:0;mso-wrap-distance-right:0;mso-wrap-distance-bottom:0;mso-position-horizontal:left;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" stroked="f">
                <v:textbox>
                  <w:txbxContent>
                    <w:p w14:paraId="2128C415"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Extraction Yield</w:t>
                      </w:r>
                    </w:p>
                  </w:txbxContent>
                </v:textbox>
                <w10:wrap anchorx="page"/>
              </v:rect>
            </w:pict>
          </mc:Fallback>
        </mc:AlternateContent>
      </w:r>
    </w:p>
    <w:p w14:paraId="41BD0453"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eastAsia="Times New Roman" w:hAnsi="Times New Roman" w:cs="Times New Roman"/>
          <w:bCs/>
          <w:noProof/>
          <w:sz w:val="24"/>
          <w:szCs w:val="24"/>
        </w:rPr>
        <mc:AlternateContent>
          <mc:Choice Requires="wps">
            <w:drawing>
              <wp:anchor distT="0" distB="0" distL="0" distR="0" simplePos="0" relativeHeight="32" behindDoc="0" locked="0" layoutInCell="1" allowOverlap="1" wp14:anchorId="32CF7126" wp14:editId="5B348264">
                <wp:simplePos x="0" y="0"/>
                <wp:positionH relativeFrom="column">
                  <wp:posOffset>1080135</wp:posOffset>
                </wp:positionH>
                <wp:positionV relativeFrom="paragraph">
                  <wp:posOffset>6350</wp:posOffset>
                </wp:positionV>
                <wp:extent cx="1406770" cy="471268"/>
                <wp:effectExtent l="0" t="0" r="3175" b="5080"/>
                <wp:wrapNone/>
                <wp:docPr id="111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6770" cy="471268"/>
                        </a:xfrm>
                        <a:prstGeom prst="rect">
                          <a:avLst/>
                        </a:prstGeom>
                        <a:solidFill>
                          <a:srgbClr val="FFFFFF"/>
                        </a:solidFill>
                        <a:ln>
                          <a:noFill/>
                        </a:ln>
                      </wps:spPr>
                      <wps:txbx>
                        <w:txbxContent>
                          <w:p w14:paraId="2A95D5C3"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Phytochemicals</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32CF7126" id="_x0000_s1054" style="position:absolute;left:0;text-align:left;margin-left:85.05pt;margin-top:.5pt;width:110.75pt;height:37.1pt;z-index:3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" stroked="f">
                <v:textbox>
                  <w:txbxContent>
                    <w:p w14:paraId="2A95D5C3"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Phytochemicals</w:t>
                      </w:r>
                    </w:p>
                  </w:txbxContent>
                </v:textbox>
              </v:rect>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30" behindDoc="0" locked="0" layoutInCell="1" allowOverlap="1" wp14:anchorId="087B1587" wp14:editId="74F59A15">
                <wp:simplePos x="0" y="0"/>
                <wp:positionH relativeFrom="column">
                  <wp:posOffset>3423285</wp:posOffset>
                </wp:positionH>
                <wp:positionV relativeFrom="paragraph">
                  <wp:posOffset>44450</wp:posOffset>
                </wp:positionV>
                <wp:extent cx="1406769" cy="471268"/>
                <wp:effectExtent l="0" t="0" r="3175" b="5080"/>
                <wp:wrapNone/>
                <wp:docPr id="111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6769" cy="471268"/>
                        </a:xfrm>
                        <a:prstGeom prst="rect">
                          <a:avLst/>
                        </a:prstGeom>
                        <a:solidFill>
                          <a:srgbClr val="FFFFFF"/>
                        </a:solidFill>
                        <a:ln>
                          <a:noFill/>
                        </a:ln>
                      </wps:spPr>
                      <wps:txbx>
                        <w:txbxContent>
                          <w:p w14:paraId="2FE9D86E"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Bioactive compounds</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087B1587" id="_x0000_s1055" style="position:absolute;left:0;text-align:left;margin-left:269.55pt;margin-top:3.5pt;width:110.75pt;height:37.1pt;z-index:30;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" stroked="f">
                <v:textbox>
                  <w:txbxContent>
                    <w:p w14:paraId="2FE9D86E"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Bioactive compounds</w:t>
                      </w:r>
                    </w:p>
                  </w:txbxContent>
                </v:textbox>
              </v:rect>
            </w:pict>
          </mc:Fallback>
        </mc:AlternateContent>
      </w:r>
      <w:r w:rsidRPr="004923B9">
        <w:rPr>
          <w:rFonts w:ascii="Times New Roman" w:eastAsia="Times New Roman" w:hAnsi="Times New Roman" w:cs="Times New Roman"/>
          <w:bCs/>
          <w:noProof/>
          <w:sz w:val="24"/>
          <w:szCs w:val="24"/>
        </w:rPr>
        <mc:AlternateContent>
          <mc:Choice Requires="wps">
            <w:drawing>
              <wp:anchor distT="0" distB="0" distL="0" distR="0" simplePos="0" relativeHeight="31" behindDoc="0" locked="0" layoutInCell="1" allowOverlap="1" wp14:anchorId="0D2500C2" wp14:editId="5F9ABFF5">
                <wp:simplePos x="0" y="0"/>
                <wp:positionH relativeFrom="column">
                  <wp:posOffset>5179695</wp:posOffset>
                </wp:positionH>
                <wp:positionV relativeFrom="paragraph">
                  <wp:posOffset>33020</wp:posOffset>
                </wp:positionV>
                <wp:extent cx="1406769" cy="471268"/>
                <wp:effectExtent l="0" t="0" r="3175" b="5080"/>
                <wp:wrapNone/>
                <wp:docPr id="111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6769" cy="471268"/>
                        </a:xfrm>
                        <a:prstGeom prst="rect">
                          <a:avLst/>
                        </a:prstGeom>
                        <a:solidFill>
                          <a:srgbClr val="FFFFFF"/>
                        </a:solidFill>
                        <a:ln>
                          <a:noFill/>
                        </a:ln>
                      </wps:spPr>
                      <wps:txbx>
                        <w:txbxContent>
                          <w:p w14:paraId="371D0A55"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Antioxidant assay</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0D2500C2" id="_x0000_s1056" style="position:absolute;left:0;text-align:left;margin-left:407.85pt;margin-top:2.6pt;width:110.75pt;height:37.1pt;z-index:31;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" stroked="f">
                <v:textbox>
                  <w:txbxContent>
                    <w:p w14:paraId="371D0A55" w14:textId="77777777" w:rsidR="00DF337D" w:rsidRDefault="00DF337D">
                      <w:pPr>
                        <w:jc w:val="center"/>
                        <w:rPr>
                          <w:rFonts w:ascii="Times New Roman" w:hAnsi="Times New Roman" w:cs="Times New Roman"/>
                          <w:sz w:val="24"/>
                          <w:szCs w:val="24"/>
                        </w:rPr>
                      </w:pPr>
                      <w:r>
                        <w:rPr>
                          <w:rFonts w:ascii="Times New Roman" w:hAnsi="Times New Roman" w:cs="Times New Roman"/>
                          <w:sz w:val="24"/>
                          <w:szCs w:val="24"/>
                        </w:rPr>
                        <w:t>Antioxidant assay</w:t>
                      </w:r>
                    </w:p>
                  </w:txbxContent>
                </v:textbox>
              </v:rect>
            </w:pict>
          </mc:Fallback>
        </mc:AlternateContent>
      </w:r>
    </w:p>
    <w:p w14:paraId="0B5BB4B4" w14:textId="77777777" w:rsidR="00BC0DD8" w:rsidRPr="004923B9" w:rsidRDefault="00BC0DD8" w:rsidP="00215775">
      <w:pPr>
        <w:spacing w:line="240" w:lineRule="auto"/>
        <w:jc w:val="both"/>
        <w:rPr>
          <w:rFonts w:ascii="Times New Roman" w:hAnsi="Times New Roman" w:cs="Times New Roman"/>
          <w:sz w:val="24"/>
          <w:szCs w:val="24"/>
        </w:rPr>
      </w:pPr>
    </w:p>
    <w:p w14:paraId="58301AFB" w14:textId="77777777" w:rsidR="00BC0DD8" w:rsidRPr="004923B9" w:rsidRDefault="001C03BC" w:rsidP="00215775">
      <w:pPr>
        <w:autoSpaceDE w:val="0"/>
        <w:autoSpaceDN w:val="0"/>
        <w:adjustRightInd w:val="0"/>
        <w:spacing w:line="240" w:lineRule="auto"/>
        <w:jc w:val="both"/>
        <w:rPr>
          <w:rFonts w:ascii="Times New Roman" w:hAnsi="Times New Roman" w:cs="Times New Roman"/>
          <w:bCs/>
          <w:sz w:val="24"/>
          <w:szCs w:val="24"/>
        </w:rPr>
      </w:pPr>
      <w:r w:rsidRPr="004923B9">
        <w:rPr>
          <w:rFonts w:ascii="Times New Roman" w:hAnsi="Times New Roman" w:cs="Times New Roman"/>
          <w:sz w:val="24"/>
          <w:szCs w:val="24"/>
        </w:rPr>
        <w:t>Figure.4. The diagrammatic representation of the process flow for the research/analysis.</w:t>
      </w:r>
    </w:p>
    <w:p w14:paraId="4887F4DC" w14:textId="77777777" w:rsidR="00BC0DD8" w:rsidRPr="004923B9" w:rsidRDefault="001C03BC" w:rsidP="00215775">
      <w:pPr>
        <w:autoSpaceDE w:val="0"/>
        <w:autoSpaceDN w:val="0"/>
        <w:adjustRightInd w:val="0"/>
        <w:spacing w:line="240" w:lineRule="auto"/>
        <w:jc w:val="both"/>
        <w:rPr>
          <w:rFonts w:ascii="Times New Roman" w:hAnsi="Times New Roman" w:cs="Times New Roman"/>
          <w:b/>
          <w:bCs/>
          <w:sz w:val="24"/>
          <w:szCs w:val="24"/>
        </w:rPr>
      </w:pPr>
      <w:r w:rsidRPr="004923B9">
        <w:rPr>
          <w:b/>
        </w:rPr>
        <w:t>Microwave-assisted Extraction of the Crude Extracts</w:t>
      </w:r>
    </w:p>
    <w:p w14:paraId="22C9886C" w14:textId="77777777" w:rsidR="00A46899" w:rsidRPr="004923B9" w:rsidRDefault="00A46899" w:rsidP="00215775">
      <w:pPr>
        <w:spacing w:after="0" w:line="240" w:lineRule="auto"/>
        <w:jc w:val="both"/>
        <w:rPr>
          <w:rFonts w:ascii="Times New Roman" w:eastAsia="Times New Roman" w:hAnsi="Times New Roman" w:cs="Times New Roman"/>
          <w:sz w:val="24"/>
          <w:szCs w:val="24"/>
        </w:rPr>
      </w:pPr>
      <w:r w:rsidRPr="004923B9">
        <w:t xml:space="preserve">The bioactive compounds were extracted using the procedure described by Chan et al. (2011) and </w:t>
      </w:r>
      <w:proofErr w:type="spellStart"/>
      <w:r w:rsidRPr="004923B9">
        <w:t>ChemistRn</w:t>
      </w:r>
      <w:proofErr w:type="spellEnd"/>
      <w:r w:rsidRPr="004923B9">
        <w:t xml:space="preserve"> (2022). Two hundred grammes of dried and </w:t>
      </w:r>
      <w:proofErr w:type="spellStart"/>
      <w:r w:rsidRPr="004923B9">
        <w:t>pulverised</w:t>
      </w:r>
      <w:proofErr w:type="spellEnd"/>
      <w:r w:rsidRPr="004923B9">
        <w:t xml:space="preserve"> plant material were placed in a 500 ml flat-bottomed flask, and 250 ml of ethyl ether was added to the sample. After the flask was sealed and connected to a condenser, comprising a cooling system with water inlet and outlet points, it was carefully inserted into a groove cut into the microwave. The microwave was connected to a power source and turned on while maintaining the solvent's set temperature, extraction time (10-20 min) and power (300 W), which were the primary operating conditions for MAE.</w:t>
      </w:r>
    </w:p>
    <w:p w14:paraId="28834B50" w14:textId="77777777" w:rsidR="00A46899" w:rsidRPr="004923B9" w:rsidRDefault="00A46899" w:rsidP="00215775">
      <w:pPr>
        <w:spacing w:after="0" w:line="240" w:lineRule="auto"/>
        <w:jc w:val="both"/>
        <w:rPr>
          <w:rFonts w:ascii="Times New Roman" w:eastAsia="Times New Roman" w:hAnsi="Times New Roman" w:cs="Times New Roman"/>
          <w:sz w:val="24"/>
          <w:szCs w:val="24"/>
        </w:rPr>
      </w:pPr>
      <w:r w:rsidRPr="004923B9">
        <w:t>The solvent boiled and rose to the top of the vessel as the waveguide directed the magnetron's microwave output onto the sample-solvent mixture. The hot solvent then came into contact with a water-cooled reflux condenser. As a result, the solvent condensed and returned to the holding jar. This process was repeated for a brief period to allow the organic chemicals in the sample matrix to desorb into the organic solvent. The crude extracts evaporated during the approximately 30 min boiling operation and were collected in a separate jar designated for that purpose. This procedure was performed for each dried plant material sample (</w:t>
      </w:r>
      <w:r w:rsidRPr="004923B9">
        <w:rPr>
          <w:i/>
        </w:rPr>
        <w:t>Zingiber officinale</w:t>
      </w:r>
      <w:r w:rsidRPr="004923B9">
        <w:t xml:space="preserve">,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and </w:t>
      </w:r>
      <w:proofErr w:type="spellStart"/>
      <w:r w:rsidRPr="004923B9">
        <w:rPr>
          <w:i/>
        </w:rPr>
        <w:t>Tetrapleura</w:t>
      </w:r>
      <w:proofErr w:type="spellEnd"/>
      <w:r w:rsidRPr="004923B9">
        <w:rPr>
          <w:i/>
        </w:rPr>
        <w:t xml:space="preserve"> tetraptera</w:t>
      </w:r>
      <w:r w:rsidRPr="004923B9">
        <w:t>). The extract yield was determined.</w:t>
      </w:r>
    </w:p>
    <w:p w14:paraId="4FECF8C1" w14:textId="77777777" w:rsidR="00BC0DD8" w:rsidRPr="004923B9" w:rsidRDefault="001C03BC" w:rsidP="00215775">
      <w:pPr>
        <w:shd w:val="clear" w:color="auto" w:fill="FFFFFF"/>
        <w:spacing w:after="0" w:line="240" w:lineRule="auto"/>
        <w:jc w:val="both"/>
        <w:rPr>
          <w:rFonts w:ascii="Times New Roman" w:hAnsi="Times New Roman" w:cs="Times New Roman"/>
          <w:b/>
          <w:sz w:val="24"/>
          <w:szCs w:val="24"/>
        </w:rPr>
      </w:pPr>
      <w:r w:rsidRPr="004923B9">
        <w:rPr>
          <w:b/>
        </w:rPr>
        <w:t>Quality Evaluation of the Crude Extracts</w:t>
      </w:r>
    </w:p>
    <w:p w14:paraId="510FE2E6" w14:textId="77777777" w:rsidR="00BC0DD8" w:rsidRPr="004923B9" w:rsidRDefault="001C03BC" w:rsidP="00215775">
      <w:pPr>
        <w:shd w:val="clear" w:color="auto" w:fill="FFFFFF"/>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Determination of extraction yield:</w:t>
      </w:r>
    </w:p>
    <w:p w14:paraId="698062C6" w14:textId="77777777" w:rsidR="00BC0DD8" w:rsidRPr="004923B9" w:rsidRDefault="001C03BC" w:rsidP="00215775">
      <w:pPr>
        <w:shd w:val="clear" w:color="auto" w:fill="FFFFFF"/>
        <w:spacing w:after="0" w:line="240" w:lineRule="auto"/>
        <w:jc w:val="both"/>
        <w:rPr>
          <w:rFonts w:ascii="Times New Roman" w:hAnsi="Times New Roman" w:cs="Times New Roman"/>
          <w:b/>
          <w:sz w:val="24"/>
          <w:szCs w:val="24"/>
        </w:rPr>
      </w:pPr>
      <w:r w:rsidRPr="004923B9">
        <w:t xml:space="preserve">The steps demonstrated by </w:t>
      </w:r>
      <w:proofErr w:type="spellStart"/>
      <w:r w:rsidRPr="004923B9">
        <w:t>Iwouno</w:t>
      </w:r>
      <w:proofErr w:type="spellEnd"/>
      <w:r w:rsidRPr="004923B9">
        <w:t xml:space="preserve"> et al. (2019) and </w:t>
      </w:r>
      <w:proofErr w:type="spellStart"/>
      <w:r w:rsidRPr="004923B9">
        <w:t>Ofoedum</w:t>
      </w:r>
      <w:proofErr w:type="spellEnd"/>
      <w:r w:rsidRPr="004923B9">
        <w:t xml:space="preserve"> et al. (2025) were followed for the determination of extract yield. The yield of dried extracts, based on dry weight, was calculated as shown below:</w:t>
      </w:r>
    </w:p>
    <w:p w14:paraId="7D5A423B" w14:textId="77777777" w:rsidR="00BC0DD8" w:rsidRPr="004923B9" w:rsidRDefault="00000000" w:rsidP="00215775">
      <w:pPr>
        <w:shd w:val="clear" w:color="auto" w:fill="FFFFFF"/>
        <w:spacing w:before="166" w:after="166" w:line="240" w:lineRule="auto"/>
        <w:jc w:val="both"/>
        <w:rPr>
          <w:rFonts w:ascii="Times New Roman" w:hAnsi="Times New Roman" w:cs="Times New Roman"/>
          <w:sz w:val="24"/>
          <w:szCs w:val="24"/>
        </w:rPr>
      </w:pPr>
      <m:oMath>
        <m:d>
          <m:dPr>
            <m:ctrlPr>
              <w:rPr>
                <w:rFonts w:ascii="Cambria Math" w:hAnsi="Cambria Math" w:cs="Times New Roman"/>
                <w:b/>
                <w:sz w:val="24"/>
                <w:szCs w:val="24"/>
              </w:rPr>
            </m:ctrlPr>
          </m:dPr>
          <m:e>
            <m:r>
              <m:rPr>
                <m:sty m:val="b"/>
              </m:rPr>
              <w:rPr>
                <w:rFonts w:ascii="Cambria Math" w:hAnsi="Cambria Math" w:cs="Times New Roman"/>
                <w:sz w:val="24"/>
                <w:szCs w:val="24"/>
              </w:rPr>
              <m:t>%</m:t>
            </m:r>
          </m:e>
        </m:d>
        <m:r>
          <w:rPr>
            <w:rFonts w:ascii="Cambria Math" w:hAnsi="Cambria Math" w:cs="Times New Roman"/>
            <w:sz w:val="24"/>
            <w:szCs w:val="24"/>
          </w:rPr>
          <m:t>Extract Yield</m:t>
        </m:r>
        <m:r>
          <m:rPr>
            <m:sty m:val="b"/>
          </m:rPr>
          <w:rPr>
            <w:rFonts w:ascii="Cambria Math" w:hAnsi="Cambria Math" w:cs="Times New Roman"/>
            <w:sz w:val="24"/>
            <w:szCs w:val="24"/>
          </w:rPr>
          <m:t xml:space="preserve"> </m:t>
        </m:r>
        <m:r>
          <m:rPr>
            <m:sty m:val="p"/>
          </m:rP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W1</m:t>
            </m:r>
          </m:num>
          <m:den>
            <m:r>
              <w:rPr>
                <w:rFonts w:ascii="Cambria Math" w:hAnsi="Cambria Math" w:cs="Times New Roman"/>
                <w:sz w:val="24"/>
                <w:szCs w:val="24"/>
              </w:rPr>
              <m:t>W2</m:t>
            </m:r>
          </m:den>
        </m:f>
        <m:r>
          <w:rPr>
            <w:rFonts w:ascii="Cambria Math" w:hAnsi="Cambria Math" w:cs="Times New Roman"/>
            <w:sz w:val="24"/>
            <w:szCs w:val="24"/>
          </w:rPr>
          <m:t>×100</m:t>
        </m:r>
      </m:oMath>
      <w:r w:rsidR="001C03BC" w:rsidRPr="004923B9">
        <w:rPr>
          <w:rFonts w:ascii="Times New Roman" w:eastAsia="SimSun" w:hAnsi="Times New Roman" w:cs="Times New Roman"/>
          <w:sz w:val="24"/>
          <w:szCs w:val="24"/>
        </w:rPr>
        <w:tab/>
      </w:r>
      <w:r w:rsidR="001C03BC" w:rsidRPr="004923B9">
        <w:rPr>
          <w:rFonts w:ascii="Times New Roman" w:eastAsia="SimSun" w:hAnsi="Times New Roman" w:cs="Times New Roman"/>
          <w:sz w:val="24"/>
          <w:szCs w:val="24"/>
        </w:rPr>
        <w:tab/>
      </w:r>
      <w:r w:rsidR="001C03BC" w:rsidRPr="004923B9">
        <w:rPr>
          <w:rFonts w:ascii="Times New Roman" w:eastAsia="SimSun" w:hAnsi="Times New Roman" w:cs="Times New Roman"/>
          <w:sz w:val="24"/>
          <w:szCs w:val="24"/>
        </w:rPr>
        <w:tab/>
      </w:r>
      <w:r w:rsidR="001C03BC" w:rsidRPr="004923B9">
        <w:rPr>
          <w:rFonts w:ascii="Times New Roman" w:eastAsia="SimSun" w:hAnsi="Times New Roman" w:cs="Times New Roman"/>
          <w:sz w:val="24"/>
          <w:szCs w:val="24"/>
        </w:rPr>
        <w:tab/>
      </w:r>
      <w:r w:rsidR="001C03BC" w:rsidRPr="004923B9">
        <w:rPr>
          <w:rFonts w:ascii="Times New Roman" w:eastAsia="SimSun" w:hAnsi="Times New Roman" w:cs="Times New Roman"/>
          <w:sz w:val="24"/>
          <w:szCs w:val="24"/>
        </w:rPr>
        <w:tab/>
      </w:r>
    </w:p>
    <w:p w14:paraId="0AABDEC0" w14:textId="77777777" w:rsidR="00BC0DD8" w:rsidRPr="004923B9" w:rsidRDefault="001C03BC" w:rsidP="00215775">
      <w:pPr>
        <w:shd w:val="clear" w:color="auto" w:fill="FFFFFF"/>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Where: W</w:t>
      </w:r>
      <w:r w:rsidRPr="004923B9">
        <w:rPr>
          <w:rFonts w:ascii="Times New Roman" w:hAnsi="Times New Roman" w:cs="Times New Roman"/>
          <w:sz w:val="24"/>
          <w:szCs w:val="24"/>
          <w:vertAlign w:val="subscript"/>
        </w:rPr>
        <w:t>1</w:t>
      </w:r>
      <w:r w:rsidRPr="004923B9">
        <w:rPr>
          <w:rFonts w:ascii="Times New Roman" w:hAnsi="Times New Roman" w:cs="Times New Roman"/>
          <w:sz w:val="24"/>
          <w:szCs w:val="24"/>
        </w:rPr>
        <w:t xml:space="preserve"> = weight of extract </w:t>
      </w:r>
    </w:p>
    <w:p w14:paraId="7E8D3567" w14:textId="77777777" w:rsidR="00BC0DD8" w:rsidRPr="004923B9" w:rsidRDefault="001C03BC" w:rsidP="00215775">
      <w:pPr>
        <w:shd w:val="clear" w:color="auto" w:fill="FFFFFF"/>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W</w:t>
      </w:r>
      <w:r w:rsidRPr="004923B9">
        <w:rPr>
          <w:rFonts w:ascii="Times New Roman" w:hAnsi="Times New Roman" w:cs="Times New Roman"/>
          <w:sz w:val="24"/>
          <w:szCs w:val="24"/>
          <w:vertAlign w:val="subscript"/>
        </w:rPr>
        <w:t>2</w:t>
      </w:r>
      <w:r w:rsidRPr="004923B9">
        <w:rPr>
          <w:rFonts w:ascii="Times New Roman" w:hAnsi="Times New Roman" w:cs="Times New Roman"/>
          <w:sz w:val="24"/>
          <w:szCs w:val="24"/>
        </w:rPr>
        <w:t xml:space="preserve"> = dry weight of the sample </w:t>
      </w:r>
    </w:p>
    <w:p w14:paraId="0A469F77" w14:textId="77777777" w:rsidR="00BC0DD8" w:rsidRPr="004923B9" w:rsidRDefault="00BC0DD8" w:rsidP="00215775">
      <w:pPr>
        <w:shd w:val="clear" w:color="auto" w:fill="FFFFFF"/>
        <w:spacing w:after="0" w:line="240" w:lineRule="auto"/>
        <w:jc w:val="both"/>
        <w:rPr>
          <w:rFonts w:ascii="Times New Roman" w:hAnsi="Times New Roman" w:cs="Times New Roman"/>
          <w:sz w:val="24"/>
          <w:szCs w:val="24"/>
        </w:rPr>
      </w:pPr>
    </w:p>
    <w:p w14:paraId="52605333" w14:textId="77777777" w:rsidR="00BC0DD8" w:rsidRPr="004923B9" w:rsidRDefault="001C03BC" w:rsidP="00215775">
      <w:pPr>
        <w:autoSpaceDE w:val="0"/>
        <w:autoSpaceDN w:val="0"/>
        <w:adjustRightInd w:val="0"/>
        <w:spacing w:after="0" w:line="240" w:lineRule="auto"/>
        <w:jc w:val="both"/>
        <w:rPr>
          <w:rFonts w:ascii="Times New Roman" w:hAnsi="Times New Roman" w:cs="Times New Roman"/>
          <w:b/>
          <w:bCs/>
          <w:sz w:val="24"/>
          <w:szCs w:val="24"/>
        </w:rPr>
      </w:pPr>
      <w:r w:rsidRPr="004923B9">
        <w:rPr>
          <w:b/>
        </w:rPr>
        <w:t>Determination of the Phytochemicals and Antioxidants in the Crude Extracts</w:t>
      </w:r>
    </w:p>
    <w:p w14:paraId="5464A37E" w14:textId="4F224097" w:rsidR="00BC0DD8" w:rsidRPr="004923B9" w:rsidRDefault="001C03BC" w:rsidP="00215775">
      <w:pPr>
        <w:shd w:val="clear" w:color="auto" w:fill="FFFFFF"/>
        <w:spacing w:after="166" w:line="240" w:lineRule="auto"/>
        <w:jc w:val="both"/>
        <w:rPr>
          <w:rFonts w:ascii="Times New Roman" w:hAnsi="Times New Roman" w:cs="Times New Roman"/>
          <w:sz w:val="24"/>
          <w:szCs w:val="24"/>
        </w:rPr>
      </w:pPr>
      <w:r w:rsidRPr="004923B9">
        <w:lastRenderedPageBreak/>
        <w:t xml:space="preserve">Phytochemical tests were carried out to determine the presence or absence of chemical substances, including target bioactive components, in the crude plant extracts. The tests were carried out using spectrophotometric techniques to screen and identify the phytochemicals, as described by Onwuka (2005), </w:t>
      </w:r>
      <w:proofErr w:type="spellStart"/>
      <w:r w:rsidRPr="004923B9">
        <w:t>Savithramma</w:t>
      </w:r>
      <w:proofErr w:type="spellEnd"/>
      <w:r w:rsidRPr="004923B9">
        <w:t xml:space="preserve"> et al. (2011), </w:t>
      </w:r>
      <w:proofErr w:type="spellStart"/>
      <w:r w:rsidRPr="004923B9">
        <w:t>Olawuni</w:t>
      </w:r>
      <w:proofErr w:type="spellEnd"/>
      <w:r w:rsidRPr="004923B9">
        <w:t xml:space="preserve"> et al. (2019) and </w:t>
      </w:r>
      <w:r w:rsidR="00840F43" w:rsidRPr="00840F43">
        <w:t>AOAC International</w:t>
      </w:r>
      <w:r w:rsidRPr="004923B9">
        <w:t xml:space="preserve"> (2019).</w:t>
      </w:r>
    </w:p>
    <w:p w14:paraId="33E0FC0E" w14:textId="77777777" w:rsidR="00BC0DD8" w:rsidRPr="004923B9" w:rsidRDefault="001C03BC" w:rsidP="00215775">
      <w:pPr>
        <w:spacing w:before="100" w:beforeAutospacing="1" w:after="100" w:afterAutospacing="1" w:line="240" w:lineRule="auto"/>
        <w:jc w:val="both"/>
        <w:outlineLvl w:val="4"/>
        <w:rPr>
          <w:rFonts w:ascii="Times New Roman" w:eastAsia="Times New Roman" w:hAnsi="Times New Roman" w:cs="Times New Roman"/>
          <w:b/>
          <w:bCs/>
          <w:sz w:val="24"/>
          <w:szCs w:val="24"/>
        </w:rPr>
      </w:pPr>
      <w:r w:rsidRPr="004923B9">
        <w:rPr>
          <w:rFonts w:ascii="Times New Roman" w:eastAsia="Times New Roman" w:hAnsi="Times New Roman" w:cs="Times New Roman"/>
          <w:b/>
          <w:bCs/>
          <w:sz w:val="24"/>
          <w:szCs w:val="24"/>
        </w:rPr>
        <w:t>Qualitative Phytochemical Screening:</w:t>
      </w:r>
    </w:p>
    <w:p w14:paraId="59327269" w14:textId="67B4FD7D" w:rsidR="00BC0DD8" w:rsidRPr="004923B9" w:rsidRDefault="001C03BC" w:rsidP="00215775">
      <w:pPr>
        <w:spacing w:before="100" w:beforeAutospacing="1" w:after="100" w:afterAutospacing="1" w:line="240" w:lineRule="auto"/>
        <w:jc w:val="both"/>
        <w:outlineLvl w:val="4"/>
        <w:rPr>
          <w:rFonts w:ascii="Times New Roman" w:eastAsia="Times New Roman" w:hAnsi="Times New Roman" w:cs="Times New Roman"/>
          <w:bCs/>
          <w:sz w:val="24"/>
          <w:szCs w:val="24"/>
        </w:rPr>
      </w:pPr>
      <w:r w:rsidRPr="004923B9">
        <w:t xml:space="preserve">The methods used for screening the phytochemicals, including saponins, alkaloids, terpenoids, flavonoids, cardiac glycosides, steroids and phenols, followed the protocols described by </w:t>
      </w:r>
      <w:r w:rsidR="00840F43" w:rsidRPr="00840F43">
        <w:t>AOAC International</w:t>
      </w:r>
      <w:r w:rsidRPr="004923B9">
        <w:t xml:space="preserve"> (2019) and </w:t>
      </w:r>
      <w:proofErr w:type="spellStart"/>
      <w:r w:rsidRPr="004923B9">
        <w:t>Savithramma</w:t>
      </w:r>
      <w:proofErr w:type="spellEnd"/>
      <w:r w:rsidRPr="004923B9">
        <w:t xml:space="preserve"> et al. (2011).</w:t>
      </w:r>
    </w:p>
    <w:p w14:paraId="7F5C115D" w14:textId="77777777" w:rsidR="00BC0DD8" w:rsidRPr="004923B9" w:rsidRDefault="001C03BC" w:rsidP="00215775">
      <w:pPr>
        <w:spacing w:before="100" w:beforeAutospacing="1" w:after="100" w:afterAutospacing="1" w:line="240" w:lineRule="auto"/>
        <w:jc w:val="both"/>
        <w:outlineLvl w:val="4"/>
        <w:rPr>
          <w:rFonts w:ascii="Times New Roman" w:eastAsia="Times New Roman" w:hAnsi="Times New Roman" w:cs="Times New Roman"/>
          <w:b/>
          <w:bCs/>
          <w:sz w:val="24"/>
          <w:szCs w:val="24"/>
        </w:rPr>
      </w:pPr>
      <w:r w:rsidRPr="004923B9">
        <w:rPr>
          <w:rFonts w:ascii="Times New Roman" w:eastAsia="Times New Roman" w:hAnsi="Times New Roman" w:cs="Times New Roman"/>
          <w:b/>
          <w:bCs/>
          <w:sz w:val="24"/>
          <w:szCs w:val="24"/>
        </w:rPr>
        <w:t>Determination of In Vitro Antioxidant Activities of the Studied Plant Extracts</w:t>
      </w:r>
    </w:p>
    <w:p w14:paraId="0A131A38" w14:textId="77777777" w:rsidR="00BC0DD8" w:rsidRPr="004923B9" w:rsidRDefault="00447868" w:rsidP="00447868">
      <w:pPr>
        <w:spacing w:before="100" w:beforeAutospacing="1" w:after="100" w:afterAutospacing="1" w:line="240" w:lineRule="auto"/>
        <w:jc w:val="both"/>
        <w:outlineLvl w:val="5"/>
        <w:rPr>
          <w:rFonts w:ascii="Times New Roman" w:hAnsi="Times New Roman" w:cs="Times New Roman"/>
          <w:sz w:val="24"/>
          <w:szCs w:val="24"/>
        </w:rPr>
      </w:pPr>
      <w:r w:rsidRPr="004923B9">
        <w:t>The Ferric Reducing Antioxidant Power assay, nitric oxide inhibition activity, 1,1-diphenyl-2-picrylhydrazyl (DPPH) radical scavenging activity and hydroxyl radical scavenging activity of the extracts were determined according to the method described by Onwuka (2005), with some modifications.</w:t>
      </w:r>
    </w:p>
    <w:p w14:paraId="19E18C85" w14:textId="77777777" w:rsidR="00BC0DD8" w:rsidRPr="004923B9" w:rsidRDefault="001C03BC" w:rsidP="00215775">
      <w:pPr>
        <w:spacing w:after="0" w:line="240" w:lineRule="auto"/>
        <w:jc w:val="both"/>
        <w:rPr>
          <w:rFonts w:ascii="Times New Roman" w:eastAsia="Times New Roman" w:hAnsi="Times New Roman" w:cs="Times New Roman"/>
          <w:sz w:val="24"/>
          <w:szCs w:val="24"/>
        </w:rPr>
      </w:pPr>
      <w:r w:rsidRPr="004923B9">
        <w:rPr>
          <w:rFonts w:ascii="Times New Roman" w:hAnsi="Times New Roman" w:cs="Times New Roman"/>
          <w:b/>
          <w:sz w:val="24"/>
          <w:szCs w:val="24"/>
        </w:rPr>
        <w:t>Statistical Analysis</w:t>
      </w:r>
    </w:p>
    <w:p w14:paraId="7CD88A4D" w14:textId="77777777" w:rsidR="00BC0DD8" w:rsidRPr="004923B9" w:rsidRDefault="001C03BC" w:rsidP="00215775">
      <w:pPr>
        <w:spacing w:line="240" w:lineRule="auto"/>
        <w:jc w:val="both"/>
        <w:rPr>
          <w:rFonts w:ascii="Times New Roman" w:hAnsi="Times New Roman" w:cs="Times New Roman"/>
          <w:sz w:val="24"/>
          <w:szCs w:val="24"/>
        </w:rPr>
      </w:pPr>
      <w:r w:rsidRPr="004923B9">
        <w:t xml:space="preserve">The experimental design was a completely </w:t>
      </w:r>
      <w:proofErr w:type="spellStart"/>
      <w:r w:rsidRPr="004923B9">
        <w:t>randomised</w:t>
      </w:r>
      <w:proofErr w:type="spellEnd"/>
      <w:r w:rsidRPr="004923B9">
        <w:t xml:space="preserve"> block design. All determinations were performed in triplicate. The generated data were </w:t>
      </w:r>
      <w:proofErr w:type="spellStart"/>
      <w:r w:rsidRPr="004923B9">
        <w:t>analysed</w:t>
      </w:r>
      <w:proofErr w:type="spellEnd"/>
      <w:r w:rsidRPr="004923B9">
        <w:t xml:space="preserve"> using IBM SPSS software version 20.0 (SPSS Inc.), MATLAB 2015 and Microsoft Excel 2013. Mean comparison was carried out using one-way analysis of variance (ANOVA), and the means were separated using Fisher's least significant difference (LSD) at P &lt; 0.05.</w:t>
      </w:r>
    </w:p>
    <w:p w14:paraId="1A3EB0D3"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 xml:space="preserve"> Results and Discussion</w:t>
      </w:r>
    </w:p>
    <w:p w14:paraId="72124413" w14:textId="77777777" w:rsidR="00BC0DD8" w:rsidRPr="004923B9" w:rsidRDefault="001C03BC" w:rsidP="00215775">
      <w:pPr>
        <w:spacing w:line="240" w:lineRule="auto"/>
        <w:jc w:val="both"/>
        <w:rPr>
          <w:rFonts w:ascii="Times New Roman" w:hAnsi="Times New Roman" w:cs="Times New Roman"/>
          <w:b/>
          <w:sz w:val="24"/>
          <w:szCs w:val="24"/>
        </w:rPr>
      </w:pPr>
      <w:r w:rsidRPr="004923B9">
        <w:rPr>
          <w:b/>
        </w:rPr>
        <w:t>Percentage Extract Yield</w:t>
      </w:r>
    </w:p>
    <w:p w14:paraId="41CA7A4C" w14:textId="77777777" w:rsidR="006D3E71" w:rsidRPr="004923B9" w:rsidRDefault="006D3E71" w:rsidP="00215775">
      <w:pPr>
        <w:spacing w:after="0" w:line="240" w:lineRule="auto"/>
        <w:jc w:val="both"/>
        <w:rPr>
          <w:rFonts w:ascii="Times New Roman" w:eastAsia="Times New Roman" w:hAnsi="Times New Roman" w:cs="Times New Roman"/>
          <w:sz w:val="24"/>
          <w:szCs w:val="24"/>
        </w:rPr>
      </w:pPr>
      <w:r w:rsidRPr="004923B9">
        <w:t>The extract yields of the samples are shown in Table 1. The results showed that sample AMX (</w:t>
      </w:r>
      <w:r w:rsidRPr="004923B9">
        <w:rPr>
          <w:i/>
        </w:rPr>
        <w:t xml:space="preserve">M. </w:t>
      </w:r>
      <w:proofErr w:type="spellStart"/>
      <w:r w:rsidRPr="004923B9">
        <w:rPr>
          <w:i/>
        </w:rPr>
        <w:t>myristica</w:t>
      </w:r>
      <w:proofErr w:type="spellEnd"/>
      <w:r w:rsidRPr="004923B9">
        <w:t>) had the maximum yield of 15.07%, followed by ATX (</w:t>
      </w:r>
      <w:r w:rsidRPr="004923B9">
        <w:rPr>
          <w:i/>
        </w:rPr>
        <w:t>T. tetraptera</w:t>
      </w:r>
      <w:r w:rsidRPr="004923B9">
        <w:t xml:space="preserve">) with a yield of 12.80%, while AGX (ginger) had the lowest yield (10.35%). Furthermore, </w:t>
      </w:r>
      <w:proofErr w:type="spellStart"/>
      <w:r w:rsidRPr="004923B9">
        <w:t>Caiqin</w:t>
      </w:r>
      <w:proofErr w:type="spellEnd"/>
      <w:r w:rsidRPr="004923B9">
        <w:t xml:space="preserve"> (2010) found that ginger had a similarly low extract yield compared with other tropical spices, such as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and </w:t>
      </w:r>
      <w:proofErr w:type="spellStart"/>
      <w:r w:rsidRPr="004923B9">
        <w:rPr>
          <w:i/>
        </w:rPr>
        <w:t>Tetrapleura</w:t>
      </w:r>
      <w:proofErr w:type="spellEnd"/>
      <w:r w:rsidRPr="004923B9">
        <w:rPr>
          <w:i/>
        </w:rPr>
        <w:t xml:space="preserve"> tetraptera</w:t>
      </w:r>
      <w:r w:rsidRPr="004923B9">
        <w:t>. Thus, the low extract yield of ginger might be attributed to intrinsic characteristics and/or the type and chemical composition of the plant materials. Alara et al. (2020) reported an extract yield of 10.30% using microwave-assisted extraction, which is consistent with this study's findings.</w:t>
      </w:r>
    </w:p>
    <w:p w14:paraId="0FC296F2"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Table 1. Percentage Extract Yields of the Samples</w:t>
      </w:r>
    </w:p>
    <w:tbl>
      <w:tblPr>
        <w:tblStyle w:val="TableGrid"/>
        <w:tblpPr w:leftFromText="180" w:rightFromText="180" w:vertAnchor="text" w:tblpY="1"/>
        <w:tblOverlap w:val="never"/>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2186"/>
      </w:tblGrid>
      <w:tr w:rsidR="00BC0DD8" w:rsidRPr="004923B9" w14:paraId="0EA43520" w14:textId="77777777">
        <w:trPr>
          <w:trHeight w:val="416"/>
        </w:trPr>
        <w:tc>
          <w:tcPr>
            <w:tcW w:w="2718" w:type="dxa"/>
            <w:tcBorders>
              <w:top w:val="single" w:sz="4" w:space="0" w:color="auto"/>
              <w:bottom w:val="single" w:sz="4" w:space="0" w:color="auto"/>
            </w:tcBorders>
          </w:tcPr>
          <w:p w14:paraId="37257384"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Samples</w:t>
            </w:r>
          </w:p>
        </w:tc>
        <w:tc>
          <w:tcPr>
            <w:tcW w:w="2186" w:type="dxa"/>
            <w:tcBorders>
              <w:top w:val="single" w:sz="4" w:space="0" w:color="auto"/>
              <w:bottom w:val="single" w:sz="4" w:space="0" w:color="auto"/>
            </w:tcBorders>
          </w:tcPr>
          <w:p w14:paraId="32CD723C"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Extract Yield (%)</w:t>
            </w:r>
          </w:p>
        </w:tc>
      </w:tr>
      <w:tr w:rsidR="00BC0DD8" w:rsidRPr="004923B9" w14:paraId="093A89ED" w14:textId="77777777">
        <w:trPr>
          <w:trHeight w:val="416"/>
        </w:trPr>
        <w:tc>
          <w:tcPr>
            <w:tcW w:w="2718" w:type="dxa"/>
            <w:tcBorders>
              <w:top w:val="single" w:sz="4" w:space="0" w:color="auto"/>
            </w:tcBorders>
          </w:tcPr>
          <w:p w14:paraId="4C96D17C"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AGX</w:t>
            </w:r>
          </w:p>
        </w:tc>
        <w:tc>
          <w:tcPr>
            <w:tcW w:w="2186" w:type="dxa"/>
            <w:tcBorders>
              <w:top w:val="single" w:sz="4" w:space="0" w:color="auto"/>
            </w:tcBorders>
          </w:tcPr>
          <w:p w14:paraId="50EF591D"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10.35</w:t>
            </w:r>
          </w:p>
        </w:tc>
      </w:tr>
      <w:tr w:rsidR="00BC0DD8" w:rsidRPr="004923B9" w14:paraId="4257875F" w14:textId="77777777">
        <w:trPr>
          <w:trHeight w:val="416"/>
        </w:trPr>
        <w:tc>
          <w:tcPr>
            <w:tcW w:w="2718" w:type="dxa"/>
          </w:tcPr>
          <w:p w14:paraId="25C9FB27"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ATX</w:t>
            </w:r>
          </w:p>
        </w:tc>
        <w:tc>
          <w:tcPr>
            <w:tcW w:w="2186" w:type="dxa"/>
          </w:tcPr>
          <w:p w14:paraId="50B4C788"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12.8</w:t>
            </w:r>
          </w:p>
        </w:tc>
      </w:tr>
      <w:tr w:rsidR="00BC0DD8" w:rsidRPr="004923B9" w14:paraId="4E29C5DF" w14:textId="77777777">
        <w:trPr>
          <w:trHeight w:val="659"/>
        </w:trPr>
        <w:tc>
          <w:tcPr>
            <w:tcW w:w="2718" w:type="dxa"/>
          </w:tcPr>
          <w:p w14:paraId="32F10E9F"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AMX</w:t>
            </w:r>
          </w:p>
        </w:tc>
        <w:tc>
          <w:tcPr>
            <w:tcW w:w="2186" w:type="dxa"/>
          </w:tcPr>
          <w:p w14:paraId="64CAABB2"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15.07</w:t>
            </w:r>
          </w:p>
        </w:tc>
      </w:tr>
    </w:tbl>
    <w:p w14:paraId="3398DFAB"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br w:type="textWrapping" w:clear="all"/>
      </w:r>
    </w:p>
    <w:p w14:paraId="0AC96CEE"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b/>
          <w:sz w:val="24"/>
          <w:szCs w:val="24"/>
        </w:rPr>
        <w:t>Keys:</w:t>
      </w:r>
      <w:r w:rsidRPr="004923B9">
        <w:rPr>
          <w:rFonts w:ascii="Times New Roman" w:hAnsi="Times New Roman" w:cs="Times New Roman"/>
          <w:sz w:val="24"/>
          <w:szCs w:val="24"/>
        </w:rPr>
        <w:tab/>
        <w:t xml:space="preserve"> </w:t>
      </w:r>
      <w:r w:rsidRPr="004923B9">
        <w:rPr>
          <w:rFonts w:ascii="Times New Roman" w:hAnsi="Times New Roman" w:cs="Times New Roman"/>
          <w:b/>
          <w:sz w:val="24"/>
          <w:szCs w:val="24"/>
        </w:rPr>
        <w:t>AGX</w:t>
      </w:r>
      <w:r w:rsidRPr="004923B9">
        <w:rPr>
          <w:rFonts w:ascii="Times New Roman" w:hAnsi="Times New Roman" w:cs="Times New Roman"/>
          <w:sz w:val="24"/>
          <w:szCs w:val="24"/>
        </w:rPr>
        <w:t xml:space="preserve"> = Ginger extracts</w:t>
      </w:r>
    </w:p>
    <w:p w14:paraId="6C6496B6"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r>
      <w:r w:rsidRPr="004923B9">
        <w:rPr>
          <w:rFonts w:ascii="Times New Roman" w:hAnsi="Times New Roman" w:cs="Times New Roman"/>
          <w:b/>
          <w:sz w:val="24"/>
          <w:szCs w:val="24"/>
        </w:rPr>
        <w:t>ATX</w:t>
      </w:r>
      <w:r w:rsidRPr="004923B9">
        <w:rPr>
          <w:rFonts w:ascii="Times New Roman" w:hAnsi="Times New Roman" w:cs="Times New Roman"/>
          <w:sz w:val="24"/>
          <w:szCs w:val="24"/>
        </w:rPr>
        <w:t xml:space="preserve"> = </w:t>
      </w:r>
      <w:r w:rsidRPr="004923B9">
        <w:rPr>
          <w:rFonts w:ascii="Times New Roman" w:hAnsi="Times New Roman" w:cs="Times New Roman"/>
          <w:i/>
          <w:sz w:val="24"/>
          <w:szCs w:val="24"/>
        </w:rPr>
        <w:t xml:space="preserve">T. </w:t>
      </w:r>
      <w:proofErr w:type="spellStart"/>
      <w:r w:rsidRPr="004923B9">
        <w:rPr>
          <w:rFonts w:ascii="Times New Roman" w:hAnsi="Times New Roman" w:cs="Times New Roman"/>
          <w:i/>
          <w:sz w:val="24"/>
          <w:szCs w:val="24"/>
        </w:rPr>
        <w:t>tetrapluera</w:t>
      </w:r>
      <w:proofErr w:type="spellEnd"/>
      <w:r w:rsidRPr="004923B9">
        <w:rPr>
          <w:rFonts w:ascii="Times New Roman" w:hAnsi="Times New Roman" w:cs="Times New Roman"/>
          <w:i/>
          <w:sz w:val="24"/>
          <w:szCs w:val="24"/>
        </w:rPr>
        <w:t xml:space="preserve"> </w:t>
      </w:r>
      <w:r w:rsidRPr="004923B9">
        <w:rPr>
          <w:rFonts w:ascii="Times New Roman" w:hAnsi="Times New Roman" w:cs="Times New Roman"/>
          <w:sz w:val="24"/>
          <w:szCs w:val="24"/>
        </w:rPr>
        <w:t>extracts</w:t>
      </w:r>
    </w:p>
    <w:p w14:paraId="69F6C36B"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r>
      <w:r w:rsidRPr="004923B9">
        <w:rPr>
          <w:rFonts w:ascii="Times New Roman" w:hAnsi="Times New Roman" w:cs="Times New Roman"/>
          <w:b/>
          <w:sz w:val="24"/>
          <w:szCs w:val="24"/>
        </w:rPr>
        <w:t>AMX</w:t>
      </w:r>
      <w:r w:rsidRPr="004923B9">
        <w:rPr>
          <w:rFonts w:ascii="Times New Roman" w:hAnsi="Times New Roman" w:cs="Times New Roman"/>
          <w:sz w:val="24"/>
          <w:szCs w:val="24"/>
        </w:rPr>
        <w:t xml:space="preserve"> =</w:t>
      </w:r>
      <w:r w:rsidRPr="004923B9">
        <w:rPr>
          <w:rFonts w:ascii="Times New Roman" w:hAnsi="Times New Roman" w:cs="Times New Roman"/>
          <w:i/>
          <w:sz w:val="24"/>
          <w:szCs w:val="24"/>
        </w:rPr>
        <w:t xml:space="preserve"> M. </w:t>
      </w:r>
      <w:proofErr w:type="spellStart"/>
      <w:r w:rsidRPr="004923B9">
        <w:rPr>
          <w:rFonts w:ascii="Times New Roman" w:hAnsi="Times New Roman" w:cs="Times New Roman"/>
          <w:i/>
          <w:sz w:val="24"/>
          <w:szCs w:val="24"/>
        </w:rPr>
        <w:t>myristica</w:t>
      </w:r>
      <w:proofErr w:type="spellEnd"/>
      <w:r w:rsidRPr="004923B9">
        <w:rPr>
          <w:rFonts w:ascii="Times New Roman" w:hAnsi="Times New Roman" w:cs="Times New Roman"/>
          <w:i/>
          <w:sz w:val="24"/>
          <w:szCs w:val="24"/>
        </w:rPr>
        <w:t xml:space="preserve"> </w:t>
      </w:r>
      <w:r w:rsidRPr="004923B9">
        <w:rPr>
          <w:rFonts w:ascii="Times New Roman" w:hAnsi="Times New Roman" w:cs="Times New Roman"/>
          <w:sz w:val="24"/>
          <w:szCs w:val="24"/>
        </w:rPr>
        <w:t>extracts</w:t>
      </w:r>
    </w:p>
    <w:p w14:paraId="3AB3D117" w14:textId="77777777" w:rsidR="00BC0DD8" w:rsidRPr="004923B9" w:rsidRDefault="00BC0DD8" w:rsidP="00215775">
      <w:pPr>
        <w:spacing w:line="240" w:lineRule="auto"/>
        <w:jc w:val="both"/>
        <w:rPr>
          <w:rFonts w:ascii="Times New Roman" w:hAnsi="Times New Roman" w:cs="Times New Roman"/>
          <w:b/>
          <w:sz w:val="24"/>
          <w:szCs w:val="24"/>
        </w:rPr>
      </w:pPr>
    </w:p>
    <w:p w14:paraId="1F692471" w14:textId="77777777" w:rsidR="00BC0DD8" w:rsidRPr="004923B9" w:rsidRDefault="00BC0DD8" w:rsidP="00215775">
      <w:pPr>
        <w:spacing w:line="240" w:lineRule="auto"/>
        <w:jc w:val="both"/>
        <w:rPr>
          <w:rFonts w:ascii="Times New Roman" w:hAnsi="Times New Roman" w:cs="Times New Roman"/>
          <w:b/>
          <w:sz w:val="24"/>
          <w:szCs w:val="24"/>
        </w:rPr>
      </w:pPr>
    </w:p>
    <w:p w14:paraId="1FA7C8A9"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Phytochemical Analysis/Qualitative Tests</w:t>
      </w:r>
    </w:p>
    <w:p w14:paraId="02C9CB6C" w14:textId="77777777" w:rsidR="00ED3727" w:rsidRPr="004923B9" w:rsidRDefault="00ED3727" w:rsidP="00215775">
      <w:pPr>
        <w:spacing w:after="0" w:line="240" w:lineRule="auto"/>
        <w:jc w:val="both"/>
        <w:rPr>
          <w:rFonts w:ascii="Times New Roman" w:eastAsia="Times New Roman" w:hAnsi="Times New Roman" w:cs="Times New Roman"/>
          <w:sz w:val="24"/>
          <w:szCs w:val="24"/>
        </w:rPr>
      </w:pPr>
      <w:r w:rsidRPr="004923B9">
        <w:t>Table 2 indicates the concentration of phytochemicals in the crude extracts from tropical spices. The important phytochemicals studied included saponins, flavonoids, terpenoids, gingerols, alkaloids, phenolics, steroids, tannins and cardiac glycosides. Saponins were found in moderate amounts in all three samples (AGX, ATX and AMX). Flavonoids were abundant in all samples, whereas terpenoids were present in moderate amounts in AGX and ATX but were more abundant in AMX. Gingerols were abundant in sample AGX but were relatively lower in samples ATX and AMX. According to Prasad and Tyagi (2015), ginger contains high concentrations of terpenes, 6-gingerols and other essential oils.</w:t>
      </w:r>
    </w:p>
    <w:p w14:paraId="128DA16A" w14:textId="77777777" w:rsidR="00BC0DD8" w:rsidRPr="004923B9" w:rsidRDefault="001C03BC" w:rsidP="00215775">
      <w:pPr>
        <w:spacing w:line="240" w:lineRule="auto"/>
        <w:jc w:val="both"/>
        <w:rPr>
          <w:rFonts w:ascii="Times New Roman" w:hAnsi="Times New Roman" w:cs="Times New Roman"/>
          <w:sz w:val="24"/>
          <w:szCs w:val="24"/>
        </w:rPr>
      </w:pPr>
      <w:r w:rsidRPr="004923B9">
        <w:t>Recent research has shown that ginger possesses biological properties such as anti-inflammatory, anticancer and antioxidant activities (Nile &amp; Park, 2015). Other research has shown that ginger contains bioactive components that are used to manage various illnesses, including respiratory problems, diabetes mellitus, obesity, cardiovascular diseases and chemotherapy-induced nausea (Mao et al., 2019).</w:t>
      </w:r>
    </w:p>
    <w:p w14:paraId="5E76154F" w14:textId="6B385400" w:rsidR="00ED3727" w:rsidRPr="004923B9" w:rsidRDefault="00ED3727" w:rsidP="00215775">
      <w:pPr>
        <w:spacing w:after="0" w:line="240" w:lineRule="auto"/>
        <w:jc w:val="both"/>
        <w:rPr>
          <w:rFonts w:ascii="Times New Roman" w:eastAsia="Times New Roman" w:hAnsi="Times New Roman" w:cs="Times New Roman"/>
          <w:sz w:val="24"/>
          <w:szCs w:val="24"/>
        </w:rPr>
      </w:pPr>
      <w:r w:rsidRPr="004923B9">
        <w:t>Alkaloids were found to be moderately present in samples AGX and AMX but highly abundant in sample ATX (</w:t>
      </w:r>
      <w:r w:rsidRPr="004923B9">
        <w:rPr>
          <w:i/>
        </w:rPr>
        <w:t>T. tetraptera</w:t>
      </w:r>
      <w:r w:rsidRPr="004923B9">
        <w:t xml:space="preserve">). Phenolics were found to be abundant in all samples, while steroids were present in moderate amounts. Tannins and cardiac glycosides were found in moderate amounts in all the plant materials. A study conducted by </w:t>
      </w:r>
      <w:r w:rsidR="00840F43" w:rsidRPr="00840F43">
        <w:t>Deo</w:t>
      </w:r>
      <w:r w:rsidRPr="004923B9">
        <w:t xml:space="preserve"> (2015) found that tropical spices such as ginger, turmeric, </w:t>
      </w:r>
      <w:proofErr w:type="spellStart"/>
      <w:r w:rsidRPr="004923B9">
        <w:rPr>
          <w:i/>
        </w:rPr>
        <w:t>Monodora</w:t>
      </w:r>
      <w:proofErr w:type="spellEnd"/>
      <w:r w:rsidRPr="004923B9">
        <w:rPr>
          <w:i/>
        </w:rPr>
        <w:t xml:space="preserve"> </w:t>
      </w:r>
      <w:proofErr w:type="spellStart"/>
      <w:r w:rsidRPr="004923B9">
        <w:rPr>
          <w:i/>
        </w:rPr>
        <w:t>myristica</w:t>
      </w:r>
      <w:proofErr w:type="spellEnd"/>
      <w:r w:rsidRPr="004923B9">
        <w:t xml:space="preserve">, </w:t>
      </w:r>
      <w:proofErr w:type="spellStart"/>
      <w:r w:rsidRPr="004923B9">
        <w:rPr>
          <w:i/>
        </w:rPr>
        <w:t>Tetrapleura</w:t>
      </w:r>
      <w:proofErr w:type="spellEnd"/>
      <w:r w:rsidRPr="004923B9">
        <w:rPr>
          <w:i/>
        </w:rPr>
        <w:t xml:space="preserve"> tetraptera</w:t>
      </w:r>
      <w:r w:rsidRPr="004923B9">
        <w:t>, curry and garlic contain several phytochemicals and antioxidants, which is consistent with the findings of this study. As a result, the predominance of phenolic compounds in the crude extract may be attributed to the presence of secondary and tertiary essences in all samples.</w:t>
      </w:r>
    </w:p>
    <w:p w14:paraId="731C5236" w14:textId="77777777" w:rsidR="00BC0DD8" w:rsidRPr="004923B9" w:rsidRDefault="001C03BC" w:rsidP="00215775">
      <w:pPr>
        <w:pStyle w:val="p"/>
        <w:shd w:val="clear" w:color="auto" w:fill="FFFFFF"/>
        <w:spacing w:before="166" w:beforeAutospacing="0" w:after="166" w:afterAutospacing="0"/>
        <w:jc w:val="both"/>
      </w:pPr>
      <w:r w:rsidRPr="004923B9">
        <w:t xml:space="preserve">These phytochemical contents in extracts of the </w:t>
      </w:r>
      <w:r w:rsidRPr="004923B9">
        <w:rPr>
          <w:i/>
        </w:rPr>
        <w:t>T. tetraptera</w:t>
      </w:r>
      <w:r w:rsidRPr="004923B9">
        <w:t xml:space="preserve"> plant might be responsible for their traditional roles or uses as anti-inflammatory agents and inhibitors of certain human pathogens. Asthma, hypertension, schistosomiasis, leprosy, inflammation, rheumatic pain and seizures have been treated using </w:t>
      </w:r>
      <w:r w:rsidRPr="004923B9">
        <w:rPr>
          <w:i/>
        </w:rPr>
        <w:t>T. tetraptera</w:t>
      </w:r>
      <w:r w:rsidRPr="004923B9">
        <w:t xml:space="preserve"> pods. It is also suggested for the rapid treatment of conditions such as malaria. Their bioactive and phytochemical components have therapeutic significance because they have certain physiological effects in humans (</w:t>
      </w:r>
      <w:proofErr w:type="spellStart"/>
      <w:r w:rsidRPr="004923B9">
        <w:t>Akinmoladun</w:t>
      </w:r>
      <w:proofErr w:type="spellEnd"/>
      <w:r w:rsidRPr="004923B9">
        <w:t xml:space="preserve"> et al., 2007).</w:t>
      </w:r>
    </w:p>
    <w:p w14:paraId="208ACBA5"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 xml:space="preserve">Table 2 Relative Phytochemical abundance in the crude extracts of plant materials. </w:t>
      </w:r>
    </w:p>
    <w:p w14:paraId="07B32D52" w14:textId="77777777" w:rsidR="00BC0DD8" w:rsidRPr="004923B9" w:rsidRDefault="00BC0DD8" w:rsidP="00215775">
      <w:pPr>
        <w:spacing w:after="0" w:line="240" w:lineRule="auto"/>
        <w:jc w:val="both"/>
        <w:rPr>
          <w:rFonts w:ascii="Times New Roman" w:hAnsi="Times New Roman" w:cs="Times New Roman"/>
          <w:sz w:val="24"/>
          <w:szCs w:val="24"/>
        </w:rPr>
      </w:pP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140"/>
        <w:gridCol w:w="1085"/>
        <w:gridCol w:w="1170"/>
        <w:gridCol w:w="1350"/>
      </w:tblGrid>
      <w:tr w:rsidR="00BC0DD8" w:rsidRPr="004923B9" w14:paraId="41A634D5" w14:textId="77777777">
        <w:trPr>
          <w:trHeight w:val="321"/>
        </w:trPr>
        <w:tc>
          <w:tcPr>
            <w:tcW w:w="3140" w:type="dxa"/>
          </w:tcPr>
          <w:p w14:paraId="7FDE54FD"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Phytochemicals</w:t>
            </w:r>
          </w:p>
        </w:tc>
        <w:tc>
          <w:tcPr>
            <w:tcW w:w="1085" w:type="dxa"/>
          </w:tcPr>
          <w:p w14:paraId="0F6F6294"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AGX</w:t>
            </w:r>
          </w:p>
        </w:tc>
        <w:tc>
          <w:tcPr>
            <w:tcW w:w="1170" w:type="dxa"/>
          </w:tcPr>
          <w:p w14:paraId="3F257433"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ATX</w:t>
            </w:r>
          </w:p>
        </w:tc>
        <w:tc>
          <w:tcPr>
            <w:tcW w:w="1350" w:type="dxa"/>
          </w:tcPr>
          <w:p w14:paraId="1AE7975B"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AMX</w:t>
            </w:r>
          </w:p>
        </w:tc>
      </w:tr>
      <w:tr w:rsidR="00BC0DD8" w:rsidRPr="004923B9" w14:paraId="1649ECB9" w14:textId="77777777">
        <w:trPr>
          <w:trHeight w:val="378"/>
        </w:trPr>
        <w:tc>
          <w:tcPr>
            <w:tcW w:w="3140" w:type="dxa"/>
          </w:tcPr>
          <w:p w14:paraId="2045A0C1"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Saponins</w:t>
            </w:r>
          </w:p>
        </w:tc>
        <w:tc>
          <w:tcPr>
            <w:tcW w:w="1085" w:type="dxa"/>
          </w:tcPr>
          <w:p w14:paraId="2A34C9A2"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46280433"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0835E2C9"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r w:rsidR="00BC0DD8" w:rsidRPr="004923B9" w14:paraId="1FFDF373" w14:textId="77777777">
        <w:trPr>
          <w:trHeight w:val="404"/>
        </w:trPr>
        <w:tc>
          <w:tcPr>
            <w:tcW w:w="3140" w:type="dxa"/>
          </w:tcPr>
          <w:p w14:paraId="2D0B356C"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Flavonoids</w:t>
            </w:r>
          </w:p>
        </w:tc>
        <w:tc>
          <w:tcPr>
            <w:tcW w:w="1085" w:type="dxa"/>
          </w:tcPr>
          <w:p w14:paraId="220D3D43"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70F402B0"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5C18017D"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r w:rsidR="00BC0DD8" w:rsidRPr="004923B9" w14:paraId="5586D2A6" w14:textId="77777777">
        <w:trPr>
          <w:trHeight w:val="276"/>
        </w:trPr>
        <w:tc>
          <w:tcPr>
            <w:tcW w:w="3140" w:type="dxa"/>
          </w:tcPr>
          <w:p w14:paraId="6C7150DA"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Terpenoids</w:t>
            </w:r>
          </w:p>
        </w:tc>
        <w:tc>
          <w:tcPr>
            <w:tcW w:w="1085" w:type="dxa"/>
          </w:tcPr>
          <w:p w14:paraId="52379F60"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3AE9FA2C"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3D2F2AB9"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r w:rsidR="00BC0DD8" w:rsidRPr="004923B9" w14:paraId="5D03A41B" w14:textId="77777777">
        <w:trPr>
          <w:trHeight w:val="338"/>
        </w:trPr>
        <w:tc>
          <w:tcPr>
            <w:tcW w:w="3140" w:type="dxa"/>
          </w:tcPr>
          <w:p w14:paraId="304C032C"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Gingerols</w:t>
            </w:r>
          </w:p>
        </w:tc>
        <w:tc>
          <w:tcPr>
            <w:tcW w:w="1085" w:type="dxa"/>
          </w:tcPr>
          <w:p w14:paraId="6F2272CB"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179ABE59"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268525B0"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r w:rsidR="00BC0DD8" w:rsidRPr="004923B9" w14:paraId="19DFF0B7" w14:textId="77777777">
        <w:trPr>
          <w:trHeight w:val="247"/>
        </w:trPr>
        <w:tc>
          <w:tcPr>
            <w:tcW w:w="3140" w:type="dxa"/>
          </w:tcPr>
          <w:p w14:paraId="6FBB9179"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Alkaloids</w:t>
            </w:r>
          </w:p>
        </w:tc>
        <w:tc>
          <w:tcPr>
            <w:tcW w:w="1085" w:type="dxa"/>
          </w:tcPr>
          <w:p w14:paraId="09C8BDDB"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75282770"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207DEC53"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r w:rsidR="00BC0DD8" w:rsidRPr="004923B9" w14:paraId="1559CFBA" w14:textId="77777777">
        <w:trPr>
          <w:trHeight w:val="347"/>
        </w:trPr>
        <w:tc>
          <w:tcPr>
            <w:tcW w:w="3140" w:type="dxa"/>
          </w:tcPr>
          <w:p w14:paraId="3F2257AD"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Phenolics</w:t>
            </w:r>
          </w:p>
        </w:tc>
        <w:tc>
          <w:tcPr>
            <w:tcW w:w="1085" w:type="dxa"/>
          </w:tcPr>
          <w:p w14:paraId="238A4E5B"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0BECCFFB"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16F37846"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r w:rsidR="00BC0DD8" w:rsidRPr="004923B9" w14:paraId="430F3344" w14:textId="77777777">
        <w:trPr>
          <w:trHeight w:val="347"/>
        </w:trPr>
        <w:tc>
          <w:tcPr>
            <w:tcW w:w="3140" w:type="dxa"/>
          </w:tcPr>
          <w:p w14:paraId="3182D230"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Steroids</w:t>
            </w:r>
          </w:p>
        </w:tc>
        <w:tc>
          <w:tcPr>
            <w:tcW w:w="1085" w:type="dxa"/>
          </w:tcPr>
          <w:p w14:paraId="02C63716"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093BEA96"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5AA33AAF"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r w:rsidR="00BC0DD8" w:rsidRPr="004923B9" w14:paraId="7044B0B3" w14:textId="77777777">
        <w:trPr>
          <w:trHeight w:val="242"/>
        </w:trPr>
        <w:tc>
          <w:tcPr>
            <w:tcW w:w="3140" w:type="dxa"/>
          </w:tcPr>
          <w:p w14:paraId="392E913E"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lastRenderedPageBreak/>
              <w:t>Tannins</w:t>
            </w:r>
          </w:p>
        </w:tc>
        <w:tc>
          <w:tcPr>
            <w:tcW w:w="1085" w:type="dxa"/>
          </w:tcPr>
          <w:p w14:paraId="4A86D3AF"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3173CA73"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422A6A81"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r w:rsidR="00BC0DD8" w:rsidRPr="004923B9" w14:paraId="13A85C0E" w14:textId="77777777">
        <w:trPr>
          <w:trHeight w:val="242"/>
        </w:trPr>
        <w:tc>
          <w:tcPr>
            <w:tcW w:w="3140" w:type="dxa"/>
          </w:tcPr>
          <w:p w14:paraId="163BBB11"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Cardiac glycosides</w:t>
            </w:r>
          </w:p>
        </w:tc>
        <w:tc>
          <w:tcPr>
            <w:tcW w:w="1085" w:type="dxa"/>
          </w:tcPr>
          <w:p w14:paraId="0C842E5B"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170" w:type="dxa"/>
          </w:tcPr>
          <w:p w14:paraId="45F30EDB"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c>
          <w:tcPr>
            <w:tcW w:w="1350" w:type="dxa"/>
          </w:tcPr>
          <w:p w14:paraId="188DD16F"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tc>
      </w:tr>
    </w:tbl>
    <w:p w14:paraId="3CE03890" w14:textId="77777777" w:rsidR="00BC0DD8" w:rsidRPr="004923B9" w:rsidRDefault="00BC0DD8" w:rsidP="00215775">
      <w:pPr>
        <w:spacing w:after="0" w:line="240" w:lineRule="auto"/>
        <w:jc w:val="both"/>
        <w:rPr>
          <w:rFonts w:ascii="Times New Roman" w:hAnsi="Times New Roman" w:cs="Times New Roman"/>
          <w:b/>
          <w:sz w:val="24"/>
          <w:szCs w:val="24"/>
        </w:rPr>
      </w:pPr>
    </w:p>
    <w:p w14:paraId="00E6BDFD"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b/>
          <w:sz w:val="24"/>
          <w:szCs w:val="24"/>
        </w:rPr>
        <w:t>Keys:</w:t>
      </w:r>
      <w:r w:rsidRPr="004923B9">
        <w:rPr>
          <w:rFonts w:ascii="Times New Roman" w:hAnsi="Times New Roman" w:cs="Times New Roman"/>
          <w:sz w:val="24"/>
          <w:szCs w:val="24"/>
        </w:rPr>
        <w:tab/>
        <w:t xml:space="preserve"> </w:t>
      </w:r>
      <w:r w:rsidRPr="004923B9">
        <w:rPr>
          <w:rFonts w:ascii="Times New Roman" w:hAnsi="Times New Roman" w:cs="Times New Roman"/>
          <w:b/>
          <w:sz w:val="24"/>
          <w:szCs w:val="24"/>
        </w:rPr>
        <w:t>AGX</w:t>
      </w:r>
      <w:r w:rsidRPr="004923B9">
        <w:rPr>
          <w:rFonts w:ascii="Times New Roman" w:hAnsi="Times New Roman" w:cs="Times New Roman"/>
          <w:sz w:val="24"/>
          <w:szCs w:val="24"/>
        </w:rPr>
        <w:t xml:space="preserve"> = Ginger extracts</w:t>
      </w:r>
    </w:p>
    <w:p w14:paraId="2F1345F0" w14:textId="77777777" w:rsidR="00BC0DD8" w:rsidRPr="004923B9" w:rsidRDefault="001C03BC" w:rsidP="00215775">
      <w:pPr>
        <w:tabs>
          <w:tab w:val="left" w:pos="720"/>
          <w:tab w:val="left" w:pos="1440"/>
          <w:tab w:val="left" w:pos="2160"/>
          <w:tab w:val="left" w:pos="2880"/>
          <w:tab w:val="left" w:pos="3600"/>
          <w:tab w:val="left" w:pos="6583"/>
        </w:tabs>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r>
      <w:r w:rsidRPr="004923B9">
        <w:rPr>
          <w:rFonts w:ascii="Times New Roman" w:hAnsi="Times New Roman" w:cs="Times New Roman"/>
          <w:b/>
          <w:sz w:val="24"/>
          <w:szCs w:val="24"/>
        </w:rPr>
        <w:t>ATX</w:t>
      </w:r>
      <w:r w:rsidRPr="004923B9">
        <w:rPr>
          <w:rFonts w:ascii="Times New Roman" w:hAnsi="Times New Roman" w:cs="Times New Roman"/>
          <w:sz w:val="24"/>
          <w:szCs w:val="24"/>
        </w:rPr>
        <w:t xml:space="preserve"> = T. </w:t>
      </w:r>
      <w:proofErr w:type="spellStart"/>
      <w:r w:rsidRPr="004923B9">
        <w:rPr>
          <w:rFonts w:ascii="Times New Roman" w:hAnsi="Times New Roman" w:cs="Times New Roman"/>
          <w:sz w:val="24"/>
          <w:szCs w:val="24"/>
        </w:rPr>
        <w:t>tetrapluera</w:t>
      </w:r>
      <w:proofErr w:type="spellEnd"/>
      <w:r w:rsidRPr="004923B9">
        <w:rPr>
          <w:rFonts w:ascii="Times New Roman" w:hAnsi="Times New Roman" w:cs="Times New Roman"/>
          <w:sz w:val="24"/>
          <w:szCs w:val="24"/>
        </w:rPr>
        <w:t xml:space="preserve"> extracts</w:t>
      </w:r>
      <w:r w:rsidRPr="004923B9">
        <w:rPr>
          <w:rFonts w:ascii="Times New Roman" w:hAnsi="Times New Roman" w:cs="Times New Roman"/>
          <w:sz w:val="24"/>
          <w:szCs w:val="24"/>
        </w:rPr>
        <w:tab/>
      </w:r>
    </w:p>
    <w:p w14:paraId="116ED66B"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r>
      <w:r w:rsidRPr="004923B9">
        <w:rPr>
          <w:rFonts w:ascii="Times New Roman" w:hAnsi="Times New Roman" w:cs="Times New Roman"/>
          <w:b/>
          <w:sz w:val="24"/>
          <w:szCs w:val="24"/>
        </w:rPr>
        <w:t>AMX</w:t>
      </w:r>
      <w:r w:rsidRPr="004923B9">
        <w:rPr>
          <w:rFonts w:ascii="Times New Roman" w:hAnsi="Times New Roman" w:cs="Times New Roman"/>
          <w:sz w:val="24"/>
          <w:szCs w:val="24"/>
        </w:rPr>
        <w:t xml:space="preserve"> = M. </w:t>
      </w:r>
      <w:proofErr w:type="spellStart"/>
      <w:r w:rsidRPr="004923B9">
        <w:rPr>
          <w:rFonts w:ascii="Times New Roman" w:hAnsi="Times New Roman" w:cs="Times New Roman"/>
          <w:sz w:val="24"/>
          <w:szCs w:val="24"/>
        </w:rPr>
        <w:t>myristica</w:t>
      </w:r>
      <w:proofErr w:type="spellEnd"/>
      <w:r w:rsidRPr="004923B9">
        <w:rPr>
          <w:rFonts w:ascii="Times New Roman" w:hAnsi="Times New Roman" w:cs="Times New Roman"/>
          <w:sz w:val="24"/>
          <w:szCs w:val="24"/>
        </w:rPr>
        <w:t xml:space="preserve"> extracts</w:t>
      </w:r>
    </w:p>
    <w:p w14:paraId="642477C3"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t>+</w:t>
      </w:r>
      <w:r w:rsidRPr="004923B9">
        <w:rPr>
          <w:rFonts w:ascii="Times New Roman" w:hAnsi="Times New Roman" w:cs="Times New Roman"/>
          <w:sz w:val="24"/>
          <w:szCs w:val="24"/>
        </w:rPr>
        <w:tab/>
        <w:t>= Moderately Present (High)</w:t>
      </w:r>
    </w:p>
    <w:p w14:paraId="66134E77" w14:textId="77777777" w:rsidR="00BC0DD8" w:rsidRPr="004923B9" w:rsidRDefault="001C03BC" w:rsidP="00215775">
      <w:pPr>
        <w:spacing w:after="0" w:line="240" w:lineRule="auto"/>
        <w:ind w:firstLine="720"/>
        <w:jc w:val="both"/>
        <w:rPr>
          <w:rFonts w:ascii="Times New Roman" w:hAnsi="Times New Roman" w:cs="Times New Roman"/>
          <w:sz w:val="24"/>
          <w:szCs w:val="24"/>
        </w:rPr>
      </w:pPr>
      <w:r w:rsidRPr="004923B9">
        <w:rPr>
          <w:rFonts w:ascii="Times New Roman" w:hAnsi="Times New Roman" w:cs="Times New Roman"/>
          <w:sz w:val="24"/>
          <w:szCs w:val="24"/>
        </w:rPr>
        <w:t>++</w:t>
      </w:r>
      <w:r w:rsidRPr="004923B9">
        <w:rPr>
          <w:rFonts w:ascii="Times New Roman" w:hAnsi="Times New Roman" w:cs="Times New Roman"/>
          <w:sz w:val="24"/>
          <w:szCs w:val="24"/>
        </w:rPr>
        <w:tab/>
        <w:t>= Very much present (Relatively higher)</w:t>
      </w:r>
    </w:p>
    <w:p w14:paraId="0DB60C7E" w14:textId="77777777" w:rsidR="00BC0DD8" w:rsidRPr="004923B9" w:rsidRDefault="001C03BC" w:rsidP="00215775">
      <w:pPr>
        <w:spacing w:after="0" w:line="240" w:lineRule="auto"/>
        <w:ind w:firstLine="720"/>
        <w:jc w:val="both"/>
        <w:rPr>
          <w:rFonts w:ascii="Times New Roman" w:hAnsi="Times New Roman" w:cs="Times New Roman"/>
          <w:sz w:val="24"/>
          <w:szCs w:val="24"/>
        </w:rPr>
      </w:pPr>
      <w:r w:rsidRPr="004923B9">
        <w:rPr>
          <w:rFonts w:ascii="Times New Roman" w:hAnsi="Times New Roman" w:cs="Times New Roman"/>
          <w:sz w:val="24"/>
          <w:szCs w:val="24"/>
        </w:rPr>
        <w:t>+++</w:t>
      </w:r>
      <w:r w:rsidRPr="004923B9">
        <w:rPr>
          <w:rFonts w:ascii="Times New Roman" w:hAnsi="Times New Roman" w:cs="Times New Roman"/>
          <w:sz w:val="24"/>
          <w:szCs w:val="24"/>
        </w:rPr>
        <w:tab/>
        <w:t>= Heavily Present.</w:t>
      </w:r>
    </w:p>
    <w:p w14:paraId="1C09E869" w14:textId="77777777" w:rsidR="00BC0DD8" w:rsidRPr="004923B9" w:rsidRDefault="00BC0DD8" w:rsidP="00215775">
      <w:pPr>
        <w:spacing w:after="0" w:line="240" w:lineRule="auto"/>
        <w:ind w:firstLine="720"/>
        <w:jc w:val="both"/>
        <w:rPr>
          <w:rFonts w:ascii="Times New Roman" w:hAnsi="Times New Roman" w:cs="Times New Roman"/>
          <w:sz w:val="24"/>
          <w:szCs w:val="24"/>
        </w:rPr>
      </w:pPr>
    </w:p>
    <w:p w14:paraId="4325C52F"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b/>
          <w:sz w:val="24"/>
          <w:szCs w:val="24"/>
        </w:rPr>
        <w:t>Quantitative Phytochemicals in the Crude Plant Extract</w:t>
      </w:r>
    </w:p>
    <w:p w14:paraId="1B0A6907" w14:textId="77777777" w:rsidR="00BC0DD8" w:rsidRPr="004923B9" w:rsidRDefault="00215775" w:rsidP="00215775">
      <w:pPr>
        <w:spacing w:after="0" w:line="240" w:lineRule="auto"/>
        <w:jc w:val="both"/>
        <w:rPr>
          <w:rFonts w:ascii="Times New Roman" w:eastAsia="Times New Roman" w:hAnsi="Times New Roman" w:cs="Times New Roman"/>
          <w:sz w:val="24"/>
          <w:szCs w:val="24"/>
        </w:rPr>
      </w:pPr>
      <w:r w:rsidRPr="004923B9">
        <w:t xml:space="preserve">The mean scores for quantitative screening of phytochemicals and </w:t>
      </w:r>
      <w:proofErr w:type="spellStart"/>
      <w:r w:rsidRPr="004923B9">
        <w:t>bioactives</w:t>
      </w:r>
      <w:proofErr w:type="spellEnd"/>
      <w:r w:rsidRPr="004923B9">
        <w:t xml:space="preserve"> in the crude extracts are shown in Table 3. The saponin contents of samples AGX, ATX and AMX were 2.71, 2.53 and 2.48 mg/g, respectively. The saponin content of AGX differed significantly (P &lt; 0.05) from the others, whereas ATX and AMX showed no significant difference (P &gt; 0.05). The flavonoid content varied from 10.68 to 14.33 mg/g, with AMX recording the highest value (14.33 mg/g), followed by AGX and ATX, which recorded 11.84 and 10.68 mg/g, respectively. Sample AMX had the highest terpenoid content (7.30 mg/g), followed by AGX (5.87 mg/g), while ATX had the lowest value (5.36 mg/g). The tannin values indicated that AMX recorded 5.46 mg/g, followed by ATX and AGX, with 5.29 and 4.84 mg/g, respectively. AMX recorded the highest total phenolic content (26.06 mg/g), followed by AGX (23.26 mg/g), while ATX had the lowest value (20.93 mg/g). For steroids, sample ATX recorded the highest value (4.31 mg/g), followed by AGX (3.36 mg/g), whereas AMX had the lowest value (2.02 mg/g). The phytochemical values obtained in this work are comparable to values reported for related spice extracts by </w:t>
      </w:r>
      <w:proofErr w:type="spellStart"/>
      <w:r w:rsidRPr="004923B9">
        <w:t>Ofoedum</w:t>
      </w:r>
      <w:proofErr w:type="spellEnd"/>
      <w:r w:rsidRPr="004923B9">
        <w:t xml:space="preserve"> et al. (2025).</w:t>
      </w:r>
    </w:p>
    <w:p w14:paraId="796BF9EC" w14:textId="77777777" w:rsidR="00BC0DD8" w:rsidRPr="004923B9" w:rsidRDefault="00BC0DD8" w:rsidP="00215775">
      <w:pPr>
        <w:spacing w:line="240" w:lineRule="auto"/>
        <w:jc w:val="both"/>
        <w:rPr>
          <w:rFonts w:ascii="Times New Roman" w:hAnsi="Times New Roman" w:cs="Times New Roman"/>
          <w:b/>
          <w:sz w:val="24"/>
          <w:szCs w:val="24"/>
        </w:rPr>
      </w:pPr>
    </w:p>
    <w:p w14:paraId="3E5FBE68" w14:textId="77777777" w:rsidR="00BC0DD8" w:rsidRPr="004923B9" w:rsidRDefault="00BC0DD8" w:rsidP="00215775">
      <w:pPr>
        <w:spacing w:line="240" w:lineRule="auto"/>
        <w:jc w:val="both"/>
        <w:rPr>
          <w:rFonts w:ascii="Times New Roman" w:hAnsi="Times New Roman" w:cs="Times New Roman"/>
          <w:b/>
          <w:sz w:val="24"/>
          <w:szCs w:val="24"/>
        </w:rPr>
      </w:pPr>
    </w:p>
    <w:p w14:paraId="7A18765E"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Table 3: The Mean scores of the Quantitative Phytochemicals in the Crude Extract (mg/g)</w:t>
      </w:r>
    </w:p>
    <w:tbl>
      <w:tblPr>
        <w:tblStyle w:val="TableGrid"/>
        <w:tblW w:w="5000"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68"/>
        <w:gridCol w:w="1020"/>
        <w:gridCol w:w="1111"/>
        <w:gridCol w:w="1031"/>
        <w:gridCol w:w="1074"/>
        <w:gridCol w:w="1105"/>
        <w:gridCol w:w="1111"/>
        <w:gridCol w:w="1020"/>
        <w:gridCol w:w="1020"/>
      </w:tblGrid>
      <w:tr w:rsidR="00BC0DD8" w:rsidRPr="004923B9" w14:paraId="7C402395" w14:textId="77777777" w:rsidTr="00CF3400">
        <w:trPr>
          <w:trHeight w:val="704"/>
        </w:trPr>
        <w:tc>
          <w:tcPr>
            <w:tcW w:w="436" w:type="pct"/>
            <w:tcBorders>
              <w:top w:val="single" w:sz="4" w:space="0" w:color="auto"/>
              <w:bottom w:val="single" w:sz="4" w:space="0" w:color="auto"/>
            </w:tcBorders>
          </w:tcPr>
          <w:p w14:paraId="1781E525"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Samples</w:t>
            </w:r>
          </w:p>
        </w:tc>
        <w:tc>
          <w:tcPr>
            <w:tcW w:w="555" w:type="pct"/>
            <w:tcBorders>
              <w:top w:val="single" w:sz="4" w:space="0" w:color="auto"/>
              <w:bottom w:val="single" w:sz="4" w:space="0" w:color="auto"/>
            </w:tcBorders>
          </w:tcPr>
          <w:p w14:paraId="6D406C9E"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Saponin</w:t>
            </w:r>
          </w:p>
        </w:tc>
        <w:tc>
          <w:tcPr>
            <w:tcW w:w="551" w:type="pct"/>
            <w:tcBorders>
              <w:top w:val="single" w:sz="4" w:space="0" w:color="auto"/>
              <w:bottom w:val="single" w:sz="4" w:space="0" w:color="auto"/>
            </w:tcBorders>
          </w:tcPr>
          <w:p w14:paraId="5B93E1BB"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Flavonoid</w:t>
            </w:r>
          </w:p>
        </w:tc>
        <w:tc>
          <w:tcPr>
            <w:tcW w:w="599" w:type="pct"/>
            <w:tcBorders>
              <w:top w:val="single" w:sz="4" w:space="0" w:color="auto"/>
              <w:bottom w:val="single" w:sz="4" w:space="0" w:color="auto"/>
            </w:tcBorders>
          </w:tcPr>
          <w:p w14:paraId="5347B858"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Terpenoid</w:t>
            </w:r>
          </w:p>
        </w:tc>
        <w:tc>
          <w:tcPr>
            <w:tcW w:w="555" w:type="pct"/>
            <w:tcBorders>
              <w:top w:val="single" w:sz="4" w:space="0" w:color="auto"/>
              <w:bottom w:val="single" w:sz="4" w:space="0" w:color="auto"/>
            </w:tcBorders>
          </w:tcPr>
          <w:p w14:paraId="0177FA04"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Tannins</w:t>
            </w:r>
          </w:p>
        </w:tc>
        <w:tc>
          <w:tcPr>
            <w:tcW w:w="595" w:type="pct"/>
            <w:tcBorders>
              <w:top w:val="single" w:sz="4" w:space="0" w:color="auto"/>
              <w:bottom w:val="single" w:sz="4" w:space="0" w:color="auto"/>
            </w:tcBorders>
          </w:tcPr>
          <w:p w14:paraId="72BF0A19"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Alkaloids</w:t>
            </w:r>
          </w:p>
        </w:tc>
        <w:tc>
          <w:tcPr>
            <w:tcW w:w="595" w:type="pct"/>
            <w:tcBorders>
              <w:top w:val="single" w:sz="4" w:space="0" w:color="auto"/>
              <w:bottom w:val="single" w:sz="4" w:space="0" w:color="auto"/>
            </w:tcBorders>
          </w:tcPr>
          <w:p w14:paraId="25F34617"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Phenolics</w:t>
            </w:r>
          </w:p>
        </w:tc>
        <w:tc>
          <w:tcPr>
            <w:tcW w:w="555" w:type="pct"/>
            <w:tcBorders>
              <w:top w:val="single" w:sz="4" w:space="0" w:color="auto"/>
              <w:bottom w:val="single" w:sz="4" w:space="0" w:color="auto"/>
            </w:tcBorders>
          </w:tcPr>
          <w:p w14:paraId="00D499AE"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Steroids</w:t>
            </w:r>
          </w:p>
        </w:tc>
        <w:tc>
          <w:tcPr>
            <w:tcW w:w="559" w:type="pct"/>
            <w:tcBorders>
              <w:top w:val="single" w:sz="4" w:space="0" w:color="auto"/>
              <w:bottom w:val="single" w:sz="4" w:space="0" w:color="auto"/>
            </w:tcBorders>
          </w:tcPr>
          <w:p w14:paraId="771859F6"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Cardiac Glycoside</w:t>
            </w:r>
          </w:p>
        </w:tc>
      </w:tr>
      <w:tr w:rsidR="00BC0DD8" w:rsidRPr="004923B9" w14:paraId="668AC7EB" w14:textId="77777777" w:rsidTr="00CF3400">
        <w:trPr>
          <w:trHeight w:val="781"/>
        </w:trPr>
        <w:tc>
          <w:tcPr>
            <w:tcW w:w="436" w:type="pct"/>
            <w:tcBorders>
              <w:top w:val="single" w:sz="4" w:space="0" w:color="auto"/>
            </w:tcBorders>
          </w:tcPr>
          <w:p w14:paraId="43A20231"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AGX</w:t>
            </w:r>
          </w:p>
        </w:tc>
        <w:tc>
          <w:tcPr>
            <w:tcW w:w="555" w:type="pct"/>
            <w:tcBorders>
              <w:top w:val="single" w:sz="4" w:space="0" w:color="auto"/>
            </w:tcBorders>
          </w:tcPr>
          <w:p w14:paraId="393ADD67"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2.71</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±0.06</w:t>
            </w:r>
          </w:p>
        </w:tc>
        <w:tc>
          <w:tcPr>
            <w:tcW w:w="551" w:type="pct"/>
            <w:tcBorders>
              <w:top w:val="single" w:sz="4" w:space="0" w:color="auto"/>
            </w:tcBorders>
          </w:tcPr>
          <w:p w14:paraId="224C9CD3"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11.84</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±0.12</w:t>
            </w:r>
          </w:p>
        </w:tc>
        <w:tc>
          <w:tcPr>
            <w:tcW w:w="599" w:type="pct"/>
            <w:tcBorders>
              <w:top w:val="single" w:sz="4" w:space="0" w:color="auto"/>
            </w:tcBorders>
          </w:tcPr>
          <w:p w14:paraId="70290D69"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5.87</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±0.05</w:t>
            </w:r>
          </w:p>
        </w:tc>
        <w:tc>
          <w:tcPr>
            <w:tcW w:w="555" w:type="pct"/>
            <w:tcBorders>
              <w:top w:val="single" w:sz="4" w:space="0" w:color="auto"/>
            </w:tcBorders>
          </w:tcPr>
          <w:p w14:paraId="71F46F46"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4.84</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±0.14</w:t>
            </w:r>
          </w:p>
        </w:tc>
        <w:tc>
          <w:tcPr>
            <w:tcW w:w="595" w:type="pct"/>
            <w:tcBorders>
              <w:top w:val="single" w:sz="4" w:space="0" w:color="auto"/>
            </w:tcBorders>
          </w:tcPr>
          <w:p w14:paraId="495DD3A1"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7.47</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±0.09</w:t>
            </w:r>
          </w:p>
        </w:tc>
        <w:tc>
          <w:tcPr>
            <w:tcW w:w="595" w:type="pct"/>
            <w:tcBorders>
              <w:top w:val="single" w:sz="4" w:space="0" w:color="auto"/>
            </w:tcBorders>
          </w:tcPr>
          <w:p w14:paraId="2F8CA36D"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23.26</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±0.55</w:t>
            </w:r>
          </w:p>
        </w:tc>
        <w:tc>
          <w:tcPr>
            <w:tcW w:w="555" w:type="pct"/>
            <w:tcBorders>
              <w:top w:val="single" w:sz="4" w:space="0" w:color="auto"/>
            </w:tcBorders>
          </w:tcPr>
          <w:p w14:paraId="41666191"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3.36</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±0.06</w:t>
            </w:r>
          </w:p>
        </w:tc>
        <w:tc>
          <w:tcPr>
            <w:tcW w:w="559" w:type="pct"/>
            <w:tcBorders>
              <w:top w:val="single" w:sz="4" w:space="0" w:color="auto"/>
            </w:tcBorders>
          </w:tcPr>
          <w:p w14:paraId="0FB9D0C5"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2.37</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 xml:space="preserve"> ±0.15</w:t>
            </w:r>
          </w:p>
        </w:tc>
      </w:tr>
      <w:tr w:rsidR="00BC0DD8" w:rsidRPr="004923B9" w14:paraId="34AB2B79" w14:textId="77777777" w:rsidTr="00CF3400">
        <w:trPr>
          <w:trHeight w:val="666"/>
        </w:trPr>
        <w:tc>
          <w:tcPr>
            <w:tcW w:w="436" w:type="pct"/>
          </w:tcPr>
          <w:p w14:paraId="75245E9B"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ATX</w:t>
            </w:r>
          </w:p>
        </w:tc>
        <w:tc>
          <w:tcPr>
            <w:tcW w:w="555" w:type="pct"/>
          </w:tcPr>
          <w:p w14:paraId="0F4E5127"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2.53</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±0.04</w:t>
            </w:r>
          </w:p>
        </w:tc>
        <w:tc>
          <w:tcPr>
            <w:tcW w:w="551" w:type="pct"/>
          </w:tcPr>
          <w:p w14:paraId="4A8C0DEC"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10.68</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±0.12</w:t>
            </w:r>
          </w:p>
        </w:tc>
        <w:tc>
          <w:tcPr>
            <w:tcW w:w="599" w:type="pct"/>
          </w:tcPr>
          <w:p w14:paraId="79FEFEE2"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5.36</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±0.14</w:t>
            </w:r>
          </w:p>
        </w:tc>
        <w:tc>
          <w:tcPr>
            <w:tcW w:w="555" w:type="pct"/>
          </w:tcPr>
          <w:p w14:paraId="4685105F"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5.29</w:t>
            </w:r>
            <w:r w:rsidRPr="004923B9">
              <w:rPr>
                <w:rFonts w:ascii="Times New Roman" w:hAnsi="Times New Roman" w:cs="Times New Roman"/>
                <w:sz w:val="24"/>
                <w:szCs w:val="24"/>
                <w:vertAlign w:val="superscript"/>
              </w:rPr>
              <w:t>ab</w:t>
            </w:r>
            <w:r w:rsidRPr="004923B9">
              <w:rPr>
                <w:rFonts w:ascii="Times New Roman" w:hAnsi="Times New Roman" w:cs="Times New Roman"/>
                <w:sz w:val="24"/>
                <w:szCs w:val="24"/>
              </w:rPr>
              <w:t>±0.03</w:t>
            </w:r>
          </w:p>
        </w:tc>
        <w:tc>
          <w:tcPr>
            <w:tcW w:w="595" w:type="pct"/>
          </w:tcPr>
          <w:p w14:paraId="79D1F87B"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10.17</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±0.03</w:t>
            </w:r>
          </w:p>
        </w:tc>
        <w:tc>
          <w:tcPr>
            <w:tcW w:w="595" w:type="pct"/>
          </w:tcPr>
          <w:p w14:paraId="07367D13"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20.93</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±0.27</w:t>
            </w:r>
          </w:p>
        </w:tc>
        <w:tc>
          <w:tcPr>
            <w:tcW w:w="555" w:type="pct"/>
          </w:tcPr>
          <w:p w14:paraId="5068F514"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4.31</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±0.06</w:t>
            </w:r>
          </w:p>
        </w:tc>
        <w:tc>
          <w:tcPr>
            <w:tcW w:w="559" w:type="pct"/>
          </w:tcPr>
          <w:p w14:paraId="658EDC6D"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3.83</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 xml:space="preserve"> ±0.06</w:t>
            </w:r>
          </w:p>
        </w:tc>
      </w:tr>
      <w:tr w:rsidR="00BC0DD8" w:rsidRPr="004923B9" w14:paraId="01494318" w14:textId="77777777" w:rsidTr="00CF3400">
        <w:trPr>
          <w:trHeight w:val="723"/>
        </w:trPr>
        <w:tc>
          <w:tcPr>
            <w:tcW w:w="436" w:type="pct"/>
          </w:tcPr>
          <w:p w14:paraId="25AF8DAF"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AMX</w:t>
            </w:r>
          </w:p>
        </w:tc>
        <w:tc>
          <w:tcPr>
            <w:tcW w:w="555" w:type="pct"/>
          </w:tcPr>
          <w:p w14:paraId="5ADB4C69"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2.48</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±0.03</w:t>
            </w:r>
          </w:p>
        </w:tc>
        <w:tc>
          <w:tcPr>
            <w:tcW w:w="551" w:type="pct"/>
          </w:tcPr>
          <w:p w14:paraId="2A0F502E"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14.33</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±0.38</w:t>
            </w:r>
          </w:p>
        </w:tc>
        <w:tc>
          <w:tcPr>
            <w:tcW w:w="599" w:type="pct"/>
          </w:tcPr>
          <w:p w14:paraId="2883CE1A"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7.30</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±0.05</w:t>
            </w:r>
          </w:p>
        </w:tc>
        <w:tc>
          <w:tcPr>
            <w:tcW w:w="555" w:type="pct"/>
          </w:tcPr>
          <w:p w14:paraId="638689AB"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5.46</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±0.06</w:t>
            </w:r>
          </w:p>
        </w:tc>
        <w:tc>
          <w:tcPr>
            <w:tcW w:w="595" w:type="pct"/>
          </w:tcPr>
          <w:p w14:paraId="3B5C573D"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6.84</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±0.09</w:t>
            </w:r>
          </w:p>
        </w:tc>
        <w:tc>
          <w:tcPr>
            <w:tcW w:w="595" w:type="pct"/>
          </w:tcPr>
          <w:p w14:paraId="608B8B23"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26.06</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±0.57</w:t>
            </w:r>
          </w:p>
        </w:tc>
        <w:tc>
          <w:tcPr>
            <w:tcW w:w="555" w:type="pct"/>
          </w:tcPr>
          <w:p w14:paraId="64659E98"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2.02</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±0.05</w:t>
            </w:r>
          </w:p>
        </w:tc>
        <w:tc>
          <w:tcPr>
            <w:tcW w:w="559" w:type="pct"/>
          </w:tcPr>
          <w:p w14:paraId="2982281A"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3.56</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±0.05</w:t>
            </w:r>
          </w:p>
        </w:tc>
      </w:tr>
      <w:tr w:rsidR="00BC0DD8" w:rsidRPr="004923B9" w14:paraId="4F0AE4AC" w14:textId="77777777" w:rsidTr="00CF3400">
        <w:trPr>
          <w:trHeight w:val="723"/>
        </w:trPr>
        <w:tc>
          <w:tcPr>
            <w:tcW w:w="436" w:type="pct"/>
          </w:tcPr>
          <w:p w14:paraId="729F946E"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LSD</w:t>
            </w:r>
          </w:p>
        </w:tc>
        <w:tc>
          <w:tcPr>
            <w:tcW w:w="555" w:type="pct"/>
          </w:tcPr>
          <w:p w14:paraId="6F0E4050"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0.1162</w:t>
            </w:r>
          </w:p>
        </w:tc>
        <w:tc>
          <w:tcPr>
            <w:tcW w:w="551" w:type="pct"/>
          </w:tcPr>
          <w:p w14:paraId="10C6284A"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0.5833</w:t>
            </w:r>
          </w:p>
        </w:tc>
        <w:tc>
          <w:tcPr>
            <w:tcW w:w="599" w:type="pct"/>
          </w:tcPr>
          <w:p w14:paraId="1D044FAA"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0.2295</w:t>
            </w:r>
          </w:p>
        </w:tc>
        <w:tc>
          <w:tcPr>
            <w:tcW w:w="555" w:type="pct"/>
          </w:tcPr>
          <w:p w14:paraId="4970E9C0"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0.3882</w:t>
            </w:r>
          </w:p>
        </w:tc>
        <w:tc>
          <w:tcPr>
            <w:tcW w:w="595" w:type="pct"/>
          </w:tcPr>
          <w:p w14:paraId="0BC43F0C"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0.1916</w:t>
            </w:r>
          </w:p>
        </w:tc>
        <w:tc>
          <w:tcPr>
            <w:tcW w:w="595" w:type="pct"/>
          </w:tcPr>
          <w:p w14:paraId="02B3701A"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1.1864</w:t>
            </w:r>
          </w:p>
        </w:tc>
        <w:tc>
          <w:tcPr>
            <w:tcW w:w="555" w:type="pct"/>
          </w:tcPr>
          <w:p w14:paraId="38E04686"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0.1396</w:t>
            </w:r>
          </w:p>
        </w:tc>
        <w:tc>
          <w:tcPr>
            <w:tcW w:w="559" w:type="pct"/>
          </w:tcPr>
          <w:p w14:paraId="0EFE5B8D"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0.2454</w:t>
            </w:r>
          </w:p>
        </w:tc>
      </w:tr>
    </w:tbl>
    <w:p w14:paraId="6FF37A04"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The means ‘</w:t>
      </w:r>
      <w:proofErr w:type="spellStart"/>
      <w:r w:rsidRPr="004923B9">
        <w:rPr>
          <w:rFonts w:ascii="Times New Roman" w:hAnsi="Times New Roman" w:cs="Times New Roman"/>
          <w:sz w:val="24"/>
          <w:szCs w:val="24"/>
        </w:rPr>
        <w:t>abc</w:t>
      </w:r>
      <w:proofErr w:type="spellEnd"/>
      <w:r w:rsidRPr="004923B9">
        <w:rPr>
          <w:rFonts w:ascii="Times New Roman" w:hAnsi="Times New Roman" w:cs="Times New Roman"/>
          <w:sz w:val="24"/>
          <w:szCs w:val="24"/>
        </w:rPr>
        <w:t xml:space="preserve">…’  with  different  superscript  within  the  same  column  are  significantly  different  (p≤0.05) </w:t>
      </w:r>
    </w:p>
    <w:p w14:paraId="6A9CDBFE"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b/>
          <w:sz w:val="24"/>
          <w:szCs w:val="24"/>
        </w:rPr>
        <w:lastRenderedPageBreak/>
        <w:t>Key:</w:t>
      </w:r>
      <w:r w:rsidRPr="004923B9">
        <w:rPr>
          <w:rFonts w:ascii="Times New Roman" w:hAnsi="Times New Roman" w:cs="Times New Roman"/>
          <w:sz w:val="24"/>
          <w:szCs w:val="24"/>
        </w:rPr>
        <w:tab/>
        <w:t xml:space="preserve"> </w:t>
      </w:r>
      <w:r w:rsidRPr="004923B9">
        <w:rPr>
          <w:rFonts w:ascii="Times New Roman" w:hAnsi="Times New Roman" w:cs="Times New Roman"/>
          <w:b/>
          <w:sz w:val="24"/>
          <w:szCs w:val="24"/>
        </w:rPr>
        <w:t>AGX</w:t>
      </w:r>
      <w:r w:rsidRPr="004923B9">
        <w:rPr>
          <w:rFonts w:ascii="Times New Roman" w:hAnsi="Times New Roman" w:cs="Times New Roman"/>
          <w:sz w:val="24"/>
          <w:szCs w:val="24"/>
        </w:rPr>
        <w:t xml:space="preserve"> = Ginger extracts</w:t>
      </w:r>
    </w:p>
    <w:p w14:paraId="1EB098E2"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r>
      <w:r w:rsidRPr="004923B9">
        <w:rPr>
          <w:rFonts w:ascii="Times New Roman" w:hAnsi="Times New Roman" w:cs="Times New Roman"/>
          <w:b/>
          <w:sz w:val="24"/>
          <w:szCs w:val="24"/>
        </w:rPr>
        <w:t>ATX</w:t>
      </w:r>
      <w:r w:rsidRPr="004923B9">
        <w:rPr>
          <w:rFonts w:ascii="Times New Roman" w:hAnsi="Times New Roman" w:cs="Times New Roman"/>
          <w:sz w:val="24"/>
          <w:szCs w:val="24"/>
        </w:rPr>
        <w:t xml:space="preserve"> = T. </w:t>
      </w:r>
      <w:proofErr w:type="spellStart"/>
      <w:r w:rsidRPr="004923B9">
        <w:rPr>
          <w:rFonts w:ascii="Times New Roman" w:hAnsi="Times New Roman" w:cs="Times New Roman"/>
          <w:sz w:val="24"/>
          <w:szCs w:val="24"/>
        </w:rPr>
        <w:t>tetrapluera</w:t>
      </w:r>
      <w:proofErr w:type="spellEnd"/>
      <w:r w:rsidRPr="004923B9">
        <w:rPr>
          <w:rFonts w:ascii="Times New Roman" w:hAnsi="Times New Roman" w:cs="Times New Roman"/>
          <w:sz w:val="24"/>
          <w:szCs w:val="24"/>
        </w:rPr>
        <w:t xml:space="preserve"> extracts</w:t>
      </w:r>
    </w:p>
    <w:p w14:paraId="77E5E85F"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r>
      <w:r w:rsidRPr="004923B9">
        <w:rPr>
          <w:rFonts w:ascii="Times New Roman" w:hAnsi="Times New Roman" w:cs="Times New Roman"/>
          <w:b/>
          <w:sz w:val="24"/>
          <w:szCs w:val="24"/>
        </w:rPr>
        <w:t>AMX</w:t>
      </w:r>
      <w:r w:rsidRPr="004923B9">
        <w:rPr>
          <w:rFonts w:ascii="Times New Roman" w:hAnsi="Times New Roman" w:cs="Times New Roman"/>
          <w:sz w:val="24"/>
          <w:szCs w:val="24"/>
        </w:rPr>
        <w:t xml:space="preserve"> = M. </w:t>
      </w:r>
      <w:proofErr w:type="spellStart"/>
      <w:r w:rsidRPr="004923B9">
        <w:rPr>
          <w:rFonts w:ascii="Times New Roman" w:hAnsi="Times New Roman" w:cs="Times New Roman"/>
          <w:sz w:val="24"/>
          <w:szCs w:val="24"/>
        </w:rPr>
        <w:t>myristica</w:t>
      </w:r>
      <w:proofErr w:type="spellEnd"/>
      <w:r w:rsidRPr="004923B9">
        <w:rPr>
          <w:rFonts w:ascii="Times New Roman" w:hAnsi="Times New Roman" w:cs="Times New Roman"/>
          <w:sz w:val="24"/>
          <w:szCs w:val="24"/>
        </w:rPr>
        <w:t xml:space="preserve"> extracts</w:t>
      </w:r>
    </w:p>
    <w:p w14:paraId="4A106F49" w14:textId="77777777" w:rsidR="00BC0DD8" w:rsidRPr="004923B9" w:rsidRDefault="00BC0DD8" w:rsidP="00215775">
      <w:pPr>
        <w:spacing w:after="0" w:line="240" w:lineRule="auto"/>
        <w:jc w:val="both"/>
        <w:rPr>
          <w:rFonts w:ascii="Times New Roman" w:hAnsi="Times New Roman" w:cs="Times New Roman"/>
          <w:sz w:val="24"/>
          <w:szCs w:val="24"/>
        </w:rPr>
      </w:pPr>
    </w:p>
    <w:p w14:paraId="738A1736"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 xml:space="preserve"> Antioxidant Assays</w:t>
      </w:r>
    </w:p>
    <w:p w14:paraId="13A96EB4"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 xml:space="preserve">DPPH </w:t>
      </w:r>
      <w:r w:rsidRPr="004923B9">
        <w:rPr>
          <w:rFonts w:ascii="Times New Roman" w:hAnsi="Times New Roman" w:cs="Times New Roman"/>
          <w:b/>
          <w:sz w:val="24"/>
          <w:szCs w:val="24"/>
          <w:shd w:val="clear" w:color="auto" w:fill="FFFFFF"/>
        </w:rPr>
        <w:t>(2,2-diphenyl-1-picrylhydrazyl)</w:t>
      </w:r>
      <w:r w:rsidRPr="004923B9">
        <w:rPr>
          <w:rFonts w:ascii="Times New Roman" w:hAnsi="Times New Roman" w:cs="Times New Roman"/>
          <w:sz w:val="24"/>
          <w:szCs w:val="24"/>
          <w:shd w:val="clear" w:color="auto" w:fill="FFFFFF"/>
        </w:rPr>
        <w:t xml:space="preserve"> </w:t>
      </w:r>
      <w:r w:rsidRPr="004923B9">
        <w:rPr>
          <w:rFonts w:ascii="Times New Roman" w:hAnsi="Times New Roman" w:cs="Times New Roman"/>
          <w:b/>
          <w:sz w:val="24"/>
          <w:szCs w:val="24"/>
        </w:rPr>
        <w:t>Radical Inhibitory Activity of the crude Extracts.</w:t>
      </w:r>
    </w:p>
    <w:p w14:paraId="66089B12" w14:textId="77777777" w:rsidR="00BC0DD8" w:rsidRPr="004923B9" w:rsidRDefault="00BC0DD8" w:rsidP="00215775">
      <w:pPr>
        <w:spacing w:after="0" w:line="240" w:lineRule="auto"/>
        <w:jc w:val="both"/>
        <w:rPr>
          <w:rFonts w:ascii="Times New Roman" w:hAnsi="Times New Roman" w:cs="Times New Roman"/>
          <w:b/>
          <w:sz w:val="24"/>
          <w:szCs w:val="24"/>
        </w:rPr>
      </w:pPr>
    </w:p>
    <w:p w14:paraId="7331FDC4" w14:textId="77777777" w:rsidR="00215775" w:rsidRPr="004923B9" w:rsidRDefault="00215775" w:rsidP="00215775">
      <w:pPr>
        <w:spacing w:after="0" w:line="240" w:lineRule="auto"/>
        <w:jc w:val="both"/>
        <w:rPr>
          <w:rFonts w:ascii="Times New Roman" w:eastAsia="Times New Roman" w:hAnsi="Times New Roman" w:cs="Times New Roman"/>
          <w:sz w:val="24"/>
          <w:szCs w:val="24"/>
        </w:rPr>
      </w:pPr>
      <w:r w:rsidRPr="004923B9">
        <w:t>The DPPH radical inhibitory activities of the samples and the control (ascorbic acid) at various concentrations are shown in Table 4. At a DPPH concentration of 50 µg/ml, AMX had the highest mean DPPH score of 56.61 µg/ml, followed by AGX (49.26 µg/ml), while ATX and the control recorded 44.64 and 41.07 µg/ml, respectively. These values varied significantly (P &lt; 0.05) across the samples and the control. At a DPPH concentration of 50 µg/ml, all crude extracts showed significantly higher inhibitory activity than the control.</w:t>
      </w:r>
    </w:p>
    <w:p w14:paraId="5FE14E8C" w14:textId="77777777" w:rsidR="00215775" w:rsidRPr="004923B9" w:rsidRDefault="00215775" w:rsidP="00215775">
      <w:pPr>
        <w:spacing w:after="0" w:line="240" w:lineRule="auto"/>
        <w:jc w:val="both"/>
        <w:rPr>
          <w:rFonts w:ascii="Times New Roman" w:eastAsia="Times New Roman" w:hAnsi="Times New Roman" w:cs="Times New Roman"/>
          <w:sz w:val="24"/>
          <w:szCs w:val="24"/>
        </w:rPr>
      </w:pPr>
      <w:r w:rsidRPr="004923B9">
        <w:t>At a DPPH concentration of 100 µg/ml, AMX exhibited the maximum inhibitory activity of 71.27 µg/ml, while ATX had the lowest activity at 60.06 µg/ml. The mean scores for AGX and the control were 66.38 and 67.24 µg/ml, respectively, with no significant differences (P &gt; 0.05). Alara et al. (2020) reported high antioxidant levels in plant extracts, which aligns with the results of this study.</w:t>
      </w:r>
    </w:p>
    <w:p w14:paraId="618F44EC" w14:textId="77777777" w:rsidR="00BC0DD8" w:rsidRPr="004923B9" w:rsidRDefault="00215775" w:rsidP="00215775">
      <w:pPr>
        <w:spacing w:after="0" w:line="240" w:lineRule="auto"/>
        <w:jc w:val="both"/>
        <w:rPr>
          <w:rFonts w:ascii="Times New Roman" w:eastAsia="Times New Roman" w:hAnsi="Times New Roman" w:cs="Times New Roman"/>
          <w:sz w:val="24"/>
          <w:szCs w:val="24"/>
        </w:rPr>
      </w:pPr>
      <w:r w:rsidRPr="004923B9">
        <w:t xml:space="preserve">At 200 µg/ml DPPH radicals, AMX had the greatest value of 85.54 µg/ml, while the control had the lowest value of 75.35 µg/ml. At a DPPH concentration of 400 µg/ml, sample AMX had the highest mean score (88.02 µg/ml), followed by sample AGX (87.14 µg/ml). Sample ATX had a mean score of 84.65 µg/ml, whereas the control sample had the lowest mean value of 82.33 µg/ml. It was observed that, as concentration increased, DPPH radical inhibitory activity also increased. The antioxidant potentials of potato peel extracts have been examined using DPPH radical scavenging assay, ABTS radical scavenging activity, lipid peroxidation assay in rat liver homogenates and iron ion chelation assay (Jeddou et al., 2018; </w:t>
      </w:r>
      <w:proofErr w:type="spellStart"/>
      <w:r w:rsidRPr="004923B9">
        <w:t>Ofoedum</w:t>
      </w:r>
      <w:proofErr w:type="spellEnd"/>
      <w:r w:rsidRPr="004923B9">
        <w:t xml:space="preserve"> et al., 2025).</w:t>
      </w:r>
    </w:p>
    <w:p w14:paraId="5053F96F" w14:textId="77777777" w:rsidR="00BC0DD8" w:rsidRPr="004923B9" w:rsidRDefault="001C03BC" w:rsidP="00215775">
      <w:pPr>
        <w:tabs>
          <w:tab w:val="left" w:pos="4228"/>
        </w:tabs>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ab/>
      </w:r>
    </w:p>
    <w:p w14:paraId="40950026"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Table 4: Mean Scores of DPPH Radical Inhibitory Activities of the Crude Extracts at Different Concentrations</w:t>
      </w:r>
    </w:p>
    <w:p w14:paraId="2F339011" w14:textId="77777777" w:rsidR="00BC0DD8" w:rsidRPr="004923B9" w:rsidRDefault="00BC0DD8" w:rsidP="00215775">
      <w:pPr>
        <w:spacing w:after="0" w:line="240" w:lineRule="auto"/>
        <w:jc w:val="both"/>
        <w:rPr>
          <w:rFonts w:ascii="Times New Roman" w:hAnsi="Times New Roman" w:cs="Times New Roman"/>
          <w:b/>
          <w:sz w:val="24"/>
          <w:szCs w:val="24"/>
        </w:rPr>
      </w:pPr>
    </w:p>
    <w:tbl>
      <w:tblPr>
        <w:tblStyle w:val="TableGrid"/>
        <w:tblW w:w="10075"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68"/>
        <w:gridCol w:w="2079"/>
        <w:gridCol w:w="2228"/>
        <w:gridCol w:w="1846"/>
        <w:gridCol w:w="1854"/>
      </w:tblGrid>
      <w:tr w:rsidR="00BC0DD8" w:rsidRPr="004923B9" w14:paraId="2CCA562D" w14:textId="77777777">
        <w:trPr>
          <w:trHeight w:val="447"/>
        </w:trPr>
        <w:tc>
          <w:tcPr>
            <w:tcW w:w="2068" w:type="dxa"/>
            <w:vMerge w:val="restart"/>
            <w:tcBorders>
              <w:top w:val="single" w:sz="4" w:space="0" w:color="auto"/>
            </w:tcBorders>
          </w:tcPr>
          <w:p w14:paraId="682AA2FB" w14:textId="77777777" w:rsidR="00BC0DD8" w:rsidRPr="004923B9" w:rsidRDefault="00BC0DD8" w:rsidP="00215775">
            <w:pPr>
              <w:spacing w:line="240" w:lineRule="auto"/>
              <w:jc w:val="both"/>
              <w:rPr>
                <w:rFonts w:ascii="Times New Roman" w:hAnsi="Times New Roman" w:cs="Times New Roman"/>
                <w:b/>
                <w:sz w:val="24"/>
                <w:szCs w:val="24"/>
              </w:rPr>
            </w:pPr>
          </w:p>
          <w:p w14:paraId="46BB69F9"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Samples</w:t>
            </w:r>
          </w:p>
        </w:tc>
        <w:tc>
          <w:tcPr>
            <w:tcW w:w="8007" w:type="dxa"/>
            <w:gridSpan w:val="4"/>
            <w:tcBorders>
              <w:top w:val="single" w:sz="4" w:space="0" w:color="auto"/>
              <w:bottom w:val="single" w:sz="4" w:space="0" w:color="auto"/>
            </w:tcBorders>
          </w:tcPr>
          <w:p w14:paraId="1EDD59CA"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Concentrations (µg/ml)</w:t>
            </w:r>
          </w:p>
        </w:tc>
      </w:tr>
      <w:tr w:rsidR="00BC0DD8" w:rsidRPr="004923B9" w14:paraId="0C22B3E1" w14:textId="77777777">
        <w:trPr>
          <w:trHeight w:val="447"/>
        </w:trPr>
        <w:tc>
          <w:tcPr>
            <w:tcW w:w="2068" w:type="dxa"/>
            <w:vMerge/>
            <w:tcBorders>
              <w:bottom w:val="single" w:sz="4" w:space="0" w:color="auto"/>
            </w:tcBorders>
          </w:tcPr>
          <w:p w14:paraId="6958D43D" w14:textId="77777777" w:rsidR="00BC0DD8" w:rsidRPr="004923B9" w:rsidRDefault="00BC0DD8" w:rsidP="00215775">
            <w:pPr>
              <w:spacing w:line="240" w:lineRule="auto"/>
              <w:jc w:val="both"/>
              <w:rPr>
                <w:rFonts w:ascii="Times New Roman" w:hAnsi="Times New Roman" w:cs="Times New Roman"/>
                <w:b/>
                <w:sz w:val="24"/>
                <w:szCs w:val="24"/>
              </w:rPr>
            </w:pPr>
          </w:p>
        </w:tc>
        <w:tc>
          <w:tcPr>
            <w:tcW w:w="2079" w:type="dxa"/>
            <w:tcBorders>
              <w:top w:val="single" w:sz="4" w:space="0" w:color="auto"/>
              <w:bottom w:val="single" w:sz="4" w:space="0" w:color="auto"/>
            </w:tcBorders>
          </w:tcPr>
          <w:p w14:paraId="0FD3047A"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50</w:t>
            </w:r>
          </w:p>
        </w:tc>
        <w:tc>
          <w:tcPr>
            <w:tcW w:w="2228" w:type="dxa"/>
            <w:tcBorders>
              <w:top w:val="single" w:sz="4" w:space="0" w:color="auto"/>
              <w:bottom w:val="single" w:sz="4" w:space="0" w:color="auto"/>
            </w:tcBorders>
          </w:tcPr>
          <w:p w14:paraId="2D5F6768"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100</w:t>
            </w:r>
          </w:p>
        </w:tc>
        <w:tc>
          <w:tcPr>
            <w:tcW w:w="1846" w:type="dxa"/>
            <w:tcBorders>
              <w:top w:val="single" w:sz="4" w:space="0" w:color="auto"/>
              <w:bottom w:val="single" w:sz="4" w:space="0" w:color="auto"/>
            </w:tcBorders>
          </w:tcPr>
          <w:p w14:paraId="400EC544"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200</w:t>
            </w:r>
          </w:p>
        </w:tc>
        <w:tc>
          <w:tcPr>
            <w:tcW w:w="1854" w:type="dxa"/>
            <w:tcBorders>
              <w:top w:val="single" w:sz="4" w:space="0" w:color="auto"/>
              <w:bottom w:val="single" w:sz="4" w:space="0" w:color="auto"/>
            </w:tcBorders>
          </w:tcPr>
          <w:p w14:paraId="11B29C4B"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400</w:t>
            </w:r>
          </w:p>
        </w:tc>
      </w:tr>
      <w:tr w:rsidR="00BC0DD8" w:rsidRPr="004923B9" w14:paraId="62B3960A" w14:textId="77777777">
        <w:trPr>
          <w:trHeight w:val="572"/>
        </w:trPr>
        <w:tc>
          <w:tcPr>
            <w:tcW w:w="2068" w:type="dxa"/>
            <w:tcBorders>
              <w:top w:val="single" w:sz="4" w:space="0" w:color="auto"/>
            </w:tcBorders>
          </w:tcPr>
          <w:p w14:paraId="2A5B6EEB"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Ctrl</w:t>
            </w:r>
          </w:p>
        </w:tc>
        <w:tc>
          <w:tcPr>
            <w:tcW w:w="2079" w:type="dxa"/>
            <w:tcBorders>
              <w:top w:val="single" w:sz="4" w:space="0" w:color="auto"/>
            </w:tcBorders>
          </w:tcPr>
          <w:p w14:paraId="10BAFF59"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41.07</w:t>
            </w:r>
            <w:r w:rsidRPr="004923B9">
              <w:rPr>
                <w:rFonts w:ascii="Times New Roman" w:hAnsi="Times New Roman" w:cs="Times New Roman"/>
                <w:sz w:val="24"/>
                <w:szCs w:val="24"/>
                <w:vertAlign w:val="superscript"/>
              </w:rPr>
              <w:t>d</w:t>
            </w:r>
            <w:r w:rsidRPr="004923B9">
              <w:rPr>
                <w:rFonts w:ascii="Times New Roman" w:hAnsi="Times New Roman" w:cs="Times New Roman"/>
                <w:sz w:val="24"/>
                <w:szCs w:val="24"/>
              </w:rPr>
              <w:t>±0.63</w:t>
            </w:r>
          </w:p>
        </w:tc>
        <w:tc>
          <w:tcPr>
            <w:tcW w:w="2228" w:type="dxa"/>
            <w:tcBorders>
              <w:top w:val="single" w:sz="4" w:space="0" w:color="auto"/>
            </w:tcBorders>
          </w:tcPr>
          <w:p w14:paraId="70E2A1DE"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67.24</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±0.82</w:t>
            </w:r>
          </w:p>
        </w:tc>
        <w:tc>
          <w:tcPr>
            <w:tcW w:w="1846" w:type="dxa"/>
            <w:tcBorders>
              <w:top w:val="single" w:sz="4" w:space="0" w:color="auto"/>
            </w:tcBorders>
          </w:tcPr>
          <w:p w14:paraId="4168A5C1"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75.35</w:t>
            </w:r>
            <w:r w:rsidRPr="004923B9">
              <w:rPr>
                <w:rFonts w:ascii="Times New Roman" w:hAnsi="Times New Roman" w:cs="Times New Roman"/>
                <w:sz w:val="24"/>
                <w:szCs w:val="24"/>
                <w:vertAlign w:val="superscript"/>
              </w:rPr>
              <w:t>d</w:t>
            </w:r>
            <w:r w:rsidRPr="004923B9">
              <w:rPr>
                <w:rFonts w:ascii="Times New Roman" w:hAnsi="Times New Roman" w:cs="Times New Roman"/>
                <w:sz w:val="24"/>
                <w:szCs w:val="24"/>
              </w:rPr>
              <w:t>±0.28</w:t>
            </w:r>
          </w:p>
        </w:tc>
        <w:tc>
          <w:tcPr>
            <w:tcW w:w="1854" w:type="dxa"/>
            <w:tcBorders>
              <w:top w:val="single" w:sz="4" w:space="0" w:color="auto"/>
            </w:tcBorders>
          </w:tcPr>
          <w:p w14:paraId="66ABAA5D"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82.33</w:t>
            </w:r>
            <w:r w:rsidRPr="004923B9">
              <w:rPr>
                <w:rFonts w:ascii="Times New Roman" w:hAnsi="Times New Roman" w:cs="Times New Roman"/>
                <w:sz w:val="24"/>
                <w:szCs w:val="24"/>
                <w:vertAlign w:val="superscript"/>
              </w:rPr>
              <w:t>d</w:t>
            </w:r>
            <w:r w:rsidRPr="004923B9">
              <w:rPr>
                <w:rFonts w:ascii="Times New Roman" w:hAnsi="Times New Roman" w:cs="Times New Roman"/>
                <w:sz w:val="24"/>
                <w:szCs w:val="24"/>
              </w:rPr>
              <w:t>±0.19</w:t>
            </w:r>
          </w:p>
        </w:tc>
      </w:tr>
      <w:tr w:rsidR="00BC0DD8" w:rsidRPr="004923B9" w14:paraId="0F320058" w14:textId="77777777">
        <w:trPr>
          <w:trHeight w:val="574"/>
        </w:trPr>
        <w:tc>
          <w:tcPr>
            <w:tcW w:w="2068" w:type="dxa"/>
          </w:tcPr>
          <w:p w14:paraId="1E8FD8D3"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AGX</w:t>
            </w:r>
          </w:p>
        </w:tc>
        <w:tc>
          <w:tcPr>
            <w:tcW w:w="2079" w:type="dxa"/>
          </w:tcPr>
          <w:p w14:paraId="0F7DCC4E"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49.2</w:t>
            </w:r>
            <w:r w:rsidRPr="004923B9">
              <w:rPr>
                <w:rFonts w:ascii="Times New Roman" w:hAnsi="Times New Roman" w:cs="Times New Roman"/>
                <w:sz w:val="24"/>
                <w:szCs w:val="24"/>
                <w:vertAlign w:val="superscript"/>
              </w:rPr>
              <w:t xml:space="preserve"> b</w:t>
            </w:r>
            <w:r w:rsidRPr="004923B9">
              <w:rPr>
                <w:rFonts w:ascii="Times New Roman" w:hAnsi="Times New Roman" w:cs="Times New Roman"/>
                <w:sz w:val="24"/>
                <w:szCs w:val="24"/>
              </w:rPr>
              <w:t>±0.33</w:t>
            </w:r>
          </w:p>
        </w:tc>
        <w:tc>
          <w:tcPr>
            <w:tcW w:w="2228" w:type="dxa"/>
          </w:tcPr>
          <w:p w14:paraId="681381E8"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66.38</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±0.50</w:t>
            </w:r>
          </w:p>
        </w:tc>
        <w:tc>
          <w:tcPr>
            <w:tcW w:w="1846" w:type="dxa"/>
          </w:tcPr>
          <w:p w14:paraId="4F6B9C9D"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80.79</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±0.32</w:t>
            </w:r>
          </w:p>
        </w:tc>
        <w:tc>
          <w:tcPr>
            <w:tcW w:w="1854" w:type="dxa"/>
          </w:tcPr>
          <w:p w14:paraId="6E640C1F"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87.14</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±0.14</w:t>
            </w:r>
          </w:p>
        </w:tc>
      </w:tr>
      <w:tr w:rsidR="00BC0DD8" w:rsidRPr="004923B9" w14:paraId="29819A8D" w14:textId="77777777">
        <w:trPr>
          <w:trHeight w:val="540"/>
        </w:trPr>
        <w:tc>
          <w:tcPr>
            <w:tcW w:w="2068" w:type="dxa"/>
          </w:tcPr>
          <w:p w14:paraId="0C43E5D8"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ATX</w:t>
            </w:r>
          </w:p>
        </w:tc>
        <w:tc>
          <w:tcPr>
            <w:tcW w:w="2079" w:type="dxa"/>
          </w:tcPr>
          <w:p w14:paraId="23D559F3"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44.64</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±0.24</w:t>
            </w:r>
          </w:p>
        </w:tc>
        <w:tc>
          <w:tcPr>
            <w:tcW w:w="2228" w:type="dxa"/>
          </w:tcPr>
          <w:p w14:paraId="4AE887E2"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60.06</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±0.14</w:t>
            </w:r>
          </w:p>
        </w:tc>
        <w:tc>
          <w:tcPr>
            <w:tcW w:w="1846" w:type="dxa"/>
          </w:tcPr>
          <w:p w14:paraId="55B1C350"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77.60</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±0.47</w:t>
            </w:r>
          </w:p>
        </w:tc>
        <w:tc>
          <w:tcPr>
            <w:tcW w:w="1854" w:type="dxa"/>
          </w:tcPr>
          <w:p w14:paraId="1F9EC894"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84.65</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±0.17</w:t>
            </w:r>
          </w:p>
        </w:tc>
      </w:tr>
      <w:tr w:rsidR="00BC0DD8" w:rsidRPr="004923B9" w14:paraId="3DEB32FB" w14:textId="77777777">
        <w:trPr>
          <w:trHeight w:val="587"/>
        </w:trPr>
        <w:tc>
          <w:tcPr>
            <w:tcW w:w="2068" w:type="dxa"/>
          </w:tcPr>
          <w:p w14:paraId="6C12E352"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AMX</w:t>
            </w:r>
          </w:p>
        </w:tc>
        <w:tc>
          <w:tcPr>
            <w:tcW w:w="2079" w:type="dxa"/>
          </w:tcPr>
          <w:p w14:paraId="2BA7A14C"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56.61</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±0.06</w:t>
            </w:r>
          </w:p>
        </w:tc>
        <w:tc>
          <w:tcPr>
            <w:tcW w:w="2228" w:type="dxa"/>
          </w:tcPr>
          <w:p w14:paraId="58E3B8A6"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71.27</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±0.21</w:t>
            </w:r>
          </w:p>
        </w:tc>
        <w:tc>
          <w:tcPr>
            <w:tcW w:w="1846" w:type="dxa"/>
          </w:tcPr>
          <w:p w14:paraId="332FA28E"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85.54</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±0.47</w:t>
            </w:r>
          </w:p>
        </w:tc>
        <w:tc>
          <w:tcPr>
            <w:tcW w:w="1854" w:type="dxa"/>
          </w:tcPr>
          <w:p w14:paraId="457BEACA"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88.02</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±0.23</w:t>
            </w:r>
          </w:p>
        </w:tc>
      </w:tr>
      <w:tr w:rsidR="00BC0DD8" w:rsidRPr="004923B9" w14:paraId="144196AB" w14:textId="77777777">
        <w:trPr>
          <w:trHeight w:val="413"/>
        </w:trPr>
        <w:tc>
          <w:tcPr>
            <w:tcW w:w="2068" w:type="dxa"/>
          </w:tcPr>
          <w:p w14:paraId="030F9ABC"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LSD</w:t>
            </w:r>
          </w:p>
        </w:tc>
        <w:tc>
          <w:tcPr>
            <w:tcW w:w="2079" w:type="dxa"/>
          </w:tcPr>
          <w:p w14:paraId="08AFBFB8"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1.2998</w:t>
            </w:r>
          </w:p>
        </w:tc>
        <w:tc>
          <w:tcPr>
            <w:tcW w:w="2228" w:type="dxa"/>
          </w:tcPr>
          <w:p w14:paraId="595AA9C5"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1.1486</w:t>
            </w:r>
          </w:p>
        </w:tc>
        <w:tc>
          <w:tcPr>
            <w:tcW w:w="1846" w:type="dxa"/>
          </w:tcPr>
          <w:p w14:paraId="062FD6AF"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0.9102</w:t>
            </w:r>
          </w:p>
        </w:tc>
        <w:tc>
          <w:tcPr>
            <w:tcW w:w="1854" w:type="dxa"/>
          </w:tcPr>
          <w:p w14:paraId="744B9FE2"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0.4264</w:t>
            </w:r>
          </w:p>
        </w:tc>
      </w:tr>
    </w:tbl>
    <w:p w14:paraId="333DD173" w14:textId="77777777" w:rsidR="00BC0DD8" w:rsidRPr="004923B9" w:rsidRDefault="001C03BC" w:rsidP="00215775">
      <w:pPr>
        <w:spacing w:line="240" w:lineRule="auto"/>
        <w:jc w:val="both"/>
        <w:rPr>
          <w:rFonts w:ascii="Times New Roman" w:hAnsi="Times New Roman" w:cs="Times New Roman"/>
          <w:i/>
          <w:sz w:val="24"/>
          <w:szCs w:val="24"/>
        </w:rPr>
      </w:pPr>
      <w:r w:rsidRPr="004923B9">
        <w:rPr>
          <w:rFonts w:ascii="Times New Roman" w:hAnsi="Times New Roman" w:cs="Times New Roman"/>
          <w:i/>
          <w:sz w:val="24"/>
          <w:szCs w:val="24"/>
        </w:rPr>
        <w:t>The means ‘</w:t>
      </w:r>
      <w:proofErr w:type="spellStart"/>
      <w:r w:rsidRPr="004923B9">
        <w:rPr>
          <w:rFonts w:ascii="Times New Roman" w:hAnsi="Times New Roman" w:cs="Times New Roman"/>
          <w:i/>
          <w:sz w:val="24"/>
          <w:szCs w:val="24"/>
        </w:rPr>
        <w:t>abc</w:t>
      </w:r>
      <w:proofErr w:type="spellEnd"/>
      <w:r w:rsidRPr="004923B9">
        <w:rPr>
          <w:rFonts w:ascii="Times New Roman" w:hAnsi="Times New Roman" w:cs="Times New Roman"/>
          <w:i/>
          <w:sz w:val="24"/>
          <w:szCs w:val="24"/>
        </w:rPr>
        <w:t xml:space="preserve">…’  with  </w:t>
      </w:r>
      <w:r w:rsidRPr="004923B9">
        <w:rPr>
          <w:rFonts w:ascii="Times New Roman" w:hAnsi="Times New Roman" w:cs="Times New Roman"/>
          <w:b/>
          <w:i/>
          <w:sz w:val="24"/>
          <w:szCs w:val="24"/>
        </w:rPr>
        <w:t>different</w:t>
      </w:r>
      <w:r w:rsidRPr="004923B9">
        <w:rPr>
          <w:rFonts w:ascii="Times New Roman" w:hAnsi="Times New Roman" w:cs="Times New Roman"/>
          <w:i/>
          <w:sz w:val="24"/>
          <w:szCs w:val="24"/>
        </w:rPr>
        <w:t xml:space="preserve">  superscript  within  the  same  column  are  significantly  different  (p≤0.05)</w:t>
      </w:r>
    </w:p>
    <w:p w14:paraId="6598EC83"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w:t>
      </w:r>
    </w:p>
    <w:p w14:paraId="36B63F39"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b/>
        </w:rPr>
        <w:lastRenderedPageBreak/>
        <w:t>Ferric Reducing Antioxidant Power (FRAP) Activity of the Crude Extracts at Different Concentrations.</w:t>
      </w:r>
    </w:p>
    <w:p w14:paraId="08A43B30" w14:textId="77777777" w:rsidR="00BC0DD8" w:rsidRPr="004923B9" w:rsidRDefault="00BC0DD8" w:rsidP="00215775">
      <w:pPr>
        <w:spacing w:after="0" w:line="240" w:lineRule="auto"/>
        <w:jc w:val="both"/>
        <w:rPr>
          <w:rFonts w:ascii="Times New Roman" w:hAnsi="Times New Roman" w:cs="Times New Roman"/>
          <w:b/>
          <w:sz w:val="24"/>
          <w:szCs w:val="24"/>
        </w:rPr>
      </w:pPr>
    </w:p>
    <w:p w14:paraId="1F7F4CDF" w14:textId="77777777" w:rsidR="00215775" w:rsidRPr="004923B9" w:rsidRDefault="00215775" w:rsidP="00215775">
      <w:pPr>
        <w:spacing w:after="0" w:line="240" w:lineRule="auto"/>
        <w:jc w:val="both"/>
        <w:rPr>
          <w:rFonts w:ascii="Times New Roman" w:eastAsia="Times New Roman" w:hAnsi="Times New Roman" w:cs="Times New Roman"/>
          <w:sz w:val="24"/>
          <w:szCs w:val="24"/>
        </w:rPr>
      </w:pPr>
      <w:r w:rsidRPr="004923B9">
        <w:t>Table 5 shows the ferric reducing antioxidant power (FRAP) activities of the crude extracts at different concentrations. At 50 µg/ml FRAP, the control sample recorded the lowest value (18.25 µg/ml), whereas sample AGX recorded the highest value (73.39 µg/ml). Samples AMX and ATX showed values of 40.84 and 34.42 µg/ml, respectively. At a concentration of 100 µg/ml, AGX, ATX and AMX recorded 82.42, 61.72 and 50.18 µg/ml, respectively, compared with the control (29.64 µg/ml), with significant differences (P &lt; 0.05). A clear trend of increasing ferric reducing antioxidant power activity was observed as FRAP concentration increased.</w:t>
      </w:r>
    </w:p>
    <w:p w14:paraId="71B4D5D5" w14:textId="77777777" w:rsidR="00215775" w:rsidRPr="004923B9" w:rsidRDefault="00215775" w:rsidP="00215775">
      <w:pPr>
        <w:spacing w:after="0" w:line="240" w:lineRule="auto"/>
        <w:jc w:val="both"/>
        <w:rPr>
          <w:rFonts w:ascii="Times New Roman" w:eastAsia="Times New Roman" w:hAnsi="Times New Roman" w:cs="Times New Roman"/>
          <w:sz w:val="24"/>
          <w:szCs w:val="24"/>
        </w:rPr>
      </w:pPr>
      <w:r w:rsidRPr="004923B9">
        <w:t>At 200 µg/ml FRAP, AGX exhibited the greatest antioxidant activity (88.51 µg/ml), followed by ATX (77.22 µg/ml). AMX recorded 58.30 µg/ml, whereas the control had the lowest value (38.80 µg/ml). This pattern also confirms the increase in activity caused by an increase in FRAP concentration. At 400 µg/ml, all samples exhibited similar patterns, with AGX and the control having the highest and lowest mean scores of 89.93 and 62.69 µg/ml, respectively, while samples ATX and AMX recorded mean values of 79.53 and 76.80 µg/ml. It can be inferred that increasing the concentration led to an increase in ferric reducing antioxidant power in both the control and crude extracts.</w:t>
      </w:r>
    </w:p>
    <w:p w14:paraId="417C4FE1" w14:textId="77777777" w:rsidR="00215775" w:rsidRPr="004923B9" w:rsidRDefault="00215775" w:rsidP="00215775">
      <w:pPr>
        <w:spacing w:after="0" w:line="240" w:lineRule="auto"/>
        <w:jc w:val="both"/>
        <w:rPr>
          <w:rFonts w:ascii="Times New Roman" w:eastAsia="Times New Roman" w:hAnsi="Times New Roman" w:cs="Times New Roman"/>
          <w:sz w:val="24"/>
          <w:szCs w:val="24"/>
        </w:rPr>
      </w:pPr>
      <w:r w:rsidRPr="004923B9">
        <w:t xml:space="preserve">FRAP tests measure an antioxidant's reducing potential by reacting with a ferric </w:t>
      </w:r>
      <w:proofErr w:type="spellStart"/>
      <w:r w:rsidRPr="004923B9">
        <w:t>tripyridyltriazine</w:t>
      </w:r>
      <w:proofErr w:type="spellEnd"/>
      <w:r w:rsidRPr="004923B9">
        <w:t xml:space="preserve"> (Fe3+-TPTZ) complex and producing a </w:t>
      </w:r>
      <w:proofErr w:type="spellStart"/>
      <w:r w:rsidRPr="004923B9">
        <w:t>coloured</w:t>
      </w:r>
      <w:proofErr w:type="spellEnd"/>
      <w:r w:rsidRPr="004923B9">
        <w:t xml:space="preserve"> ferrous </w:t>
      </w:r>
      <w:proofErr w:type="spellStart"/>
      <w:r w:rsidRPr="004923B9">
        <w:t>tripyridyltriazine</w:t>
      </w:r>
      <w:proofErr w:type="spellEnd"/>
      <w:r w:rsidRPr="004923B9">
        <w:t xml:space="preserve"> (Fe2+-TPTZ). Unlike other tests that identify free radical suppression, this assay directly examines antioxidants in the sample. According to Halvorsen et al. (2002), FRAP test values are related to the concentration of antioxidants that contribute electrons when ferric iron (Fe3+) is converted to ferrous iron (Fe2+). Sánchez-Alonso et al. (2007) also discussed the role of antioxidant compounds in limiting oxidative reactions.</w:t>
      </w:r>
    </w:p>
    <w:p w14:paraId="59113C2F" w14:textId="77777777" w:rsidR="00BC0DD8" w:rsidRPr="004923B9" w:rsidRDefault="001C03BC" w:rsidP="00215775">
      <w:pPr>
        <w:spacing w:after="0" w:line="240" w:lineRule="auto"/>
        <w:jc w:val="both"/>
        <w:rPr>
          <w:rFonts w:ascii="Times New Roman" w:hAnsi="Times New Roman" w:cs="Times New Roman"/>
          <w:sz w:val="24"/>
          <w:szCs w:val="24"/>
        </w:rPr>
      </w:pPr>
      <w:r w:rsidRPr="004923B9">
        <w:t>The reaction is possible because of reducing agents, such as phenolic acids and polyphenols, which are constituents of the crude extracts.</w:t>
      </w:r>
    </w:p>
    <w:p w14:paraId="053EC1ED" w14:textId="77777777" w:rsidR="00BC0DD8" w:rsidRPr="004923B9" w:rsidRDefault="00BC0DD8" w:rsidP="00215775">
      <w:pPr>
        <w:spacing w:after="0" w:line="240" w:lineRule="auto"/>
        <w:jc w:val="both"/>
        <w:rPr>
          <w:rFonts w:ascii="Times New Roman" w:hAnsi="Times New Roman" w:cs="Times New Roman"/>
          <w:sz w:val="24"/>
          <w:szCs w:val="24"/>
        </w:rPr>
      </w:pPr>
    </w:p>
    <w:p w14:paraId="53A25552" w14:textId="77777777" w:rsidR="00BC0DD8" w:rsidRPr="004923B9" w:rsidRDefault="00BC0DD8" w:rsidP="00215775">
      <w:pPr>
        <w:spacing w:after="0" w:line="240" w:lineRule="auto"/>
        <w:jc w:val="both"/>
        <w:rPr>
          <w:rFonts w:ascii="Times New Roman" w:hAnsi="Times New Roman" w:cs="Times New Roman"/>
          <w:b/>
          <w:sz w:val="24"/>
          <w:szCs w:val="24"/>
        </w:rPr>
      </w:pPr>
    </w:p>
    <w:p w14:paraId="15B01BC9" w14:textId="77777777" w:rsidR="00BC0DD8" w:rsidRPr="004923B9" w:rsidRDefault="00BC0DD8" w:rsidP="00215775">
      <w:pPr>
        <w:spacing w:after="0" w:line="240" w:lineRule="auto"/>
        <w:jc w:val="both"/>
        <w:rPr>
          <w:rFonts w:ascii="Times New Roman" w:hAnsi="Times New Roman" w:cs="Times New Roman"/>
          <w:sz w:val="24"/>
          <w:szCs w:val="24"/>
        </w:rPr>
      </w:pPr>
    </w:p>
    <w:p w14:paraId="20269E33"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Table 5: Mean scores of the FRAP Activities of the Crude Extracts at Different Concentrations</w:t>
      </w:r>
    </w:p>
    <w:p w14:paraId="048FDC81" w14:textId="77777777" w:rsidR="00BC0DD8" w:rsidRPr="004923B9" w:rsidRDefault="00BC0DD8" w:rsidP="00215775">
      <w:pPr>
        <w:spacing w:after="0" w:line="240" w:lineRule="auto"/>
        <w:jc w:val="both"/>
        <w:rPr>
          <w:rFonts w:ascii="Times New Roman" w:hAnsi="Times New Roman" w:cs="Times New Roman"/>
          <w:sz w:val="24"/>
          <w:szCs w:val="24"/>
        </w:rPr>
      </w:pPr>
    </w:p>
    <w:tbl>
      <w:tblPr>
        <w:tblStyle w:val="TableGrid"/>
        <w:tblW w:w="996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2070"/>
        <w:gridCol w:w="2160"/>
        <w:gridCol w:w="1980"/>
        <w:gridCol w:w="1860"/>
      </w:tblGrid>
      <w:tr w:rsidR="00BC0DD8" w:rsidRPr="004923B9" w14:paraId="11773BB3" w14:textId="77777777">
        <w:trPr>
          <w:trHeight w:val="466"/>
        </w:trPr>
        <w:tc>
          <w:tcPr>
            <w:tcW w:w="1890" w:type="dxa"/>
            <w:vMerge w:val="restart"/>
            <w:tcBorders>
              <w:top w:val="single" w:sz="4" w:space="0" w:color="auto"/>
            </w:tcBorders>
          </w:tcPr>
          <w:p w14:paraId="1E0AE967" w14:textId="77777777" w:rsidR="00BC0DD8" w:rsidRPr="004923B9" w:rsidRDefault="00BC0DD8" w:rsidP="00215775">
            <w:pPr>
              <w:spacing w:line="240" w:lineRule="auto"/>
              <w:jc w:val="both"/>
              <w:rPr>
                <w:rFonts w:ascii="Times New Roman" w:hAnsi="Times New Roman" w:cs="Times New Roman"/>
                <w:b/>
                <w:sz w:val="24"/>
                <w:szCs w:val="24"/>
              </w:rPr>
            </w:pPr>
          </w:p>
          <w:p w14:paraId="23A8D229"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Samples</w:t>
            </w:r>
          </w:p>
        </w:tc>
        <w:tc>
          <w:tcPr>
            <w:tcW w:w="8070" w:type="dxa"/>
            <w:gridSpan w:val="4"/>
            <w:tcBorders>
              <w:top w:val="single" w:sz="4" w:space="0" w:color="auto"/>
              <w:bottom w:val="single" w:sz="4" w:space="0" w:color="auto"/>
            </w:tcBorders>
          </w:tcPr>
          <w:p w14:paraId="1E933C26"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Concentrations (µg/ml)</w:t>
            </w:r>
          </w:p>
        </w:tc>
      </w:tr>
      <w:tr w:rsidR="00BC0DD8" w:rsidRPr="004923B9" w14:paraId="072DADD3" w14:textId="77777777">
        <w:trPr>
          <w:trHeight w:val="466"/>
        </w:trPr>
        <w:tc>
          <w:tcPr>
            <w:tcW w:w="1890" w:type="dxa"/>
            <w:vMerge/>
            <w:tcBorders>
              <w:bottom w:val="single" w:sz="4" w:space="0" w:color="auto"/>
            </w:tcBorders>
          </w:tcPr>
          <w:p w14:paraId="2639F6DB" w14:textId="77777777" w:rsidR="00BC0DD8" w:rsidRPr="004923B9" w:rsidRDefault="00BC0DD8" w:rsidP="00215775">
            <w:pPr>
              <w:spacing w:line="240" w:lineRule="auto"/>
              <w:jc w:val="both"/>
              <w:rPr>
                <w:rFonts w:ascii="Times New Roman" w:hAnsi="Times New Roman" w:cs="Times New Roman"/>
                <w:b/>
                <w:sz w:val="24"/>
                <w:szCs w:val="24"/>
              </w:rPr>
            </w:pPr>
          </w:p>
        </w:tc>
        <w:tc>
          <w:tcPr>
            <w:tcW w:w="2070" w:type="dxa"/>
            <w:tcBorders>
              <w:top w:val="single" w:sz="4" w:space="0" w:color="auto"/>
              <w:bottom w:val="single" w:sz="4" w:space="0" w:color="auto"/>
            </w:tcBorders>
          </w:tcPr>
          <w:p w14:paraId="18BFE536"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50</w:t>
            </w:r>
          </w:p>
        </w:tc>
        <w:tc>
          <w:tcPr>
            <w:tcW w:w="2160" w:type="dxa"/>
            <w:tcBorders>
              <w:top w:val="single" w:sz="4" w:space="0" w:color="auto"/>
              <w:bottom w:val="single" w:sz="4" w:space="0" w:color="auto"/>
            </w:tcBorders>
          </w:tcPr>
          <w:p w14:paraId="14C8FE32"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100</w:t>
            </w:r>
          </w:p>
        </w:tc>
        <w:tc>
          <w:tcPr>
            <w:tcW w:w="1980" w:type="dxa"/>
            <w:tcBorders>
              <w:top w:val="single" w:sz="4" w:space="0" w:color="auto"/>
              <w:bottom w:val="single" w:sz="4" w:space="0" w:color="auto"/>
            </w:tcBorders>
          </w:tcPr>
          <w:p w14:paraId="7DCC72C4"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200</w:t>
            </w:r>
          </w:p>
        </w:tc>
        <w:tc>
          <w:tcPr>
            <w:tcW w:w="1860" w:type="dxa"/>
            <w:tcBorders>
              <w:top w:val="single" w:sz="4" w:space="0" w:color="auto"/>
              <w:bottom w:val="single" w:sz="4" w:space="0" w:color="auto"/>
            </w:tcBorders>
          </w:tcPr>
          <w:p w14:paraId="275BC8A8"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400</w:t>
            </w:r>
          </w:p>
        </w:tc>
      </w:tr>
      <w:tr w:rsidR="00BC0DD8" w:rsidRPr="004923B9" w14:paraId="41A983F4" w14:textId="77777777">
        <w:trPr>
          <w:trHeight w:val="661"/>
        </w:trPr>
        <w:tc>
          <w:tcPr>
            <w:tcW w:w="1890" w:type="dxa"/>
            <w:tcBorders>
              <w:top w:val="single" w:sz="4" w:space="0" w:color="auto"/>
            </w:tcBorders>
          </w:tcPr>
          <w:p w14:paraId="7E72347E"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Ctrl</w:t>
            </w:r>
          </w:p>
        </w:tc>
        <w:tc>
          <w:tcPr>
            <w:tcW w:w="2070" w:type="dxa"/>
            <w:tcBorders>
              <w:top w:val="single" w:sz="4" w:space="0" w:color="auto"/>
            </w:tcBorders>
          </w:tcPr>
          <w:p w14:paraId="7E54B27E"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18.20</w:t>
            </w:r>
            <w:r w:rsidRPr="004923B9">
              <w:rPr>
                <w:rFonts w:ascii="Times New Roman" w:hAnsi="Times New Roman" w:cs="Times New Roman"/>
                <w:sz w:val="24"/>
                <w:szCs w:val="24"/>
                <w:vertAlign w:val="superscript"/>
              </w:rPr>
              <w:t xml:space="preserve"> d</w:t>
            </w:r>
            <w:r w:rsidRPr="004923B9">
              <w:rPr>
                <w:rFonts w:ascii="Times New Roman" w:hAnsi="Times New Roman" w:cs="Times New Roman"/>
                <w:sz w:val="24"/>
                <w:szCs w:val="24"/>
              </w:rPr>
              <w:t xml:space="preserve"> ±0.5050</w:t>
            </w:r>
          </w:p>
        </w:tc>
        <w:tc>
          <w:tcPr>
            <w:tcW w:w="2160" w:type="dxa"/>
            <w:tcBorders>
              <w:top w:val="single" w:sz="4" w:space="0" w:color="auto"/>
            </w:tcBorders>
          </w:tcPr>
          <w:p w14:paraId="12507B32"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29.64</w:t>
            </w:r>
            <w:r w:rsidRPr="004923B9">
              <w:rPr>
                <w:rFonts w:ascii="Times New Roman" w:hAnsi="Times New Roman" w:cs="Times New Roman"/>
                <w:sz w:val="24"/>
                <w:szCs w:val="24"/>
                <w:vertAlign w:val="superscript"/>
              </w:rPr>
              <w:t xml:space="preserve">d </w:t>
            </w:r>
            <w:r w:rsidRPr="004923B9">
              <w:rPr>
                <w:rFonts w:ascii="Times New Roman" w:hAnsi="Times New Roman" w:cs="Times New Roman"/>
                <w:sz w:val="24"/>
                <w:szCs w:val="24"/>
              </w:rPr>
              <w:t>±0.2250</w:t>
            </w:r>
          </w:p>
        </w:tc>
        <w:tc>
          <w:tcPr>
            <w:tcW w:w="1980" w:type="dxa"/>
            <w:tcBorders>
              <w:top w:val="single" w:sz="4" w:space="0" w:color="auto"/>
            </w:tcBorders>
          </w:tcPr>
          <w:p w14:paraId="3492E489"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38.80</w:t>
            </w:r>
            <w:r w:rsidRPr="004923B9">
              <w:rPr>
                <w:rFonts w:ascii="Times New Roman" w:hAnsi="Times New Roman" w:cs="Times New Roman"/>
                <w:sz w:val="24"/>
                <w:szCs w:val="24"/>
                <w:vertAlign w:val="superscript"/>
              </w:rPr>
              <w:t>d</w:t>
            </w:r>
            <w:r w:rsidRPr="004923B9">
              <w:rPr>
                <w:rFonts w:ascii="Times New Roman" w:hAnsi="Times New Roman" w:cs="Times New Roman"/>
                <w:sz w:val="24"/>
                <w:szCs w:val="24"/>
              </w:rPr>
              <w:t>±0.2501</w:t>
            </w:r>
          </w:p>
        </w:tc>
        <w:tc>
          <w:tcPr>
            <w:tcW w:w="1860" w:type="dxa"/>
            <w:tcBorders>
              <w:top w:val="single" w:sz="4" w:space="0" w:color="auto"/>
            </w:tcBorders>
          </w:tcPr>
          <w:p w14:paraId="02563E87"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62.69</w:t>
            </w:r>
            <w:r w:rsidRPr="004923B9">
              <w:rPr>
                <w:rFonts w:ascii="Times New Roman" w:hAnsi="Times New Roman" w:cs="Times New Roman"/>
                <w:sz w:val="24"/>
                <w:szCs w:val="24"/>
                <w:vertAlign w:val="superscript"/>
              </w:rPr>
              <w:t>d</w:t>
            </w:r>
            <w:r w:rsidRPr="004923B9">
              <w:rPr>
                <w:rFonts w:ascii="Times New Roman" w:hAnsi="Times New Roman" w:cs="Times New Roman"/>
                <w:sz w:val="24"/>
                <w:szCs w:val="24"/>
              </w:rPr>
              <w:t>±0.3132</w:t>
            </w:r>
          </w:p>
        </w:tc>
      </w:tr>
      <w:tr w:rsidR="00BC0DD8" w:rsidRPr="004923B9" w14:paraId="46B95F55" w14:textId="77777777">
        <w:trPr>
          <w:trHeight w:val="664"/>
        </w:trPr>
        <w:tc>
          <w:tcPr>
            <w:tcW w:w="1890" w:type="dxa"/>
          </w:tcPr>
          <w:p w14:paraId="1F38095A"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AGX</w:t>
            </w:r>
          </w:p>
        </w:tc>
        <w:tc>
          <w:tcPr>
            <w:tcW w:w="2070" w:type="dxa"/>
          </w:tcPr>
          <w:p w14:paraId="43CB86C7"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73.39</w:t>
            </w:r>
            <w:r w:rsidRPr="004923B9">
              <w:rPr>
                <w:rFonts w:ascii="Times New Roman" w:hAnsi="Times New Roman" w:cs="Times New Roman"/>
                <w:sz w:val="24"/>
                <w:szCs w:val="24"/>
                <w:vertAlign w:val="superscript"/>
              </w:rPr>
              <w:t xml:space="preserve"> a</w:t>
            </w:r>
            <w:r w:rsidRPr="004923B9">
              <w:rPr>
                <w:rFonts w:ascii="Times New Roman" w:hAnsi="Times New Roman" w:cs="Times New Roman"/>
                <w:sz w:val="24"/>
                <w:szCs w:val="24"/>
              </w:rPr>
              <w:t xml:space="preserve"> ±0.4613</w:t>
            </w:r>
          </w:p>
        </w:tc>
        <w:tc>
          <w:tcPr>
            <w:tcW w:w="2160" w:type="dxa"/>
          </w:tcPr>
          <w:p w14:paraId="71FE6C43"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82.42</w:t>
            </w:r>
            <w:r w:rsidRPr="004923B9">
              <w:rPr>
                <w:rFonts w:ascii="Times New Roman" w:hAnsi="Times New Roman" w:cs="Times New Roman"/>
                <w:sz w:val="24"/>
                <w:szCs w:val="24"/>
                <w:vertAlign w:val="superscript"/>
              </w:rPr>
              <w:t xml:space="preserve"> a</w:t>
            </w:r>
            <w:r w:rsidRPr="004923B9">
              <w:rPr>
                <w:rFonts w:ascii="Times New Roman" w:hAnsi="Times New Roman" w:cs="Times New Roman"/>
                <w:sz w:val="24"/>
                <w:szCs w:val="24"/>
              </w:rPr>
              <w:t xml:space="preserve"> ±0.2212</w:t>
            </w:r>
          </w:p>
        </w:tc>
        <w:tc>
          <w:tcPr>
            <w:tcW w:w="1980" w:type="dxa"/>
          </w:tcPr>
          <w:p w14:paraId="488C3CBA"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88.51</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±0.2001</w:t>
            </w:r>
          </w:p>
        </w:tc>
        <w:tc>
          <w:tcPr>
            <w:tcW w:w="1860" w:type="dxa"/>
          </w:tcPr>
          <w:p w14:paraId="4702851C"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89.93</w:t>
            </w:r>
            <w:r w:rsidRPr="004923B9">
              <w:rPr>
                <w:rFonts w:ascii="Times New Roman" w:hAnsi="Times New Roman" w:cs="Times New Roman"/>
                <w:sz w:val="24"/>
                <w:szCs w:val="24"/>
                <w:vertAlign w:val="superscript"/>
              </w:rPr>
              <w:t>a</w:t>
            </w:r>
            <w:r w:rsidRPr="004923B9">
              <w:rPr>
                <w:rFonts w:ascii="Times New Roman" w:hAnsi="Times New Roman" w:cs="Times New Roman"/>
                <w:sz w:val="24"/>
                <w:szCs w:val="24"/>
              </w:rPr>
              <w:t>±0.1504</w:t>
            </w:r>
          </w:p>
        </w:tc>
      </w:tr>
      <w:tr w:rsidR="00BC0DD8" w:rsidRPr="004923B9" w14:paraId="4D91D254" w14:textId="77777777">
        <w:trPr>
          <w:trHeight w:val="624"/>
        </w:trPr>
        <w:tc>
          <w:tcPr>
            <w:tcW w:w="1890" w:type="dxa"/>
            <w:tcBorders>
              <w:bottom w:val="nil"/>
            </w:tcBorders>
          </w:tcPr>
          <w:p w14:paraId="508B29C0"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ATX</w:t>
            </w:r>
          </w:p>
        </w:tc>
        <w:tc>
          <w:tcPr>
            <w:tcW w:w="2070" w:type="dxa"/>
            <w:tcBorders>
              <w:bottom w:val="nil"/>
            </w:tcBorders>
          </w:tcPr>
          <w:p w14:paraId="05CD9DD8"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34.42</w:t>
            </w:r>
            <w:r w:rsidRPr="004923B9">
              <w:rPr>
                <w:rFonts w:ascii="Times New Roman" w:hAnsi="Times New Roman" w:cs="Times New Roman"/>
                <w:sz w:val="24"/>
                <w:szCs w:val="24"/>
                <w:vertAlign w:val="superscript"/>
              </w:rPr>
              <w:t xml:space="preserve"> c</w:t>
            </w:r>
            <w:r w:rsidRPr="004923B9">
              <w:rPr>
                <w:rFonts w:ascii="Times New Roman" w:hAnsi="Times New Roman" w:cs="Times New Roman"/>
                <w:sz w:val="24"/>
                <w:szCs w:val="24"/>
              </w:rPr>
              <w:t xml:space="preserve"> ±0.076</w:t>
            </w:r>
          </w:p>
        </w:tc>
        <w:tc>
          <w:tcPr>
            <w:tcW w:w="2160" w:type="dxa"/>
            <w:tcBorders>
              <w:bottom w:val="nil"/>
            </w:tcBorders>
          </w:tcPr>
          <w:p w14:paraId="3C2D1AF2"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61.72</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±0.4225</w:t>
            </w:r>
          </w:p>
        </w:tc>
        <w:tc>
          <w:tcPr>
            <w:tcW w:w="1980" w:type="dxa"/>
            <w:tcBorders>
              <w:bottom w:val="nil"/>
            </w:tcBorders>
          </w:tcPr>
          <w:p w14:paraId="296F8796"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77.22</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±0.0113</w:t>
            </w:r>
          </w:p>
        </w:tc>
        <w:tc>
          <w:tcPr>
            <w:tcW w:w="1860" w:type="dxa"/>
            <w:tcBorders>
              <w:bottom w:val="nil"/>
            </w:tcBorders>
          </w:tcPr>
          <w:p w14:paraId="36B15EE2"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79.53</w:t>
            </w:r>
            <w:r w:rsidRPr="004923B9">
              <w:rPr>
                <w:rFonts w:ascii="Times New Roman" w:hAnsi="Times New Roman" w:cs="Times New Roman"/>
                <w:sz w:val="24"/>
                <w:szCs w:val="24"/>
                <w:vertAlign w:val="superscript"/>
              </w:rPr>
              <w:t>b</w:t>
            </w:r>
            <w:r w:rsidRPr="004923B9">
              <w:rPr>
                <w:rFonts w:ascii="Times New Roman" w:hAnsi="Times New Roman" w:cs="Times New Roman"/>
                <w:sz w:val="24"/>
                <w:szCs w:val="24"/>
              </w:rPr>
              <w:t>±0.0802</w:t>
            </w:r>
          </w:p>
        </w:tc>
      </w:tr>
      <w:tr w:rsidR="00BC0DD8" w:rsidRPr="004923B9" w14:paraId="0CE9374A" w14:textId="77777777">
        <w:trPr>
          <w:trHeight w:val="678"/>
        </w:trPr>
        <w:tc>
          <w:tcPr>
            <w:tcW w:w="1890" w:type="dxa"/>
            <w:tcBorders>
              <w:top w:val="nil"/>
              <w:bottom w:val="nil"/>
            </w:tcBorders>
          </w:tcPr>
          <w:p w14:paraId="6E3EAC44"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AMX</w:t>
            </w:r>
          </w:p>
        </w:tc>
        <w:tc>
          <w:tcPr>
            <w:tcW w:w="2070" w:type="dxa"/>
            <w:tcBorders>
              <w:top w:val="nil"/>
              <w:bottom w:val="nil"/>
            </w:tcBorders>
          </w:tcPr>
          <w:p w14:paraId="75639F0A"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40.84</w:t>
            </w:r>
            <w:r w:rsidRPr="004923B9">
              <w:rPr>
                <w:rFonts w:ascii="Times New Roman" w:hAnsi="Times New Roman" w:cs="Times New Roman"/>
                <w:sz w:val="24"/>
                <w:szCs w:val="24"/>
                <w:vertAlign w:val="superscript"/>
              </w:rPr>
              <w:t xml:space="preserve"> b</w:t>
            </w:r>
            <w:r w:rsidRPr="004923B9">
              <w:rPr>
                <w:rFonts w:ascii="Times New Roman" w:hAnsi="Times New Roman" w:cs="Times New Roman"/>
                <w:sz w:val="24"/>
                <w:szCs w:val="24"/>
              </w:rPr>
              <w:t xml:space="preserve"> ±0.226</w:t>
            </w:r>
          </w:p>
        </w:tc>
        <w:tc>
          <w:tcPr>
            <w:tcW w:w="2160" w:type="dxa"/>
            <w:tcBorders>
              <w:top w:val="nil"/>
              <w:bottom w:val="nil"/>
            </w:tcBorders>
          </w:tcPr>
          <w:p w14:paraId="09D94A08"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50.18</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±0.1550</w:t>
            </w:r>
          </w:p>
        </w:tc>
        <w:tc>
          <w:tcPr>
            <w:tcW w:w="1980" w:type="dxa"/>
            <w:tcBorders>
              <w:top w:val="nil"/>
              <w:bottom w:val="nil"/>
            </w:tcBorders>
          </w:tcPr>
          <w:p w14:paraId="6FF9D112"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58.30</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 xml:space="preserve"> ±0.1450</w:t>
            </w:r>
          </w:p>
        </w:tc>
        <w:tc>
          <w:tcPr>
            <w:tcW w:w="1860" w:type="dxa"/>
            <w:tcBorders>
              <w:top w:val="nil"/>
              <w:bottom w:val="nil"/>
            </w:tcBorders>
          </w:tcPr>
          <w:p w14:paraId="5DD69A45"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76.80</w:t>
            </w:r>
            <w:r w:rsidRPr="004923B9">
              <w:rPr>
                <w:rFonts w:ascii="Times New Roman" w:hAnsi="Times New Roman" w:cs="Times New Roman"/>
                <w:sz w:val="24"/>
                <w:szCs w:val="24"/>
                <w:vertAlign w:val="superscript"/>
              </w:rPr>
              <w:t>c</w:t>
            </w:r>
            <w:r w:rsidRPr="004923B9">
              <w:rPr>
                <w:rFonts w:ascii="Times New Roman" w:hAnsi="Times New Roman" w:cs="Times New Roman"/>
                <w:sz w:val="24"/>
                <w:szCs w:val="24"/>
              </w:rPr>
              <w:t>±0.2179</w:t>
            </w:r>
          </w:p>
        </w:tc>
      </w:tr>
      <w:tr w:rsidR="00BC0DD8" w:rsidRPr="004923B9" w14:paraId="23881AEB" w14:textId="77777777">
        <w:trPr>
          <w:trHeight w:val="678"/>
        </w:trPr>
        <w:tc>
          <w:tcPr>
            <w:tcW w:w="1890" w:type="dxa"/>
            <w:tcBorders>
              <w:top w:val="nil"/>
            </w:tcBorders>
          </w:tcPr>
          <w:p w14:paraId="69FACCC6"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LSD</w:t>
            </w:r>
          </w:p>
        </w:tc>
        <w:tc>
          <w:tcPr>
            <w:tcW w:w="2070" w:type="dxa"/>
            <w:tcBorders>
              <w:top w:val="nil"/>
            </w:tcBorders>
          </w:tcPr>
          <w:p w14:paraId="558EBF4A"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0.8352</w:t>
            </w:r>
          </w:p>
        </w:tc>
        <w:tc>
          <w:tcPr>
            <w:tcW w:w="2160" w:type="dxa"/>
            <w:tcBorders>
              <w:top w:val="nil"/>
            </w:tcBorders>
          </w:tcPr>
          <w:p w14:paraId="604D6148"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0.6338</w:t>
            </w:r>
          </w:p>
        </w:tc>
        <w:tc>
          <w:tcPr>
            <w:tcW w:w="1980" w:type="dxa"/>
            <w:tcBorders>
              <w:top w:val="nil"/>
            </w:tcBorders>
          </w:tcPr>
          <w:p w14:paraId="1399FA79"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0.4256</w:t>
            </w:r>
          </w:p>
        </w:tc>
        <w:tc>
          <w:tcPr>
            <w:tcW w:w="1860" w:type="dxa"/>
            <w:tcBorders>
              <w:top w:val="nil"/>
            </w:tcBorders>
          </w:tcPr>
          <w:p w14:paraId="152ABC57" w14:textId="77777777" w:rsidR="00BC0DD8" w:rsidRPr="004923B9" w:rsidRDefault="001C03BC" w:rsidP="00215775">
            <w:pPr>
              <w:spacing w:line="240" w:lineRule="auto"/>
              <w:jc w:val="both"/>
              <w:rPr>
                <w:rFonts w:ascii="Times New Roman" w:hAnsi="Times New Roman" w:cs="Times New Roman"/>
                <w:b/>
                <w:sz w:val="24"/>
                <w:szCs w:val="24"/>
              </w:rPr>
            </w:pPr>
            <w:r w:rsidRPr="004923B9">
              <w:rPr>
                <w:rFonts w:ascii="Times New Roman" w:hAnsi="Times New Roman" w:cs="Times New Roman"/>
                <w:b/>
                <w:sz w:val="24"/>
                <w:szCs w:val="24"/>
              </w:rPr>
              <w:t>0.4819</w:t>
            </w:r>
          </w:p>
        </w:tc>
      </w:tr>
    </w:tbl>
    <w:p w14:paraId="377D5D86"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The means ‘</w:t>
      </w:r>
      <w:proofErr w:type="spellStart"/>
      <w:r w:rsidRPr="004923B9">
        <w:rPr>
          <w:rFonts w:ascii="Times New Roman" w:hAnsi="Times New Roman" w:cs="Times New Roman"/>
          <w:sz w:val="24"/>
          <w:szCs w:val="24"/>
        </w:rPr>
        <w:t>abc</w:t>
      </w:r>
      <w:proofErr w:type="spellEnd"/>
      <w:r w:rsidRPr="004923B9">
        <w:rPr>
          <w:rFonts w:ascii="Times New Roman" w:hAnsi="Times New Roman" w:cs="Times New Roman"/>
          <w:sz w:val="24"/>
          <w:szCs w:val="24"/>
        </w:rPr>
        <w:t>…’  with  different  superscript  within  the  same  column  are  significantly  different  (p≤0.05)</w:t>
      </w:r>
    </w:p>
    <w:p w14:paraId="5F79A157"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lastRenderedPageBreak/>
        <w:t>Keys:</w:t>
      </w:r>
      <w:r w:rsidRPr="004923B9">
        <w:rPr>
          <w:rFonts w:ascii="Times New Roman" w:hAnsi="Times New Roman" w:cs="Times New Roman"/>
          <w:sz w:val="24"/>
          <w:szCs w:val="24"/>
        </w:rPr>
        <w:tab/>
        <w:t>Control = Normal Vitamin C</w:t>
      </w:r>
    </w:p>
    <w:p w14:paraId="582F6144" w14:textId="77777777" w:rsidR="00BC0DD8" w:rsidRPr="004923B9" w:rsidRDefault="001C03BC" w:rsidP="00215775">
      <w:pPr>
        <w:spacing w:after="0" w:line="240" w:lineRule="auto"/>
        <w:ind w:firstLine="720"/>
        <w:jc w:val="both"/>
        <w:rPr>
          <w:rFonts w:ascii="Times New Roman" w:hAnsi="Times New Roman" w:cs="Times New Roman"/>
          <w:sz w:val="24"/>
          <w:szCs w:val="24"/>
        </w:rPr>
      </w:pPr>
      <w:r w:rsidRPr="004923B9">
        <w:rPr>
          <w:rFonts w:ascii="Times New Roman" w:hAnsi="Times New Roman" w:cs="Times New Roman"/>
          <w:sz w:val="24"/>
          <w:szCs w:val="24"/>
        </w:rPr>
        <w:t xml:space="preserve"> AGX = Ginger extracts</w:t>
      </w:r>
    </w:p>
    <w:p w14:paraId="2CB365AA"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t xml:space="preserve">ATX = </w:t>
      </w:r>
      <w:r w:rsidRPr="004923B9">
        <w:rPr>
          <w:rFonts w:ascii="Times New Roman" w:hAnsi="Times New Roman" w:cs="Times New Roman"/>
          <w:i/>
          <w:sz w:val="24"/>
          <w:szCs w:val="24"/>
        </w:rPr>
        <w:t xml:space="preserve">T. </w:t>
      </w:r>
      <w:proofErr w:type="spellStart"/>
      <w:r w:rsidRPr="004923B9">
        <w:rPr>
          <w:rFonts w:ascii="Times New Roman" w:hAnsi="Times New Roman" w:cs="Times New Roman"/>
          <w:i/>
          <w:sz w:val="24"/>
          <w:szCs w:val="24"/>
        </w:rPr>
        <w:t>tetrapluera</w:t>
      </w:r>
      <w:proofErr w:type="spellEnd"/>
      <w:r w:rsidRPr="004923B9">
        <w:rPr>
          <w:rFonts w:ascii="Times New Roman" w:hAnsi="Times New Roman" w:cs="Times New Roman"/>
          <w:i/>
          <w:sz w:val="24"/>
          <w:szCs w:val="24"/>
        </w:rPr>
        <w:t xml:space="preserve"> </w:t>
      </w:r>
      <w:r w:rsidRPr="004923B9">
        <w:rPr>
          <w:rFonts w:ascii="Times New Roman" w:hAnsi="Times New Roman" w:cs="Times New Roman"/>
          <w:sz w:val="24"/>
          <w:szCs w:val="24"/>
        </w:rPr>
        <w:t>extracts</w:t>
      </w:r>
    </w:p>
    <w:p w14:paraId="794FFD2D"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t>AMX =</w:t>
      </w:r>
      <w:r w:rsidRPr="004923B9">
        <w:rPr>
          <w:rFonts w:ascii="Times New Roman" w:hAnsi="Times New Roman" w:cs="Times New Roman"/>
          <w:i/>
          <w:sz w:val="24"/>
          <w:szCs w:val="24"/>
        </w:rPr>
        <w:t xml:space="preserve"> M. </w:t>
      </w:r>
      <w:proofErr w:type="spellStart"/>
      <w:r w:rsidRPr="004923B9">
        <w:rPr>
          <w:rFonts w:ascii="Times New Roman" w:hAnsi="Times New Roman" w:cs="Times New Roman"/>
          <w:i/>
          <w:sz w:val="24"/>
          <w:szCs w:val="24"/>
        </w:rPr>
        <w:t>myristica</w:t>
      </w:r>
      <w:proofErr w:type="spellEnd"/>
      <w:r w:rsidRPr="004923B9">
        <w:rPr>
          <w:rFonts w:ascii="Times New Roman" w:hAnsi="Times New Roman" w:cs="Times New Roman"/>
          <w:i/>
          <w:sz w:val="24"/>
          <w:szCs w:val="24"/>
        </w:rPr>
        <w:t xml:space="preserve"> </w:t>
      </w:r>
      <w:r w:rsidRPr="004923B9">
        <w:rPr>
          <w:rFonts w:ascii="Times New Roman" w:hAnsi="Times New Roman" w:cs="Times New Roman"/>
          <w:sz w:val="24"/>
          <w:szCs w:val="24"/>
        </w:rPr>
        <w:t xml:space="preserve">extracts                                                                                                                                                                                                                    </w:t>
      </w:r>
    </w:p>
    <w:p w14:paraId="0CB0A010" w14:textId="77777777" w:rsidR="00BC0DD8" w:rsidRPr="004923B9" w:rsidRDefault="00BC0DD8" w:rsidP="00215775">
      <w:pPr>
        <w:spacing w:after="0" w:line="240" w:lineRule="auto"/>
        <w:jc w:val="both"/>
        <w:rPr>
          <w:rFonts w:ascii="Times New Roman" w:hAnsi="Times New Roman" w:cs="Times New Roman"/>
          <w:b/>
          <w:sz w:val="24"/>
          <w:szCs w:val="24"/>
        </w:rPr>
      </w:pPr>
    </w:p>
    <w:p w14:paraId="6EF92AE6" w14:textId="77777777" w:rsidR="00BC0DD8" w:rsidRPr="004923B9" w:rsidRDefault="001C03BC" w:rsidP="00215775">
      <w:pPr>
        <w:spacing w:after="0" w:line="240" w:lineRule="auto"/>
        <w:jc w:val="both"/>
        <w:rPr>
          <w:rFonts w:ascii="Times New Roman" w:hAnsi="Times New Roman" w:cs="Times New Roman"/>
          <w:b/>
          <w:sz w:val="24"/>
          <w:szCs w:val="24"/>
        </w:rPr>
      </w:pPr>
      <w:r w:rsidRPr="004923B9">
        <w:rPr>
          <w:b/>
        </w:rPr>
        <w:t>Lipid Peroxidation Inhibition Activity of the Extracts at Different Concentrations.</w:t>
      </w:r>
    </w:p>
    <w:p w14:paraId="67EFB662" w14:textId="77777777" w:rsidR="00BC0DD8" w:rsidRPr="004923B9" w:rsidRDefault="00BC0DD8" w:rsidP="00215775">
      <w:pPr>
        <w:spacing w:after="0" w:line="240" w:lineRule="auto"/>
        <w:jc w:val="both"/>
        <w:rPr>
          <w:rFonts w:ascii="Times New Roman" w:hAnsi="Times New Roman" w:cs="Times New Roman"/>
          <w:b/>
          <w:sz w:val="24"/>
          <w:szCs w:val="24"/>
        </w:rPr>
      </w:pPr>
    </w:p>
    <w:p w14:paraId="7234BF1D" w14:textId="77777777" w:rsidR="00215775" w:rsidRPr="004923B9" w:rsidRDefault="00215775" w:rsidP="00215775">
      <w:pPr>
        <w:spacing w:after="0" w:line="240" w:lineRule="auto"/>
        <w:jc w:val="both"/>
        <w:rPr>
          <w:rFonts w:ascii="Times New Roman" w:eastAsia="Times New Roman" w:hAnsi="Times New Roman" w:cs="Times New Roman"/>
          <w:sz w:val="24"/>
          <w:szCs w:val="24"/>
        </w:rPr>
      </w:pPr>
      <w:r w:rsidRPr="004923B9">
        <w:t>The findings on the lipid peroxidation inhibition activity of the extracts at various concentrations are presented in Figure 8. At 50 µg/ml, the control showed the highest peak (2.86 µg/ml), followed by AMX (2.23 µg/ml), AGX (2.01 µg/ml) and ATX (1.73 µg/ml). AMX had the maximum result of 3.26 µg/ml at 100 µg/ml, whereas the control sample recorded 2.95 µg/ml. In addition, samples AGX and ATX recorded 2.63 and 1.97 µg/ml, respectively. ATX exhibited the lowest lipid peroxidation inhibition at 100 µg/ml. At 200 µg/ml, the control had the greatest lipid peroxidation inhibition activity (4.08 µg/ml), followed by AMX (3.50 µg/ml). AGX recorded 2.88 µg/ml, whereas ATX had the lowest mean score of 2.29 µg/ml. At 400 µg/ml, the control had the highest value (6.34 µg/ml), followed by AMX (4.55 µg/ml). AGX and ATX had mean scores of 3.48 and 2.91 µg/ml, respectively. At 400 µg/ml, sample ATX had the lowest lipid peroxidation inhibition activity, whereas the control had the maximum activity.</w:t>
      </w:r>
    </w:p>
    <w:p w14:paraId="6C94C2DA" w14:textId="77777777" w:rsidR="00215775" w:rsidRPr="004923B9" w:rsidRDefault="00215775" w:rsidP="00215775">
      <w:pPr>
        <w:spacing w:after="0" w:line="240" w:lineRule="auto"/>
        <w:jc w:val="both"/>
        <w:rPr>
          <w:rFonts w:ascii="Times New Roman" w:eastAsia="Times New Roman" w:hAnsi="Times New Roman" w:cs="Times New Roman"/>
          <w:sz w:val="24"/>
          <w:szCs w:val="24"/>
        </w:rPr>
      </w:pPr>
      <w:r w:rsidRPr="004923B9">
        <w:t>It might be argued that lipid peroxidation inhibition is directly proportional to concentration. The control showed the highest peak at a concentration of 400 µg/ml. Chan et al. (2011) reported that lipid peroxidation in plant extracts increases with concentration. As a result, the discrepancies in inhibitory activity among samples may be due to variations in the intrinsic components of the crude extracts.</w:t>
      </w:r>
    </w:p>
    <w:p w14:paraId="22042733" w14:textId="77777777" w:rsidR="00BC0DD8" w:rsidRPr="004923B9" w:rsidRDefault="00BC0DD8" w:rsidP="00215775">
      <w:pPr>
        <w:spacing w:after="0" w:line="240" w:lineRule="auto"/>
        <w:jc w:val="both"/>
        <w:rPr>
          <w:rFonts w:ascii="Times New Roman" w:hAnsi="Times New Roman" w:cs="Times New Roman"/>
          <w:sz w:val="24"/>
          <w:szCs w:val="24"/>
        </w:rPr>
      </w:pPr>
    </w:p>
    <w:p w14:paraId="146088B3" w14:textId="77777777" w:rsidR="00BC0DD8" w:rsidRPr="004923B9" w:rsidRDefault="001C03BC" w:rsidP="00215775">
      <w:pPr>
        <w:spacing w:after="0" w:line="480" w:lineRule="auto"/>
        <w:jc w:val="both"/>
        <w:rPr>
          <w:rFonts w:ascii="Times New Roman" w:hAnsi="Times New Roman" w:cs="Times New Roman"/>
          <w:sz w:val="24"/>
          <w:szCs w:val="24"/>
        </w:rPr>
      </w:pPr>
      <w:r w:rsidRPr="004923B9">
        <w:rPr>
          <w:rFonts w:ascii="Times New Roman" w:hAnsi="Times New Roman" w:cs="Times New Roman"/>
          <w:noProof/>
          <w:sz w:val="24"/>
          <w:szCs w:val="24"/>
        </w:rPr>
        <w:drawing>
          <wp:inline distT="0" distB="0" distL="114300" distR="114300" wp14:anchorId="4EC2FDA8" wp14:editId="298A0633">
            <wp:extent cx="6353175" cy="3614056"/>
            <wp:effectExtent l="0" t="0" r="0" b="0"/>
            <wp:docPr id="1119"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6690535" w14:textId="77777777" w:rsidR="00BC0DD8" w:rsidRPr="004923B9" w:rsidRDefault="001C03BC" w:rsidP="00215775">
      <w:pPr>
        <w:spacing w:after="0" w:line="480" w:lineRule="auto"/>
        <w:jc w:val="both"/>
        <w:rPr>
          <w:rFonts w:ascii="Times New Roman" w:hAnsi="Times New Roman" w:cs="Times New Roman"/>
          <w:sz w:val="24"/>
          <w:szCs w:val="24"/>
        </w:rPr>
      </w:pPr>
      <w:r w:rsidRPr="004923B9">
        <w:rPr>
          <w:rFonts w:ascii="Times New Roman" w:eastAsia="Times New Roman" w:hAnsi="Times New Roman" w:cs="Times New Roman"/>
          <w:sz w:val="24"/>
          <w:szCs w:val="24"/>
        </w:rPr>
        <w:t xml:space="preserve">Figure </w:t>
      </w:r>
      <w:r w:rsidR="00425D62" w:rsidRPr="004923B9">
        <w:rPr>
          <w:rFonts w:ascii="Times New Roman" w:eastAsia="Times New Roman" w:hAnsi="Times New Roman" w:cs="Times New Roman"/>
          <w:sz w:val="24"/>
          <w:szCs w:val="24"/>
        </w:rPr>
        <w:t>5</w:t>
      </w:r>
      <w:r w:rsidRPr="004923B9">
        <w:rPr>
          <w:rFonts w:ascii="Times New Roman" w:eastAsia="Times New Roman" w:hAnsi="Times New Roman" w:cs="Times New Roman"/>
          <w:sz w:val="24"/>
          <w:szCs w:val="24"/>
        </w:rPr>
        <w:t xml:space="preserve">. </w:t>
      </w:r>
      <w:r w:rsidRPr="004923B9">
        <w:rPr>
          <w:rFonts w:ascii="Times New Roman" w:hAnsi="Times New Roman" w:cs="Times New Roman"/>
          <w:bCs/>
          <w:sz w:val="24"/>
          <w:szCs w:val="24"/>
        </w:rPr>
        <w:t>Quantitative Phytochemical Screening of the Crude extracts</w:t>
      </w:r>
    </w:p>
    <w:p w14:paraId="15F9955A" w14:textId="77777777" w:rsidR="00BC0DD8" w:rsidRPr="004923B9" w:rsidRDefault="00BC0DD8" w:rsidP="00215775">
      <w:pPr>
        <w:spacing w:after="0" w:line="480" w:lineRule="auto"/>
        <w:jc w:val="both"/>
        <w:rPr>
          <w:rFonts w:ascii="Times New Roman" w:hAnsi="Times New Roman" w:cs="Times New Roman"/>
          <w:sz w:val="24"/>
          <w:szCs w:val="24"/>
        </w:rPr>
      </w:pPr>
    </w:p>
    <w:p w14:paraId="22E36208" w14:textId="77777777" w:rsidR="00BC0DD8" w:rsidRPr="004923B9" w:rsidRDefault="00BC0DD8" w:rsidP="00215775">
      <w:pPr>
        <w:spacing w:after="0" w:line="480" w:lineRule="auto"/>
        <w:jc w:val="both"/>
        <w:rPr>
          <w:rFonts w:ascii="Times New Roman" w:hAnsi="Times New Roman" w:cs="Times New Roman"/>
          <w:sz w:val="24"/>
          <w:szCs w:val="24"/>
        </w:rPr>
      </w:pPr>
    </w:p>
    <w:p w14:paraId="08349990" w14:textId="77777777" w:rsidR="00BC0DD8" w:rsidRPr="004923B9" w:rsidRDefault="00BC0DD8" w:rsidP="00215775">
      <w:pPr>
        <w:spacing w:after="0" w:line="480" w:lineRule="auto"/>
        <w:jc w:val="both"/>
        <w:rPr>
          <w:rFonts w:ascii="Times New Roman" w:hAnsi="Times New Roman" w:cs="Times New Roman"/>
          <w:sz w:val="24"/>
          <w:szCs w:val="24"/>
        </w:rPr>
      </w:pPr>
    </w:p>
    <w:p w14:paraId="64F3D5D1" w14:textId="77777777" w:rsidR="00BC0DD8" w:rsidRPr="004923B9" w:rsidRDefault="001C03BC" w:rsidP="00215775">
      <w:pPr>
        <w:spacing w:after="0" w:line="480" w:lineRule="auto"/>
        <w:jc w:val="both"/>
        <w:rPr>
          <w:rFonts w:ascii="Times New Roman" w:hAnsi="Times New Roman" w:cs="Times New Roman"/>
          <w:sz w:val="24"/>
          <w:szCs w:val="24"/>
        </w:rPr>
      </w:pPr>
      <w:r w:rsidRPr="004923B9">
        <w:rPr>
          <w:rFonts w:ascii="Times New Roman" w:hAnsi="Times New Roman" w:cs="Times New Roman"/>
          <w:noProof/>
          <w:sz w:val="24"/>
          <w:szCs w:val="24"/>
        </w:rPr>
        <w:drawing>
          <wp:inline distT="0" distB="0" distL="114300" distR="114300" wp14:anchorId="2F1CA925" wp14:editId="7991C961">
            <wp:extent cx="5486400" cy="3200400"/>
            <wp:effectExtent l="0" t="0" r="0" b="0"/>
            <wp:docPr id="112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95EAF14" w14:textId="77777777" w:rsidR="00BC0DD8" w:rsidRPr="004923B9" w:rsidRDefault="001C03BC" w:rsidP="00215775">
      <w:pPr>
        <w:spacing w:after="0" w:line="480" w:lineRule="auto"/>
        <w:jc w:val="both"/>
        <w:rPr>
          <w:rFonts w:ascii="Times New Roman" w:hAnsi="Times New Roman" w:cs="Times New Roman"/>
          <w:sz w:val="24"/>
          <w:szCs w:val="24"/>
        </w:rPr>
      </w:pPr>
      <w:r w:rsidRPr="004923B9">
        <w:rPr>
          <w:rFonts w:ascii="Times New Roman" w:hAnsi="Times New Roman" w:cs="Times New Roman"/>
          <w:sz w:val="24"/>
          <w:szCs w:val="24"/>
        </w:rPr>
        <w:t xml:space="preserve">Figure </w:t>
      </w:r>
      <w:r w:rsidR="00425D62" w:rsidRPr="004923B9">
        <w:rPr>
          <w:rFonts w:ascii="Times New Roman" w:hAnsi="Times New Roman" w:cs="Times New Roman"/>
          <w:sz w:val="24"/>
          <w:szCs w:val="24"/>
        </w:rPr>
        <w:t>6</w:t>
      </w:r>
      <w:r w:rsidRPr="004923B9">
        <w:rPr>
          <w:rFonts w:ascii="Times New Roman" w:hAnsi="Times New Roman" w:cs="Times New Roman"/>
          <w:sz w:val="24"/>
          <w:szCs w:val="24"/>
        </w:rPr>
        <w:t>. DPPH Assays of the Crude Extracts at Different Concentrations.</w:t>
      </w:r>
    </w:p>
    <w:p w14:paraId="406F91A5" w14:textId="77777777" w:rsidR="00BC0DD8" w:rsidRPr="004923B9" w:rsidRDefault="00BC0DD8" w:rsidP="00215775">
      <w:pPr>
        <w:spacing w:after="0" w:line="480" w:lineRule="auto"/>
        <w:jc w:val="both"/>
        <w:rPr>
          <w:rFonts w:ascii="Times New Roman" w:hAnsi="Times New Roman" w:cs="Times New Roman"/>
          <w:b/>
          <w:sz w:val="24"/>
          <w:szCs w:val="24"/>
        </w:rPr>
      </w:pPr>
    </w:p>
    <w:p w14:paraId="133338B1" w14:textId="77777777" w:rsidR="00BC0DD8" w:rsidRPr="004923B9" w:rsidRDefault="001C03BC" w:rsidP="00215775">
      <w:pPr>
        <w:spacing w:after="0" w:line="480" w:lineRule="auto"/>
        <w:jc w:val="both"/>
        <w:rPr>
          <w:rFonts w:ascii="Times New Roman" w:hAnsi="Times New Roman" w:cs="Times New Roman"/>
          <w:b/>
          <w:sz w:val="24"/>
          <w:szCs w:val="24"/>
        </w:rPr>
      </w:pPr>
      <w:r w:rsidRPr="004923B9">
        <w:rPr>
          <w:rFonts w:ascii="Times New Roman" w:hAnsi="Times New Roman" w:cs="Times New Roman"/>
          <w:b/>
          <w:noProof/>
          <w:sz w:val="24"/>
          <w:szCs w:val="24"/>
        </w:rPr>
        <w:lastRenderedPageBreak/>
        <w:drawing>
          <wp:inline distT="0" distB="0" distL="114300" distR="114300" wp14:anchorId="68E77F61" wp14:editId="140E90DF">
            <wp:extent cx="6458673" cy="3800475"/>
            <wp:effectExtent l="0" t="0" r="0" b="0"/>
            <wp:docPr id="112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12984C" w14:textId="77777777" w:rsidR="00BC0DD8" w:rsidRPr="004923B9" w:rsidRDefault="001C03BC" w:rsidP="00215775">
      <w:pPr>
        <w:spacing w:after="0" w:line="480" w:lineRule="auto"/>
        <w:jc w:val="both"/>
        <w:rPr>
          <w:rFonts w:ascii="Times New Roman" w:hAnsi="Times New Roman" w:cs="Times New Roman"/>
          <w:sz w:val="24"/>
          <w:szCs w:val="24"/>
        </w:rPr>
      </w:pPr>
      <w:r w:rsidRPr="004923B9">
        <w:rPr>
          <w:rFonts w:ascii="Times New Roman" w:hAnsi="Times New Roman" w:cs="Times New Roman"/>
          <w:sz w:val="24"/>
          <w:szCs w:val="24"/>
        </w:rPr>
        <w:t xml:space="preserve">Figure </w:t>
      </w:r>
      <w:r w:rsidR="00425D62" w:rsidRPr="004923B9">
        <w:rPr>
          <w:rFonts w:ascii="Times New Roman" w:hAnsi="Times New Roman" w:cs="Times New Roman"/>
          <w:sz w:val="24"/>
          <w:szCs w:val="24"/>
        </w:rPr>
        <w:t>7</w:t>
      </w:r>
      <w:r w:rsidRPr="004923B9">
        <w:rPr>
          <w:rFonts w:ascii="Times New Roman" w:hAnsi="Times New Roman" w:cs="Times New Roman"/>
          <w:sz w:val="24"/>
          <w:szCs w:val="24"/>
        </w:rPr>
        <w:t>. The FRAP activity of the Crude Extracts at Different Concentrations</w:t>
      </w:r>
    </w:p>
    <w:p w14:paraId="776965B6" w14:textId="77777777" w:rsidR="00BC0DD8" w:rsidRPr="004923B9" w:rsidRDefault="00BC0DD8" w:rsidP="00215775">
      <w:pPr>
        <w:spacing w:after="0" w:line="480" w:lineRule="auto"/>
        <w:jc w:val="both"/>
        <w:rPr>
          <w:rFonts w:ascii="Times New Roman" w:hAnsi="Times New Roman" w:cs="Times New Roman"/>
          <w:b/>
          <w:sz w:val="24"/>
          <w:szCs w:val="24"/>
        </w:rPr>
      </w:pPr>
    </w:p>
    <w:p w14:paraId="216FE99C" w14:textId="77777777" w:rsidR="00BC0DD8" w:rsidRPr="004923B9" w:rsidRDefault="001C03BC" w:rsidP="00215775">
      <w:pPr>
        <w:spacing w:line="480" w:lineRule="auto"/>
        <w:jc w:val="both"/>
        <w:rPr>
          <w:rFonts w:ascii="Times New Roman" w:hAnsi="Times New Roman" w:cs="Times New Roman"/>
          <w:b/>
        </w:rPr>
      </w:pPr>
      <w:r w:rsidRPr="004923B9">
        <w:rPr>
          <w:rFonts w:ascii="Times New Roman" w:hAnsi="Times New Roman" w:cs="Times New Roman"/>
          <w:noProof/>
          <w:sz w:val="24"/>
          <w:szCs w:val="24"/>
        </w:rPr>
        <w:lastRenderedPageBreak/>
        <w:drawing>
          <wp:inline distT="0" distB="0" distL="114300" distR="114300" wp14:anchorId="0DD86C51" wp14:editId="42C026D5">
            <wp:extent cx="6172200" cy="4276725"/>
            <wp:effectExtent l="0" t="0" r="0" b="0"/>
            <wp:docPr id="1125"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D61CE20" w14:textId="77777777" w:rsidR="00BC0DD8" w:rsidRPr="004923B9" w:rsidRDefault="001C03BC" w:rsidP="00215775">
      <w:pPr>
        <w:spacing w:after="0" w:line="480" w:lineRule="auto"/>
        <w:jc w:val="both"/>
        <w:rPr>
          <w:rFonts w:ascii="Times New Roman" w:hAnsi="Times New Roman" w:cs="Times New Roman"/>
          <w:bCs/>
        </w:rPr>
      </w:pPr>
      <w:r w:rsidRPr="004923B9">
        <w:rPr>
          <w:rFonts w:ascii="Times New Roman" w:hAnsi="Times New Roman" w:cs="Times New Roman"/>
          <w:sz w:val="24"/>
          <w:szCs w:val="24"/>
        </w:rPr>
        <w:t xml:space="preserve">Figure </w:t>
      </w:r>
      <w:r w:rsidR="00425D62" w:rsidRPr="004923B9">
        <w:rPr>
          <w:rFonts w:ascii="Times New Roman" w:hAnsi="Times New Roman" w:cs="Times New Roman"/>
          <w:sz w:val="24"/>
          <w:szCs w:val="24"/>
        </w:rPr>
        <w:t>8</w:t>
      </w:r>
      <w:r w:rsidRPr="004923B9">
        <w:rPr>
          <w:rFonts w:ascii="Times New Roman" w:hAnsi="Times New Roman" w:cs="Times New Roman"/>
          <w:sz w:val="24"/>
          <w:szCs w:val="24"/>
        </w:rPr>
        <w:t xml:space="preserve">. </w:t>
      </w:r>
      <w:r w:rsidRPr="004923B9">
        <w:rPr>
          <w:rFonts w:ascii="Times New Roman" w:eastAsia="SimSun" w:hAnsi="Times New Roman" w:cs="Times New Roman"/>
          <w:bCs/>
          <w:kern w:val="24"/>
        </w:rPr>
        <w:t xml:space="preserve"> </w:t>
      </w:r>
      <w:r w:rsidRPr="004923B9">
        <w:rPr>
          <w:rFonts w:ascii="Times New Roman" w:hAnsi="Times New Roman" w:cs="Times New Roman"/>
          <w:bCs/>
        </w:rPr>
        <w:t>Lipid Peroxidation Inhibition Activities of the Extracts at Different Concentrations.</w:t>
      </w:r>
    </w:p>
    <w:p w14:paraId="0C2D9445"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Keys:</w:t>
      </w:r>
      <w:r w:rsidRPr="004923B9">
        <w:rPr>
          <w:rFonts w:ascii="Times New Roman" w:hAnsi="Times New Roman" w:cs="Times New Roman"/>
          <w:sz w:val="24"/>
          <w:szCs w:val="24"/>
        </w:rPr>
        <w:tab/>
        <w:t>Control = Normal Vitamin C</w:t>
      </w:r>
    </w:p>
    <w:p w14:paraId="4B9DCB18" w14:textId="77777777" w:rsidR="00BC0DD8" w:rsidRPr="004923B9" w:rsidRDefault="001C03BC" w:rsidP="00215775">
      <w:pPr>
        <w:spacing w:after="0" w:line="240" w:lineRule="auto"/>
        <w:ind w:firstLine="720"/>
        <w:jc w:val="both"/>
        <w:rPr>
          <w:rFonts w:ascii="Times New Roman" w:hAnsi="Times New Roman" w:cs="Times New Roman"/>
          <w:sz w:val="24"/>
          <w:szCs w:val="24"/>
        </w:rPr>
      </w:pPr>
      <w:r w:rsidRPr="004923B9">
        <w:rPr>
          <w:rFonts w:ascii="Times New Roman" w:hAnsi="Times New Roman" w:cs="Times New Roman"/>
          <w:sz w:val="24"/>
          <w:szCs w:val="24"/>
        </w:rPr>
        <w:t>AGX = Ginger extracts</w:t>
      </w:r>
    </w:p>
    <w:p w14:paraId="7F85421D"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t xml:space="preserve">ATX = </w:t>
      </w:r>
      <w:r w:rsidRPr="004923B9">
        <w:rPr>
          <w:rFonts w:ascii="Times New Roman" w:hAnsi="Times New Roman" w:cs="Times New Roman"/>
          <w:i/>
          <w:sz w:val="24"/>
          <w:szCs w:val="24"/>
        </w:rPr>
        <w:t xml:space="preserve">T. </w:t>
      </w:r>
      <w:proofErr w:type="spellStart"/>
      <w:r w:rsidRPr="004923B9">
        <w:rPr>
          <w:rFonts w:ascii="Times New Roman" w:hAnsi="Times New Roman" w:cs="Times New Roman"/>
          <w:i/>
          <w:sz w:val="24"/>
          <w:szCs w:val="24"/>
        </w:rPr>
        <w:t>tetrapluera</w:t>
      </w:r>
      <w:proofErr w:type="spellEnd"/>
      <w:r w:rsidRPr="004923B9">
        <w:rPr>
          <w:rFonts w:ascii="Times New Roman" w:hAnsi="Times New Roman" w:cs="Times New Roman"/>
          <w:i/>
          <w:sz w:val="24"/>
          <w:szCs w:val="24"/>
        </w:rPr>
        <w:t xml:space="preserve"> </w:t>
      </w:r>
      <w:r w:rsidRPr="004923B9">
        <w:rPr>
          <w:rFonts w:ascii="Times New Roman" w:hAnsi="Times New Roman" w:cs="Times New Roman"/>
          <w:sz w:val="24"/>
          <w:szCs w:val="24"/>
        </w:rPr>
        <w:t>extracts</w:t>
      </w:r>
    </w:p>
    <w:p w14:paraId="3646500A"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ab/>
        <w:t>AMX =</w:t>
      </w:r>
      <w:r w:rsidRPr="004923B9">
        <w:rPr>
          <w:rFonts w:ascii="Times New Roman" w:hAnsi="Times New Roman" w:cs="Times New Roman"/>
          <w:i/>
          <w:sz w:val="24"/>
          <w:szCs w:val="24"/>
        </w:rPr>
        <w:t xml:space="preserve"> M. </w:t>
      </w:r>
      <w:proofErr w:type="spellStart"/>
      <w:r w:rsidRPr="004923B9">
        <w:rPr>
          <w:rFonts w:ascii="Times New Roman" w:hAnsi="Times New Roman" w:cs="Times New Roman"/>
          <w:i/>
          <w:sz w:val="24"/>
          <w:szCs w:val="24"/>
        </w:rPr>
        <w:t>myristica</w:t>
      </w:r>
      <w:proofErr w:type="spellEnd"/>
      <w:r w:rsidRPr="004923B9">
        <w:rPr>
          <w:rFonts w:ascii="Times New Roman" w:hAnsi="Times New Roman" w:cs="Times New Roman"/>
          <w:i/>
          <w:sz w:val="24"/>
          <w:szCs w:val="24"/>
        </w:rPr>
        <w:t xml:space="preserve"> </w:t>
      </w:r>
      <w:r w:rsidRPr="004923B9">
        <w:rPr>
          <w:rFonts w:ascii="Times New Roman" w:hAnsi="Times New Roman" w:cs="Times New Roman"/>
          <w:sz w:val="24"/>
          <w:szCs w:val="24"/>
        </w:rPr>
        <w:t>extracts</w:t>
      </w:r>
    </w:p>
    <w:p w14:paraId="42797310" w14:textId="77777777" w:rsidR="00BC0DD8" w:rsidRPr="004923B9" w:rsidRDefault="00BC0DD8" w:rsidP="00215775">
      <w:pPr>
        <w:spacing w:line="480" w:lineRule="auto"/>
        <w:jc w:val="both"/>
        <w:rPr>
          <w:rFonts w:ascii="Times New Roman" w:hAnsi="Times New Roman" w:cs="Times New Roman"/>
          <w:b/>
        </w:rPr>
      </w:pPr>
    </w:p>
    <w:p w14:paraId="48400813" w14:textId="77777777" w:rsidR="00BC0DD8" w:rsidRPr="004923B9" w:rsidRDefault="001C03BC" w:rsidP="00215775">
      <w:pPr>
        <w:spacing w:after="0" w:line="480" w:lineRule="auto"/>
        <w:ind w:hanging="90"/>
        <w:jc w:val="both"/>
        <w:rPr>
          <w:rFonts w:ascii="Times New Roman" w:hAnsi="Times New Roman" w:cs="Times New Roman"/>
          <w:sz w:val="24"/>
          <w:szCs w:val="24"/>
        </w:rPr>
      </w:pPr>
      <w:r w:rsidRPr="004923B9">
        <w:rPr>
          <w:rFonts w:ascii="Times New Roman" w:hAnsi="Times New Roman" w:cs="Times New Roman"/>
          <w:noProof/>
          <w:sz w:val="24"/>
          <w:szCs w:val="24"/>
        </w:rPr>
        <w:lastRenderedPageBreak/>
        <w:drawing>
          <wp:inline distT="0" distB="0" distL="114300" distR="114300" wp14:anchorId="609E9730" wp14:editId="3F1AF629">
            <wp:extent cx="5645426" cy="3150235"/>
            <wp:effectExtent l="0" t="0" r="0" b="0"/>
            <wp:docPr id="1127"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B82A3E2" w14:textId="77777777" w:rsidR="00BC0DD8" w:rsidRPr="004923B9" w:rsidRDefault="001C03BC" w:rsidP="00215775">
      <w:pPr>
        <w:jc w:val="both"/>
        <w:rPr>
          <w:rFonts w:ascii="Times New Roman" w:hAnsi="Times New Roman" w:cs="Times New Roman"/>
        </w:rPr>
      </w:pPr>
      <w:r w:rsidRPr="004923B9">
        <w:rPr>
          <w:rFonts w:ascii="Times New Roman" w:hAnsi="Times New Roman" w:cs="Times New Roman"/>
          <w:bCs/>
        </w:rPr>
        <w:t xml:space="preserve">Figure </w:t>
      </w:r>
      <w:r w:rsidR="00425D62" w:rsidRPr="004923B9">
        <w:rPr>
          <w:rFonts w:ascii="Times New Roman" w:hAnsi="Times New Roman" w:cs="Times New Roman"/>
          <w:bCs/>
        </w:rPr>
        <w:t>9</w:t>
      </w:r>
      <w:r w:rsidRPr="004923B9">
        <w:rPr>
          <w:rFonts w:ascii="Times New Roman" w:hAnsi="Times New Roman" w:cs="Times New Roman"/>
          <w:bCs/>
        </w:rPr>
        <w:t>. The different bioactive compounds in the Extracts at Different Concentrations</w:t>
      </w:r>
    </w:p>
    <w:p w14:paraId="3DD5ECEB"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Keys:</w:t>
      </w:r>
      <w:r w:rsidRPr="004923B9">
        <w:rPr>
          <w:rFonts w:ascii="Times New Roman" w:hAnsi="Times New Roman" w:cs="Times New Roman"/>
          <w:sz w:val="24"/>
          <w:szCs w:val="24"/>
        </w:rPr>
        <w:tab/>
        <w:t>Control = Normal Vitamin C</w:t>
      </w:r>
    </w:p>
    <w:p w14:paraId="52EEC8B7" w14:textId="77777777" w:rsidR="00BC0DD8" w:rsidRPr="004923B9" w:rsidRDefault="001C03BC" w:rsidP="00215775">
      <w:pPr>
        <w:spacing w:after="0" w:line="240" w:lineRule="auto"/>
        <w:ind w:firstLine="720"/>
        <w:jc w:val="both"/>
        <w:rPr>
          <w:rFonts w:ascii="Times New Roman" w:hAnsi="Times New Roman" w:cs="Times New Roman"/>
          <w:sz w:val="24"/>
          <w:szCs w:val="24"/>
        </w:rPr>
      </w:pPr>
      <w:r w:rsidRPr="004923B9">
        <w:rPr>
          <w:rFonts w:ascii="Times New Roman" w:hAnsi="Times New Roman" w:cs="Times New Roman"/>
          <w:sz w:val="24"/>
          <w:szCs w:val="24"/>
        </w:rPr>
        <w:t>AGX = Ginger extracts</w:t>
      </w:r>
    </w:p>
    <w:p w14:paraId="2D96EA0D" w14:textId="77777777" w:rsidR="00BC0DD8" w:rsidRPr="004923B9" w:rsidRDefault="001C03BC" w:rsidP="00215775">
      <w:pPr>
        <w:spacing w:after="0" w:line="240" w:lineRule="auto"/>
        <w:jc w:val="both"/>
        <w:rPr>
          <w:rFonts w:ascii="Times New Roman" w:hAnsi="Times New Roman" w:cs="Times New Roman"/>
          <w:sz w:val="24"/>
          <w:szCs w:val="24"/>
        </w:rPr>
      </w:pPr>
      <w:r w:rsidRPr="004923B9">
        <w:rPr>
          <w:rFonts w:ascii="Times New Roman" w:hAnsi="Times New Roman" w:cs="Times New Roman"/>
          <w:sz w:val="24"/>
          <w:szCs w:val="24"/>
        </w:rPr>
        <w:tab/>
        <w:t xml:space="preserve">ATX = </w:t>
      </w:r>
      <w:r w:rsidRPr="004923B9">
        <w:rPr>
          <w:rFonts w:ascii="Times New Roman" w:hAnsi="Times New Roman" w:cs="Times New Roman"/>
          <w:i/>
          <w:sz w:val="24"/>
          <w:szCs w:val="24"/>
        </w:rPr>
        <w:t xml:space="preserve">T. </w:t>
      </w:r>
      <w:proofErr w:type="spellStart"/>
      <w:r w:rsidRPr="004923B9">
        <w:rPr>
          <w:rFonts w:ascii="Times New Roman" w:hAnsi="Times New Roman" w:cs="Times New Roman"/>
          <w:i/>
          <w:sz w:val="24"/>
          <w:szCs w:val="24"/>
        </w:rPr>
        <w:t>tetrapluera</w:t>
      </w:r>
      <w:proofErr w:type="spellEnd"/>
      <w:r w:rsidRPr="004923B9">
        <w:rPr>
          <w:rFonts w:ascii="Times New Roman" w:hAnsi="Times New Roman" w:cs="Times New Roman"/>
          <w:i/>
          <w:sz w:val="24"/>
          <w:szCs w:val="24"/>
        </w:rPr>
        <w:t xml:space="preserve"> </w:t>
      </w:r>
      <w:r w:rsidRPr="004923B9">
        <w:rPr>
          <w:rFonts w:ascii="Times New Roman" w:hAnsi="Times New Roman" w:cs="Times New Roman"/>
          <w:sz w:val="24"/>
          <w:szCs w:val="24"/>
        </w:rPr>
        <w:t>extracts</w:t>
      </w:r>
    </w:p>
    <w:p w14:paraId="119DB8D6" w14:textId="77777777" w:rsidR="00BC0DD8" w:rsidRPr="004923B9" w:rsidRDefault="001C03BC" w:rsidP="00215775">
      <w:pPr>
        <w:spacing w:line="240" w:lineRule="auto"/>
        <w:jc w:val="both"/>
        <w:rPr>
          <w:rFonts w:ascii="Times New Roman" w:hAnsi="Times New Roman" w:cs="Times New Roman"/>
          <w:sz w:val="24"/>
          <w:szCs w:val="24"/>
        </w:rPr>
      </w:pPr>
      <w:r w:rsidRPr="004923B9">
        <w:rPr>
          <w:rFonts w:ascii="Times New Roman" w:hAnsi="Times New Roman" w:cs="Times New Roman"/>
          <w:sz w:val="24"/>
          <w:szCs w:val="24"/>
        </w:rPr>
        <w:tab/>
        <w:t>AMX =</w:t>
      </w:r>
      <w:r w:rsidRPr="004923B9">
        <w:rPr>
          <w:rFonts w:ascii="Times New Roman" w:hAnsi="Times New Roman" w:cs="Times New Roman"/>
          <w:i/>
          <w:sz w:val="24"/>
          <w:szCs w:val="24"/>
        </w:rPr>
        <w:t xml:space="preserve"> M. </w:t>
      </w:r>
      <w:proofErr w:type="spellStart"/>
      <w:r w:rsidRPr="004923B9">
        <w:rPr>
          <w:rFonts w:ascii="Times New Roman" w:hAnsi="Times New Roman" w:cs="Times New Roman"/>
          <w:i/>
          <w:sz w:val="24"/>
          <w:szCs w:val="24"/>
        </w:rPr>
        <w:t>myristica</w:t>
      </w:r>
      <w:proofErr w:type="spellEnd"/>
      <w:r w:rsidRPr="004923B9">
        <w:rPr>
          <w:rFonts w:ascii="Times New Roman" w:hAnsi="Times New Roman" w:cs="Times New Roman"/>
          <w:i/>
          <w:sz w:val="24"/>
          <w:szCs w:val="24"/>
        </w:rPr>
        <w:t xml:space="preserve"> </w:t>
      </w:r>
      <w:r w:rsidRPr="004923B9">
        <w:rPr>
          <w:rFonts w:ascii="Times New Roman" w:hAnsi="Times New Roman" w:cs="Times New Roman"/>
          <w:sz w:val="24"/>
          <w:szCs w:val="24"/>
        </w:rPr>
        <w:t>extracts</w:t>
      </w:r>
    </w:p>
    <w:p w14:paraId="57BE7A9B" w14:textId="77777777" w:rsidR="000678C5" w:rsidRDefault="000678C5" w:rsidP="000678C5">
      <w:pPr>
        <w:pStyle w:val="isselectedend"/>
      </w:pPr>
      <w:r>
        <w:rPr>
          <w:rStyle w:val="Strong"/>
        </w:rPr>
        <w:t>Conclusions</w:t>
      </w:r>
      <w:r>
        <w:br/>
        <w:t>Microwave-assisted extraction was used to obtain crude extracts from ginger (</w:t>
      </w:r>
      <w:r>
        <w:rPr>
          <w:rStyle w:val="Emphasis"/>
        </w:rPr>
        <w:t>Zingiber officinale</w:t>
      </w:r>
      <w:r>
        <w:t xml:space="preserve">), </w:t>
      </w:r>
      <w:proofErr w:type="spellStart"/>
      <w:r>
        <w:rPr>
          <w:rStyle w:val="Emphasis"/>
        </w:rPr>
        <w:t>Tetrapleura</w:t>
      </w:r>
      <w:proofErr w:type="spellEnd"/>
      <w:r>
        <w:rPr>
          <w:rStyle w:val="Emphasis"/>
        </w:rPr>
        <w:t xml:space="preserve"> tetraptera</w:t>
      </w:r>
      <w:r>
        <w:t xml:space="preserve"> and </w:t>
      </w:r>
      <w:proofErr w:type="spellStart"/>
      <w:r>
        <w:rPr>
          <w:rStyle w:val="Emphasis"/>
        </w:rPr>
        <w:t>Monodora</w:t>
      </w:r>
      <w:proofErr w:type="spellEnd"/>
      <w:r>
        <w:rPr>
          <w:rStyle w:val="Emphasis"/>
        </w:rPr>
        <w:t xml:space="preserve"> </w:t>
      </w:r>
      <w:proofErr w:type="spellStart"/>
      <w:r>
        <w:rPr>
          <w:rStyle w:val="Emphasis"/>
        </w:rPr>
        <w:t>myristica</w:t>
      </w:r>
      <w:proofErr w:type="spellEnd"/>
      <w:r>
        <w:t xml:space="preserve">. The extract yields differed among the spice samples, with </w:t>
      </w:r>
      <w:r>
        <w:rPr>
          <w:rStyle w:val="Emphasis"/>
        </w:rPr>
        <w:t xml:space="preserve">M. </w:t>
      </w:r>
      <w:proofErr w:type="spellStart"/>
      <w:r>
        <w:rPr>
          <w:rStyle w:val="Emphasis"/>
        </w:rPr>
        <w:t>myristica</w:t>
      </w:r>
      <w:proofErr w:type="spellEnd"/>
      <w:r>
        <w:t xml:space="preserve"> producing the highest yield and ginger the lowest. Qualitative screening confirmed the presence of major phytochemical groups, including saponins, flavonoids, terpenoids, alkaloids, phenolics, steroids, tannins and cardiac glycosides. Quantitative results showed that </w:t>
      </w:r>
      <w:r>
        <w:rPr>
          <w:rStyle w:val="Emphasis"/>
        </w:rPr>
        <w:t xml:space="preserve">M. </w:t>
      </w:r>
      <w:proofErr w:type="spellStart"/>
      <w:r>
        <w:rPr>
          <w:rStyle w:val="Emphasis"/>
        </w:rPr>
        <w:t>myristica</w:t>
      </w:r>
      <w:proofErr w:type="spellEnd"/>
      <w:r>
        <w:t xml:space="preserve"> contained the highest levels of flavonoids, terpenoids, tannins and phenolics, while </w:t>
      </w:r>
      <w:r>
        <w:rPr>
          <w:rStyle w:val="Emphasis"/>
        </w:rPr>
        <w:t>T. tetraptera</w:t>
      </w:r>
      <w:r>
        <w:t xml:space="preserve"> had higher alkaloid, steroid and cardiac glycoside contents. Ginger showed the highest saponin content. The antioxidant assays demonstrated concentration-dependent activities in DPPH radical inhibition, ferric reducing antioxidant power and lipid peroxidation inhibition. </w:t>
      </w:r>
      <w:r>
        <w:rPr>
          <w:rStyle w:val="Emphasis"/>
        </w:rPr>
        <w:t xml:space="preserve">M. </w:t>
      </w:r>
      <w:proofErr w:type="spellStart"/>
      <w:r>
        <w:rPr>
          <w:rStyle w:val="Emphasis"/>
        </w:rPr>
        <w:t>myristica</w:t>
      </w:r>
      <w:proofErr w:type="spellEnd"/>
      <w:r>
        <w:t xml:space="preserve"> showed the strongest DPPH activity, while ginger showed the highest FRAP activity under the experimental conditions. These results indicate that the selected tropical spices contain measurable bioactive compounds with antioxidant properties and may justify further controlled investigation for food-related applications.</w:t>
      </w:r>
    </w:p>
    <w:p w14:paraId="41727057" w14:textId="77777777" w:rsidR="000678C5" w:rsidRDefault="000678C5" w:rsidP="000678C5">
      <w:pPr>
        <w:pStyle w:val="NormalWeb"/>
      </w:pPr>
      <w:r>
        <w:rPr>
          <w:rStyle w:val="Strong"/>
        </w:rPr>
        <w:t>Limitations</w:t>
      </w:r>
      <w:r>
        <w:br/>
        <w:t xml:space="preserve">This study was limited to crude extracts from three tropical spices obtained using microwave-assisted extraction. It did not directly compare microwave-assisted extraction with other extraction techniques under controlled conditions. The extracts were assessed mainly for phytochemical composition and selected </w:t>
      </w:r>
      <w:r>
        <w:rPr>
          <w:rStyle w:val="Emphasis"/>
        </w:rPr>
        <w:t>in vitro</w:t>
      </w:r>
      <w:r>
        <w:t xml:space="preserve"> antioxidant activities; therefore, the findings </w:t>
      </w:r>
      <w:r>
        <w:lastRenderedPageBreak/>
        <w:t>cannot confirm biological effects in humans or animals. Individual compounds were not isolated or identified using advanced chromatographic or spectrometric techniques. Safety, toxicity, stability, sensory properties and bioavailability were also not investigated.</w:t>
      </w:r>
    </w:p>
    <w:p w14:paraId="70748F56" w14:textId="77777777" w:rsidR="00D76717" w:rsidRPr="004923B9" w:rsidRDefault="00D76717" w:rsidP="00215775">
      <w:pPr>
        <w:spacing w:before="100" w:beforeAutospacing="1" w:after="100" w:afterAutospacing="1" w:line="240" w:lineRule="auto"/>
        <w:jc w:val="both"/>
        <w:rPr>
          <w:rFonts w:ascii="Times New Roman" w:eastAsia="Times New Roman" w:hAnsi="Times New Roman" w:cs="Times New Roman"/>
          <w:sz w:val="24"/>
          <w:szCs w:val="24"/>
        </w:rPr>
      </w:pPr>
    </w:p>
    <w:p w14:paraId="42ABD7B8" w14:textId="77777777" w:rsidR="00D76717" w:rsidRPr="004923B9" w:rsidRDefault="00D76717" w:rsidP="00215775">
      <w:pPr>
        <w:spacing w:after="160" w:line="259" w:lineRule="auto"/>
        <w:jc w:val="both"/>
        <w:rPr>
          <w:rFonts w:ascii="Arial" w:hAnsi="Arial" w:cs="Arial"/>
          <w:kern w:val="2"/>
          <w:lang w:val="en-IN"/>
          <w14:ligatures w14:val="standardContextual"/>
        </w:rPr>
      </w:pPr>
      <w:r w:rsidRPr="004923B9">
        <w:rPr>
          <w:rFonts w:ascii="Arial" w:hAnsi="Arial" w:cs="Arial"/>
          <w:kern w:val="2"/>
          <w:lang w:val="en-IN"/>
          <w14:ligatures w14:val="standardContextual"/>
        </w:rPr>
        <w:t>Declaration of AI Use</w:t>
      </w:r>
    </w:p>
    <w:p w14:paraId="557F82E3" w14:textId="77777777" w:rsidR="00D76717" w:rsidRPr="004923B9" w:rsidRDefault="00D76717" w:rsidP="00215775">
      <w:pPr>
        <w:spacing w:after="160" w:line="259" w:lineRule="auto"/>
        <w:jc w:val="both"/>
        <w:rPr>
          <w:rFonts w:ascii="Arial" w:hAnsi="Arial" w:cs="Arial"/>
          <w:kern w:val="2"/>
          <w:lang w:val="en-IN"/>
          <w14:ligatures w14:val="standardContextual"/>
        </w:rPr>
      </w:pPr>
      <w:r w:rsidRPr="004923B9">
        <w:rPr>
          <w:rFonts w:ascii="Arial" w:hAnsi="Arial" w:cs="Arial"/>
          <w:kern w:val="2"/>
          <w:lang w:val="en-IN"/>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7CD1E87" w14:textId="77777777" w:rsidR="00D76717" w:rsidRPr="004923B9" w:rsidRDefault="00D76717" w:rsidP="00215775">
      <w:pPr>
        <w:spacing w:before="100" w:beforeAutospacing="1" w:after="100" w:afterAutospacing="1" w:line="240" w:lineRule="auto"/>
        <w:jc w:val="both"/>
        <w:rPr>
          <w:rFonts w:ascii="Times New Roman" w:eastAsia="Times New Roman" w:hAnsi="Times New Roman" w:cs="Times New Roman"/>
          <w:sz w:val="24"/>
          <w:szCs w:val="24"/>
        </w:rPr>
      </w:pPr>
    </w:p>
    <w:p w14:paraId="3318CF46" w14:textId="77777777" w:rsidR="00BC0DD8" w:rsidRPr="004923B9" w:rsidRDefault="001C03BC" w:rsidP="00215775">
      <w:pPr>
        <w:tabs>
          <w:tab w:val="left" w:pos="1344"/>
        </w:tabs>
        <w:spacing w:line="240" w:lineRule="auto"/>
        <w:jc w:val="both"/>
        <w:rPr>
          <w:rFonts w:ascii="Times New Roman" w:hAnsi="Times New Roman" w:cs="Times New Roman"/>
          <w:b/>
          <w:sz w:val="24"/>
          <w:szCs w:val="24"/>
        </w:rPr>
      </w:pPr>
      <w:r w:rsidRPr="004923B9">
        <w:rPr>
          <w:rFonts w:ascii="Times New Roman" w:hAnsi="Times New Roman" w:cs="Times New Roman"/>
          <w:sz w:val="24"/>
          <w:szCs w:val="24"/>
        </w:rPr>
        <w:tab/>
      </w:r>
      <w:r w:rsidRPr="004923B9">
        <w:rPr>
          <w:rFonts w:ascii="Times New Roman" w:hAnsi="Times New Roman" w:cs="Times New Roman"/>
          <w:sz w:val="24"/>
          <w:szCs w:val="24"/>
        </w:rPr>
        <w:br/>
      </w:r>
      <w:r w:rsidRPr="004923B9">
        <w:rPr>
          <w:rFonts w:ascii="Times New Roman" w:hAnsi="Times New Roman" w:cs="Times New Roman"/>
          <w:b/>
          <w:sz w:val="24"/>
          <w:szCs w:val="24"/>
        </w:rPr>
        <w:t>References</w:t>
      </w:r>
    </w:p>
    <w:p w14:paraId="329FDC83" w14:textId="256D867E"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t xml:space="preserve">AOAC International. (2019). </w:t>
      </w:r>
      <w:r w:rsidRPr="00840F43">
        <w:rPr>
          <w:rFonts w:ascii="Times New Roman" w:eastAsia="Times New Roman" w:hAnsi="Times New Roman" w:cs="Times New Roman"/>
          <w:i/>
          <w:iCs/>
          <w:sz w:val="24"/>
          <w:szCs w:val="24"/>
        </w:rPr>
        <w:t>Official methods of analysis of AOAC International</w:t>
      </w:r>
      <w:r w:rsidRPr="00840F43">
        <w:rPr>
          <w:rFonts w:ascii="Times New Roman" w:eastAsia="Times New Roman" w:hAnsi="Times New Roman" w:cs="Times New Roman"/>
          <w:sz w:val="24"/>
          <w:szCs w:val="24"/>
        </w:rPr>
        <w:t xml:space="preserve"> (21st ed.). AOAC International. </w:t>
      </w:r>
      <w:hyperlink r:id="rId14" w:history="1">
        <w:r w:rsidRPr="00840F43">
          <w:rPr>
            <w:rFonts w:ascii="Times New Roman" w:eastAsia="Times New Roman" w:hAnsi="Times New Roman" w:cs="Times New Roman"/>
            <w:color w:val="0000FF"/>
            <w:sz w:val="24"/>
            <w:szCs w:val="24"/>
            <w:u w:val="single"/>
          </w:rPr>
          <w:t>https://members.aoac.org/AOAC/AOAC/Item_Detail.aspx?Category=OMA&amp;iProductCode=1121</w:t>
        </w:r>
      </w:hyperlink>
      <w:r w:rsidRPr="00840F43">
        <w:rPr>
          <w:rFonts w:ascii="Times New Roman" w:eastAsia="Times New Roman" w:hAnsi="Times New Roman" w:cs="Times New Roman"/>
          <w:sz w:val="24"/>
          <w:szCs w:val="24"/>
        </w:rPr>
        <w:t xml:space="preserve"> </w:t>
      </w:r>
    </w:p>
    <w:p w14:paraId="39DB554C"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840F43">
        <w:rPr>
          <w:rFonts w:ascii="Times New Roman" w:eastAsia="Times New Roman" w:hAnsi="Times New Roman" w:cs="Times New Roman"/>
          <w:sz w:val="24"/>
          <w:szCs w:val="24"/>
        </w:rPr>
        <w:t>Aladesanmi</w:t>
      </w:r>
      <w:proofErr w:type="spellEnd"/>
      <w:r w:rsidRPr="00840F43">
        <w:rPr>
          <w:rFonts w:ascii="Times New Roman" w:eastAsia="Times New Roman" w:hAnsi="Times New Roman" w:cs="Times New Roman"/>
          <w:sz w:val="24"/>
          <w:szCs w:val="24"/>
        </w:rPr>
        <w:t xml:space="preserve">, A. J. (2007). </w:t>
      </w:r>
      <w:proofErr w:type="spellStart"/>
      <w:r w:rsidRPr="00840F43">
        <w:rPr>
          <w:rFonts w:ascii="Times New Roman" w:eastAsia="Times New Roman" w:hAnsi="Times New Roman" w:cs="Times New Roman"/>
          <w:i/>
          <w:iCs/>
          <w:sz w:val="24"/>
          <w:szCs w:val="24"/>
        </w:rPr>
        <w:t>Tetrapleura</w:t>
      </w:r>
      <w:proofErr w:type="spellEnd"/>
      <w:r w:rsidRPr="00840F43">
        <w:rPr>
          <w:rFonts w:ascii="Times New Roman" w:eastAsia="Times New Roman" w:hAnsi="Times New Roman" w:cs="Times New Roman"/>
          <w:i/>
          <w:iCs/>
          <w:sz w:val="24"/>
          <w:szCs w:val="24"/>
        </w:rPr>
        <w:t xml:space="preserve"> tetraptera</w:t>
      </w:r>
      <w:r w:rsidRPr="00840F43">
        <w:rPr>
          <w:rFonts w:ascii="Times New Roman" w:eastAsia="Times New Roman" w:hAnsi="Times New Roman" w:cs="Times New Roman"/>
          <w:sz w:val="24"/>
          <w:szCs w:val="24"/>
        </w:rPr>
        <w:t xml:space="preserve">: </w:t>
      </w:r>
      <w:proofErr w:type="spellStart"/>
      <w:r w:rsidRPr="00840F43">
        <w:rPr>
          <w:rFonts w:ascii="Times New Roman" w:eastAsia="Times New Roman" w:hAnsi="Times New Roman" w:cs="Times New Roman"/>
          <w:sz w:val="24"/>
          <w:szCs w:val="24"/>
        </w:rPr>
        <w:t>Molluscicidal</w:t>
      </w:r>
      <w:proofErr w:type="spellEnd"/>
      <w:r w:rsidRPr="00840F43">
        <w:rPr>
          <w:rFonts w:ascii="Times New Roman" w:eastAsia="Times New Roman" w:hAnsi="Times New Roman" w:cs="Times New Roman"/>
          <w:sz w:val="24"/>
          <w:szCs w:val="24"/>
        </w:rPr>
        <w:t xml:space="preserve"> activity and chemical constituents. </w:t>
      </w:r>
      <w:r w:rsidRPr="00840F43">
        <w:rPr>
          <w:rFonts w:ascii="Times New Roman" w:eastAsia="Times New Roman" w:hAnsi="Times New Roman" w:cs="Times New Roman"/>
          <w:i/>
          <w:iCs/>
          <w:sz w:val="24"/>
          <w:szCs w:val="24"/>
        </w:rPr>
        <w:t>African Journal of Traditional, Complementary and Alternative Medicines, 4</w:t>
      </w:r>
      <w:r w:rsidRPr="00840F43">
        <w:rPr>
          <w:rFonts w:ascii="Times New Roman" w:eastAsia="Times New Roman" w:hAnsi="Times New Roman" w:cs="Times New Roman"/>
          <w:sz w:val="24"/>
          <w:szCs w:val="24"/>
        </w:rPr>
        <w:t xml:space="preserve">(1), 23–36. </w:t>
      </w:r>
      <w:hyperlink r:id="rId15" w:history="1">
        <w:r w:rsidRPr="00840F43">
          <w:rPr>
            <w:rFonts w:ascii="Times New Roman" w:eastAsia="Times New Roman" w:hAnsi="Times New Roman" w:cs="Times New Roman"/>
            <w:color w:val="0000FF"/>
            <w:sz w:val="24"/>
            <w:szCs w:val="24"/>
            <w:u w:val="single"/>
          </w:rPr>
          <w:t>https://doi.org/10.4314/ajtcam.v4i1.31189</w:t>
        </w:r>
      </w:hyperlink>
    </w:p>
    <w:p w14:paraId="2E6417EE"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lang w:val="nl-BE"/>
        </w:rPr>
        <w:t xml:space="preserve">Akinmoladun, A. C., Ibukun, E. O., &amp; Dan-Ologe, I. A. (2007). </w:t>
      </w:r>
      <w:r w:rsidRPr="00840F43">
        <w:rPr>
          <w:rFonts w:ascii="Times New Roman" w:eastAsia="Times New Roman" w:hAnsi="Times New Roman" w:cs="Times New Roman"/>
          <w:sz w:val="24"/>
          <w:szCs w:val="24"/>
        </w:rPr>
        <w:t xml:space="preserve">Phytochemical constituents and antioxidant properties of extracts from the leaves of </w:t>
      </w:r>
      <w:proofErr w:type="spellStart"/>
      <w:r w:rsidRPr="00840F43">
        <w:rPr>
          <w:rFonts w:ascii="Times New Roman" w:eastAsia="Times New Roman" w:hAnsi="Times New Roman" w:cs="Times New Roman"/>
          <w:i/>
          <w:iCs/>
          <w:sz w:val="24"/>
          <w:szCs w:val="24"/>
        </w:rPr>
        <w:t>Chromolaena</w:t>
      </w:r>
      <w:proofErr w:type="spellEnd"/>
      <w:r w:rsidRPr="00840F43">
        <w:rPr>
          <w:rFonts w:ascii="Times New Roman" w:eastAsia="Times New Roman" w:hAnsi="Times New Roman" w:cs="Times New Roman"/>
          <w:i/>
          <w:iCs/>
          <w:sz w:val="24"/>
          <w:szCs w:val="24"/>
        </w:rPr>
        <w:t xml:space="preserve"> odorata</w:t>
      </w:r>
      <w:r w:rsidRPr="00840F43">
        <w:rPr>
          <w:rFonts w:ascii="Times New Roman" w:eastAsia="Times New Roman" w:hAnsi="Times New Roman" w:cs="Times New Roman"/>
          <w:sz w:val="24"/>
          <w:szCs w:val="24"/>
        </w:rPr>
        <w:t xml:space="preserve">. </w:t>
      </w:r>
      <w:r w:rsidRPr="00840F43">
        <w:rPr>
          <w:rFonts w:ascii="Times New Roman" w:eastAsia="Times New Roman" w:hAnsi="Times New Roman" w:cs="Times New Roman"/>
          <w:i/>
          <w:iCs/>
          <w:sz w:val="24"/>
          <w:szCs w:val="24"/>
        </w:rPr>
        <w:t>Scientific Research and Essay, 2</w:t>
      </w:r>
      <w:r w:rsidRPr="00840F43">
        <w:rPr>
          <w:rFonts w:ascii="Times New Roman" w:eastAsia="Times New Roman" w:hAnsi="Times New Roman" w:cs="Times New Roman"/>
          <w:sz w:val="24"/>
          <w:szCs w:val="24"/>
        </w:rPr>
        <w:t xml:space="preserve">(6), 191–194. </w:t>
      </w:r>
      <w:hyperlink r:id="rId16" w:history="1">
        <w:r w:rsidRPr="00840F43">
          <w:rPr>
            <w:rFonts w:ascii="Times New Roman" w:eastAsia="Times New Roman" w:hAnsi="Times New Roman" w:cs="Times New Roman"/>
            <w:color w:val="0000FF"/>
            <w:sz w:val="24"/>
            <w:szCs w:val="24"/>
            <w:u w:val="single"/>
          </w:rPr>
          <w:t>https://academicjournals.org/app/webroot/article/article1380191996_Akinmoladun%20%20et%20al%20%281%29.pdf</w:t>
        </w:r>
      </w:hyperlink>
    </w:p>
    <w:p w14:paraId="50F6DEB3"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t xml:space="preserve">Alara, O. R., Abdurahman, N. H., Ukaegbu, C. I., &amp; Alara, J. A. (2020). Optimization of microwave-assisted extraction of phenolic compounds from </w:t>
      </w:r>
      <w:r w:rsidRPr="00840F43">
        <w:rPr>
          <w:rFonts w:ascii="Times New Roman" w:eastAsia="Times New Roman" w:hAnsi="Times New Roman" w:cs="Times New Roman"/>
          <w:i/>
          <w:iCs/>
          <w:sz w:val="24"/>
          <w:szCs w:val="24"/>
        </w:rPr>
        <w:t xml:space="preserve">Ocimum </w:t>
      </w:r>
      <w:proofErr w:type="spellStart"/>
      <w:r w:rsidRPr="00840F43">
        <w:rPr>
          <w:rFonts w:ascii="Times New Roman" w:eastAsia="Times New Roman" w:hAnsi="Times New Roman" w:cs="Times New Roman"/>
          <w:i/>
          <w:iCs/>
          <w:sz w:val="24"/>
          <w:szCs w:val="24"/>
        </w:rPr>
        <w:t>gratissimum</w:t>
      </w:r>
      <w:proofErr w:type="spellEnd"/>
      <w:r w:rsidRPr="00840F43">
        <w:rPr>
          <w:rFonts w:ascii="Times New Roman" w:eastAsia="Times New Roman" w:hAnsi="Times New Roman" w:cs="Times New Roman"/>
          <w:sz w:val="24"/>
          <w:szCs w:val="24"/>
        </w:rPr>
        <w:t xml:space="preserve"> leaves and its LC–ESI–MS/MS profiling, antioxidant and antimicrobial activities. </w:t>
      </w:r>
      <w:r w:rsidRPr="00840F43">
        <w:rPr>
          <w:rFonts w:ascii="Times New Roman" w:eastAsia="Times New Roman" w:hAnsi="Times New Roman" w:cs="Times New Roman"/>
          <w:i/>
          <w:iCs/>
          <w:sz w:val="24"/>
          <w:szCs w:val="24"/>
        </w:rPr>
        <w:t>Journal of Food Measurement and Characterization, 14</w:t>
      </w:r>
      <w:r w:rsidRPr="00840F43">
        <w:rPr>
          <w:rFonts w:ascii="Times New Roman" w:eastAsia="Times New Roman" w:hAnsi="Times New Roman" w:cs="Times New Roman"/>
          <w:sz w:val="24"/>
          <w:szCs w:val="24"/>
        </w:rPr>
        <w:t xml:space="preserve">, 3590–3604. </w:t>
      </w:r>
      <w:hyperlink r:id="rId17" w:history="1">
        <w:r w:rsidRPr="00840F43">
          <w:rPr>
            <w:rFonts w:ascii="Times New Roman" w:eastAsia="Times New Roman" w:hAnsi="Times New Roman" w:cs="Times New Roman"/>
            <w:color w:val="0000FF"/>
            <w:sz w:val="24"/>
            <w:szCs w:val="24"/>
            <w:u w:val="single"/>
          </w:rPr>
          <w:t>https://doi.org/10.1007/s11694-020-00602-1</w:t>
        </w:r>
      </w:hyperlink>
    </w:p>
    <w:p w14:paraId="29CA5FAE"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t xml:space="preserve">Aquino, G., Basilicata, M. G., Crescenzi, C., Vestuto, V., Salviati, E., Cerrato, M., Ciaglia, T., Sansone, F., Pepe, G., &amp; Campiglia, P. (2023). Optimization of microwave-assisted extraction of antioxidant compounds from spring onion leaves using Box–Behnken design. </w:t>
      </w:r>
      <w:r w:rsidRPr="00840F43">
        <w:rPr>
          <w:rFonts w:ascii="Times New Roman" w:eastAsia="Times New Roman" w:hAnsi="Times New Roman" w:cs="Times New Roman"/>
          <w:i/>
          <w:iCs/>
          <w:sz w:val="24"/>
          <w:szCs w:val="24"/>
        </w:rPr>
        <w:t>Scientific Reports, 13</w:t>
      </w:r>
      <w:r w:rsidRPr="00840F43">
        <w:rPr>
          <w:rFonts w:ascii="Times New Roman" w:eastAsia="Times New Roman" w:hAnsi="Times New Roman" w:cs="Times New Roman"/>
          <w:sz w:val="24"/>
          <w:szCs w:val="24"/>
        </w:rPr>
        <w:t xml:space="preserve">, Article 14923. </w:t>
      </w:r>
      <w:hyperlink r:id="rId18" w:history="1">
        <w:r w:rsidRPr="00840F43">
          <w:rPr>
            <w:rFonts w:ascii="Times New Roman" w:eastAsia="Times New Roman" w:hAnsi="Times New Roman" w:cs="Times New Roman"/>
            <w:color w:val="0000FF"/>
            <w:sz w:val="24"/>
            <w:szCs w:val="24"/>
            <w:u w:val="single"/>
          </w:rPr>
          <w:t>https://doi.org/10.1038/s41598-023-42303-x</w:t>
        </w:r>
      </w:hyperlink>
    </w:p>
    <w:p w14:paraId="53C56A34"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lastRenderedPageBreak/>
        <w:t xml:space="preserve">Boots, A. W., </w:t>
      </w:r>
      <w:proofErr w:type="spellStart"/>
      <w:r w:rsidRPr="00840F43">
        <w:rPr>
          <w:rFonts w:ascii="Times New Roman" w:eastAsia="Times New Roman" w:hAnsi="Times New Roman" w:cs="Times New Roman"/>
          <w:sz w:val="24"/>
          <w:szCs w:val="24"/>
        </w:rPr>
        <w:t>Haenen</w:t>
      </w:r>
      <w:proofErr w:type="spellEnd"/>
      <w:r w:rsidRPr="00840F43">
        <w:rPr>
          <w:rFonts w:ascii="Times New Roman" w:eastAsia="Times New Roman" w:hAnsi="Times New Roman" w:cs="Times New Roman"/>
          <w:sz w:val="24"/>
          <w:szCs w:val="24"/>
        </w:rPr>
        <w:t xml:space="preserve">, G. R. M. M., &amp; Bast, A. (2008). Health effects of quercetin: From antioxidant to nutraceutical. </w:t>
      </w:r>
      <w:r w:rsidRPr="00840F43">
        <w:rPr>
          <w:rFonts w:ascii="Times New Roman" w:eastAsia="Times New Roman" w:hAnsi="Times New Roman" w:cs="Times New Roman"/>
          <w:i/>
          <w:iCs/>
          <w:sz w:val="24"/>
          <w:szCs w:val="24"/>
        </w:rPr>
        <w:t>European Journal of Pharmacology, 585</w:t>
      </w:r>
      <w:r w:rsidRPr="00840F43">
        <w:rPr>
          <w:rFonts w:ascii="Times New Roman" w:eastAsia="Times New Roman" w:hAnsi="Times New Roman" w:cs="Times New Roman"/>
          <w:sz w:val="24"/>
          <w:szCs w:val="24"/>
        </w:rPr>
        <w:t xml:space="preserve">(2–3), 325–337. </w:t>
      </w:r>
      <w:hyperlink r:id="rId19" w:history="1">
        <w:r w:rsidRPr="00840F43">
          <w:rPr>
            <w:rFonts w:ascii="Times New Roman" w:eastAsia="Times New Roman" w:hAnsi="Times New Roman" w:cs="Times New Roman"/>
            <w:color w:val="0000FF"/>
            <w:sz w:val="24"/>
            <w:szCs w:val="24"/>
            <w:u w:val="single"/>
          </w:rPr>
          <w:t>https://doi.org/10.1016/j.ejphar.2008.03.008</w:t>
        </w:r>
      </w:hyperlink>
    </w:p>
    <w:p w14:paraId="57883E7B" w14:textId="63036D18"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840F43">
        <w:rPr>
          <w:rFonts w:ascii="Times New Roman" w:eastAsia="Times New Roman" w:hAnsi="Times New Roman" w:cs="Times New Roman"/>
          <w:sz w:val="24"/>
          <w:szCs w:val="24"/>
        </w:rPr>
        <w:t>Caiqin</w:t>
      </w:r>
      <w:proofErr w:type="spellEnd"/>
      <w:r w:rsidRPr="00840F43">
        <w:rPr>
          <w:rFonts w:ascii="Times New Roman" w:eastAsia="Times New Roman" w:hAnsi="Times New Roman" w:cs="Times New Roman"/>
          <w:sz w:val="24"/>
          <w:szCs w:val="24"/>
        </w:rPr>
        <w:t xml:space="preserve">, G., &amp; </w:t>
      </w:r>
      <w:proofErr w:type="spellStart"/>
      <w:r w:rsidRPr="00840F43">
        <w:rPr>
          <w:rFonts w:ascii="Times New Roman" w:eastAsia="Times New Roman" w:hAnsi="Times New Roman" w:cs="Times New Roman"/>
          <w:sz w:val="24"/>
          <w:szCs w:val="24"/>
        </w:rPr>
        <w:t>Wanling</w:t>
      </w:r>
      <w:proofErr w:type="spellEnd"/>
      <w:r w:rsidRPr="00840F43">
        <w:rPr>
          <w:rFonts w:ascii="Times New Roman" w:eastAsia="Times New Roman" w:hAnsi="Times New Roman" w:cs="Times New Roman"/>
          <w:sz w:val="24"/>
          <w:szCs w:val="24"/>
        </w:rPr>
        <w:t xml:space="preserve">, C. (2010). Semi-solid process of fermenting pineapple into vinegar. </w:t>
      </w:r>
      <w:r w:rsidRPr="00840F43">
        <w:rPr>
          <w:rFonts w:ascii="Times New Roman" w:eastAsia="Times New Roman" w:hAnsi="Times New Roman" w:cs="Times New Roman"/>
          <w:i/>
          <w:iCs/>
          <w:sz w:val="24"/>
          <w:szCs w:val="24"/>
        </w:rPr>
        <w:t>Food Science Journal, 31</w:t>
      </w:r>
      <w:r w:rsidRPr="00840F43">
        <w:rPr>
          <w:rFonts w:ascii="Times New Roman" w:eastAsia="Times New Roman" w:hAnsi="Times New Roman" w:cs="Times New Roman"/>
          <w:sz w:val="24"/>
          <w:szCs w:val="24"/>
        </w:rPr>
        <w:t xml:space="preserve">(6), 56–60. </w:t>
      </w:r>
    </w:p>
    <w:p w14:paraId="20D1DC9D"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t xml:space="preserve">Chan, C. H., Yusoff, R., Ngoh, G. C., &amp; Kung, F. W. L. (2011). Microwave-assisted extractions of active ingredients from plants. </w:t>
      </w:r>
      <w:r w:rsidRPr="00840F43">
        <w:rPr>
          <w:rFonts w:ascii="Times New Roman" w:eastAsia="Times New Roman" w:hAnsi="Times New Roman" w:cs="Times New Roman"/>
          <w:i/>
          <w:iCs/>
          <w:sz w:val="24"/>
          <w:szCs w:val="24"/>
        </w:rPr>
        <w:t>Journal of Chromatography A, 1218</w:t>
      </w:r>
      <w:r w:rsidRPr="00840F43">
        <w:rPr>
          <w:rFonts w:ascii="Times New Roman" w:eastAsia="Times New Roman" w:hAnsi="Times New Roman" w:cs="Times New Roman"/>
          <w:sz w:val="24"/>
          <w:szCs w:val="24"/>
        </w:rPr>
        <w:t xml:space="preserve">(37), 6213–6225. </w:t>
      </w:r>
      <w:hyperlink r:id="rId20" w:history="1">
        <w:r w:rsidRPr="00840F43">
          <w:rPr>
            <w:rFonts w:ascii="Times New Roman" w:eastAsia="Times New Roman" w:hAnsi="Times New Roman" w:cs="Times New Roman"/>
            <w:color w:val="0000FF"/>
            <w:sz w:val="24"/>
            <w:szCs w:val="24"/>
            <w:u w:val="single"/>
          </w:rPr>
          <w:t>https://doi.org/10.1016/j.chroma.2011.07.040</w:t>
        </w:r>
      </w:hyperlink>
    </w:p>
    <w:p w14:paraId="2E09240A" w14:textId="75CD60B1"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840F43">
        <w:rPr>
          <w:rFonts w:ascii="Times New Roman" w:eastAsia="Times New Roman" w:hAnsi="Times New Roman" w:cs="Times New Roman"/>
          <w:sz w:val="24"/>
          <w:szCs w:val="24"/>
        </w:rPr>
        <w:t>ChemistRn</w:t>
      </w:r>
      <w:proofErr w:type="spellEnd"/>
      <w:r w:rsidRPr="00840F43">
        <w:rPr>
          <w:rFonts w:ascii="Times New Roman" w:eastAsia="Times New Roman" w:hAnsi="Times New Roman" w:cs="Times New Roman"/>
          <w:sz w:val="24"/>
          <w:szCs w:val="24"/>
        </w:rPr>
        <w:t xml:space="preserve">. (2022). </w:t>
      </w:r>
      <w:r w:rsidRPr="00840F43">
        <w:rPr>
          <w:rFonts w:ascii="Times New Roman" w:eastAsia="Times New Roman" w:hAnsi="Times New Roman" w:cs="Times New Roman"/>
          <w:i/>
          <w:iCs/>
          <w:sz w:val="24"/>
          <w:szCs w:val="24"/>
        </w:rPr>
        <w:t>Microwave assisted extraction: Principle, process, application, and advantage</w:t>
      </w:r>
      <w:r w:rsidRPr="00840F43">
        <w:rPr>
          <w:rFonts w:ascii="Times New Roman" w:eastAsia="Times New Roman" w:hAnsi="Times New Roman" w:cs="Times New Roman"/>
          <w:sz w:val="24"/>
          <w:szCs w:val="24"/>
        </w:rPr>
        <w:t xml:space="preserve">. </w:t>
      </w:r>
    </w:p>
    <w:p w14:paraId="2FB86588"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840F43">
        <w:rPr>
          <w:rFonts w:ascii="Times New Roman" w:eastAsia="Times New Roman" w:hAnsi="Times New Roman" w:cs="Times New Roman"/>
          <w:sz w:val="24"/>
          <w:szCs w:val="24"/>
        </w:rPr>
        <w:t>Delazar</w:t>
      </w:r>
      <w:proofErr w:type="spellEnd"/>
      <w:r w:rsidRPr="00840F43">
        <w:rPr>
          <w:rFonts w:ascii="Times New Roman" w:eastAsia="Times New Roman" w:hAnsi="Times New Roman" w:cs="Times New Roman"/>
          <w:sz w:val="24"/>
          <w:szCs w:val="24"/>
        </w:rPr>
        <w:t xml:space="preserve">, A., Nahar, L., </w:t>
      </w:r>
      <w:proofErr w:type="spellStart"/>
      <w:r w:rsidRPr="00840F43">
        <w:rPr>
          <w:rFonts w:ascii="Times New Roman" w:eastAsia="Times New Roman" w:hAnsi="Times New Roman" w:cs="Times New Roman"/>
          <w:sz w:val="24"/>
          <w:szCs w:val="24"/>
        </w:rPr>
        <w:t>Hamedeyazdan</w:t>
      </w:r>
      <w:proofErr w:type="spellEnd"/>
      <w:r w:rsidRPr="00840F43">
        <w:rPr>
          <w:rFonts w:ascii="Times New Roman" w:eastAsia="Times New Roman" w:hAnsi="Times New Roman" w:cs="Times New Roman"/>
          <w:sz w:val="24"/>
          <w:szCs w:val="24"/>
        </w:rPr>
        <w:t xml:space="preserve">, S., &amp; Sarker, S. D. (2012). Microwave-assisted extraction in natural products isolation. In S. D. Sarker &amp; L. Nahar (Eds.), </w:t>
      </w:r>
      <w:r w:rsidRPr="00840F43">
        <w:rPr>
          <w:rFonts w:ascii="Times New Roman" w:eastAsia="Times New Roman" w:hAnsi="Times New Roman" w:cs="Times New Roman"/>
          <w:i/>
          <w:iCs/>
          <w:sz w:val="24"/>
          <w:szCs w:val="24"/>
        </w:rPr>
        <w:t>Natural products isolation</w:t>
      </w:r>
      <w:r w:rsidRPr="00840F43">
        <w:rPr>
          <w:rFonts w:ascii="Times New Roman" w:eastAsia="Times New Roman" w:hAnsi="Times New Roman" w:cs="Times New Roman"/>
          <w:sz w:val="24"/>
          <w:szCs w:val="24"/>
        </w:rPr>
        <w:t xml:space="preserve"> (pp. 89–115). Humana Press. </w:t>
      </w:r>
      <w:hyperlink r:id="rId21" w:history="1">
        <w:r w:rsidRPr="00840F43">
          <w:rPr>
            <w:rFonts w:ascii="Times New Roman" w:eastAsia="Times New Roman" w:hAnsi="Times New Roman" w:cs="Times New Roman"/>
            <w:color w:val="0000FF"/>
            <w:sz w:val="24"/>
            <w:szCs w:val="24"/>
            <w:u w:val="single"/>
          </w:rPr>
          <w:t>https://doi.org/10.1007/978-1-61779-624-1_5</w:t>
        </w:r>
      </w:hyperlink>
    </w:p>
    <w:p w14:paraId="501BDA56"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lang w:val="nl-BE"/>
        </w:rPr>
      </w:pPr>
      <w:r w:rsidRPr="00840F43">
        <w:rPr>
          <w:rFonts w:ascii="Times New Roman" w:eastAsia="Times New Roman" w:hAnsi="Times New Roman" w:cs="Times New Roman"/>
          <w:sz w:val="24"/>
          <w:szCs w:val="24"/>
        </w:rPr>
        <w:t xml:space="preserve">Halvorsen, B. L., Holte, K., </w:t>
      </w:r>
      <w:proofErr w:type="spellStart"/>
      <w:r w:rsidRPr="00840F43">
        <w:rPr>
          <w:rFonts w:ascii="Times New Roman" w:eastAsia="Times New Roman" w:hAnsi="Times New Roman" w:cs="Times New Roman"/>
          <w:sz w:val="24"/>
          <w:szCs w:val="24"/>
        </w:rPr>
        <w:t>Myhrstad</w:t>
      </w:r>
      <w:proofErr w:type="spellEnd"/>
      <w:r w:rsidRPr="00840F43">
        <w:rPr>
          <w:rFonts w:ascii="Times New Roman" w:eastAsia="Times New Roman" w:hAnsi="Times New Roman" w:cs="Times New Roman"/>
          <w:sz w:val="24"/>
          <w:szCs w:val="24"/>
        </w:rPr>
        <w:t xml:space="preserve">, M. C. W., </w:t>
      </w:r>
      <w:proofErr w:type="spellStart"/>
      <w:r w:rsidRPr="00840F43">
        <w:rPr>
          <w:rFonts w:ascii="Times New Roman" w:eastAsia="Times New Roman" w:hAnsi="Times New Roman" w:cs="Times New Roman"/>
          <w:sz w:val="24"/>
          <w:szCs w:val="24"/>
        </w:rPr>
        <w:t>Barikmo</w:t>
      </w:r>
      <w:proofErr w:type="spellEnd"/>
      <w:r w:rsidRPr="00840F43">
        <w:rPr>
          <w:rFonts w:ascii="Times New Roman" w:eastAsia="Times New Roman" w:hAnsi="Times New Roman" w:cs="Times New Roman"/>
          <w:sz w:val="24"/>
          <w:szCs w:val="24"/>
        </w:rPr>
        <w:t xml:space="preserve">, I., Hvattum, E., Remberg, S. F., </w:t>
      </w:r>
      <w:proofErr w:type="spellStart"/>
      <w:r w:rsidRPr="00840F43">
        <w:rPr>
          <w:rFonts w:ascii="Times New Roman" w:eastAsia="Times New Roman" w:hAnsi="Times New Roman" w:cs="Times New Roman"/>
          <w:sz w:val="24"/>
          <w:szCs w:val="24"/>
        </w:rPr>
        <w:t>Wold</w:t>
      </w:r>
      <w:proofErr w:type="spellEnd"/>
      <w:r w:rsidRPr="00840F43">
        <w:rPr>
          <w:rFonts w:ascii="Times New Roman" w:eastAsia="Times New Roman" w:hAnsi="Times New Roman" w:cs="Times New Roman"/>
          <w:sz w:val="24"/>
          <w:szCs w:val="24"/>
        </w:rPr>
        <w:t xml:space="preserve">, A. B., Haffner, K., </w:t>
      </w:r>
      <w:proofErr w:type="spellStart"/>
      <w:r w:rsidRPr="00840F43">
        <w:rPr>
          <w:rFonts w:ascii="Times New Roman" w:eastAsia="Times New Roman" w:hAnsi="Times New Roman" w:cs="Times New Roman"/>
          <w:sz w:val="24"/>
          <w:szCs w:val="24"/>
        </w:rPr>
        <w:t>Baugerød</w:t>
      </w:r>
      <w:proofErr w:type="spellEnd"/>
      <w:r w:rsidRPr="00840F43">
        <w:rPr>
          <w:rFonts w:ascii="Times New Roman" w:eastAsia="Times New Roman" w:hAnsi="Times New Roman" w:cs="Times New Roman"/>
          <w:sz w:val="24"/>
          <w:szCs w:val="24"/>
        </w:rPr>
        <w:t xml:space="preserve">, H., Andersen, L. F., </w:t>
      </w:r>
      <w:proofErr w:type="spellStart"/>
      <w:r w:rsidRPr="00840F43">
        <w:rPr>
          <w:rFonts w:ascii="Times New Roman" w:eastAsia="Times New Roman" w:hAnsi="Times New Roman" w:cs="Times New Roman"/>
          <w:sz w:val="24"/>
          <w:szCs w:val="24"/>
        </w:rPr>
        <w:t>Moskaug</w:t>
      </w:r>
      <w:proofErr w:type="spellEnd"/>
      <w:r w:rsidRPr="00840F43">
        <w:rPr>
          <w:rFonts w:ascii="Times New Roman" w:eastAsia="Times New Roman" w:hAnsi="Times New Roman" w:cs="Times New Roman"/>
          <w:sz w:val="24"/>
          <w:szCs w:val="24"/>
        </w:rPr>
        <w:t xml:space="preserve">, Ø., Jacobs, D. R., Jr., &amp; </w:t>
      </w:r>
      <w:proofErr w:type="spellStart"/>
      <w:r w:rsidRPr="00840F43">
        <w:rPr>
          <w:rFonts w:ascii="Times New Roman" w:eastAsia="Times New Roman" w:hAnsi="Times New Roman" w:cs="Times New Roman"/>
          <w:sz w:val="24"/>
          <w:szCs w:val="24"/>
        </w:rPr>
        <w:t>Blomhoff</w:t>
      </w:r>
      <w:proofErr w:type="spellEnd"/>
      <w:r w:rsidRPr="00840F43">
        <w:rPr>
          <w:rFonts w:ascii="Times New Roman" w:eastAsia="Times New Roman" w:hAnsi="Times New Roman" w:cs="Times New Roman"/>
          <w:sz w:val="24"/>
          <w:szCs w:val="24"/>
        </w:rPr>
        <w:t xml:space="preserve">, R. (2002). A systematic screening of total antioxidants in dietary plants. </w:t>
      </w:r>
      <w:r w:rsidRPr="00840F43">
        <w:rPr>
          <w:rFonts w:ascii="Times New Roman" w:eastAsia="Times New Roman" w:hAnsi="Times New Roman" w:cs="Times New Roman"/>
          <w:i/>
          <w:iCs/>
          <w:sz w:val="24"/>
          <w:szCs w:val="24"/>
        </w:rPr>
        <w:t>The Journal of Nutrition, 132</w:t>
      </w:r>
      <w:r w:rsidRPr="00840F43">
        <w:rPr>
          <w:rFonts w:ascii="Times New Roman" w:eastAsia="Times New Roman" w:hAnsi="Times New Roman" w:cs="Times New Roman"/>
          <w:sz w:val="24"/>
          <w:szCs w:val="24"/>
        </w:rPr>
        <w:t xml:space="preserve">(3), 461–471. </w:t>
      </w:r>
      <w:hyperlink r:id="rId22" w:history="1">
        <w:r w:rsidRPr="00840F43">
          <w:rPr>
            <w:rFonts w:ascii="Times New Roman" w:eastAsia="Times New Roman" w:hAnsi="Times New Roman" w:cs="Times New Roman"/>
            <w:color w:val="0000FF"/>
            <w:sz w:val="24"/>
            <w:szCs w:val="24"/>
            <w:u w:val="single"/>
            <w:lang w:val="nl-BE"/>
          </w:rPr>
          <w:t>https://doi.org/10.1093/jn/132.3.461</w:t>
        </w:r>
      </w:hyperlink>
    </w:p>
    <w:p w14:paraId="5793FD77" w14:textId="157D293B"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lang w:val="nl-BE"/>
        </w:rPr>
        <w:t xml:space="preserve">Iwouno, J. O., Ofoedu, C. E., &amp; Ofoedum, A. F. (2019). </w:t>
      </w:r>
      <w:r w:rsidRPr="00840F43">
        <w:rPr>
          <w:rFonts w:ascii="Times New Roman" w:eastAsia="Times New Roman" w:hAnsi="Times New Roman" w:cs="Times New Roman"/>
          <w:sz w:val="24"/>
          <w:szCs w:val="24"/>
        </w:rPr>
        <w:t xml:space="preserve">Potentials of egg shell and snail shell powder in sorghum beer clarification. </w:t>
      </w:r>
      <w:r w:rsidRPr="00840F43">
        <w:rPr>
          <w:rFonts w:ascii="Times New Roman" w:eastAsia="Times New Roman" w:hAnsi="Times New Roman" w:cs="Times New Roman"/>
          <w:i/>
          <w:iCs/>
          <w:sz w:val="24"/>
          <w:szCs w:val="24"/>
        </w:rPr>
        <w:t>Archives of Current Research International, 16</w:t>
      </w:r>
      <w:r w:rsidRPr="00840F43">
        <w:rPr>
          <w:rFonts w:ascii="Times New Roman" w:eastAsia="Times New Roman" w:hAnsi="Times New Roman" w:cs="Times New Roman"/>
          <w:sz w:val="24"/>
          <w:szCs w:val="24"/>
        </w:rPr>
        <w:t xml:space="preserve">(4), 1–10. </w:t>
      </w:r>
      <w:hyperlink r:id="rId23" w:history="1">
        <w:r w:rsidRPr="00840F43">
          <w:rPr>
            <w:rFonts w:ascii="Times New Roman" w:eastAsia="Times New Roman" w:hAnsi="Times New Roman" w:cs="Times New Roman"/>
            <w:color w:val="0000FF"/>
            <w:sz w:val="24"/>
            <w:szCs w:val="24"/>
            <w:u w:val="single"/>
          </w:rPr>
          <w:t>https://doi.org/10.9734/acri/2019/v16i430093</w:t>
        </w:r>
      </w:hyperlink>
      <w:r w:rsidRPr="00840F43">
        <w:rPr>
          <w:rFonts w:ascii="Times New Roman" w:eastAsia="Times New Roman" w:hAnsi="Times New Roman" w:cs="Times New Roman"/>
          <w:sz w:val="24"/>
          <w:szCs w:val="24"/>
        </w:rPr>
        <w:t xml:space="preserve"> </w:t>
      </w:r>
    </w:p>
    <w:p w14:paraId="636FB178"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t>Jeddou, K. B., Bouaziz, F., Helbert, C. B., Nouri-</w:t>
      </w:r>
      <w:proofErr w:type="spellStart"/>
      <w:r w:rsidRPr="00840F43">
        <w:rPr>
          <w:rFonts w:ascii="Times New Roman" w:eastAsia="Times New Roman" w:hAnsi="Times New Roman" w:cs="Times New Roman"/>
          <w:sz w:val="24"/>
          <w:szCs w:val="24"/>
        </w:rPr>
        <w:t>Ellouz</w:t>
      </w:r>
      <w:proofErr w:type="spellEnd"/>
      <w:r w:rsidRPr="00840F43">
        <w:rPr>
          <w:rFonts w:ascii="Times New Roman" w:eastAsia="Times New Roman" w:hAnsi="Times New Roman" w:cs="Times New Roman"/>
          <w:sz w:val="24"/>
          <w:szCs w:val="24"/>
        </w:rPr>
        <w:t xml:space="preserve">, O., Maktouf, S., Ellouz-Chaabouni, S., &amp; Ellouz-Ghorbel, R. (2018). Structural, functional, and biological properties of potato peel oligosaccharides. </w:t>
      </w:r>
      <w:r w:rsidRPr="00840F43">
        <w:rPr>
          <w:rFonts w:ascii="Times New Roman" w:eastAsia="Times New Roman" w:hAnsi="Times New Roman" w:cs="Times New Roman"/>
          <w:i/>
          <w:iCs/>
          <w:sz w:val="24"/>
          <w:szCs w:val="24"/>
        </w:rPr>
        <w:t>International Journal of Biological Macromolecules, 112</w:t>
      </w:r>
      <w:r w:rsidRPr="00840F43">
        <w:rPr>
          <w:rFonts w:ascii="Times New Roman" w:eastAsia="Times New Roman" w:hAnsi="Times New Roman" w:cs="Times New Roman"/>
          <w:sz w:val="24"/>
          <w:szCs w:val="24"/>
        </w:rPr>
        <w:t xml:space="preserve">, 1146–1155. </w:t>
      </w:r>
      <w:hyperlink r:id="rId24" w:history="1">
        <w:r w:rsidRPr="00840F43">
          <w:rPr>
            <w:rFonts w:ascii="Times New Roman" w:eastAsia="Times New Roman" w:hAnsi="Times New Roman" w:cs="Times New Roman"/>
            <w:color w:val="0000FF"/>
            <w:sz w:val="24"/>
            <w:szCs w:val="24"/>
            <w:u w:val="single"/>
          </w:rPr>
          <w:t>https://doi.org/10.1016/j.ijbiomac.2018.02.068</w:t>
        </w:r>
      </w:hyperlink>
    </w:p>
    <w:p w14:paraId="4EF8305E"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t>Kerem, Z., German-</w:t>
      </w:r>
      <w:proofErr w:type="spellStart"/>
      <w:r w:rsidRPr="00840F43">
        <w:rPr>
          <w:rFonts w:ascii="Times New Roman" w:eastAsia="Times New Roman" w:hAnsi="Times New Roman" w:cs="Times New Roman"/>
          <w:sz w:val="24"/>
          <w:szCs w:val="24"/>
        </w:rPr>
        <w:t>Shashoua</w:t>
      </w:r>
      <w:proofErr w:type="spellEnd"/>
      <w:r w:rsidRPr="00840F43">
        <w:rPr>
          <w:rFonts w:ascii="Times New Roman" w:eastAsia="Times New Roman" w:hAnsi="Times New Roman" w:cs="Times New Roman"/>
          <w:sz w:val="24"/>
          <w:szCs w:val="24"/>
        </w:rPr>
        <w:t>, H., &amp; Yarden, O. (2005). Microwave-assisted extraction of bioactive saponins from chickpea (</w:t>
      </w:r>
      <w:r w:rsidRPr="00840F43">
        <w:rPr>
          <w:rFonts w:ascii="Times New Roman" w:eastAsia="Times New Roman" w:hAnsi="Times New Roman" w:cs="Times New Roman"/>
          <w:i/>
          <w:iCs/>
          <w:sz w:val="24"/>
          <w:szCs w:val="24"/>
        </w:rPr>
        <w:t>Cicer arietinum</w:t>
      </w:r>
      <w:r w:rsidRPr="00840F43">
        <w:rPr>
          <w:rFonts w:ascii="Times New Roman" w:eastAsia="Times New Roman" w:hAnsi="Times New Roman" w:cs="Times New Roman"/>
          <w:sz w:val="24"/>
          <w:szCs w:val="24"/>
        </w:rPr>
        <w:t xml:space="preserve"> L.). </w:t>
      </w:r>
      <w:r w:rsidRPr="00840F43">
        <w:rPr>
          <w:rFonts w:ascii="Times New Roman" w:eastAsia="Times New Roman" w:hAnsi="Times New Roman" w:cs="Times New Roman"/>
          <w:i/>
          <w:iCs/>
          <w:sz w:val="24"/>
          <w:szCs w:val="24"/>
        </w:rPr>
        <w:t>Journal of the Science of Food and Agriculture, 85</w:t>
      </w:r>
      <w:r w:rsidRPr="00840F43">
        <w:rPr>
          <w:rFonts w:ascii="Times New Roman" w:eastAsia="Times New Roman" w:hAnsi="Times New Roman" w:cs="Times New Roman"/>
          <w:sz w:val="24"/>
          <w:szCs w:val="24"/>
        </w:rPr>
        <w:t xml:space="preserve">(3), 406–412. </w:t>
      </w:r>
      <w:hyperlink r:id="rId25" w:history="1">
        <w:r w:rsidRPr="00840F43">
          <w:rPr>
            <w:rFonts w:ascii="Times New Roman" w:eastAsia="Times New Roman" w:hAnsi="Times New Roman" w:cs="Times New Roman"/>
            <w:color w:val="0000FF"/>
            <w:sz w:val="24"/>
            <w:szCs w:val="24"/>
            <w:u w:val="single"/>
          </w:rPr>
          <w:t>https://doi.org/10.1002/jsfa.1989</w:t>
        </w:r>
      </w:hyperlink>
    </w:p>
    <w:p w14:paraId="226475F2"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t>Mao, Q.-Q., Xu, X.-Y., Cao, S.-Y., Gan, R.-Y., Corke, H., Beta, T., &amp; Li, H.-B. (2019). Bioactive compounds and bioactivities of ginger (</w:t>
      </w:r>
      <w:r w:rsidRPr="00840F43">
        <w:rPr>
          <w:rFonts w:ascii="Times New Roman" w:eastAsia="Times New Roman" w:hAnsi="Times New Roman" w:cs="Times New Roman"/>
          <w:i/>
          <w:iCs/>
          <w:sz w:val="24"/>
          <w:szCs w:val="24"/>
        </w:rPr>
        <w:t>Zingiber officinale</w:t>
      </w:r>
      <w:r w:rsidRPr="00840F43">
        <w:rPr>
          <w:rFonts w:ascii="Times New Roman" w:eastAsia="Times New Roman" w:hAnsi="Times New Roman" w:cs="Times New Roman"/>
          <w:sz w:val="24"/>
          <w:szCs w:val="24"/>
        </w:rPr>
        <w:t xml:space="preserve"> Roscoe). </w:t>
      </w:r>
      <w:r w:rsidRPr="00840F43">
        <w:rPr>
          <w:rFonts w:ascii="Times New Roman" w:eastAsia="Times New Roman" w:hAnsi="Times New Roman" w:cs="Times New Roman"/>
          <w:i/>
          <w:iCs/>
          <w:sz w:val="24"/>
          <w:szCs w:val="24"/>
        </w:rPr>
        <w:t>Foods, 8</w:t>
      </w:r>
      <w:r w:rsidRPr="00840F43">
        <w:rPr>
          <w:rFonts w:ascii="Times New Roman" w:eastAsia="Times New Roman" w:hAnsi="Times New Roman" w:cs="Times New Roman"/>
          <w:sz w:val="24"/>
          <w:szCs w:val="24"/>
        </w:rPr>
        <w:t xml:space="preserve">(6), Article 185. </w:t>
      </w:r>
      <w:hyperlink r:id="rId26" w:history="1">
        <w:r w:rsidRPr="00840F43">
          <w:rPr>
            <w:rFonts w:ascii="Times New Roman" w:eastAsia="Times New Roman" w:hAnsi="Times New Roman" w:cs="Times New Roman"/>
            <w:color w:val="0000FF"/>
            <w:sz w:val="24"/>
            <w:szCs w:val="24"/>
            <w:u w:val="single"/>
          </w:rPr>
          <w:t>https://doi.org/10.3390/foods8060185</w:t>
        </w:r>
      </w:hyperlink>
    </w:p>
    <w:p w14:paraId="030D78B2"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t xml:space="preserve">Nile, S. H., &amp; Park, S. W. (2015). Chromatographic analysis, antioxidant, anti-inflammatory, and xanthine oxidase inhibitory activities of ginger extracts and its reference compounds. </w:t>
      </w:r>
      <w:r w:rsidRPr="00840F43">
        <w:rPr>
          <w:rFonts w:ascii="Times New Roman" w:eastAsia="Times New Roman" w:hAnsi="Times New Roman" w:cs="Times New Roman"/>
          <w:i/>
          <w:iCs/>
          <w:sz w:val="24"/>
          <w:szCs w:val="24"/>
        </w:rPr>
        <w:t>Industrial Crops and Products, 70</w:t>
      </w:r>
      <w:r w:rsidRPr="00840F43">
        <w:rPr>
          <w:rFonts w:ascii="Times New Roman" w:eastAsia="Times New Roman" w:hAnsi="Times New Roman" w:cs="Times New Roman"/>
          <w:sz w:val="24"/>
          <w:szCs w:val="24"/>
        </w:rPr>
        <w:t xml:space="preserve">, 238–244. </w:t>
      </w:r>
      <w:hyperlink r:id="rId27" w:history="1">
        <w:r w:rsidRPr="00840F43">
          <w:rPr>
            <w:rFonts w:ascii="Times New Roman" w:eastAsia="Times New Roman" w:hAnsi="Times New Roman" w:cs="Times New Roman"/>
            <w:color w:val="0000FF"/>
            <w:sz w:val="24"/>
            <w:szCs w:val="24"/>
            <w:u w:val="single"/>
          </w:rPr>
          <w:t>https://doi.org/10.1016/j.indcrop.2015.03.033</w:t>
        </w:r>
      </w:hyperlink>
    </w:p>
    <w:p w14:paraId="36DBE57C"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t>Nwafor, M. N., Chinedu-</w:t>
      </w:r>
      <w:proofErr w:type="spellStart"/>
      <w:r w:rsidRPr="00840F43">
        <w:rPr>
          <w:rFonts w:ascii="Times New Roman" w:eastAsia="Times New Roman" w:hAnsi="Times New Roman" w:cs="Times New Roman"/>
          <w:sz w:val="24"/>
          <w:szCs w:val="24"/>
        </w:rPr>
        <w:t>Eluka</w:t>
      </w:r>
      <w:proofErr w:type="spellEnd"/>
      <w:r w:rsidRPr="00840F43">
        <w:rPr>
          <w:rFonts w:ascii="Times New Roman" w:eastAsia="Times New Roman" w:hAnsi="Times New Roman" w:cs="Times New Roman"/>
          <w:sz w:val="24"/>
          <w:szCs w:val="24"/>
        </w:rPr>
        <w:t xml:space="preserve">, P., </w:t>
      </w:r>
      <w:proofErr w:type="spellStart"/>
      <w:r w:rsidRPr="00840F43">
        <w:rPr>
          <w:rFonts w:ascii="Times New Roman" w:eastAsia="Times New Roman" w:hAnsi="Times New Roman" w:cs="Times New Roman"/>
          <w:sz w:val="24"/>
          <w:szCs w:val="24"/>
        </w:rPr>
        <w:t>Obijuru</w:t>
      </w:r>
      <w:proofErr w:type="spellEnd"/>
      <w:r w:rsidRPr="00840F43">
        <w:rPr>
          <w:rFonts w:ascii="Times New Roman" w:eastAsia="Times New Roman" w:hAnsi="Times New Roman" w:cs="Times New Roman"/>
          <w:sz w:val="24"/>
          <w:szCs w:val="24"/>
        </w:rPr>
        <w:t xml:space="preserve">, N. T., Onyekwere, O. C., Whyte, A. J., </w:t>
      </w:r>
      <w:proofErr w:type="spellStart"/>
      <w:r w:rsidRPr="00840F43">
        <w:rPr>
          <w:rFonts w:ascii="Times New Roman" w:eastAsia="Times New Roman" w:hAnsi="Times New Roman" w:cs="Times New Roman"/>
          <w:sz w:val="24"/>
          <w:szCs w:val="24"/>
        </w:rPr>
        <w:t>Eji</w:t>
      </w:r>
      <w:proofErr w:type="spellEnd"/>
      <w:r w:rsidRPr="00840F43">
        <w:rPr>
          <w:rFonts w:ascii="Times New Roman" w:eastAsia="Times New Roman" w:hAnsi="Times New Roman" w:cs="Times New Roman"/>
          <w:sz w:val="24"/>
          <w:szCs w:val="24"/>
        </w:rPr>
        <w:t xml:space="preserve">, M. O., &amp; </w:t>
      </w:r>
      <w:proofErr w:type="spellStart"/>
      <w:r w:rsidRPr="00840F43">
        <w:rPr>
          <w:rFonts w:ascii="Times New Roman" w:eastAsia="Times New Roman" w:hAnsi="Times New Roman" w:cs="Times New Roman"/>
          <w:sz w:val="24"/>
          <w:szCs w:val="24"/>
        </w:rPr>
        <w:t>Babandi</w:t>
      </w:r>
      <w:proofErr w:type="spellEnd"/>
      <w:r w:rsidRPr="00840F43">
        <w:rPr>
          <w:rFonts w:ascii="Times New Roman" w:eastAsia="Times New Roman" w:hAnsi="Times New Roman" w:cs="Times New Roman"/>
          <w:sz w:val="24"/>
          <w:szCs w:val="24"/>
        </w:rPr>
        <w:t xml:space="preserve">, A. (2025). Effects of ethanol extract of </w:t>
      </w:r>
      <w:proofErr w:type="spellStart"/>
      <w:r w:rsidRPr="00840F43">
        <w:rPr>
          <w:rFonts w:ascii="Times New Roman" w:eastAsia="Times New Roman" w:hAnsi="Times New Roman" w:cs="Times New Roman"/>
          <w:i/>
          <w:iCs/>
          <w:sz w:val="24"/>
          <w:szCs w:val="24"/>
        </w:rPr>
        <w:t>Tetrapleura</w:t>
      </w:r>
      <w:proofErr w:type="spellEnd"/>
      <w:r w:rsidRPr="00840F43">
        <w:rPr>
          <w:rFonts w:ascii="Times New Roman" w:eastAsia="Times New Roman" w:hAnsi="Times New Roman" w:cs="Times New Roman"/>
          <w:i/>
          <w:iCs/>
          <w:sz w:val="24"/>
          <w:szCs w:val="24"/>
        </w:rPr>
        <w:t xml:space="preserve"> tetraptera</w:t>
      </w:r>
      <w:r w:rsidRPr="00840F43">
        <w:rPr>
          <w:rFonts w:ascii="Times New Roman" w:eastAsia="Times New Roman" w:hAnsi="Times New Roman" w:cs="Times New Roman"/>
          <w:sz w:val="24"/>
          <w:szCs w:val="24"/>
        </w:rPr>
        <w:t xml:space="preserve"> fruit on liver </w:t>
      </w:r>
      <w:r w:rsidRPr="00840F43">
        <w:rPr>
          <w:rFonts w:ascii="Times New Roman" w:eastAsia="Times New Roman" w:hAnsi="Times New Roman" w:cs="Times New Roman"/>
          <w:sz w:val="24"/>
          <w:szCs w:val="24"/>
        </w:rPr>
        <w:lastRenderedPageBreak/>
        <w:t xml:space="preserve">antioxidant profile in albino rats intoxicated with carbon tetrachloride. </w:t>
      </w:r>
      <w:r w:rsidRPr="00840F43">
        <w:rPr>
          <w:rFonts w:ascii="Times New Roman" w:eastAsia="Times New Roman" w:hAnsi="Times New Roman" w:cs="Times New Roman"/>
          <w:i/>
          <w:iCs/>
          <w:sz w:val="24"/>
          <w:szCs w:val="24"/>
        </w:rPr>
        <w:t>Journal of International Research in Medical and Pharmaceutical Sciences, 20</w:t>
      </w:r>
      <w:r w:rsidRPr="00840F43">
        <w:rPr>
          <w:rFonts w:ascii="Times New Roman" w:eastAsia="Times New Roman" w:hAnsi="Times New Roman" w:cs="Times New Roman"/>
          <w:sz w:val="24"/>
          <w:szCs w:val="24"/>
        </w:rPr>
        <w:t xml:space="preserve">(3), 61–76. </w:t>
      </w:r>
      <w:hyperlink r:id="rId28" w:history="1">
        <w:r w:rsidRPr="00840F43">
          <w:rPr>
            <w:rFonts w:ascii="Times New Roman" w:eastAsia="Times New Roman" w:hAnsi="Times New Roman" w:cs="Times New Roman"/>
            <w:color w:val="0000FF"/>
            <w:sz w:val="24"/>
            <w:szCs w:val="24"/>
            <w:u w:val="single"/>
          </w:rPr>
          <w:t>https://doi.org/10.56557/jirmeps/2025/v20i39760</w:t>
        </w:r>
      </w:hyperlink>
    </w:p>
    <w:p w14:paraId="2CFF8EF5"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840F43">
        <w:rPr>
          <w:rFonts w:ascii="Times New Roman" w:eastAsia="Times New Roman" w:hAnsi="Times New Roman" w:cs="Times New Roman"/>
          <w:sz w:val="24"/>
          <w:szCs w:val="24"/>
        </w:rPr>
        <w:t>Odimegwu</w:t>
      </w:r>
      <w:proofErr w:type="spellEnd"/>
      <w:r w:rsidRPr="00840F43">
        <w:rPr>
          <w:rFonts w:ascii="Times New Roman" w:eastAsia="Times New Roman" w:hAnsi="Times New Roman" w:cs="Times New Roman"/>
          <w:sz w:val="24"/>
          <w:szCs w:val="24"/>
        </w:rPr>
        <w:t xml:space="preserve">, E. N., </w:t>
      </w:r>
      <w:proofErr w:type="spellStart"/>
      <w:r w:rsidRPr="00840F43">
        <w:rPr>
          <w:rFonts w:ascii="Times New Roman" w:eastAsia="Times New Roman" w:hAnsi="Times New Roman" w:cs="Times New Roman"/>
          <w:sz w:val="24"/>
          <w:szCs w:val="24"/>
        </w:rPr>
        <w:t>Akajiaku</w:t>
      </w:r>
      <w:proofErr w:type="spellEnd"/>
      <w:r w:rsidRPr="00840F43">
        <w:rPr>
          <w:rFonts w:ascii="Times New Roman" w:eastAsia="Times New Roman" w:hAnsi="Times New Roman" w:cs="Times New Roman"/>
          <w:sz w:val="24"/>
          <w:szCs w:val="24"/>
        </w:rPr>
        <w:t xml:space="preserve">, L. O., Umelo, M. C., </w:t>
      </w:r>
      <w:proofErr w:type="spellStart"/>
      <w:r w:rsidRPr="00840F43">
        <w:rPr>
          <w:rFonts w:ascii="Times New Roman" w:eastAsia="Times New Roman" w:hAnsi="Times New Roman" w:cs="Times New Roman"/>
          <w:sz w:val="24"/>
          <w:szCs w:val="24"/>
        </w:rPr>
        <w:t>Ezeamaku</w:t>
      </w:r>
      <w:proofErr w:type="spellEnd"/>
      <w:r w:rsidRPr="00840F43">
        <w:rPr>
          <w:rFonts w:ascii="Times New Roman" w:eastAsia="Times New Roman" w:hAnsi="Times New Roman" w:cs="Times New Roman"/>
          <w:sz w:val="24"/>
          <w:szCs w:val="24"/>
        </w:rPr>
        <w:t xml:space="preserve">, U. L., </w:t>
      </w:r>
      <w:proofErr w:type="spellStart"/>
      <w:r w:rsidRPr="00840F43">
        <w:rPr>
          <w:rFonts w:ascii="Times New Roman" w:eastAsia="Times New Roman" w:hAnsi="Times New Roman" w:cs="Times New Roman"/>
          <w:sz w:val="24"/>
          <w:szCs w:val="24"/>
        </w:rPr>
        <w:t>Ofoedum</w:t>
      </w:r>
      <w:proofErr w:type="spellEnd"/>
      <w:r w:rsidRPr="00840F43">
        <w:rPr>
          <w:rFonts w:ascii="Times New Roman" w:eastAsia="Times New Roman" w:hAnsi="Times New Roman" w:cs="Times New Roman"/>
          <w:sz w:val="24"/>
          <w:szCs w:val="24"/>
        </w:rPr>
        <w:t xml:space="preserve">, A. F., &amp; </w:t>
      </w:r>
      <w:proofErr w:type="spellStart"/>
      <w:r w:rsidRPr="00840F43">
        <w:rPr>
          <w:rFonts w:ascii="Times New Roman" w:eastAsia="Times New Roman" w:hAnsi="Times New Roman" w:cs="Times New Roman"/>
          <w:sz w:val="24"/>
          <w:szCs w:val="24"/>
        </w:rPr>
        <w:t>Akujobi</w:t>
      </w:r>
      <w:proofErr w:type="spellEnd"/>
      <w:r w:rsidRPr="00840F43">
        <w:rPr>
          <w:rFonts w:ascii="Times New Roman" w:eastAsia="Times New Roman" w:hAnsi="Times New Roman" w:cs="Times New Roman"/>
          <w:sz w:val="24"/>
          <w:szCs w:val="24"/>
        </w:rPr>
        <w:t xml:space="preserve">, C. A. (2020). Investigation on the effectiveness of palm </w:t>
      </w:r>
      <w:proofErr w:type="spellStart"/>
      <w:r w:rsidRPr="00840F43">
        <w:rPr>
          <w:rFonts w:ascii="Times New Roman" w:eastAsia="Times New Roman" w:hAnsi="Times New Roman" w:cs="Times New Roman"/>
          <w:sz w:val="24"/>
          <w:szCs w:val="24"/>
        </w:rPr>
        <w:t>ash</w:t>
      </w:r>
      <w:proofErr w:type="spellEnd"/>
      <w:r w:rsidRPr="00840F43">
        <w:rPr>
          <w:rFonts w:ascii="Times New Roman" w:eastAsia="Times New Roman" w:hAnsi="Times New Roman" w:cs="Times New Roman"/>
          <w:sz w:val="24"/>
          <w:szCs w:val="24"/>
        </w:rPr>
        <w:t xml:space="preserve"> infusion and water soaking for the reduction of beany flavor in Bambara groundnut (</w:t>
      </w:r>
      <w:r w:rsidRPr="00840F43">
        <w:rPr>
          <w:rFonts w:ascii="Times New Roman" w:eastAsia="Times New Roman" w:hAnsi="Times New Roman" w:cs="Times New Roman"/>
          <w:i/>
          <w:iCs/>
          <w:sz w:val="24"/>
          <w:szCs w:val="24"/>
        </w:rPr>
        <w:t>Vigna subterranea</w:t>
      </w:r>
      <w:r w:rsidRPr="00840F43">
        <w:rPr>
          <w:rFonts w:ascii="Times New Roman" w:eastAsia="Times New Roman" w:hAnsi="Times New Roman" w:cs="Times New Roman"/>
          <w:sz w:val="24"/>
          <w:szCs w:val="24"/>
        </w:rPr>
        <w:t xml:space="preserve">) flour for cake production. </w:t>
      </w:r>
      <w:r w:rsidRPr="00840F43">
        <w:rPr>
          <w:rFonts w:ascii="Times New Roman" w:eastAsia="Times New Roman" w:hAnsi="Times New Roman" w:cs="Times New Roman"/>
          <w:i/>
          <w:iCs/>
          <w:sz w:val="24"/>
          <w:szCs w:val="24"/>
        </w:rPr>
        <w:t>IOSR Journal of Environmental Science, Toxicology and Food Technology, 14</w:t>
      </w:r>
      <w:r w:rsidRPr="00840F43">
        <w:rPr>
          <w:rFonts w:ascii="Times New Roman" w:eastAsia="Times New Roman" w:hAnsi="Times New Roman" w:cs="Times New Roman"/>
          <w:sz w:val="24"/>
          <w:szCs w:val="24"/>
        </w:rPr>
        <w:t xml:space="preserve">(2), 1–10. </w:t>
      </w:r>
      <w:hyperlink r:id="rId29" w:history="1">
        <w:r w:rsidRPr="00840F43">
          <w:rPr>
            <w:rFonts w:ascii="Times New Roman" w:eastAsia="Times New Roman" w:hAnsi="Times New Roman" w:cs="Times New Roman"/>
            <w:color w:val="0000FF"/>
            <w:sz w:val="24"/>
            <w:szCs w:val="24"/>
            <w:u w:val="single"/>
          </w:rPr>
          <w:t>https://doi.org/10.9790/2402-1402030110</w:t>
        </w:r>
      </w:hyperlink>
    </w:p>
    <w:p w14:paraId="631C0D5E"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840F43">
        <w:rPr>
          <w:rFonts w:ascii="Times New Roman" w:eastAsia="Times New Roman" w:hAnsi="Times New Roman" w:cs="Times New Roman"/>
          <w:sz w:val="24"/>
          <w:szCs w:val="24"/>
        </w:rPr>
        <w:t>Ofoedu</w:t>
      </w:r>
      <w:proofErr w:type="spellEnd"/>
      <w:r w:rsidRPr="00840F43">
        <w:rPr>
          <w:rFonts w:ascii="Times New Roman" w:eastAsia="Times New Roman" w:hAnsi="Times New Roman" w:cs="Times New Roman"/>
          <w:sz w:val="24"/>
          <w:szCs w:val="24"/>
        </w:rPr>
        <w:t xml:space="preserve">, C. E., </w:t>
      </w:r>
      <w:proofErr w:type="spellStart"/>
      <w:r w:rsidRPr="00840F43">
        <w:rPr>
          <w:rFonts w:ascii="Times New Roman" w:eastAsia="Times New Roman" w:hAnsi="Times New Roman" w:cs="Times New Roman"/>
          <w:sz w:val="24"/>
          <w:szCs w:val="24"/>
        </w:rPr>
        <w:t>Iwouno</w:t>
      </w:r>
      <w:proofErr w:type="spellEnd"/>
      <w:r w:rsidRPr="00840F43">
        <w:rPr>
          <w:rFonts w:ascii="Times New Roman" w:eastAsia="Times New Roman" w:hAnsi="Times New Roman" w:cs="Times New Roman"/>
          <w:sz w:val="24"/>
          <w:szCs w:val="24"/>
        </w:rPr>
        <w:t xml:space="preserve">, J. O., </w:t>
      </w:r>
      <w:proofErr w:type="spellStart"/>
      <w:r w:rsidRPr="00840F43">
        <w:rPr>
          <w:rFonts w:ascii="Times New Roman" w:eastAsia="Times New Roman" w:hAnsi="Times New Roman" w:cs="Times New Roman"/>
          <w:sz w:val="24"/>
          <w:szCs w:val="24"/>
        </w:rPr>
        <w:t>Ofoedu</w:t>
      </w:r>
      <w:proofErr w:type="spellEnd"/>
      <w:r w:rsidRPr="00840F43">
        <w:rPr>
          <w:rFonts w:ascii="Times New Roman" w:eastAsia="Times New Roman" w:hAnsi="Times New Roman" w:cs="Times New Roman"/>
          <w:sz w:val="24"/>
          <w:szCs w:val="24"/>
        </w:rPr>
        <w:t xml:space="preserve">, E. O., </w:t>
      </w:r>
      <w:proofErr w:type="spellStart"/>
      <w:r w:rsidRPr="00840F43">
        <w:rPr>
          <w:rFonts w:ascii="Times New Roman" w:eastAsia="Times New Roman" w:hAnsi="Times New Roman" w:cs="Times New Roman"/>
          <w:sz w:val="24"/>
          <w:szCs w:val="24"/>
        </w:rPr>
        <w:t>Ogueke</w:t>
      </w:r>
      <w:proofErr w:type="spellEnd"/>
      <w:r w:rsidRPr="00840F43">
        <w:rPr>
          <w:rFonts w:ascii="Times New Roman" w:eastAsia="Times New Roman" w:hAnsi="Times New Roman" w:cs="Times New Roman"/>
          <w:sz w:val="24"/>
          <w:szCs w:val="24"/>
        </w:rPr>
        <w:t xml:space="preserve">, C. C., Igwe, V. S., </w:t>
      </w:r>
      <w:proofErr w:type="spellStart"/>
      <w:r w:rsidRPr="00840F43">
        <w:rPr>
          <w:rFonts w:ascii="Times New Roman" w:eastAsia="Times New Roman" w:hAnsi="Times New Roman" w:cs="Times New Roman"/>
          <w:sz w:val="24"/>
          <w:szCs w:val="24"/>
        </w:rPr>
        <w:t>Agunwah</w:t>
      </w:r>
      <w:proofErr w:type="spellEnd"/>
      <w:r w:rsidRPr="00840F43">
        <w:rPr>
          <w:rFonts w:ascii="Times New Roman" w:eastAsia="Times New Roman" w:hAnsi="Times New Roman" w:cs="Times New Roman"/>
          <w:sz w:val="24"/>
          <w:szCs w:val="24"/>
        </w:rPr>
        <w:t xml:space="preserve">, I. M., </w:t>
      </w:r>
      <w:proofErr w:type="spellStart"/>
      <w:r w:rsidRPr="00840F43">
        <w:rPr>
          <w:rFonts w:ascii="Times New Roman" w:eastAsia="Times New Roman" w:hAnsi="Times New Roman" w:cs="Times New Roman"/>
          <w:sz w:val="24"/>
          <w:szCs w:val="24"/>
        </w:rPr>
        <w:t>Ofoedum</w:t>
      </w:r>
      <w:proofErr w:type="spellEnd"/>
      <w:r w:rsidRPr="00840F43">
        <w:rPr>
          <w:rFonts w:ascii="Times New Roman" w:eastAsia="Times New Roman" w:hAnsi="Times New Roman" w:cs="Times New Roman"/>
          <w:sz w:val="24"/>
          <w:szCs w:val="24"/>
        </w:rPr>
        <w:t xml:space="preserve">, A. F., Chacha, J. S., </w:t>
      </w:r>
      <w:proofErr w:type="spellStart"/>
      <w:r w:rsidRPr="00840F43">
        <w:rPr>
          <w:rFonts w:ascii="Times New Roman" w:eastAsia="Times New Roman" w:hAnsi="Times New Roman" w:cs="Times New Roman"/>
          <w:sz w:val="24"/>
          <w:szCs w:val="24"/>
        </w:rPr>
        <w:t>Muobike</w:t>
      </w:r>
      <w:proofErr w:type="spellEnd"/>
      <w:r w:rsidRPr="00840F43">
        <w:rPr>
          <w:rFonts w:ascii="Times New Roman" w:eastAsia="Times New Roman" w:hAnsi="Times New Roman" w:cs="Times New Roman"/>
          <w:sz w:val="24"/>
          <w:szCs w:val="24"/>
        </w:rPr>
        <w:t xml:space="preserve">, O. P., Agunbiade, A. O., Njoku, N. E., </w:t>
      </w:r>
      <w:proofErr w:type="spellStart"/>
      <w:r w:rsidRPr="00840F43">
        <w:rPr>
          <w:rFonts w:ascii="Times New Roman" w:eastAsia="Times New Roman" w:hAnsi="Times New Roman" w:cs="Times New Roman"/>
          <w:sz w:val="24"/>
          <w:szCs w:val="24"/>
        </w:rPr>
        <w:t>Nwakaudu</w:t>
      </w:r>
      <w:proofErr w:type="spellEnd"/>
      <w:r w:rsidRPr="00840F43">
        <w:rPr>
          <w:rFonts w:ascii="Times New Roman" w:eastAsia="Times New Roman" w:hAnsi="Times New Roman" w:cs="Times New Roman"/>
          <w:sz w:val="24"/>
          <w:szCs w:val="24"/>
        </w:rPr>
        <w:t xml:space="preserve">, A. A., </w:t>
      </w:r>
      <w:proofErr w:type="spellStart"/>
      <w:r w:rsidRPr="00840F43">
        <w:rPr>
          <w:rFonts w:ascii="Times New Roman" w:eastAsia="Times New Roman" w:hAnsi="Times New Roman" w:cs="Times New Roman"/>
          <w:sz w:val="24"/>
          <w:szCs w:val="24"/>
        </w:rPr>
        <w:t>Odimegwu</w:t>
      </w:r>
      <w:proofErr w:type="spellEnd"/>
      <w:r w:rsidRPr="00840F43">
        <w:rPr>
          <w:rFonts w:ascii="Times New Roman" w:eastAsia="Times New Roman" w:hAnsi="Times New Roman" w:cs="Times New Roman"/>
          <w:sz w:val="24"/>
          <w:szCs w:val="24"/>
        </w:rPr>
        <w:t xml:space="preserve">, N. E., </w:t>
      </w:r>
      <w:proofErr w:type="spellStart"/>
      <w:r w:rsidRPr="00840F43">
        <w:rPr>
          <w:rFonts w:ascii="Times New Roman" w:eastAsia="Times New Roman" w:hAnsi="Times New Roman" w:cs="Times New Roman"/>
          <w:sz w:val="24"/>
          <w:szCs w:val="24"/>
        </w:rPr>
        <w:t>Ndukauba</w:t>
      </w:r>
      <w:proofErr w:type="spellEnd"/>
      <w:r w:rsidRPr="00840F43">
        <w:rPr>
          <w:rFonts w:ascii="Times New Roman" w:eastAsia="Times New Roman" w:hAnsi="Times New Roman" w:cs="Times New Roman"/>
          <w:sz w:val="24"/>
          <w:szCs w:val="24"/>
        </w:rPr>
        <w:t xml:space="preserve">, O. E., Ogbonna, C. U., </w:t>
      </w:r>
      <w:proofErr w:type="spellStart"/>
      <w:r w:rsidRPr="00840F43">
        <w:rPr>
          <w:rFonts w:ascii="Times New Roman" w:eastAsia="Times New Roman" w:hAnsi="Times New Roman" w:cs="Times New Roman"/>
          <w:sz w:val="24"/>
          <w:szCs w:val="24"/>
        </w:rPr>
        <w:t>Naibaho</w:t>
      </w:r>
      <w:proofErr w:type="spellEnd"/>
      <w:r w:rsidRPr="00840F43">
        <w:rPr>
          <w:rFonts w:ascii="Times New Roman" w:eastAsia="Times New Roman" w:hAnsi="Times New Roman" w:cs="Times New Roman"/>
          <w:sz w:val="24"/>
          <w:szCs w:val="24"/>
        </w:rPr>
        <w:t xml:space="preserve">, J., Korus, M., &amp; Okpala, C. O. R. (2021). Revisiting food-sourced vitamins for consumer diet and health needs: A perspective review, from vitamin classification, metabolic functions, absorption, utilization, to balancing nutritional requirements. </w:t>
      </w:r>
      <w:proofErr w:type="spellStart"/>
      <w:r w:rsidRPr="00840F43">
        <w:rPr>
          <w:rFonts w:ascii="Times New Roman" w:eastAsia="Times New Roman" w:hAnsi="Times New Roman" w:cs="Times New Roman"/>
          <w:i/>
          <w:iCs/>
          <w:sz w:val="24"/>
          <w:szCs w:val="24"/>
        </w:rPr>
        <w:t>PeerJ</w:t>
      </w:r>
      <w:proofErr w:type="spellEnd"/>
      <w:r w:rsidRPr="00840F43">
        <w:rPr>
          <w:rFonts w:ascii="Times New Roman" w:eastAsia="Times New Roman" w:hAnsi="Times New Roman" w:cs="Times New Roman"/>
          <w:i/>
          <w:iCs/>
          <w:sz w:val="24"/>
          <w:szCs w:val="24"/>
        </w:rPr>
        <w:t>, 9</w:t>
      </w:r>
      <w:r w:rsidRPr="00840F43">
        <w:rPr>
          <w:rFonts w:ascii="Times New Roman" w:eastAsia="Times New Roman" w:hAnsi="Times New Roman" w:cs="Times New Roman"/>
          <w:sz w:val="24"/>
          <w:szCs w:val="24"/>
        </w:rPr>
        <w:t xml:space="preserve">, Article e11940. </w:t>
      </w:r>
      <w:hyperlink r:id="rId30" w:history="1">
        <w:r w:rsidRPr="00840F43">
          <w:rPr>
            <w:rFonts w:ascii="Times New Roman" w:eastAsia="Times New Roman" w:hAnsi="Times New Roman" w:cs="Times New Roman"/>
            <w:color w:val="0000FF"/>
            <w:sz w:val="24"/>
            <w:szCs w:val="24"/>
            <w:u w:val="single"/>
          </w:rPr>
          <w:t>https://doi.org/10.7717/peerj.11940</w:t>
        </w:r>
      </w:hyperlink>
    </w:p>
    <w:p w14:paraId="4639AA1D"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840F43">
        <w:rPr>
          <w:rFonts w:ascii="Times New Roman" w:eastAsia="Times New Roman" w:hAnsi="Times New Roman" w:cs="Times New Roman"/>
          <w:sz w:val="24"/>
          <w:szCs w:val="24"/>
        </w:rPr>
        <w:t>Ofoedum</w:t>
      </w:r>
      <w:proofErr w:type="spellEnd"/>
      <w:r w:rsidRPr="00840F43">
        <w:rPr>
          <w:rFonts w:ascii="Times New Roman" w:eastAsia="Times New Roman" w:hAnsi="Times New Roman" w:cs="Times New Roman"/>
          <w:sz w:val="24"/>
          <w:szCs w:val="24"/>
        </w:rPr>
        <w:t xml:space="preserve">, A. F., </w:t>
      </w:r>
      <w:proofErr w:type="spellStart"/>
      <w:r w:rsidRPr="00840F43">
        <w:rPr>
          <w:rFonts w:ascii="Times New Roman" w:eastAsia="Times New Roman" w:hAnsi="Times New Roman" w:cs="Times New Roman"/>
          <w:sz w:val="24"/>
          <w:szCs w:val="24"/>
        </w:rPr>
        <w:t>Owuamanam</w:t>
      </w:r>
      <w:proofErr w:type="spellEnd"/>
      <w:r w:rsidRPr="00840F43">
        <w:rPr>
          <w:rFonts w:ascii="Times New Roman" w:eastAsia="Times New Roman" w:hAnsi="Times New Roman" w:cs="Times New Roman"/>
          <w:sz w:val="24"/>
          <w:szCs w:val="24"/>
        </w:rPr>
        <w:t xml:space="preserve">, C. I., </w:t>
      </w:r>
      <w:proofErr w:type="spellStart"/>
      <w:r w:rsidRPr="00840F43">
        <w:rPr>
          <w:rFonts w:ascii="Times New Roman" w:eastAsia="Times New Roman" w:hAnsi="Times New Roman" w:cs="Times New Roman"/>
          <w:sz w:val="24"/>
          <w:szCs w:val="24"/>
        </w:rPr>
        <w:t>Ndukauba</w:t>
      </w:r>
      <w:proofErr w:type="spellEnd"/>
      <w:r w:rsidRPr="00840F43">
        <w:rPr>
          <w:rFonts w:ascii="Times New Roman" w:eastAsia="Times New Roman" w:hAnsi="Times New Roman" w:cs="Times New Roman"/>
          <w:sz w:val="24"/>
          <w:szCs w:val="24"/>
        </w:rPr>
        <w:t xml:space="preserve">, O. E., </w:t>
      </w:r>
      <w:proofErr w:type="spellStart"/>
      <w:r w:rsidRPr="00840F43">
        <w:rPr>
          <w:rFonts w:ascii="Times New Roman" w:eastAsia="Times New Roman" w:hAnsi="Times New Roman" w:cs="Times New Roman"/>
          <w:sz w:val="24"/>
          <w:szCs w:val="24"/>
        </w:rPr>
        <w:t>Iroagba</w:t>
      </w:r>
      <w:proofErr w:type="spellEnd"/>
      <w:r w:rsidRPr="00840F43">
        <w:rPr>
          <w:rFonts w:ascii="Times New Roman" w:eastAsia="Times New Roman" w:hAnsi="Times New Roman" w:cs="Times New Roman"/>
          <w:sz w:val="24"/>
          <w:szCs w:val="24"/>
        </w:rPr>
        <w:t xml:space="preserve">, L. N., </w:t>
      </w:r>
      <w:proofErr w:type="spellStart"/>
      <w:r w:rsidRPr="00840F43">
        <w:rPr>
          <w:rFonts w:ascii="Times New Roman" w:eastAsia="Times New Roman" w:hAnsi="Times New Roman" w:cs="Times New Roman"/>
          <w:sz w:val="24"/>
          <w:szCs w:val="24"/>
        </w:rPr>
        <w:t>Ugwoezuonu</w:t>
      </w:r>
      <w:proofErr w:type="spellEnd"/>
      <w:r w:rsidRPr="00840F43">
        <w:rPr>
          <w:rFonts w:ascii="Times New Roman" w:eastAsia="Times New Roman" w:hAnsi="Times New Roman" w:cs="Times New Roman"/>
          <w:sz w:val="24"/>
          <w:szCs w:val="24"/>
        </w:rPr>
        <w:t xml:space="preserve">, J. N., Abbah, E. C., &amp; </w:t>
      </w:r>
      <w:proofErr w:type="spellStart"/>
      <w:r w:rsidRPr="00840F43">
        <w:rPr>
          <w:rFonts w:ascii="Times New Roman" w:eastAsia="Times New Roman" w:hAnsi="Times New Roman" w:cs="Times New Roman"/>
          <w:sz w:val="24"/>
          <w:szCs w:val="24"/>
        </w:rPr>
        <w:t>Anaeke</w:t>
      </w:r>
      <w:proofErr w:type="spellEnd"/>
      <w:r w:rsidRPr="00840F43">
        <w:rPr>
          <w:rFonts w:ascii="Times New Roman" w:eastAsia="Times New Roman" w:hAnsi="Times New Roman" w:cs="Times New Roman"/>
          <w:sz w:val="24"/>
          <w:szCs w:val="24"/>
        </w:rPr>
        <w:t xml:space="preserve">, E. J. (2023). Phytochemicals from selected tropical spices and </w:t>
      </w:r>
      <w:proofErr w:type="spellStart"/>
      <w:r w:rsidRPr="00840F43">
        <w:rPr>
          <w:rFonts w:ascii="Times New Roman" w:eastAsia="Times New Roman" w:hAnsi="Times New Roman" w:cs="Times New Roman"/>
          <w:sz w:val="24"/>
          <w:szCs w:val="24"/>
        </w:rPr>
        <w:t>agro</w:t>
      </w:r>
      <w:proofErr w:type="spellEnd"/>
      <w:r w:rsidRPr="00840F43">
        <w:rPr>
          <w:rFonts w:ascii="Times New Roman" w:eastAsia="Times New Roman" w:hAnsi="Times New Roman" w:cs="Times New Roman"/>
          <w:sz w:val="24"/>
          <w:szCs w:val="24"/>
        </w:rPr>
        <w:t xml:space="preserve">-food wastes: Utilization and applications in health sectors: A review. </w:t>
      </w:r>
      <w:r w:rsidRPr="00840F43">
        <w:rPr>
          <w:rFonts w:ascii="Times New Roman" w:eastAsia="Times New Roman" w:hAnsi="Times New Roman" w:cs="Times New Roman"/>
          <w:i/>
          <w:iCs/>
          <w:sz w:val="24"/>
          <w:szCs w:val="24"/>
        </w:rPr>
        <w:t>European Journal of Theoretical and Applied Sciences, 1</w:t>
      </w:r>
      <w:r w:rsidRPr="00840F43">
        <w:rPr>
          <w:rFonts w:ascii="Times New Roman" w:eastAsia="Times New Roman" w:hAnsi="Times New Roman" w:cs="Times New Roman"/>
          <w:sz w:val="24"/>
          <w:szCs w:val="24"/>
        </w:rPr>
        <w:t xml:space="preserve">(5), 681–696. </w:t>
      </w:r>
      <w:hyperlink r:id="rId31" w:history="1">
        <w:r w:rsidRPr="00840F43">
          <w:rPr>
            <w:rFonts w:ascii="Times New Roman" w:eastAsia="Times New Roman" w:hAnsi="Times New Roman" w:cs="Times New Roman"/>
            <w:color w:val="0000FF"/>
            <w:sz w:val="24"/>
            <w:szCs w:val="24"/>
            <w:u w:val="single"/>
          </w:rPr>
          <w:t>https://doi.org/10.59324/ejtas.2023.1(5).58</w:t>
        </w:r>
      </w:hyperlink>
    </w:p>
    <w:p w14:paraId="2D3FE1A5"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840F43">
        <w:rPr>
          <w:rFonts w:ascii="Times New Roman" w:eastAsia="Times New Roman" w:hAnsi="Times New Roman" w:cs="Times New Roman"/>
          <w:sz w:val="24"/>
          <w:szCs w:val="24"/>
        </w:rPr>
        <w:t>Ofoedum</w:t>
      </w:r>
      <w:proofErr w:type="spellEnd"/>
      <w:r w:rsidRPr="00840F43">
        <w:rPr>
          <w:rFonts w:ascii="Times New Roman" w:eastAsia="Times New Roman" w:hAnsi="Times New Roman" w:cs="Times New Roman"/>
          <w:sz w:val="24"/>
          <w:szCs w:val="24"/>
        </w:rPr>
        <w:t xml:space="preserve">, A. F., </w:t>
      </w:r>
      <w:proofErr w:type="spellStart"/>
      <w:r w:rsidRPr="00840F43">
        <w:rPr>
          <w:rFonts w:ascii="Times New Roman" w:eastAsia="Times New Roman" w:hAnsi="Times New Roman" w:cs="Times New Roman"/>
          <w:sz w:val="24"/>
          <w:szCs w:val="24"/>
        </w:rPr>
        <w:t>Owuamanam</w:t>
      </w:r>
      <w:proofErr w:type="spellEnd"/>
      <w:r w:rsidRPr="00840F43">
        <w:rPr>
          <w:rFonts w:ascii="Times New Roman" w:eastAsia="Times New Roman" w:hAnsi="Times New Roman" w:cs="Times New Roman"/>
          <w:sz w:val="24"/>
          <w:szCs w:val="24"/>
        </w:rPr>
        <w:t xml:space="preserve">, C. I., </w:t>
      </w:r>
      <w:proofErr w:type="spellStart"/>
      <w:r w:rsidRPr="00840F43">
        <w:rPr>
          <w:rFonts w:ascii="Times New Roman" w:eastAsia="Times New Roman" w:hAnsi="Times New Roman" w:cs="Times New Roman"/>
          <w:sz w:val="24"/>
          <w:szCs w:val="24"/>
        </w:rPr>
        <w:t>Iwouno</w:t>
      </w:r>
      <w:proofErr w:type="spellEnd"/>
      <w:r w:rsidRPr="00840F43">
        <w:rPr>
          <w:rFonts w:ascii="Times New Roman" w:eastAsia="Times New Roman" w:hAnsi="Times New Roman" w:cs="Times New Roman"/>
          <w:sz w:val="24"/>
          <w:szCs w:val="24"/>
        </w:rPr>
        <w:t xml:space="preserve">, J. O., </w:t>
      </w:r>
      <w:proofErr w:type="spellStart"/>
      <w:r w:rsidRPr="00840F43">
        <w:rPr>
          <w:rFonts w:ascii="Times New Roman" w:eastAsia="Times New Roman" w:hAnsi="Times New Roman" w:cs="Times New Roman"/>
          <w:sz w:val="24"/>
          <w:szCs w:val="24"/>
        </w:rPr>
        <w:t>Ofoedu</w:t>
      </w:r>
      <w:proofErr w:type="spellEnd"/>
      <w:r w:rsidRPr="00840F43">
        <w:rPr>
          <w:rFonts w:ascii="Times New Roman" w:eastAsia="Times New Roman" w:hAnsi="Times New Roman" w:cs="Times New Roman"/>
          <w:sz w:val="24"/>
          <w:szCs w:val="24"/>
        </w:rPr>
        <w:t xml:space="preserve">, C. E., Chikelu, E. C., Odimegwu, E. N., </w:t>
      </w:r>
      <w:proofErr w:type="spellStart"/>
      <w:r w:rsidRPr="00840F43">
        <w:rPr>
          <w:rFonts w:ascii="Times New Roman" w:eastAsia="Times New Roman" w:hAnsi="Times New Roman" w:cs="Times New Roman"/>
          <w:sz w:val="24"/>
          <w:szCs w:val="24"/>
        </w:rPr>
        <w:t>Alagbaoso</w:t>
      </w:r>
      <w:proofErr w:type="spellEnd"/>
      <w:r w:rsidRPr="00840F43">
        <w:rPr>
          <w:rFonts w:ascii="Times New Roman" w:eastAsia="Times New Roman" w:hAnsi="Times New Roman" w:cs="Times New Roman"/>
          <w:sz w:val="24"/>
          <w:szCs w:val="24"/>
        </w:rPr>
        <w:t xml:space="preserve">, S. O., Njoku, N. E., &amp; </w:t>
      </w:r>
      <w:proofErr w:type="spellStart"/>
      <w:r w:rsidRPr="00840F43">
        <w:rPr>
          <w:rFonts w:ascii="Times New Roman" w:eastAsia="Times New Roman" w:hAnsi="Times New Roman" w:cs="Times New Roman"/>
          <w:sz w:val="24"/>
          <w:szCs w:val="24"/>
        </w:rPr>
        <w:t>Anaeke</w:t>
      </w:r>
      <w:proofErr w:type="spellEnd"/>
      <w:r w:rsidRPr="00840F43">
        <w:rPr>
          <w:rFonts w:ascii="Times New Roman" w:eastAsia="Times New Roman" w:hAnsi="Times New Roman" w:cs="Times New Roman"/>
          <w:sz w:val="24"/>
          <w:szCs w:val="24"/>
        </w:rPr>
        <w:t>, E. J. (2025). Physicochemical and shelf life studies of functional beverages developed from crude extracts from tropical spices (</w:t>
      </w:r>
      <w:r w:rsidRPr="00840F43">
        <w:rPr>
          <w:rFonts w:ascii="Times New Roman" w:eastAsia="Times New Roman" w:hAnsi="Times New Roman" w:cs="Times New Roman"/>
          <w:i/>
          <w:iCs/>
          <w:sz w:val="24"/>
          <w:szCs w:val="24"/>
        </w:rPr>
        <w:t>Zingiber officinale</w:t>
      </w:r>
      <w:r w:rsidRPr="00840F43">
        <w:rPr>
          <w:rFonts w:ascii="Times New Roman" w:eastAsia="Times New Roman" w:hAnsi="Times New Roman" w:cs="Times New Roman"/>
          <w:sz w:val="24"/>
          <w:szCs w:val="24"/>
        </w:rPr>
        <w:t xml:space="preserve">, </w:t>
      </w:r>
      <w:proofErr w:type="spellStart"/>
      <w:r w:rsidRPr="00840F43">
        <w:rPr>
          <w:rFonts w:ascii="Times New Roman" w:eastAsia="Times New Roman" w:hAnsi="Times New Roman" w:cs="Times New Roman"/>
          <w:i/>
          <w:iCs/>
          <w:sz w:val="24"/>
          <w:szCs w:val="24"/>
        </w:rPr>
        <w:t>Monodora</w:t>
      </w:r>
      <w:proofErr w:type="spellEnd"/>
      <w:r w:rsidRPr="00840F43">
        <w:rPr>
          <w:rFonts w:ascii="Times New Roman" w:eastAsia="Times New Roman" w:hAnsi="Times New Roman" w:cs="Times New Roman"/>
          <w:i/>
          <w:iCs/>
          <w:sz w:val="24"/>
          <w:szCs w:val="24"/>
        </w:rPr>
        <w:t xml:space="preserve"> </w:t>
      </w:r>
      <w:proofErr w:type="spellStart"/>
      <w:r w:rsidRPr="00840F43">
        <w:rPr>
          <w:rFonts w:ascii="Times New Roman" w:eastAsia="Times New Roman" w:hAnsi="Times New Roman" w:cs="Times New Roman"/>
          <w:i/>
          <w:iCs/>
          <w:sz w:val="24"/>
          <w:szCs w:val="24"/>
        </w:rPr>
        <w:t>myristica</w:t>
      </w:r>
      <w:proofErr w:type="spellEnd"/>
      <w:r w:rsidRPr="00840F43">
        <w:rPr>
          <w:rFonts w:ascii="Times New Roman" w:eastAsia="Times New Roman" w:hAnsi="Times New Roman" w:cs="Times New Roman"/>
          <w:sz w:val="24"/>
          <w:szCs w:val="24"/>
        </w:rPr>
        <w:t xml:space="preserve"> and </w:t>
      </w:r>
      <w:proofErr w:type="spellStart"/>
      <w:r w:rsidRPr="00840F43">
        <w:rPr>
          <w:rFonts w:ascii="Times New Roman" w:eastAsia="Times New Roman" w:hAnsi="Times New Roman" w:cs="Times New Roman"/>
          <w:i/>
          <w:iCs/>
          <w:sz w:val="24"/>
          <w:szCs w:val="24"/>
        </w:rPr>
        <w:t>Tetrapluera</w:t>
      </w:r>
      <w:proofErr w:type="spellEnd"/>
      <w:r w:rsidRPr="00840F43">
        <w:rPr>
          <w:rFonts w:ascii="Times New Roman" w:eastAsia="Times New Roman" w:hAnsi="Times New Roman" w:cs="Times New Roman"/>
          <w:i/>
          <w:iCs/>
          <w:sz w:val="24"/>
          <w:szCs w:val="24"/>
        </w:rPr>
        <w:t xml:space="preserve"> tetraptera</w:t>
      </w:r>
      <w:r w:rsidRPr="00840F43">
        <w:rPr>
          <w:rFonts w:ascii="Times New Roman" w:eastAsia="Times New Roman" w:hAnsi="Times New Roman" w:cs="Times New Roman"/>
          <w:sz w:val="24"/>
          <w:szCs w:val="24"/>
        </w:rPr>
        <w:t xml:space="preserve">). </w:t>
      </w:r>
      <w:r w:rsidRPr="00840F43">
        <w:rPr>
          <w:rFonts w:ascii="Times New Roman" w:eastAsia="Times New Roman" w:hAnsi="Times New Roman" w:cs="Times New Roman"/>
          <w:i/>
          <w:iCs/>
          <w:sz w:val="24"/>
          <w:szCs w:val="24"/>
        </w:rPr>
        <w:t>Asian Journal of Dairy and Food Research, 44</w:t>
      </w:r>
      <w:r w:rsidRPr="00840F43">
        <w:rPr>
          <w:rFonts w:ascii="Times New Roman" w:eastAsia="Times New Roman" w:hAnsi="Times New Roman" w:cs="Times New Roman"/>
          <w:sz w:val="24"/>
          <w:szCs w:val="24"/>
        </w:rPr>
        <w:t xml:space="preserve">(5), 799–806. </w:t>
      </w:r>
      <w:hyperlink r:id="rId32" w:history="1">
        <w:r w:rsidRPr="00840F43">
          <w:rPr>
            <w:rFonts w:ascii="Times New Roman" w:eastAsia="Times New Roman" w:hAnsi="Times New Roman" w:cs="Times New Roman"/>
            <w:color w:val="0000FF"/>
            <w:sz w:val="24"/>
            <w:szCs w:val="24"/>
            <w:u w:val="single"/>
          </w:rPr>
          <w:t>https://doi.org/10.18805/ajdfr.DRF-478</w:t>
        </w:r>
      </w:hyperlink>
    </w:p>
    <w:p w14:paraId="06C038E2"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t xml:space="preserve">Okechukwu, Q. N., </w:t>
      </w:r>
      <w:proofErr w:type="spellStart"/>
      <w:r w:rsidRPr="00840F43">
        <w:rPr>
          <w:rFonts w:ascii="Times New Roman" w:eastAsia="Times New Roman" w:hAnsi="Times New Roman" w:cs="Times New Roman"/>
          <w:sz w:val="24"/>
          <w:szCs w:val="24"/>
        </w:rPr>
        <w:t>Ugwuona</w:t>
      </w:r>
      <w:proofErr w:type="spellEnd"/>
      <w:r w:rsidRPr="00840F43">
        <w:rPr>
          <w:rFonts w:ascii="Times New Roman" w:eastAsia="Times New Roman" w:hAnsi="Times New Roman" w:cs="Times New Roman"/>
          <w:sz w:val="24"/>
          <w:szCs w:val="24"/>
        </w:rPr>
        <w:t xml:space="preserve">, F. U., </w:t>
      </w:r>
      <w:proofErr w:type="spellStart"/>
      <w:r w:rsidRPr="00840F43">
        <w:rPr>
          <w:rFonts w:ascii="Times New Roman" w:eastAsia="Times New Roman" w:hAnsi="Times New Roman" w:cs="Times New Roman"/>
          <w:sz w:val="24"/>
          <w:szCs w:val="24"/>
        </w:rPr>
        <w:t>Ofoedu</w:t>
      </w:r>
      <w:proofErr w:type="spellEnd"/>
      <w:r w:rsidRPr="00840F43">
        <w:rPr>
          <w:rFonts w:ascii="Times New Roman" w:eastAsia="Times New Roman" w:hAnsi="Times New Roman" w:cs="Times New Roman"/>
          <w:sz w:val="24"/>
          <w:szCs w:val="24"/>
        </w:rPr>
        <w:t xml:space="preserve">, C. E., Juchniewicz, S., &amp; Okpala, C. O. R. (2022). Chemical composition, antibacterial efficacy, and antioxidant capacity of essential oil and oleoresin from </w:t>
      </w:r>
      <w:proofErr w:type="spellStart"/>
      <w:r w:rsidRPr="00840F43">
        <w:rPr>
          <w:rFonts w:ascii="Times New Roman" w:eastAsia="Times New Roman" w:hAnsi="Times New Roman" w:cs="Times New Roman"/>
          <w:i/>
          <w:iCs/>
          <w:sz w:val="24"/>
          <w:szCs w:val="24"/>
        </w:rPr>
        <w:t>Monodora</w:t>
      </w:r>
      <w:proofErr w:type="spellEnd"/>
      <w:r w:rsidRPr="00840F43">
        <w:rPr>
          <w:rFonts w:ascii="Times New Roman" w:eastAsia="Times New Roman" w:hAnsi="Times New Roman" w:cs="Times New Roman"/>
          <w:i/>
          <w:iCs/>
          <w:sz w:val="24"/>
          <w:szCs w:val="24"/>
        </w:rPr>
        <w:t xml:space="preserve"> </w:t>
      </w:r>
      <w:proofErr w:type="spellStart"/>
      <w:r w:rsidRPr="00840F43">
        <w:rPr>
          <w:rFonts w:ascii="Times New Roman" w:eastAsia="Times New Roman" w:hAnsi="Times New Roman" w:cs="Times New Roman"/>
          <w:i/>
          <w:iCs/>
          <w:sz w:val="24"/>
          <w:szCs w:val="24"/>
        </w:rPr>
        <w:t>myristica</w:t>
      </w:r>
      <w:proofErr w:type="spellEnd"/>
      <w:r w:rsidRPr="00840F43">
        <w:rPr>
          <w:rFonts w:ascii="Times New Roman" w:eastAsia="Times New Roman" w:hAnsi="Times New Roman" w:cs="Times New Roman"/>
          <w:sz w:val="24"/>
          <w:szCs w:val="24"/>
        </w:rPr>
        <w:t xml:space="preserve"> and </w:t>
      </w:r>
      <w:proofErr w:type="spellStart"/>
      <w:r w:rsidRPr="00840F43">
        <w:rPr>
          <w:rFonts w:ascii="Times New Roman" w:eastAsia="Times New Roman" w:hAnsi="Times New Roman" w:cs="Times New Roman"/>
          <w:i/>
          <w:iCs/>
          <w:sz w:val="24"/>
          <w:szCs w:val="24"/>
        </w:rPr>
        <w:t>Tetrapleura</w:t>
      </w:r>
      <w:proofErr w:type="spellEnd"/>
      <w:r w:rsidRPr="00840F43">
        <w:rPr>
          <w:rFonts w:ascii="Times New Roman" w:eastAsia="Times New Roman" w:hAnsi="Times New Roman" w:cs="Times New Roman"/>
          <w:i/>
          <w:iCs/>
          <w:sz w:val="24"/>
          <w:szCs w:val="24"/>
        </w:rPr>
        <w:t xml:space="preserve"> tetraptera</w:t>
      </w:r>
      <w:r w:rsidRPr="00840F43">
        <w:rPr>
          <w:rFonts w:ascii="Times New Roman" w:eastAsia="Times New Roman" w:hAnsi="Times New Roman" w:cs="Times New Roman"/>
          <w:sz w:val="24"/>
          <w:szCs w:val="24"/>
        </w:rPr>
        <w:t xml:space="preserve"> in Southeast Nigeria. </w:t>
      </w:r>
      <w:r w:rsidRPr="00840F43">
        <w:rPr>
          <w:rFonts w:ascii="Times New Roman" w:eastAsia="Times New Roman" w:hAnsi="Times New Roman" w:cs="Times New Roman"/>
          <w:i/>
          <w:iCs/>
          <w:sz w:val="24"/>
          <w:szCs w:val="24"/>
        </w:rPr>
        <w:t>Scientific Reports, 12</w:t>
      </w:r>
      <w:r w:rsidRPr="00840F43">
        <w:rPr>
          <w:rFonts w:ascii="Times New Roman" w:eastAsia="Times New Roman" w:hAnsi="Times New Roman" w:cs="Times New Roman"/>
          <w:sz w:val="24"/>
          <w:szCs w:val="24"/>
        </w:rPr>
        <w:t xml:space="preserve">, Article 19861. </w:t>
      </w:r>
      <w:hyperlink r:id="rId33" w:history="1">
        <w:r w:rsidRPr="00840F43">
          <w:rPr>
            <w:rFonts w:ascii="Times New Roman" w:eastAsia="Times New Roman" w:hAnsi="Times New Roman" w:cs="Times New Roman"/>
            <w:color w:val="0000FF"/>
            <w:sz w:val="24"/>
            <w:szCs w:val="24"/>
            <w:u w:val="single"/>
          </w:rPr>
          <w:t>https://doi.org/10.1038/s41598-022-23161-5</w:t>
        </w:r>
      </w:hyperlink>
    </w:p>
    <w:p w14:paraId="1752E396"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t xml:space="preserve">Olawuni, I. A., </w:t>
      </w:r>
      <w:proofErr w:type="spellStart"/>
      <w:r w:rsidRPr="00840F43">
        <w:rPr>
          <w:rFonts w:ascii="Times New Roman" w:eastAsia="Times New Roman" w:hAnsi="Times New Roman" w:cs="Times New Roman"/>
          <w:sz w:val="24"/>
          <w:szCs w:val="24"/>
        </w:rPr>
        <w:t>Uzoukwu</w:t>
      </w:r>
      <w:proofErr w:type="spellEnd"/>
      <w:r w:rsidRPr="00840F43">
        <w:rPr>
          <w:rFonts w:ascii="Times New Roman" w:eastAsia="Times New Roman" w:hAnsi="Times New Roman" w:cs="Times New Roman"/>
          <w:sz w:val="24"/>
          <w:szCs w:val="24"/>
        </w:rPr>
        <w:t xml:space="preserve">, A. E., </w:t>
      </w:r>
      <w:proofErr w:type="spellStart"/>
      <w:r w:rsidRPr="00840F43">
        <w:rPr>
          <w:rFonts w:ascii="Times New Roman" w:eastAsia="Times New Roman" w:hAnsi="Times New Roman" w:cs="Times New Roman"/>
          <w:sz w:val="24"/>
          <w:szCs w:val="24"/>
        </w:rPr>
        <w:t>Agunwah</w:t>
      </w:r>
      <w:proofErr w:type="spellEnd"/>
      <w:r w:rsidRPr="00840F43">
        <w:rPr>
          <w:rFonts w:ascii="Times New Roman" w:eastAsia="Times New Roman" w:hAnsi="Times New Roman" w:cs="Times New Roman"/>
          <w:sz w:val="24"/>
          <w:szCs w:val="24"/>
        </w:rPr>
        <w:t xml:space="preserve">, I. M., </w:t>
      </w:r>
      <w:proofErr w:type="spellStart"/>
      <w:r w:rsidRPr="00840F43">
        <w:rPr>
          <w:rFonts w:ascii="Times New Roman" w:eastAsia="Times New Roman" w:hAnsi="Times New Roman" w:cs="Times New Roman"/>
          <w:sz w:val="24"/>
          <w:szCs w:val="24"/>
        </w:rPr>
        <w:t>Ofoedum</w:t>
      </w:r>
      <w:proofErr w:type="spellEnd"/>
      <w:r w:rsidRPr="00840F43">
        <w:rPr>
          <w:rFonts w:ascii="Times New Roman" w:eastAsia="Times New Roman" w:hAnsi="Times New Roman" w:cs="Times New Roman"/>
          <w:sz w:val="24"/>
          <w:szCs w:val="24"/>
        </w:rPr>
        <w:t xml:space="preserve">, A. F., &amp; </w:t>
      </w:r>
      <w:proofErr w:type="spellStart"/>
      <w:r w:rsidRPr="00840F43">
        <w:rPr>
          <w:rFonts w:ascii="Times New Roman" w:eastAsia="Times New Roman" w:hAnsi="Times New Roman" w:cs="Times New Roman"/>
          <w:sz w:val="24"/>
          <w:szCs w:val="24"/>
        </w:rPr>
        <w:t>Onyeneke</w:t>
      </w:r>
      <w:proofErr w:type="spellEnd"/>
      <w:r w:rsidRPr="00840F43">
        <w:rPr>
          <w:rFonts w:ascii="Times New Roman" w:eastAsia="Times New Roman" w:hAnsi="Times New Roman" w:cs="Times New Roman"/>
          <w:sz w:val="24"/>
          <w:szCs w:val="24"/>
        </w:rPr>
        <w:t xml:space="preserve">, E. N. (2019). Incorporation of peanut butter as substitute for shortening in biscuit production. </w:t>
      </w:r>
      <w:r w:rsidRPr="00840F43">
        <w:rPr>
          <w:rFonts w:ascii="Times New Roman" w:eastAsia="Times New Roman" w:hAnsi="Times New Roman" w:cs="Times New Roman"/>
          <w:i/>
          <w:iCs/>
          <w:sz w:val="24"/>
          <w:szCs w:val="24"/>
        </w:rPr>
        <w:t>IOSR Journal of Environmental Science, Toxicology and Food Technology, 13</w:t>
      </w:r>
      <w:r w:rsidRPr="00840F43">
        <w:rPr>
          <w:rFonts w:ascii="Times New Roman" w:eastAsia="Times New Roman" w:hAnsi="Times New Roman" w:cs="Times New Roman"/>
          <w:sz w:val="24"/>
          <w:szCs w:val="24"/>
        </w:rPr>
        <w:t xml:space="preserve">(10), 62–69. </w:t>
      </w:r>
      <w:hyperlink r:id="rId34" w:history="1">
        <w:r w:rsidRPr="00840F43">
          <w:rPr>
            <w:rFonts w:ascii="Times New Roman" w:eastAsia="Times New Roman" w:hAnsi="Times New Roman" w:cs="Times New Roman"/>
            <w:color w:val="0000FF"/>
            <w:sz w:val="24"/>
            <w:szCs w:val="24"/>
            <w:u w:val="single"/>
          </w:rPr>
          <w:t>https://doi.org/10.9790/2402-1310016269</w:t>
        </w:r>
      </w:hyperlink>
    </w:p>
    <w:p w14:paraId="61F1AEC8"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t xml:space="preserve">Onwuka, G. I. (2005). </w:t>
      </w:r>
      <w:r w:rsidRPr="00840F43">
        <w:rPr>
          <w:rFonts w:ascii="Times New Roman" w:eastAsia="Times New Roman" w:hAnsi="Times New Roman" w:cs="Times New Roman"/>
          <w:i/>
          <w:iCs/>
          <w:sz w:val="24"/>
          <w:szCs w:val="24"/>
        </w:rPr>
        <w:t>Food analysis and instrumentation: Theory and practice</w:t>
      </w:r>
      <w:r w:rsidRPr="00840F43">
        <w:rPr>
          <w:rFonts w:ascii="Times New Roman" w:eastAsia="Times New Roman" w:hAnsi="Times New Roman" w:cs="Times New Roman"/>
          <w:sz w:val="24"/>
          <w:szCs w:val="24"/>
        </w:rPr>
        <w:t xml:space="preserve">. Napthali Prints. </w:t>
      </w:r>
      <w:hyperlink r:id="rId35" w:history="1">
        <w:r w:rsidRPr="00840F43">
          <w:rPr>
            <w:rFonts w:ascii="Times New Roman" w:eastAsia="Times New Roman" w:hAnsi="Times New Roman" w:cs="Times New Roman"/>
            <w:color w:val="0000FF"/>
            <w:sz w:val="24"/>
            <w:szCs w:val="24"/>
            <w:u w:val="single"/>
          </w:rPr>
          <w:t>https://libcat.aun.edu.ng/cgi-bin/koha/opac-detail.pl?biblionumber=156727</w:t>
        </w:r>
      </w:hyperlink>
    </w:p>
    <w:p w14:paraId="0FCB1ED4"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840F43">
        <w:rPr>
          <w:rFonts w:ascii="Times New Roman" w:eastAsia="Times New Roman" w:hAnsi="Times New Roman" w:cs="Times New Roman"/>
          <w:sz w:val="24"/>
          <w:szCs w:val="24"/>
        </w:rPr>
        <w:t>PlantUse</w:t>
      </w:r>
      <w:proofErr w:type="spellEnd"/>
      <w:r w:rsidRPr="00840F43">
        <w:rPr>
          <w:rFonts w:ascii="Times New Roman" w:eastAsia="Times New Roman" w:hAnsi="Times New Roman" w:cs="Times New Roman"/>
          <w:sz w:val="24"/>
          <w:szCs w:val="24"/>
        </w:rPr>
        <w:t xml:space="preserve">. (n.d.). </w:t>
      </w:r>
      <w:proofErr w:type="spellStart"/>
      <w:r w:rsidRPr="00840F43">
        <w:rPr>
          <w:rFonts w:ascii="Times New Roman" w:eastAsia="Times New Roman" w:hAnsi="Times New Roman" w:cs="Times New Roman"/>
          <w:i/>
          <w:iCs/>
          <w:sz w:val="24"/>
          <w:szCs w:val="24"/>
        </w:rPr>
        <w:t>Monodora</w:t>
      </w:r>
      <w:proofErr w:type="spellEnd"/>
      <w:r w:rsidRPr="00840F43">
        <w:rPr>
          <w:rFonts w:ascii="Times New Roman" w:eastAsia="Times New Roman" w:hAnsi="Times New Roman" w:cs="Times New Roman"/>
          <w:i/>
          <w:iCs/>
          <w:sz w:val="24"/>
          <w:szCs w:val="24"/>
        </w:rPr>
        <w:t xml:space="preserve"> </w:t>
      </w:r>
      <w:proofErr w:type="spellStart"/>
      <w:r w:rsidRPr="00840F43">
        <w:rPr>
          <w:rFonts w:ascii="Times New Roman" w:eastAsia="Times New Roman" w:hAnsi="Times New Roman" w:cs="Times New Roman"/>
          <w:i/>
          <w:iCs/>
          <w:sz w:val="24"/>
          <w:szCs w:val="24"/>
        </w:rPr>
        <w:t>myristica</w:t>
      </w:r>
      <w:proofErr w:type="spellEnd"/>
      <w:r w:rsidRPr="00840F43">
        <w:rPr>
          <w:rFonts w:ascii="Times New Roman" w:eastAsia="Times New Roman" w:hAnsi="Times New Roman" w:cs="Times New Roman"/>
          <w:sz w:val="24"/>
          <w:szCs w:val="24"/>
        </w:rPr>
        <w:t xml:space="preserve"> (PROSEA). Retrieved June 26, 2026, from </w:t>
      </w:r>
      <w:hyperlink r:id="rId36" w:history="1">
        <w:r w:rsidRPr="00840F43">
          <w:rPr>
            <w:rFonts w:ascii="Times New Roman" w:eastAsia="Times New Roman" w:hAnsi="Times New Roman" w:cs="Times New Roman"/>
            <w:color w:val="0000FF"/>
            <w:sz w:val="24"/>
            <w:szCs w:val="24"/>
            <w:u w:val="single"/>
          </w:rPr>
          <w:t>https://plantuse.plantnet.org/en/Monodora_myristica_(PROSEA)</w:t>
        </w:r>
      </w:hyperlink>
    </w:p>
    <w:p w14:paraId="7E6A5B44"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lastRenderedPageBreak/>
        <w:t xml:space="preserve">Prasad, S., &amp; Tyagi, A. K. (2015). Ginger and its constituents: Role in prevention and treatment of gastrointestinal cancer. </w:t>
      </w:r>
      <w:r w:rsidRPr="00840F43">
        <w:rPr>
          <w:rFonts w:ascii="Times New Roman" w:eastAsia="Times New Roman" w:hAnsi="Times New Roman" w:cs="Times New Roman"/>
          <w:i/>
          <w:iCs/>
          <w:sz w:val="24"/>
          <w:szCs w:val="24"/>
        </w:rPr>
        <w:t>Gastroenterology Research and Practice, 2015</w:t>
      </w:r>
      <w:r w:rsidRPr="00840F43">
        <w:rPr>
          <w:rFonts w:ascii="Times New Roman" w:eastAsia="Times New Roman" w:hAnsi="Times New Roman" w:cs="Times New Roman"/>
          <w:sz w:val="24"/>
          <w:szCs w:val="24"/>
        </w:rPr>
        <w:t xml:space="preserve">, Article 142979. </w:t>
      </w:r>
      <w:hyperlink r:id="rId37" w:history="1">
        <w:r w:rsidRPr="00840F43">
          <w:rPr>
            <w:rFonts w:ascii="Times New Roman" w:eastAsia="Times New Roman" w:hAnsi="Times New Roman" w:cs="Times New Roman"/>
            <w:color w:val="0000FF"/>
            <w:sz w:val="24"/>
            <w:szCs w:val="24"/>
            <w:u w:val="single"/>
          </w:rPr>
          <w:t>https://doi.org/10.1155/2015/142979</w:t>
        </w:r>
      </w:hyperlink>
    </w:p>
    <w:p w14:paraId="513C3F01" w14:textId="6AFB627B"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t xml:space="preserve">Deo, S., </w:t>
      </w:r>
      <w:proofErr w:type="spellStart"/>
      <w:r w:rsidRPr="00840F43">
        <w:rPr>
          <w:rFonts w:ascii="Times New Roman" w:eastAsia="Times New Roman" w:hAnsi="Times New Roman" w:cs="Times New Roman"/>
          <w:sz w:val="24"/>
          <w:szCs w:val="24"/>
        </w:rPr>
        <w:t>Janghel</w:t>
      </w:r>
      <w:proofErr w:type="spellEnd"/>
      <w:r w:rsidRPr="00840F43">
        <w:rPr>
          <w:rFonts w:ascii="Times New Roman" w:eastAsia="Times New Roman" w:hAnsi="Times New Roman" w:cs="Times New Roman"/>
          <w:sz w:val="24"/>
          <w:szCs w:val="24"/>
        </w:rPr>
        <w:t xml:space="preserve">, A., Raut, P., Bhosle, D., Verma, C., Kumar, S. S., Agrawal, M., Amit, N., Sharma, M., Giri, T., Tripathi, D. K., </w:t>
      </w:r>
      <w:proofErr w:type="spellStart"/>
      <w:r w:rsidRPr="00840F43">
        <w:rPr>
          <w:rFonts w:ascii="Times New Roman" w:eastAsia="Times New Roman" w:hAnsi="Times New Roman" w:cs="Times New Roman"/>
          <w:sz w:val="24"/>
          <w:szCs w:val="24"/>
        </w:rPr>
        <w:t>Ajazuddin</w:t>
      </w:r>
      <w:proofErr w:type="spellEnd"/>
      <w:r w:rsidRPr="00840F43">
        <w:rPr>
          <w:rFonts w:ascii="Times New Roman" w:eastAsia="Times New Roman" w:hAnsi="Times New Roman" w:cs="Times New Roman"/>
          <w:sz w:val="24"/>
          <w:szCs w:val="24"/>
        </w:rPr>
        <w:t xml:space="preserve">, &amp; Alexander, A. (2015). Emerging microwave assisted extraction (MAE) techniques as innovative green technologies for the effective extraction of active phytopharmaceuticals. </w:t>
      </w:r>
      <w:r w:rsidRPr="00840F43">
        <w:rPr>
          <w:rFonts w:ascii="Times New Roman" w:eastAsia="Times New Roman" w:hAnsi="Times New Roman" w:cs="Times New Roman"/>
          <w:i/>
          <w:iCs/>
          <w:sz w:val="24"/>
          <w:szCs w:val="24"/>
        </w:rPr>
        <w:t>Research Journal of Pharmacy and Technology, 8</w:t>
      </w:r>
      <w:r w:rsidRPr="00840F43">
        <w:rPr>
          <w:rFonts w:ascii="Times New Roman" w:eastAsia="Times New Roman" w:hAnsi="Times New Roman" w:cs="Times New Roman"/>
          <w:sz w:val="24"/>
          <w:szCs w:val="24"/>
        </w:rPr>
        <w:t xml:space="preserve">(5), 655–666. </w:t>
      </w:r>
      <w:hyperlink r:id="rId38" w:history="1">
        <w:r w:rsidRPr="00840F43">
          <w:rPr>
            <w:rFonts w:ascii="Times New Roman" w:eastAsia="Times New Roman" w:hAnsi="Times New Roman" w:cs="Times New Roman"/>
            <w:color w:val="0000FF"/>
            <w:sz w:val="24"/>
            <w:szCs w:val="24"/>
            <w:u w:val="single"/>
          </w:rPr>
          <w:t>https://doi.org/10.5958/0974-360X.2015.00104.3</w:t>
        </w:r>
      </w:hyperlink>
      <w:r w:rsidRPr="00840F43">
        <w:rPr>
          <w:rFonts w:ascii="Times New Roman" w:eastAsia="Times New Roman" w:hAnsi="Times New Roman" w:cs="Times New Roman"/>
          <w:sz w:val="24"/>
          <w:szCs w:val="24"/>
        </w:rPr>
        <w:t xml:space="preserve"> </w:t>
      </w:r>
    </w:p>
    <w:p w14:paraId="0F49FA95" w14:textId="48FE0AD5"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t xml:space="preserve">Sánchez-Alonso, I., </w:t>
      </w:r>
      <w:proofErr w:type="spellStart"/>
      <w:r w:rsidRPr="00840F43">
        <w:rPr>
          <w:rFonts w:ascii="Times New Roman" w:eastAsia="Times New Roman" w:hAnsi="Times New Roman" w:cs="Times New Roman"/>
          <w:sz w:val="24"/>
          <w:szCs w:val="24"/>
        </w:rPr>
        <w:t>Borderías</w:t>
      </w:r>
      <w:proofErr w:type="spellEnd"/>
      <w:r w:rsidRPr="00840F43">
        <w:rPr>
          <w:rFonts w:ascii="Times New Roman" w:eastAsia="Times New Roman" w:hAnsi="Times New Roman" w:cs="Times New Roman"/>
          <w:sz w:val="24"/>
          <w:szCs w:val="24"/>
        </w:rPr>
        <w:t xml:space="preserve">, J., Larsson, K., &amp; </w:t>
      </w:r>
      <w:proofErr w:type="spellStart"/>
      <w:r w:rsidRPr="00840F43">
        <w:rPr>
          <w:rFonts w:ascii="Times New Roman" w:eastAsia="Times New Roman" w:hAnsi="Times New Roman" w:cs="Times New Roman"/>
          <w:sz w:val="24"/>
          <w:szCs w:val="24"/>
        </w:rPr>
        <w:t>Undeland</w:t>
      </w:r>
      <w:proofErr w:type="spellEnd"/>
      <w:r w:rsidRPr="00840F43">
        <w:rPr>
          <w:rFonts w:ascii="Times New Roman" w:eastAsia="Times New Roman" w:hAnsi="Times New Roman" w:cs="Times New Roman"/>
          <w:sz w:val="24"/>
          <w:szCs w:val="24"/>
        </w:rPr>
        <w:t xml:space="preserve">, I. (2007). Inhibition of hemoglobin-mediated oxidation of regular and lipid-fortified washed cod mince by a white grape dietary fiber. </w:t>
      </w:r>
      <w:r w:rsidRPr="00840F43">
        <w:rPr>
          <w:rFonts w:ascii="Times New Roman" w:eastAsia="Times New Roman" w:hAnsi="Times New Roman" w:cs="Times New Roman"/>
          <w:i/>
          <w:iCs/>
          <w:sz w:val="24"/>
          <w:szCs w:val="24"/>
        </w:rPr>
        <w:t>Journal of Agricultural and Food Chemistry, 55</w:t>
      </w:r>
      <w:r w:rsidRPr="00840F43">
        <w:rPr>
          <w:rFonts w:ascii="Times New Roman" w:eastAsia="Times New Roman" w:hAnsi="Times New Roman" w:cs="Times New Roman"/>
          <w:sz w:val="24"/>
          <w:szCs w:val="24"/>
        </w:rPr>
        <w:t xml:space="preserve">(13), 5299–5305. </w:t>
      </w:r>
      <w:hyperlink r:id="rId39" w:history="1">
        <w:r w:rsidRPr="00840F43">
          <w:rPr>
            <w:rFonts w:ascii="Times New Roman" w:eastAsia="Times New Roman" w:hAnsi="Times New Roman" w:cs="Times New Roman"/>
            <w:color w:val="0000FF"/>
            <w:sz w:val="24"/>
            <w:szCs w:val="24"/>
            <w:u w:val="single"/>
          </w:rPr>
          <w:t>https://doi.org/10.1021/jf0702242</w:t>
        </w:r>
      </w:hyperlink>
      <w:r w:rsidRPr="00840F43">
        <w:rPr>
          <w:rFonts w:ascii="Times New Roman" w:eastAsia="Times New Roman" w:hAnsi="Times New Roman" w:cs="Times New Roman"/>
          <w:sz w:val="24"/>
          <w:szCs w:val="24"/>
        </w:rPr>
        <w:t xml:space="preserve"> </w:t>
      </w:r>
    </w:p>
    <w:p w14:paraId="241EEB37"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proofErr w:type="spellStart"/>
      <w:r w:rsidRPr="00840F43">
        <w:rPr>
          <w:rFonts w:ascii="Times New Roman" w:eastAsia="Times New Roman" w:hAnsi="Times New Roman" w:cs="Times New Roman"/>
          <w:sz w:val="24"/>
          <w:szCs w:val="24"/>
        </w:rPr>
        <w:t>Savithramma</w:t>
      </w:r>
      <w:proofErr w:type="spellEnd"/>
      <w:r w:rsidRPr="00840F43">
        <w:rPr>
          <w:rFonts w:ascii="Times New Roman" w:eastAsia="Times New Roman" w:hAnsi="Times New Roman" w:cs="Times New Roman"/>
          <w:sz w:val="24"/>
          <w:szCs w:val="24"/>
        </w:rPr>
        <w:t xml:space="preserve">, N., Linga Rao, M., &amp; </w:t>
      </w:r>
      <w:proofErr w:type="spellStart"/>
      <w:r w:rsidRPr="00840F43">
        <w:rPr>
          <w:rFonts w:ascii="Times New Roman" w:eastAsia="Times New Roman" w:hAnsi="Times New Roman" w:cs="Times New Roman"/>
          <w:sz w:val="24"/>
          <w:szCs w:val="24"/>
        </w:rPr>
        <w:t>Suhrulatha</w:t>
      </w:r>
      <w:proofErr w:type="spellEnd"/>
      <w:r w:rsidRPr="00840F43">
        <w:rPr>
          <w:rFonts w:ascii="Times New Roman" w:eastAsia="Times New Roman" w:hAnsi="Times New Roman" w:cs="Times New Roman"/>
          <w:sz w:val="24"/>
          <w:szCs w:val="24"/>
        </w:rPr>
        <w:t xml:space="preserve">, D. (2011). Screening of medicinal plants for secondary metabolites. </w:t>
      </w:r>
      <w:r w:rsidRPr="00840F43">
        <w:rPr>
          <w:rFonts w:ascii="Times New Roman" w:eastAsia="Times New Roman" w:hAnsi="Times New Roman" w:cs="Times New Roman"/>
          <w:i/>
          <w:iCs/>
          <w:sz w:val="24"/>
          <w:szCs w:val="24"/>
        </w:rPr>
        <w:t>Middle-East Journal of Scientific Research, 8</w:t>
      </w:r>
      <w:r w:rsidRPr="00840F43">
        <w:rPr>
          <w:rFonts w:ascii="Times New Roman" w:eastAsia="Times New Roman" w:hAnsi="Times New Roman" w:cs="Times New Roman"/>
          <w:sz w:val="24"/>
          <w:szCs w:val="24"/>
        </w:rPr>
        <w:t xml:space="preserve">(3), 579–584. </w:t>
      </w:r>
      <w:hyperlink r:id="rId40" w:history="1">
        <w:r w:rsidRPr="00840F43">
          <w:rPr>
            <w:rFonts w:ascii="Times New Roman" w:eastAsia="Times New Roman" w:hAnsi="Times New Roman" w:cs="Times New Roman"/>
            <w:color w:val="0000FF"/>
            <w:sz w:val="24"/>
            <w:szCs w:val="24"/>
            <w:u w:val="single"/>
          </w:rPr>
          <w:t>https://www.idosi.org/mejsr/mejsr8%283%2911/6.pdf</w:t>
        </w:r>
      </w:hyperlink>
    </w:p>
    <w:p w14:paraId="51326297"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t xml:space="preserve">Smiderle, F. R., Morales, D., Gil-Ramírez, A., de Jesus, L. I., Gilbert-López, B., Iacomini, M., &amp; Soler-Rivas, C. (2017). Evaluation of microwave-assisted and pressurized liquid extractions to obtain β-D-glucans from mushrooms. </w:t>
      </w:r>
      <w:r w:rsidRPr="00840F43">
        <w:rPr>
          <w:rFonts w:ascii="Times New Roman" w:eastAsia="Times New Roman" w:hAnsi="Times New Roman" w:cs="Times New Roman"/>
          <w:i/>
          <w:iCs/>
          <w:sz w:val="24"/>
          <w:szCs w:val="24"/>
        </w:rPr>
        <w:t>Carbohydrate Polymers, 156</w:t>
      </w:r>
      <w:r w:rsidRPr="00840F43">
        <w:rPr>
          <w:rFonts w:ascii="Times New Roman" w:eastAsia="Times New Roman" w:hAnsi="Times New Roman" w:cs="Times New Roman"/>
          <w:sz w:val="24"/>
          <w:szCs w:val="24"/>
        </w:rPr>
        <w:t xml:space="preserve">, 165–174. </w:t>
      </w:r>
      <w:hyperlink r:id="rId41" w:history="1">
        <w:r w:rsidRPr="00840F43">
          <w:rPr>
            <w:rFonts w:ascii="Times New Roman" w:eastAsia="Times New Roman" w:hAnsi="Times New Roman" w:cs="Times New Roman"/>
            <w:color w:val="0000FF"/>
            <w:sz w:val="24"/>
            <w:szCs w:val="24"/>
            <w:u w:val="single"/>
          </w:rPr>
          <w:t>https://doi.org/10.1016/j.carbpol.2016.09.029</w:t>
        </w:r>
      </w:hyperlink>
    </w:p>
    <w:p w14:paraId="14FD0AE2"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lang w:val="nl-BE"/>
        </w:rPr>
      </w:pPr>
      <w:r w:rsidRPr="00840F43">
        <w:rPr>
          <w:rFonts w:ascii="Times New Roman" w:eastAsia="Times New Roman" w:hAnsi="Times New Roman" w:cs="Times New Roman"/>
          <w:sz w:val="24"/>
          <w:szCs w:val="24"/>
        </w:rPr>
        <w:t xml:space="preserve">Suffredini, I. B., Paciencia, M. L. B., Nepomuceno, D. C., Younes, R. N., &amp; Varella, A. D. (2006). Antibacterial and cytotoxic activity of Brazilian plant extracts: </w:t>
      </w:r>
      <w:proofErr w:type="spellStart"/>
      <w:r w:rsidRPr="00840F43">
        <w:rPr>
          <w:rFonts w:ascii="Times New Roman" w:eastAsia="Times New Roman" w:hAnsi="Times New Roman" w:cs="Times New Roman"/>
          <w:sz w:val="24"/>
          <w:szCs w:val="24"/>
        </w:rPr>
        <w:t>Clusiaceae</w:t>
      </w:r>
      <w:proofErr w:type="spellEnd"/>
      <w:r w:rsidRPr="00840F43">
        <w:rPr>
          <w:rFonts w:ascii="Times New Roman" w:eastAsia="Times New Roman" w:hAnsi="Times New Roman" w:cs="Times New Roman"/>
          <w:sz w:val="24"/>
          <w:szCs w:val="24"/>
        </w:rPr>
        <w:t xml:space="preserve">. </w:t>
      </w:r>
      <w:proofErr w:type="spellStart"/>
      <w:r w:rsidRPr="00840F43">
        <w:rPr>
          <w:rFonts w:ascii="Times New Roman" w:eastAsia="Times New Roman" w:hAnsi="Times New Roman" w:cs="Times New Roman"/>
          <w:i/>
          <w:iCs/>
          <w:sz w:val="24"/>
          <w:szCs w:val="24"/>
        </w:rPr>
        <w:t>Memórias</w:t>
      </w:r>
      <w:proofErr w:type="spellEnd"/>
      <w:r w:rsidRPr="00840F43">
        <w:rPr>
          <w:rFonts w:ascii="Times New Roman" w:eastAsia="Times New Roman" w:hAnsi="Times New Roman" w:cs="Times New Roman"/>
          <w:i/>
          <w:iCs/>
          <w:sz w:val="24"/>
          <w:szCs w:val="24"/>
        </w:rPr>
        <w:t xml:space="preserve"> do Instituto Oswaldo Cruz, 101</w:t>
      </w:r>
      <w:r w:rsidRPr="00840F43">
        <w:rPr>
          <w:rFonts w:ascii="Times New Roman" w:eastAsia="Times New Roman" w:hAnsi="Times New Roman" w:cs="Times New Roman"/>
          <w:sz w:val="24"/>
          <w:szCs w:val="24"/>
        </w:rPr>
        <w:t xml:space="preserve">(3), 287–290. </w:t>
      </w:r>
      <w:hyperlink r:id="rId42" w:history="1">
        <w:r w:rsidRPr="00840F43">
          <w:rPr>
            <w:rFonts w:ascii="Times New Roman" w:eastAsia="Times New Roman" w:hAnsi="Times New Roman" w:cs="Times New Roman"/>
            <w:color w:val="0000FF"/>
            <w:sz w:val="24"/>
            <w:szCs w:val="24"/>
            <w:u w:val="single"/>
            <w:lang w:val="nl-BE"/>
          </w:rPr>
          <w:t>https://doi.org/10.1590/S0074-02762006000300011</w:t>
        </w:r>
      </w:hyperlink>
    </w:p>
    <w:p w14:paraId="4A973347"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lang w:val="nl-BE"/>
        </w:rPr>
        <w:t xml:space="preserve">Ugwuona, F. U., Agwo, O. E., Ukom, A. N., &amp; Iguh, B. N. (2021). </w:t>
      </w:r>
      <w:r w:rsidRPr="00840F43">
        <w:rPr>
          <w:rFonts w:ascii="Times New Roman" w:eastAsia="Times New Roman" w:hAnsi="Times New Roman" w:cs="Times New Roman"/>
          <w:sz w:val="24"/>
          <w:szCs w:val="24"/>
        </w:rPr>
        <w:t xml:space="preserve">Effects of different extracting solvents on non-phenolic phytochemical profiles of selected Nigerian spices and spice-treated foods. </w:t>
      </w:r>
      <w:r w:rsidRPr="00840F43">
        <w:rPr>
          <w:rFonts w:ascii="Times New Roman" w:eastAsia="Times New Roman" w:hAnsi="Times New Roman" w:cs="Times New Roman"/>
          <w:i/>
          <w:iCs/>
          <w:sz w:val="24"/>
          <w:szCs w:val="24"/>
        </w:rPr>
        <w:t>Asian Food Science Journal, 20</w:t>
      </w:r>
      <w:r w:rsidRPr="00840F43">
        <w:rPr>
          <w:rFonts w:ascii="Times New Roman" w:eastAsia="Times New Roman" w:hAnsi="Times New Roman" w:cs="Times New Roman"/>
          <w:sz w:val="24"/>
          <w:szCs w:val="24"/>
        </w:rPr>
        <w:t xml:space="preserve">(12), 7–17. </w:t>
      </w:r>
      <w:hyperlink r:id="rId43" w:history="1">
        <w:r w:rsidRPr="00840F43">
          <w:rPr>
            <w:rFonts w:ascii="Times New Roman" w:eastAsia="Times New Roman" w:hAnsi="Times New Roman" w:cs="Times New Roman"/>
            <w:color w:val="0000FF"/>
            <w:sz w:val="24"/>
            <w:szCs w:val="24"/>
            <w:u w:val="single"/>
          </w:rPr>
          <w:t>https://doi.org/10.9734/afsj/2021/v20i1230387</w:t>
        </w:r>
      </w:hyperlink>
    </w:p>
    <w:p w14:paraId="259706F5"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t xml:space="preserve">Uwakwe, A. A., &amp; </w:t>
      </w:r>
      <w:proofErr w:type="spellStart"/>
      <w:r w:rsidRPr="00840F43">
        <w:rPr>
          <w:rFonts w:ascii="Times New Roman" w:eastAsia="Times New Roman" w:hAnsi="Times New Roman" w:cs="Times New Roman"/>
          <w:sz w:val="24"/>
          <w:szCs w:val="24"/>
        </w:rPr>
        <w:t>Nwaoguikpe</w:t>
      </w:r>
      <w:proofErr w:type="spellEnd"/>
      <w:r w:rsidRPr="00840F43">
        <w:rPr>
          <w:rFonts w:ascii="Times New Roman" w:eastAsia="Times New Roman" w:hAnsi="Times New Roman" w:cs="Times New Roman"/>
          <w:sz w:val="24"/>
          <w:szCs w:val="24"/>
        </w:rPr>
        <w:t xml:space="preserve">, R. N. (2008). In vitro anti-sickling effects of </w:t>
      </w:r>
      <w:proofErr w:type="spellStart"/>
      <w:r w:rsidRPr="00840F43">
        <w:rPr>
          <w:rFonts w:ascii="Times New Roman" w:eastAsia="Times New Roman" w:hAnsi="Times New Roman" w:cs="Times New Roman"/>
          <w:i/>
          <w:iCs/>
          <w:sz w:val="24"/>
          <w:szCs w:val="24"/>
        </w:rPr>
        <w:t>Xylopia</w:t>
      </w:r>
      <w:proofErr w:type="spellEnd"/>
      <w:r w:rsidRPr="00840F43">
        <w:rPr>
          <w:rFonts w:ascii="Times New Roman" w:eastAsia="Times New Roman" w:hAnsi="Times New Roman" w:cs="Times New Roman"/>
          <w:i/>
          <w:iCs/>
          <w:sz w:val="24"/>
          <w:szCs w:val="24"/>
        </w:rPr>
        <w:t xml:space="preserve"> aethiopica</w:t>
      </w:r>
      <w:r w:rsidRPr="00840F43">
        <w:rPr>
          <w:rFonts w:ascii="Times New Roman" w:eastAsia="Times New Roman" w:hAnsi="Times New Roman" w:cs="Times New Roman"/>
          <w:sz w:val="24"/>
          <w:szCs w:val="24"/>
        </w:rPr>
        <w:t xml:space="preserve"> and </w:t>
      </w:r>
      <w:proofErr w:type="spellStart"/>
      <w:r w:rsidRPr="00840F43">
        <w:rPr>
          <w:rFonts w:ascii="Times New Roman" w:eastAsia="Times New Roman" w:hAnsi="Times New Roman" w:cs="Times New Roman"/>
          <w:i/>
          <w:iCs/>
          <w:sz w:val="24"/>
          <w:szCs w:val="24"/>
        </w:rPr>
        <w:t>Monodora</w:t>
      </w:r>
      <w:proofErr w:type="spellEnd"/>
      <w:r w:rsidRPr="00840F43">
        <w:rPr>
          <w:rFonts w:ascii="Times New Roman" w:eastAsia="Times New Roman" w:hAnsi="Times New Roman" w:cs="Times New Roman"/>
          <w:i/>
          <w:iCs/>
          <w:sz w:val="24"/>
          <w:szCs w:val="24"/>
        </w:rPr>
        <w:t xml:space="preserve"> </w:t>
      </w:r>
      <w:proofErr w:type="spellStart"/>
      <w:r w:rsidRPr="00840F43">
        <w:rPr>
          <w:rFonts w:ascii="Times New Roman" w:eastAsia="Times New Roman" w:hAnsi="Times New Roman" w:cs="Times New Roman"/>
          <w:i/>
          <w:iCs/>
          <w:sz w:val="24"/>
          <w:szCs w:val="24"/>
        </w:rPr>
        <w:t>myristica</w:t>
      </w:r>
      <w:proofErr w:type="spellEnd"/>
      <w:r w:rsidRPr="00840F43">
        <w:rPr>
          <w:rFonts w:ascii="Times New Roman" w:eastAsia="Times New Roman" w:hAnsi="Times New Roman" w:cs="Times New Roman"/>
          <w:sz w:val="24"/>
          <w:szCs w:val="24"/>
        </w:rPr>
        <w:t xml:space="preserve">. </w:t>
      </w:r>
      <w:r w:rsidRPr="00840F43">
        <w:rPr>
          <w:rFonts w:ascii="Times New Roman" w:eastAsia="Times New Roman" w:hAnsi="Times New Roman" w:cs="Times New Roman"/>
          <w:i/>
          <w:iCs/>
          <w:sz w:val="24"/>
          <w:szCs w:val="24"/>
        </w:rPr>
        <w:t>Journal of Medicinal Plants Research, 2</w:t>
      </w:r>
      <w:r w:rsidRPr="00840F43">
        <w:rPr>
          <w:rFonts w:ascii="Times New Roman" w:eastAsia="Times New Roman" w:hAnsi="Times New Roman" w:cs="Times New Roman"/>
          <w:sz w:val="24"/>
          <w:szCs w:val="24"/>
        </w:rPr>
        <w:t xml:space="preserve">(6), 119–124. </w:t>
      </w:r>
      <w:hyperlink r:id="rId44" w:history="1">
        <w:r w:rsidRPr="00840F43">
          <w:rPr>
            <w:rFonts w:ascii="Times New Roman" w:eastAsia="Times New Roman" w:hAnsi="Times New Roman" w:cs="Times New Roman"/>
            <w:color w:val="0000FF"/>
            <w:sz w:val="24"/>
            <w:szCs w:val="24"/>
            <w:u w:val="single"/>
          </w:rPr>
          <w:t>https://doi.org/10.5897/JMPR.9001042</w:t>
        </w:r>
      </w:hyperlink>
    </w:p>
    <w:p w14:paraId="2DF2A884"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rPr>
        <w:t xml:space="preserve">Vivekananthan, D. P., Penn, M. S., Sapp, S. K., Hsu, A., &amp; Topol, E. J. (2003). Use of antioxidant vitamins for the prevention of cardiovascular disease: Meta-analysis of </w:t>
      </w:r>
      <w:proofErr w:type="spellStart"/>
      <w:r w:rsidRPr="00840F43">
        <w:rPr>
          <w:rFonts w:ascii="Times New Roman" w:eastAsia="Times New Roman" w:hAnsi="Times New Roman" w:cs="Times New Roman"/>
          <w:sz w:val="24"/>
          <w:szCs w:val="24"/>
        </w:rPr>
        <w:t>randomised</w:t>
      </w:r>
      <w:proofErr w:type="spellEnd"/>
      <w:r w:rsidRPr="00840F43">
        <w:rPr>
          <w:rFonts w:ascii="Times New Roman" w:eastAsia="Times New Roman" w:hAnsi="Times New Roman" w:cs="Times New Roman"/>
          <w:sz w:val="24"/>
          <w:szCs w:val="24"/>
        </w:rPr>
        <w:t xml:space="preserve"> trials. </w:t>
      </w:r>
      <w:r w:rsidRPr="00840F43">
        <w:rPr>
          <w:rFonts w:ascii="Times New Roman" w:eastAsia="Times New Roman" w:hAnsi="Times New Roman" w:cs="Times New Roman"/>
          <w:i/>
          <w:iCs/>
          <w:sz w:val="24"/>
          <w:szCs w:val="24"/>
        </w:rPr>
        <w:t>The Lancet, 361</w:t>
      </w:r>
      <w:r w:rsidRPr="00840F43">
        <w:rPr>
          <w:rFonts w:ascii="Times New Roman" w:eastAsia="Times New Roman" w:hAnsi="Times New Roman" w:cs="Times New Roman"/>
          <w:sz w:val="24"/>
          <w:szCs w:val="24"/>
        </w:rPr>
        <w:t xml:space="preserve">(9374), 2017–2023. </w:t>
      </w:r>
      <w:hyperlink r:id="rId45" w:history="1">
        <w:r w:rsidRPr="00840F43">
          <w:rPr>
            <w:rFonts w:ascii="Times New Roman" w:eastAsia="Times New Roman" w:hAnsi="Times New Roman" w:cs="Times New Roman"/>
            <w:color w:val="0000FF"/>
            <w:sz w:val="24"/>
            <w:szCs w:val="24"/>
            <w:u w:val="single"/>
          </w:rPr>
          <w:t>https://doi.org/10.1016/S0140-6736(03)13637-9</w:t>
        </w:r>
      </w:hyperlink>
    </w:p>
    <w:p w14:paraId="51379CAE" w14:textId="54F27AD9"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lang w:val="nl-BE"/>
        </w:rPr>
        <w:t xml:space="preserve">Walstab, J., Krüger, D., Stark, T., Hofmann, T., Demir, I. E., Ceyhan, G. O., Feistel, B., Schemann, M., &amp; Niesler, B. (2013). </w:t>
      </w:r>
      <w:r w:rsidRPr="00840F43">
        <w:rPr>
          <w:rFonts w:ascii="Times New Roman" w:eastAsia="Times New Roman" w:hAnsi="Times New Roman" w:cs="Times New Roman"/>
          <w:sz w:val="24"/>
          <w:szCs w:val="24"/>
        </w:rPr>
        <w:t xml:space="preserve">Ginger and its pungent constituents non-competitively inhibit activation of human recombinant and native 5-HT3 receptors of enteric neurons. </w:t>
      </w:r>
      <w:proofErr w:type="spellStart"/>
      <w:r w:rsidRPr="00840F43">
        <w:rPr>
          <w:rFonts w:ascii="Times New Roman" w:eastAsia="Times New Roman" w:hAnsi="Times New Roman" w:cs="Times New Roman"/>
          <w:i/>
          <w:iCs/>
          <w:sz w:val="24"/>
          <w:szCs w:val="24"/>
        </w:rPr>
        <w:t>Neurogastroenterology</w:t>
      </w:r>
      <w:proofErr w:type="spellEnd"/>
      <w:r w:rsidRPr="00840F43">
        <w:rPr>
          <w:rFonts w:ascii="Times New Roman" w:eastAsia="Times New Roman" w:hAnsi="Times New Roman" w:cs="Times New Roman"/>
          <w:i/>
          <w:iCs/>
          <w:sz w:val="24"/>
          <w:szCs w:val="24"/>
        </w:rPr>
        <w:t xml:space="preserve"> &amp; Motility, 25</w:t>
      </w:r>
      <w:r w:rsidRPr="00840F43">
        <w:rPr>
          <w:rFonts w:ascii="Times New Roman" w:eastAsia="Times New Roman" w:hAnsi="Times New Roman" w:cs="Times New Roman"/>
          <w:sz w:val="24"/>
          <w:szCs w:val="24"/>
        </w:rPr>
        <w:t xml:space="preserve">(5), 439–e302. </w:t>
      </w:r>
      <w:hyperlink r:id="rId46" w:history="1">
        <w:r w:rsidRPr="00840F43">
          <w:rPr>
            <w:rFonts w:ascii="Times New Roman" w:eastAsia="Times New Roman" w:hAnsi="Times New Roman" w:cs="Times New Roman"/>
            <w:color w:val="0000FF"/>
            <w:sz w:val="24"/>
            <w:szCs w:val="24"/>
            <w:u w:val="single"/>
          </w:rPr>
          <w:t>https://doi.org/10.1111/nmo.12107</w:t>
        </w:r>
      </w:hyperlink>
      <w:r w:rsidRPr="00840F43">
        <w:rPr>
          <w:rFonts w:ascii="Times New Roman" w:eastAsia="Times New Roman" w:hAnsi="Times New Roman" w:cs="Times New Roman"/>
          <w:sz w:val="24"/>
          <w:szCs w:val="24"/>
        </w:rPr>
        <w:t xml:space="preserve"> </w:t>
      </w:r>
    </w:p>
    <w:p w14:paraId="5D82990C" w14:textId="77777777" w:rsidR="00840F43" w:rsidRPr="00840F43" w:rsidRDefault="00840F43" w:rsidP="00840F43">
      <w:pPr>
        <w:spacing w:before="100" w:beforeAutospacing="1" w:after="100" w:afterAutospacing="1" w:line="240" w:lineRule="auto"/>
        <w:ind w:left="540" w:hanging="540"/>
        <w:jc w:val="both"/>
        <w:rPr>
          <w:rFonts w:ascii="Times New Roman" w:eastAsia="Times New Roman" w:hAnsi="Times New Roman" w:cs="Times New Roman"/>
          <w:sz w:val="24"/>
          <w:szCs w:val="24"/>
        </w:rPr>
      </w:pPr>
      <w:r w:rsidRPr="00840F43">
        <w:rPr>
          <w:rFonts w:ascii="Times New Roman" w:eastAsia="Times New Roman" w:hAnsi="Times New Roman" w:cs="Times New Roman"/>
          <w:sz w:val="24"/>
          <w:szCs w:val="24"/>
          <w:lang w:val="nl-BE"/>
        </w:rPr>
        <w:lastRenderedPageBreak/>
        <w:t xml:space="preserve">Wong, S. P., Leong, L. P., &amp; Koh, J. H. W. (2006). </w:t>
      </w:r>
      <w:r w:rsidRPr="00840F43">
        <w:rPr>
          <w:rFonts w:ascii="Times New Roman" w:eastAsia="Times New Roman" w:hAnsi="Times New Roman" w:cs="Times New Roman"/>
          <w:sz w:val="24"/>
          <w:szCs w:val="24"/>
        </w:rPr>
        <w:t xml:space="preserve">Antioxidant activities of aqueous extracts of selected plants. </w:t>
      </w:r>
      <w:r w:rsidRPr="00840F43">
        <w:rPr>
          <w:rFonts w:ascii="Times New Roman" w:eastAsia="Times New Roman" w:hAnsi="Times New Roman" w:cs="Times New Roman"/>
          <w:i/>
          <w:iCs/>
          <w:sz w:val="24"/>
          <w:szCs w:val="24"/>
        </w:rPr>
        <w:t>Food Chemistry, 99</w:t>
      </w:r>
      <w:r w:rsidRPr="00840F43">
        <w:rPr>
          <w:rFonts w:ascii="Times New Roman" w:eastAsia="Times New Roman" w:hAnsi="Times New Roman" w:cs="Times New Roman"/>
          <w:sz w:val="24"/>
          <w:szCs w:val="24"/>
        </w:rPr>
        <w:t xml:space="preserve">(4), 775–783. </w:t>
      </w:r>
      <w:hyperlink r:id="rId47" w:history="1">
        <w:r w:rsidRPr="00840F43">
          <w:rPr>
            <w:rFonts w:ascii="Times New Roman" w:eastAsia="Times New Roman" w:hAnsi="Times New Roman" w:cs="Times New Roman"/>
            <w:color w:val="0000FF"/>
            <w:sz w:val="24"/>
            <w:szCs w:val="24"/>
            <w:u w:val="single"/>
          </w:rPr>
          <w:t>https://doi.org/10.1016/j.foodchem.2005.07.058</w:t>
        </w:r>
      </w:hyperlink>
    </w:p>
    <w:p w14:paraId="4EED5954" w14:textId="5161DE74" w:rsidR="004003A4" w:rsidRDefault="004003A4" w:rsidP="00840F43"/>
    <w:sectPr w:rsidR="004003A4">
      <w:headerReference w:type="even" r:id="rId48"/>
      <w:headerReference w:type="default" r:id="rId49"/>
      <w:footerReference w:type="even" r:id="rId50"/>
      <w:footerReference w:type="default" r:id="rId51"/>
      <w:headerReference w:type="first" r:id="rId52"/>
      <w:footerReference w:type="first" r:id="rId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74AF6" w14:textId="77777777" w:rsidR="00B66573" w:rsidRDefault="00B66573">
      <w:pPr>
        <w:spacing w:after="0" w:line="240" w:lineRule="auto"/>
      </w:pPr>
      <w:r>
        <w:separator/>
      </w:r>
    </w:p>
  </w:endnote>
  <w:endnote w:type="continuationSeparator" w:id="0">
    <w:p w14:paraId="659A0C1E" w14:textId="77777777" w:rsidR="00B66573" w:rsidRDefault="00B66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F14D5" w14:textId="77777777" w:rsidR="00DF337D" w:rsidRDefault="00DF33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F21ED" w14:textId="77777777" w:rsidR="00DF337D" w:rsidRDefault="00DF337D">
    <w:pPr>
      <w:pStyle w:val="Footer"/>
      <w:jc w:val="center"/>
    </w:pPr>
    <w:r>
      <w:fldChar w:fldCharType="begin"/>
    </w:r>
    <w:r>
      <w:instrText xml:space="preserve"> PAGE   \* MERGEFORMAT </w:instrText>
    </w:r>
    <w:r>
      <w:fldChar w:fldCharType="separate"/>
    </w:r>
    <w:r w:rsidR="007077C1">
      <w:rPr>
        <w:noProof/>
      </w:rPr>
      <w:t>21</w:t>
    </w:r>
    <w:r>
      <w:rPr>
        <w:noProof/>
      </w:rPr>
      <w:fldChar w:fldCharType="end"/>
    </w:r>
  </w:p>
  <w:p w14:paraId="556560A1" w14:textId="77777777" w:rsidR="00DF337D" w:rsidRDefault="00DF33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A0CAD" w14:textId="77777777" w:rsidR="00DF337D" w:rsidRDefault="00DF3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77E59" w14:textId="77777777" w:rsidR="00B66573" w:rsidRDefault="00B66573">
      <w:pPr>
        <w:spacing w:after="0" w:line="240" w:lineRule="auto"/>
      </w:pPr>
      <w:r>
        <w:separator/>
      </w:r>
    </w:p>
  </w:footnote>
  <w:footnote w:type="continuationSeparator" w:id="0">
    <w:p w14:paraId="1CFA4D4B" w14:textId="77777777" w:rsidR="00B66573" w:rsidRDefault="00B665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6A31B" w14:textId="77777777" w:rsidR="00DF337D" w:rsidRDefault="00000000">
    <w:pPr>
      <w:pStyle w:val="Header"/>
    </w:pPr>
    <w:r>
      <w:rPr>
        <w:noProof/>
      </w:rPr>
      <w:pict w14:anchorId="4BF7EF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F8FE" w14:textId="77777777" w:rsidR="00DF337D" w:rsidRDefault="00000000">
    <w:pPr>
      <w:pStyle w:val="Header"/>
    </w:pPr>
    <w:r>
      <w:rPr>
        <w:noProof/>
      </w:rPr>
      <w:pict w14:anchorId="61BECC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39300" w14:textId="77777777" w:rsidR="00DF337D" w:rsidRDefault="00000000">
    <w:pPr>
      <w:pStyle w:val="Header"/>
    </w:pPr>
    <w:r>
      <w:rPr>
        <w:noProof/>
      </w:rPr>
      <w:pict w14:anchorId="484E99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D9A1FEC"/>
    <w:lvl w:ilvl="0" w:tplc="0409000F">
      <w:start w:val="1"/>
      <w:numFmt w:val="decimal"/>
      <w:lvlText w:val="%1."/>
      <w:lvlJc w:val="left"/>
      <w:pPr>
        <w:ind w:left="72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1" w15:restartNumberingAfterBreak="0">
    <w:nsid w:val="057C119F"/>
    <w:multiLevelType w:val="multilevel"/>
    <w:tmpl w:val="4F0AA786"/>
    <w:lvl w:ilvl="0">
      <w:start w:val="1"/>
      <w:numFmt w:val="decimal"/>
      <w:lvlText w:val="%1.0"/>
      <w:lvlJc w:val="left"/>
      <w:pPr>
        <w:ind w:left="415" w:hanging="375"/>
      </w:pPr>
      <w:rPr>
        <w:rFonts w:hint="default"/>
      </w:rPr>
    </w:lvl>
    <w:lvl w:ilvl="1">
      <w:start w:val="1"/>
      <w:numFmt w:val="decimal"/>
      <w:lvlText w:val="%1.%2"/>
      <w:lvlJc w:val="left"/>
      <w:pPr>
        <w:ind w:left="1135" w:hanging="375"/>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3280" w:hanging="1080"/>
      </w:pPr>
      <w:rPr>
        <w:rFonts w:hint="default"/>
      </w:rPr>
    </w:lvl>
    <w:lvl w:ilvl="4">
      <w:start w:val="1"/>
      <w:numFmt w:val="decimal"/>
      <w:lvlText w:val="%1.%2.%3.%4.%5"/>
      <w:lvlJc w:val="left"/>
      <w:pPr>
        <w:ind w:left="4000" w:hanging="1080"/>
      </w:pPr>
      <w:rPr>
        <w:rFonts w:hint="default"/>
      </w:rPr>
    </w:lvl>
    <w:lvl w:ilvl="5">
      <w:start w:val="1"/>
      <w:numFmt w:val="decimal"/>
      <w:lvlText w:val="%1.%2.%3.%4.%5.%6"/>
      <w:lvlJc w:val="left"/>
      <w:pPr>
        <w:ind w:left="5080" w:hanging="1440"/>
      </w:pPr>
      <w:rPr>
        <w:rFonts w:hint="default"/>
      </w:rPr>
    </w:lvl>
    <w:lvl w:ilvl="6">
      <w:start w:val="1"/>
      <w:numFmt w:val="decimal"/>
      <w:lvlText w:val="%1.%2.%3.%4.%5.%6.%7"/>
      <w:lvlJc w:val="left"/>
      <w:pPr>
        <w:ind w:left="5800" w:hanging="1440"/>
      </w:pPr>
      <w:rPr>
        <w:rFonts w:hint="default"/>
      </w:rPr>
    </w:lvl>
    <w:lvl w:ilvl="7">
      <w:start w:val="1"/>
      <w:numFmt w:val="decimal"/>
      <w:lvlText w:val="%1.%2.%3.%4.%5.%6.%7.%8"/>
      <w:lvlJc w:val="left"/>
      <w:pPr>
        <w:ind w:left="6880" w:hanging="1800"/>
      </w:pPr>
      <w:rPr>
        <w:rFonts w:hint="default"/>
      </w:rPr>
    </w:lvl>
    <w:lvl w:ilvl="8">
      <w:start w:val="1"/>
      <w:numFmt w:val="decimal"/>
      <w:lvlText w:val="%1.%2.%3.%4.%5.%6.%7.%8.%9"/>
      <w:lvlJc w:val="left"/>
      <w:pPr>
        <w:ind w:left="7960" w:hanging="2160"/>
      </w:pPr>
      <w:rPr>
        <w:rFonts w:hint="default"/>
      </w:rPr>
    </w:lvl>
  </w:abstractNum>
  <w:num w:numId="1" w16cid:durableId="1943803594">
    <w:abstractNumId w:val="1"/>
  </w:num>
  <w:num w:numId="2" w16cid:durableId="19476108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MwMzA2NzYyMTczMDBQ0lEKTi0uzszPAykwrAUAI50LhSwAAAA="/>
  </w:docVars>
  <w:rsids>
    <w:rsidRoot w:val="00BC0DD8"/>
    <w:rsid w:val="00001B12"/>
    <w:rsid w:val="00003282"/>
    <w:rsid w:val="00050A6E"/>
    <w:rsid w:val="00050D6E"/>
    <w:rsid w:val="000678C5"/>
    <w:rsid w:val="000B6057"/>
    <w:rsid w:val="00172625"/>
    <w:rsid w:val="00193544"/>
    <w:rsid w:val="001C03BC"/>
    <w:rsid w:val="001D4793"/>
    <w:rsid w:val="00215775"/>
    <w:rsid w:val="002C002E"/>
    <w:rsid w:val="003313A4"/>
    <w:rsid w:val="00365498"/>
    <w:rsid w:val="00370302"/>
    <w:rsid w:val="003F41B0"/>
    <w:rsid w:val="004003A4"/>
    <w:rsid w:val="00425D62"/>
    <w:rsid w:val="00447868"/>
    <w:rsid w:val="004923B9"/>
    <w:rsid w:val="00515FA6"/>
    <w:rsid w:val="00535820"/>
    <w:rsid w:val="006031F8"/>
    <w:rsid w:val="0061150B"/>
    <w:rsid w:val="00620552"/>
    <w:rsid w:val="00696F11"/>
    <w:rsid w:val="006D3E71"/>
    <w:rsid w:val="006D41C3"/>
    <w:rsid w:val="006E6425"/>
    <w:rsid w:val="007077C1"/>
    <w:rsid w:val="007777AD"/>
    <w:rsid w:val="007B67BB"/>
    <w:rsid w:val="00810C66"/>
    <w:rsid w:val="00840F43"/>
    <w:rsid w:val="008A510A"/>
    <w:rsid w:val="008F5996"/>
    <w:rsid w:val="009410C3"/>
    <w:rsid w:val="00970CCF"/>
    <w:rsid w:val="009C65DA"/>
    <w:rsid w:val="009C7870"/>
    <w:rsid w:val="00A46899"/>
    <w:rsid w:val="00AB3B17"/>
    <w:rsid w:val="00B22461"/>
    <w:rsid w:val="00B30BB0"/>
    <w:rsid w:val="00B66573"/>
    <w:rsid w:val="00B86A9C"/>
    <w:rsid w:val="00BB509B"/>
    <w:rsid w:val="00BC0DD8"/>
    <w:rsid w:val="00BF77AE"/>
    <w:rsid w:val="00C268C8"/>
    <w:rsid w:val="00CD69B1"/>
    <w:rsid w:val="00CF3400"/>
    <w:rsid w:val="00D20B09"/>
    <w:rsid w:val="00D47B1C"/>
    <w:rsid w:val="00D76717"/>
    <w:rsid w:val="00DF337D"/>
    <w:rsid w:val="00E053B2"/>
    <w:rsid w:val="00E52971"/>
    <w:rsid w:val="00E87E03"/>
    <w:rsid w:val="00E966C8"/>
    <w:rsid w:val="00EB1970"/>
    <w:rsid w:val="00ED3727"/>
    <w:rsid w:val="00F1572C"/>
    <w:rsid w:val="00F15BD6"/>
    <w:rsid w:val="00F305CC"/>
    <w:rsid w:val="00F37E36"/>
    <w:rsid w:val="00F82B37"/>
    <w:rsid w:val="00FF42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0F0D9"/>
  <w15:docId w15:val="{A19C32E8-652B-4BA4-AC3F-87F2DF807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563C1"/>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lement-citation">
    <w:name w:val="element-citation"/>
    <w:basedOn w:val="DefaultParagraphFont"/>
  </w:style>
  <w:style w:type="paragraph" w:customStyle="1" w:styleId="p">
    <w:name w:val="p"/>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lfld-contribauthor">
    <w:name w:val="hlfld-contribauthor"/>
    <w:basedOn w:val="DefaultParagraphFont"/>
  </w:style>
  <w:style w:type="character" w:customStyle="1" w:styleId="nlmgiven-names">
    <w:name w:val="nlm_given-names"/>
    <w:basedOn w:val="DefaultParagraphFont"/>
  </w:style>
  <w:style w:type="character" w:customStyle="1" w:styleId="nlmyear">
    <w:name w:val="nlm_year"/>
    <w:basedOn w:val="DefaultParagraphFont"/>
  </w:style>
  <w:style w:type="character" w:customStyle="1" w:styleId="nlmarticle-title">
    <w:name w:val="nlm_article-title"/>
    <w:basedOn w:val="DefaultParagraphFont"/>
  </w:style>
  <w:style w:type="character" w:customStyle="1" w:styleId="nlmfpage">
    <w:name w:val="nlm_fpage"/>
    <w:basedOn w:val="DefaultParagraphFont"/>
  </w:style>
  <w:style w:type="character" w:customStyle="1" w:styleId="nlmlpage">
    <w:name w:val="nlm_lpage"/>
    <w:basedOn w:val="DefaultParagraphFont"/>
  </w:style>
  <w:style w:type="character" w:customStyle="1" w:styleId="doi">
    <w:name w:val="doi"/>
    <w:basedOn w:val="DefaultParagraphFont"/>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customStyle="1" w:styleId="CommentSubjectChar">
    <w:name w:val="Comment Subject Char"/>
    <w:basedOn w:val="CommentTextChar"/>
    <w:link w:val="CommentSubject"/>
    <w:uiPriority w:val="99"/>
    <w:rPr>
      <w:b/>
      <w:bCs/>
      <w:sz w:val="20"/>
      <w:szCs w:val="20"/>
    </w:rPr>
  </w:style>
  <w:style w:type="paragraph" w:styleId="CommentSubject">
    <w:name w:val="annotation subject"/>
    <w:basedOn w:val="CommentText"/>
    <w:next w:val="CommentText"/>
    <w:link w:val="CommentSubjectChar"/>
    <w:uiPriority w:val="99"/>
    <w:rPr>
      <w:b/>
      <w:bCs/>
    </w:rPr>
  </w:style>
  <w:style w:type="paragraph" w:styleId="BalloonText">
    <w:name w:val="Balloon Text"/>
    <w:basedOn w:val="Normal"/>
    <w:link w:val="BalloonTextChar"/>
    <w:uiPriority w:val="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character" w:styleId="PlaceholderText">
    <w:name w:val="Placeholder Text"/>
    <w:basedOn w:val="DefaultParagraphFont"/>
    <w:uiPriority w:val="99"/>
    <w:rPr>
      <w:color w:val="808080"/>
    </w:rPr>
  </w:style>
  <w:style w:type="character" w:styleId="Strong">
    <w:name w:val="Strong"/>
    <w:basedOn w:val="DefaultParagraphFont"/>
    <w:uiPriority w:val="22"/>
    <w:qFormat/>
    <w:rsid w:val="00F305CC"/>
    <w:rPr>
      <w:b/>
      <w:bCs/>
    </w:rPr>
  </w:style>
  <w:style w:type="character" w:styleId="Emphasis">
    <w:name w:val="Emphasis"/>
    <w:basedOn w:val="DefaultParagraphFont"/>
    <w:uiPriority w:val="20"/>
    <w:qFormat/>
    <w:rsid w:val="00F305CC"/>
    <w:rPr>
      <w:i/>
      <w:iCs/>
    </w:rPr>
  </w:style>
  <w:style w:type="paragraph" w:customStyle="1" w:styleId="isselectedend">
    <w:name w:val="isselectedend"/>
    <w:basedOn w:val="Normal"/>
    <w:rsid w:val="000678C5"/>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678C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03973">
      <w:bodyDiv w:val="1"/>
      <w:marLeft w:val="0"/>
      <w:marRight w:val="0"/>
      <w:marTop w:val="0"/>
      <w:marBottom w:val="0"/>
      <w:divBdr>
        <w:top w:val="none" w:sz="0" w:space="0" w:color="auto"/>
        <w:left w:val="none" w:sz="0" w:space="0" w:color="auto"/>
        <w:bottom w:val="none" w:sz="0" w:space="0" w:color="auto"/>
        <w:right w:val="none" w:sz="0" w:space="0" w:color="auto"/>
      </w:divBdr>
    </w:div>
    <w:div w:id="279411114">
      <w:bodyDiv w:val="1"/>
      <w:marLeft w:val="0"/>
      <w:marRight w:val="0"/>
      <w:marTop w:val="0"/>
      <w:marBottom w:val="0"/>
      <w:divBdr>
        <w:top w:val="none" w:sz="0" w:space="0" w:color="auto"/>
        <w:left w:val="none" w:sz="0" w:space="0" w:color="auto"/>
        <w:bottom w:val="none" w:sz="0" w:space="0" w:color="auto"/>
        <w:right w:val="none" w:sz="0" w:space="0" w:color="auto"/>
      </w:divBdr>
    </w:div>
    <w:div w:id="515071789">
      <w:bodyDiv w:val="1"/>
      <w:marLeft w:val="0"/>
      <w:marRight w:val="0"/>
      <w:marTop w:val="0"/>
      <w:marBottom w:val="0"/>
      <w:divBdr>
        <w:top w:val="none" w:sz="0" w:space="0" w:color="auto"/>
        <w:left w:val="none" w:sz="0" w:space="0" w:color="auto"/>
        <w:bottom w:val="none" w:sz="0" w:space="0" w:color="auto"/>
        <w:right w:val="none" w:sz="0" w:space="0" w:color="auto"/>
      </w:divBdr>
    </w:div>
    <w:div w:id="649865144">
      <w:bodyDiv w:val="1"/>
      <w:marLeft w:val="0"/>
      <w:marRight w:val="0"/>
      <w:marTop w:val="0"/>
      <w:marBottom w:val="0"/>
      <w:divBdr>
        <w:top w:val="none" w:sz="0" w:space="0" w:color="auto"/>
        <w:left w:val="none" w:sz="0" w:space="0" w:color="auto"/>
        <w:bottom w:val="none" w:sz="0" w:space="0" w:color="auto"/>
        <w:right w:val="none" w:sz="0" w:space="0" w:color="auto"/>
      </w:divBdr>
    </w:div>
    <w:div w:id="740326438">
      <w:bodyDiv w:val="1"/>
      <w:marLeft w:val="0"/>
      <w:marRight w:val="0"/>
      <w:marTop w:val="0"/>
      <w:marBottom w:val="0"/>
      <w:divBdr>
        <w:top w:val="none" w:sz="0" w:space="0" w:color="auto"/>
        <w:left w:val="none" w:sz="0" w:space="0" w:color="auto"/>
        <w:bottom w:val="none" w:sz="0" w:space="0" w:color="auto"/>
        <w:right w:val="none" w:sz="0" w:space="0" w:color="auto"/>
      </w:divBdr>
    </w:div>
    <w:div w:id="743065964">
      <w:bodyDiv w:val="1"/>
      <w:marLeft w:val="0"/>
      <w:marRight w:val="0"/>
      <w:marTop w:val="0"/>
      <w:marBottom w:val="0"/>
      <w:divBdr>
        <w:top w:val="none" w:sz="0" w:space="0" w:color="auto"/>
        <w:left w:val="none" w:sz="0" w:space="0" w:color="auto"/>
        <w:bottom w:val="none" w:sz="0" w:space="0" w:color="auto"/>
        <w:right w:val="none" w:sz="0" w:space="0" w:color="auto"/>
      </w:divBdr>
    </w:div>
    <w:div w:id="954141680">
      <w:bodyDiv w:val="1"/>
      <w:marLeft w:val="0"/>
      <w:marRight w:val="0"/>
      <w:marTop w:val="0"/>
      <w:marBottom w:val="0"/>
      <w:divBdr>
        <w:top w:val="none" w:sz="0" w:space="0" w:color="auto"/>
        <w:left w:val="none" w:sz="0" w:space="0" w:color="auto"/>
        <w:bottom w:val="none" w:sz="0" w:space="0" w:color="auto"/>
        <w:right w:val="none" w:sz="0" w:space="0" w:color="auto"/>
      </w:divBdr>
    </w:div>
    <w:div w:id="1178621098">
      <w:bodyDiv w:val="1"/>
      <w:marLeft w:val="0"/>
      <w:marRight w:val="0"/>
      <w:marTop w:val="0"/>
      <w:marBottom w:val="0"/>
      <w:divBdr>
        <w:top w:val="none" w:sz="0" w:space="0" w:color="auto"/>
        <w:left w:val="none" w:sz="0" w:space="0" w:color="auto"/>
        <w:bottom w:val="none" w:sz="0" w:space="0" w:color="auto"/>
        <w:right w:val="none" w:sz="0" w:space="0" w:color="auto"/>
      </w:divBdr>
    </w:div>
    <w:div w:id="1187522891">
      <w:bodyDiv w:val="1"/>
      <w:marLeft w:val="0"/>
      <w:marRight w:val="0"/>
      <w:marTop w:val="0"/>
      <w:marBottom w:val="0"/>
      <w:divBdr>
        <w:top w:val="none" w:sz="0" w:space="0" w:color="auto"/>
        <w:left w:val="none" w:sz="0" w:space="0" w:color="auto"/>
        <w:bottom w:val="none" w:sz="0" w:space="0" w:color="auto"/>
        <w:right w:val="none" w:sz="0" w:space="0" w:color="auto"/>
      </w:divBdr>
    </w:div>
    <w:div w:id="1426878944">
      <w:bodyDiv w:val="1"/>
      <w:marLeft w:val="0"/>
      <w:marRight w:val="0"/>
      <w:marTop w:val="0"/>
      <w:marBottom w:val="0"/>
      <w:divBdr>
        <w:top w:val="none" w:sz="0" w:space="0" w:color="auto"/>
        <w:left w:val="none" w:sz="0" w:space="0" w:color="auto"/>
        <w:bottom w:val="none" w:sz="0" w:space="0" w:color="auto"/>
        <w:right w:val="none" w:sz="0" w:space="0" w:color="auto"/>
      </w:divBdr>
    </w:div>
    <w:div w:id="1514346579">
      <w:bodyDiv w:val="1"/>
      <w:marLeft w:val="0"/>
      <w:marRight w:val="0"/>
      <w:marTop w:val="0"/>
      <w:marBottom w:val="0"/>
      <w:divBdr>
        <w:top w:val="none" w:sz="0" w:space="0" w:color="auto"/>
        <w:left w:val="none" w:sz="0" w:space="0" w:color="auto"/>
        <w:bottom w:val="none" w:sz="0" w:space="0" w:color="auto"/>
        <w:right w:val="none" w:sz="0" w:space="0" w:color="auto"/>
      </w:divBdr>
    </w:div>
    <w:div w:id="1650086557">
      <w:bodyDiv w:val="1"/>
      <w:marLeft w:val="0"/>
      <w:marRight w:val="0"/>
      <w:marTop w:val="0"/>
      <w:marBottom w:val="0"/>
      <w:divBdr>
        <w:top w:val="none" w:sz="0" w:space="0" w:color="auto"/>
        <w:left w:val="none" w:sz="0" w:space="0" w:color="auto"/>
        <w:bottom w:val="none" w:sz="0" w:space="0" w:color="auto"/>
        <w:right w:val="none" w:sz="0" w:space="0" w:color="auto"/>
      </w:divBdr>
    </w:div>
    <w:div w:id="1652754999">
      <w:bodyDiv w:val="1"/>
      <w:marLeft w:val="0"/>
      <w:marRight w:val="0"/>
      <w:marTop w:val="0"/>
      <w:marBottom w:val="0"/>
      <w:divBdr>
        <w:top w:val="none" w:sz="0" w:space="0" w:color="auto"/>
        <w:left w:val="none" w:sz="0" w:space="0" w:color="auto"/>
        <w:bottom w:val="none" w:sz="0" w:space="0" w:color="auto"/>
        <w:right w:val="none" w:sz="0" w:space="0" w:color="auto"/>
      </w:divBdr>
    </w:div>
    <w:div w:id="1658070436">
      <w:bodyDiv w:val="1"/>
      <w:marLeft w:val="0"/>
      <w:marRight w:val="0"/>
      <w:marTop w:val="0"/>
      <w:marBottom w:val="0"/>
      <w:divBdr>
        <w:top w:val="none" w:sz="0" w:space="0" w:color="auto"/>
        <w:left w:val="none" w:sz="0" w:space="0" w:color="auto"/>
        <w:bottom w:val="none" w:sz="0" w:space="0" w:color="auto"/>
        <w:right w:val="none" w:sz="0" w:space="0" w:color="auto"/>
      </w:divBdr>
    </w:div>
    <w:div w:id="1673489155">
      <w:bodyDiv w:val="1"/>
      <w:marLeft w:val="0"/>
      <w:marRight w:val="0"/>
      <w:marTop w:val="0"/>
      <w:marBottom w:val="0"/>
      <w:divBdr>
        <w:top w:val="none" w:sz="0" w:space="0" w:color="auto"/>
        <w:left w:val="none" w:sz="0" w:space="0" w:color="auto"/>
        <w:bottom w:val="none" w:sz="0" w:space="0" w:color="auto"/>
        <w:right w:val="none" w:sz="0" w:space="0" w:color="auto"/>
      </w:divBdr>
    </w:div>
    <w:div w:id="1675299794">
      <w:bodyDiv w:val="1"/>
      <w:marLeft w:val="0"/>
      <w:marRight w:val="0"/>
      <w:marTop w:val="0"/>
      <w:marBottom w:val="0"/>
      <w:divBdr>
        <w:top w:val="none" w:sz="0" w:space="0" w:color="auto"/>
        <w:left w:val="none" w:sz="0" w:space="0" w:color="auto"/>
        <w:bottom w:val="none" w:sz="0" w:space="0" w:color="auto"/>
        <w:right w:val="none" w:sz="0" w:space="0" w:color="auto"/>
      </w:divBdr>
    </w:div>
    <w:div w:id="1823739377">
      <w:bodyDiv w:val="1"/>
      <w:marLeft w:val="0"/>
      <w:marRight w:val="0"/>
      <w:marTop w:val="0"/>
      <w:marBottom w:val="0"/>
      <w:divBdr>
        <w:top w:val="none" w:sz="0" w:space="0" w:color="auto"/>
        <w:left w:val="none" w:sz="0" w:space="0" w:color="auto"/>
        <w:bottom w:val="none" w:sz="0" w:space="0" w:color="auto"/>
        <w:right w:val="none" w:sz="0" w:space="0" w:color="auto"/>
      </w:divBdr>
    </w:div>
    <w:div w:id="1951743594">
      <w:bodyDiv w:val="1"/>
      <w:marLeft w:val="0"/>
      <w:marRight w:val="0"/>
      <w:marTop w:val="0"/>
      <w:marBottom w:val="0"/>
      <w:divBdr>
        <w:top w:val="none" w:sz="0" w:space="0" w:color="auto"/>
        <w:left w:val="none" w:sz="0" w:space="0" w:color="auto"/>
        <w:bottom w:val="none" w:sz="0" w:space="0" w:color="auto"/>
        <w:right w:val="none" w:sz="0" w:space="0" w:color="auto"/>
      </w:divBdr>
    </w:div>
    <w:div w:id="2052342504">
      <w:bodyDiv w:val="1"/>
      <w:marLeft w:val="0"/>
      <w:marRight w:val="0"/>
      <w:marTop w:val="0"/>
      <w:marBottom w:val="0"/>
      <w:divBdr>
        <w:top w:val="none" w:sz="0" w:space="0" w:color="auto"/>
        <w:left w:val="none" w:sz="0" w:space="0" w:color="auto"/>
        <w:bottom w:val="none" w:sz="0" w:space="0" w:color="auto"/>
        <w:right w:val="none" w:sz="0" w:space="0" w:color="auto"/>
      </w:divBdr>
    </w:div>
    <w:div w:id="2128156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hyperlink" Target="https://doi.org/10.1038/s41598-023-42303-x" TargetMode="External"/><Relationship Id="rId26" Type="http://schemas.openxmlformats.org/officeDocument/2006/relationships/hyperlink" Target="https://doi.org/10.3390/foods8060185" TargetMode="External"/><Relationship Id="rId39" Type="http://schemas.openxmlformats.org/officeDocument/2006/relationships/hyperlink" Target="https://doi.org/10.1021/jf0702242" TargetMode="External"/><Relationship Id="rId21" Type="http://schemas.openxmlformats.org/officeDocument/2006/relationships/hyperlink" Target="https://doi.org/10.1007/978-1-61779-624-1_5" TargetMode="External"/><Relationship Id="rId34" Type="http://schemas.openxmlformats.org/officeDocument/2006/relationships/hyperlink" Target="https://doi.org/10.9790/2402-1310016269" TargetMode="External"/><Relationship Id="rId42" Type="http://schemas.openxmlformats.org/officeDocument/2006/relationships/hyperlink" Target="https://doi.org/10.1590/S0074-02762006000300011" TargetMode="External"/><Relationship Id="rId47" Type="http://schemas.openxmlformats.org/officeDocument/2006/relationships/hyperlink" Target="https://doi.org/10.1016/j.foodchem.2005.07.058"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academicjournals.org/app/webroot/article/article1380191996_Akinmoladun%20%20et%20al%20%281%29.pdf" TargetMode="External"/><Relationship Id="rId29" Type="http://schemas.openxmlformats.org/officeDocument/2006/relationships/hyperlink" Target="https://doi.org/10.9790/2402-1402030110" TargetMode="External"/><Relationship Id="rId11" Type="http://schemas.openxmlformats.org/officeDocument/2006/relationships/chart" Target="charts/chart3.xml"/><Relationship Id="rId24" Type="http://schemas.openxmlformats.org/officeDocument/2006/relationships/hyperlink" Target="https://doi.org/10.1016/j.ijbiomac.2018.02.068" TargetMode="External"/><Relationship Id="rId32" Type="http://schemas.openxmlformats.org/officeDocument/2006/relationships/hyperlink" Target="https://doi.org/10.18805/ajdfr.DRF-478" TargetMode="External"/><Relationship Id="rId37" Type="http://schemas.openxmlformats.org/officeDocument/2006/relationships/hyperlink" Target="https://doi.org/10.1155/2015/142979" TargetMode="External"/><Relationship Id="rId40" Type="http://schemas.openxmlformats.org/officeDocument/2006/relationships/hyperlink" Target="https://www.idosi.org/mejsr/mejsr8%283%2911/6.pdf" TargetMode="External"/><Relationship Id="rId45" Type="http://schemas.openxmlformats.org/officeDocument/2006/relationships/hyperlink" Target="https://doi.org/10.1016/S0140-6736(03)13637-9" TargetMode="External"/><Relationship Id="rId53"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chart" Target="charts/chart2.xml"/><Relationship Id="rId19" Type="http://schemas.openxmlformats.org/officeDocument/2006/relationships/hyperlink" Target="https://doi.org/10.1016/j.ejphar.2008.03.008" TargetMode="External"/><Relationship Id="rId31" Type="http://schemas.openxmlformats.org/officeDocument/2006/relationships/hyperlink" Target="https://doi.org/10.59324/ejtas.2023.1(5).58" TargetMode="External"/><Relationship Id="rId44" Type="http://schemas.openxmlformats.org/officeDocument/2006/relationships/hyperlink" Target="https://doi.org/10.5897/JMPR.9001042" TargetMode="External"/><Relationship Id="rId52"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s://members.aoac.org/AOAC/AOAC/Item_Detail.aspx?Category=OMA&amp;iProductCode=1121" TargetMode="External"/><Relationship Id="rId22" Type="http://schemas.openxmlformats.org/officeDocument/2006/relationships/hyperlink" Target="https://doi.org/10.1093/jn/132.3.461" TargetMode="External"/><Relationship Id="rId27" Type="http://schemas.openxmlformats.org/officeDocument/2006/relationships/hyperlink" Target="https://doi.org/10.1016/j.indcrop.2015.03.033" TargetMode="External"/><Relationship Id="rId30" Type="http://schemas.openxmlformats.org/officeDocument/2006/relationships/hyperlink" Target="https://doi.org/10.7717/peerj.11940" TargetMode="External"/><Relationship Id="rId35" Type="http://schemas.openxmlformats.org/officeDocument/2006/relationships/hyperlink" Target="https://libcat.aun.edu.ng/cgi-bin/koha/opac-detail.pl?biblionumber=156727" TargetMode="External"/><Relationship Id="rId43" Type="http://schemas.openxmlformats.org/officeDocument/2006/relationships/hyperlink" Target="https://doi.org/10.9734/afsj/2021/v20i1230387" TargetMode="External"/><Relationship Id="rId48" Type="http://schemas.openxmlformats.org/officeDocument/2006/relationships/header" Target="header1.xml"/><Relationship Id="rId8" Type="http://schemas.openxmlformats.org/officeDocument/2006/relationships/image" Target="media/image2.png"/><Relationship Id="rId51"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chart" Target="charts/chart4.xml"/><Relationship Id="rId17" Type="http://schemas.openxmlformats.org/officeDocument/2006/relationships/hyperlink" Target="https://doi.org/10.1007/s11694-020-00602-1" TargetMode="External"/><Relationship Id="rId25" Type="http://schemas.openxmlformats.org/officeDocument/2006/relationships/hyperlink" Target="https://doi.org/10.1002/jsfa.1989" TargetMode="External"/><Relationship Id="rId33" Type="http://schemas.openxmlformats.org/officeDocument/2006/relationships/hyperlink" Target="https://doi.org/10.1038/s41598-022-23161-5" TargetMode="External"/><Relationship Id="rId38" Type="http://schemas.openxmlformats.org/officeDocument/2006/relationships/hyperlink" Target="https://doi.org/10.5958/0974-360X.2015.00104.3" TargetMode="External"/><Relationship Id="rId46" Type="http://schemas.openxmlformats.org/officeDocument/2006/relationships/hyperlink" Target="https://doi.org/10.1111/nmo.12107" TargetMode="External"/><Relationship Id="rId20" Type="http://schemas.openxmlformats.org/officeDocument/2006/relationships/hyperlink" Target="https://doi.org/10.1016/j.chroma.2011.07.040" TargetMode="External"/><Relationship Id="rId41" Type="http://schemas.openxmlformats.org/officeDocument/2006/relationships/hyperlink" Target="https://doi.org/10.1016/j.carbpol.2016.09.029"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4314/ajtcam.v4i1.31189" TargetMode="External"/><Relationship Id="rId23" Type="http://schemas.openxmlformats.org/officeDocument/2006/relationships/hyperlink" Target="https://doi.org/10.9734/acri/2019/v16i430093" TargetMode="External"/><Relationship Id="rId28" Type="http://schemas.openxmlformats.org/officeDocument/2006/relationships/hyperlink" Target="https://doi.org/10.56557/jirmeps/2025/v20i39760" TargetMode="External"/><Relationship Id="rId36" Type="http://schemas.openxmlformats.org/officeDocument/2006/relationships/hyperlink" Target="https://plantuse.plantnet.org/en/Monodora_myristica_(PROSEA)" TargetMode="External"/><Relationship Id="rId49"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Saponins</c:v>
                </c:pt>
              </c:strCache>
            </c:strRef>
          </c:tx>
          <c:spPr>
            <a:solidFill>
              <a:schemeClr val="accent1"/>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Sheet1!$B$2:$B$5</c:f>
              <c:numCache>
                <c:formatCode>General</c:formatCode>
                <c:ptCount val="4"/>
                <c:pt idx="0">
                  <c:v>2.71</c:v>
                </c:pt>
                <c:pt idx="1">
                  <c:v>2.5299999999999998</c:v>
                </c:pt>
                <c:pt idx="2">
                  <c:v>2.48</c:v>
                </c:pt>
              </c:numCache>
            </c:numRef>
          </c:val>
          <c:extLst>
            <c:ext xmlns:c16="http://schemas.microsoft.com/office/drawing/2014/chart" uri="{C3380CC4-5D6E-409C-BE32-E72D297353CC}">
              <c16:uniqueId val="{00000000-E6C8-4411-9892-A9F56D18B5D0}"/>
            </c:ext>
          </c:extLst>
        </c:ser>
        <c:ser>
          <c:idx val="1"/>
          <c:order val="1"/>
          <c:tx>
            <c:strRef>
              <c:f>Sheet1!$C$1</c:f>
              <c:strCache>
                <c:ptCount val="1"/>
                <c:pt idx="0">
                  <c:v>Flavonoids</c:v>
                </c:pt>
              </c:strCache>
            </c:strRef>
          </c:tx>
          <c:spPr>
            <a:solidFill>
              <a:schemeClr val="accent2"/>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Sheet1!$C$2:$C$5</c:f>
              <c:numCache>
                <c:formatCode>General</c:formatCode>
                <c:ptCount val="4"/>
                <c:pt idx="0">
                  <c:v>11.84</c:v>
                </c:pt>
                <c:pt idx="1">
                  <c:v>10.68</c:v>
                </c:pt>
                <c:pt idx="2">
                  <c:v>14.33</c:v>
                </c:pt>
              </c:numCache>
            </c:numRef>
          </c:val>
          <c:extLst>
            <c:ext xmlns:c16="http://schemas.microsoft.com/office/drawing/2014/chart" uri="{C3380CC4-5D6E-409C-BE32-E72D297353CC}">
              <c16:uniqueId val="{00000001-E6C8-4411-9892-A9F56D18B5D0}"/>
            </c:ext>
          </c:extLst>
        </c:ser>
        <c:ser>
          <c:idx val="2"/>
          <c:order val="2"/>
          <c:tx>
            <c:strRef>
              <c:f>Sheet1!$D$1</c:f>
              <c:strCache>
                <c:ptCount val="1"/>
                <c:pt idx="0">
                  <c:v>Terpenoids</c:v>
                </c:pt>
              </c:strCache>
            </c:strRef>
          </c:tx>
          <c:spPr>
            <a:solidFill>
              <a:schemeClr val="accent3"/>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Sheet1!$D$2:$D$5</c:f>
              <c:numCache>
                <c:formatCode>General</c:formatCode>
                <c:ptCount val="4"/>
                <c:pt idx="0">
                  <c:v>5.87</c:v>
                </c:pt>
                <c:pt idx="1">
                  <c:v>5.36</c:v>
                </c:pt>
                <c:pt idx="2">
                  <c:v>7.3</c:v>
                </c:pt>
              </c:numCache>
            </c:numRef>
          </c:val>
          <c:extLst>
            <c:ext xmlns:c16="http://schemas.microsoft.com/office/drawing/2014/chart" uri="{C3380CC4-5D6E-409C-BE32-E72D297353CC}">
              <c16:uniqueId val="{00000002-E6C8-4411-9892-A9F56D18B5D0}"/>
            </c:ext>
          </c:extLst>
        </c:ser>
        <c:ser>
          <c:idx val="3"/>
          <c:order val="3"/>
          <c:tx>
            <c:strRef>
              <c:f>Sheet1!$E$1</c:f>
              <c:strCache>
                <c:ptCount val="1"/>
                <c:pt idx="0">
                  <c:v>Tannins</c:v>
                </c:pt>
              </c:strCache>
            </c:strRef>
          </c:tx>
          <c:spPr>
            <a:solidFill>
              <a:schemeClr val="accent4"/>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Sheet1!$E$2:$E$5</c:f>
              <c:numCache>
                <c:formatCode>General</c:formatCode>
                <c:ptCount val="4"/>
                <c:pt idx="0">
                  <c:v>4.84</c:v>
                </c:pt>
                <c:pt idx="1">
                  <c:v>5.29</c:v>
                </c:pt>
                <c:pt idx="2">
                  <c:v>5.46</c:v>
                </c:pt>
              </c:numCache>
            </c:numRef>
          </c:val>
          <c:extLst>
            <c:ext xmlns:c16="http://schemas.microsoft.com/office/drawing/2014/chart" uri="{C3380CC4-5D6E-409C-BE32-E72D297353CC}">
              <c16:uniqueId val="{00000003-E6C8-4411-9892-A9F56D18B5D0}"/>
            </c:ext>
          </c:extLst>
        </c:ser>
        <c:ser>
          <c:idx val="4"/>
          <c:order val="4"/>
          <c:tx>
            <c:strRef>
              <c:f>Sheet1!$F$1</c:f>
              <c:strCache>
                <c:ptCount val="1"/>
                <c:pt idx="0">
                  <c:v>Alkaloids</c:v>
                </c:pt>
              </c:strCache>
            </c:strRef>
          </c:tx>
          <c:spPr>
            <a:solidFill>
              <a:schemeClr val="accent5"/>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Sheet1!$F$2:$F$5</c:f>
              <c:numCache>
                <c:formatCode>General</c:formatCode>
                <c:ptCount val="4"/>
                <c:pt idx="0">
                  <c:v>7.47</c:v>
                </c:pt>
                <c:pt idx="1">
                  <c:v>10.17</c:v>
                </c:pt>
                <c:pt idx="2">
                  <c:v>6.84</c:v>
                </c:pt>
              </c:numCache>
            </c:numRef>
          </c:val>
          <c:extLst>
            <c:ext xmlns:c16="http://schemas.microsoft.com/office/drawing/2014/chart" uri="{C3380CC4-5D6E-409C-BE32-E72D297353CC}">
              <c16:uniqueId val="{00000004-E6C8-4411-9892-A9F56D18B5D0}"/>
            </c:ext>
          </c:extLst>
        </c:ser>
        <c:ser>
          <c:idx val="5"/>
          <c:order val="5"/>
          <c:tx>
            <c:strRef>
              <c:f>Sheet1!$G$1</c:f>
              <c:strCache>
                <c:ptCount val="1"/>
                <c:pt idx="0">
                  <c:v>Phenolics</c:v>
                </c:pt>
              </c:strCache>
            </c:strRef>
          </c:tx>
          <c:spPr>
            <a:solidFill>
              <a:schemeClr val="accent6"/>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Sheet1!$G$2:$G$5</c:f>
              <c:numCache>
                <c:formatCode>General</c:formatCode>
                <c:ptCount val="4"/>
                <c:pt idx="0">
                  <c:v>23.26</c:v>
                </c:pt>
                <c:pt idx="1">
                  <c:v>20.93</c:v>
                </c:pt>
                <c:pt idx="2">
                  <c:v>26.06</c:v>
                </c:pt>
              </c:numCache>
            </c:numRef>
          </c:val>
          <c:extLst>
            <c:ext xmlns:c16="http://schemas.microsoft.com/office/drawing/2014/chart" uri="{C3380CC4-5D6E-409C-BE32-E72D297353CC}">
              <c16:uniqueId val="{00000005-E6C8-4411-9892-A9F56D18B5D0}"/>
            </c:ext>
          </c:extLst>
        </c:ser>
        <c:ser>
          <c:idx val="6"/>
          <c:order val="6"/>
          <c:tx>
            <c:strRef>
              <c:f>Sheet1!$H$1</c:f>
              <c:strCache>
                <c:ptCount val="1"/>
                <c:pt idx="0">
                  <c:v>Steroids</c:v>
                </c:pt>
              </c:strCache>
            </c:strRef>
          </c:tx>
          <c:spPr>
            <a:solidFill>
              <a:schemeClr val="accent1">
                <a:lumMod val="60000"/>
              </a:schemeClr>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Sheet1!$H$2:$H$5</c:f>
              <c:numCache>
                <c:formatCode>General</c:formatCode>
                <c:ptCount val="4"/>
                <c:pt idx="0">
                  <c:v>3.36</c:v>
                </c:pt>
                <c:pt idx="1">
                  <c:v>4.3099999999999996</c:v>
                </c:pt>
                <c:pt idx="2">
                  <c:v>2.02</c:v>
                </c:pt>
              </c:numCache>
            </c:numRef>
          </c:val>
          <c:extLst>
            <c:ext xmlns:c16="http://schemas.microsoft.com/office/drawing/2014/chart" uri="{C3380CC4-5D6E-409C-BE32-E72D297353CC}">
              <c16:uniqueId val="{00000006-E6C8-4411-9892-A9F56D18B5D0}"/>
            </c:ext>
          </c:extLst>
        </c:ser>
        <c:ser>
          <c:idx val="7"/>
          <c:order val="7"/>
          <c:tx>
            <c:strRef>
              <c:f>Sheet1!$I$1</c:f>
              <c:strCache>
                <c:ptCount val="1"/>
                <c:pt idx="0">
                  <c:v>Cardiac glycosides</c:v>
                </c:pt>
              </c:strCache>
            </c:strRef>
          </c:tx>
          <c:spPr>
            <a:solidFill>
              <a:schemeClr val="accent2">
                <a:lumMod val="60000"/>
              </a:schemeClr>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Sheet1!$I$2:$I$5</c:f>
              <c:numCache>
                <c:formatCode>General</c:formatCode>
                <c:ptCount val="4"/>
                <c:pt idx="0">
                  <c:v>2.37</c:v>
                </c:pt>
                <c:pt idx="1">
                  <c:v>3.83</c:v>
                </c:pt>
                <c:pt idx="2">
                  <c:v>3.56</c:v>
                </c:pt>
              </c:numCache>
            </c:numRef>
          </c:val>
          <c:extLst>
            <c:ext xmlns:c16="http://schemas.microsoft.com/office/drawing/2014/chart" uri="{C3380CC4-5D6E-409C-BE32-E72D297353CC}">
              <c16:uniqueId val="{00000007-E6C8-4411-9892-A9F56D18B5D0}"/>
            </c:ext>
          </c:extLst>
        </c:ser>
        <c:dLbls>
          <c:showLegendKey val="0"/>
          <c:showVal val="0"/>
          <c:showCatName val="0"/>
          <c:showSerName val="0"/>
          <c:showPercent val="0"/>
          <c:showBubbleSize val="0"/>
        </c:dLbls>
        <c:gapWidth val="219"/>
        <c:overlap val="-27"/>
        <c:axId val="329836568"/>
        <c:axId val="587758744"/>
      </c:barChart>
      <c:catAx>
        <c:axId val="329836568"/>
        <c:scaling>
          <c:orientation val="minMax"/>
        </c:scaling>
        <c:delete val="0"/>
        <c:axPos val="b"/>
        <c:title>
          <c:tx>
            <c:rich>
              <a:bodyPr/>
              <a:lstStyle/>
              <a:p>
                <a:pPr>
                  <a:defRPr lang="en-US"/>
                </a:pPr>
                <a:r>
                  <a:rPr lang="en-US"/>
                  <a:t>Samples</a:t>
                </a:r>
                <a:r>
                  <a:rPr lang="en-US" baseline="0"/>
                  <a:t> of extarcts</a:t>
                </a:r>
                <a:endParaRPr lang="en-US"/>
              </a:p>
            </c:rich>
          </c:tx>
          <c:overlay val="0"/>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n-US"/>
          </a:p>
        </c:txPr>
        <c:crossAx val="587758744"/>
        <c:crosses val="autoZero"/>
        <c:auto val="1"/>
        <c:lblAlgn val="ctr"/>
        <c:lblOffset val="100"/>
        <c:noMultiLvlLbl val="0"/>
      </c:catAx>
      <c:valAx>
        <c:axId val="587758744"/>
        <c:scaling>
          <c:orientation val="minMax"/>
        </c:scaling>
        <c:delete val="0"/>
        <c:axPos val="l"/>
        <c:title>
          <c:tx>
            <c:rich>
              <a:bodyPr/>
              <a:lstStyle/>
              <a:p>
                <a:pPr>
                  <a:defRPr lang="en-US"/>
                </a:pPr>
                <a:r>
                  <a:rPr lang="en-US"/>
                  <a:t>(</a:t>
                </a:r>
                <a:r>
                  <a:rPr lang="en-US">
                    <a:solidFill>
                      <a:sysClr val="windowText" lastClr="000000"/>
                    </a:solidFill>
                  </a:rPr>
                  <a:t>Concentration (mg/100g</a:t>
                </a:r>
                <a:r>
                  <a:rPr lang="en-US"/>
                  <a:t>)</a:t>
                </a:r>
              </a:p>
            </c:rich>
          </c:tx>
          <c:overlay val="0"/>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crossAx val="329836568"/>
        <c:crosses val="autoZero"/>
        <c:crossBetween val="between"/>
      </c:valAx>
      <c:spPr>
        <a:noFill/>
        <a:ln>
          <a:noFill/>
        </a:ln>
        <a:effectLst/>
      </c:spPr>
    </c:plotArea>
    <c:legend>
      <c:legendPos val="b"/>
      <c:layout>
        <c:manualLayout>
          <c:xMode val="edge"/>
          <c:yMode val="edge"/>
          <c:x val="5.7051618547681593E-2"/>
          <c:y val="0.87632800512482134"/>
          <c:w val="0.88821157771945158"/>
          <c:h val="9.9862609424744453E-2"/>
        </c:manualLayout>
      </c:layout>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ysClr val="windowText" lastClr="000000"/>
                </a:solidFill>
                <a:latin typeface="+mn-lt"/>
                <a:ea typeface="+mn-ea"/>
                <a:cs typeface="+mn-cs"/>
              </a:defRPr>
            </a:pPr>
            <a:r>
              <a:rPr lang="en-US" baseline="0">
                <a:solidFill>
                  <a:sysClr val="windowText" lastClr="000000"/>
                </a:solidFill>
                <a:latin typeface="Times New Roman" panose="02020603050405020304" pitchFamily="18" charset="0"/>
                <a:cs typeface="Times New Roman" panose="02020603050405020304" pitchFamily="18" charset="0"/>
              </a:rPr>
              <a:t>DPPH Activity of the different Extracts at Different Concentration</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50 (µg/ml)</c:v>
                </c:pt>
              </c:strCache>
            </c:strRef>
          </c:tx>
          <c:spPr>
            <a:solidFill>
              <a:schemeClr val="accent1"/>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Sheet1!$B$2:$B$5</c:f>
              <c:numCache>
                <c:formatCode>General</c:formatCode>
                <c:ptCount val="4"/>
                <c:pt idx="0">
                  <c:v>41.07</c:v>
                </c:pt>
                <c:pt idx="1">
                  <c:v>49.26</c:v>
                </c:pt>
                <c:pt idx="2">
                  <c:v>44.64</c:v>
                </c:pt>
                <c:pt idx="3">
                  <c:v>56.61</c:v>
                </c:pt>
              </c:numCache>
            </c:numRef>
          </c:val>
          <c:extLst>
            <c:ext xmlns:c16="http://schemas.microsoft.com/office/drawing/2014/chart" uri="{C3380CC4-5D6E-409C-BE32-E72D297353CC}">
              <c16:uniqueId val="{00000000-4163-422A-8424-D5A266556AC0}"/>
            </c:ext>
          </c:extLst>
        </c:ser>
        <c:ser>
          <c:idx val="1"/>
          <c:order val="1"/>
          <c:tx>
            <c:strRef>
              <c:f>Sheet1!$C$1</c:f>
              <c:strCache>
                <c:ptCount val="1"/>
                <c:pt idx="0">
                  <c:v>100 (µg/ml)2</c:v>
                </c:pt>
              </c:strCache>
            </c:strRef>
          </c:tx>
          <c:spPr>
            <a:solidFill>
              <a:schemeClr val="accent2"/>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Sheet1!$C$2:$C$5</c:f>
              <c:numCache>
                <c:formatCode>General</c:formatCode>
                <c:ptCount val="4"/>
                <c:pt idx="0">
                  <c:v>47.24</c:v>
                </c:pt>
                <c:pt idx="1">
                  <c:v>66.38</c:v>
                </c:pt>
                <c:pt idx="2">
                  <c:v>60.06</c:v>
                </c:pt>
                <c:pt idx="3">
                  <c:v>71.27</c:v>
                </c:pt>
              </c:numCache>
            </c:numRef>
          </c:val>
          <c:extLst>
            <c:ext xmlns:c16="http://schemas.microsoft.com/office/drawing/2014/chart" uri="{C3380CC4-5D6E-409C-BE32-E72D297353CC}">
              <c16:uniqueId val="{00000001-4163-422A-8424-D5A266556AC0}"/>
            </c:ext>
          </c:extLst>
        </c:ser>
        <c:ser>
          <c:idx val="2"/>
          <c:order val="2"/>
          <c:tx>
            <c:strRef>
              <c:f>Sheet1!$D$1</c:f>
              <c:strCache>
                <c:ptCount val="1"/>
                <c:pt idx="0">
                  <c:v>200 (µg/ml)</c:v>
                </c:pt>
              </c:strCache>
            </c:strRef>
          </c:tx>
          <c:spPr>
            <a:solidFill>
              <a:schemeClr val="accent3"/>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Sheet1!$D$2:$D$5</c:f>
              <c:numCache>
                <c:formatCode>General</c:formatCode>
                <c:ptCount val="4"/>
                <c:pt idx="0">
                  <c:v>75.349999999999994</c:v>
                </c:pt>
                <c:pt idx="1">
                  <c:v>80.790000000000006</c:v>
                </c:pt>
                <c:pt idx="2">
                  <c:v>77.599999999999994</c:v>
                </c:pt>
                <c:pt idx="3">
                  <c:v>85.54</c:v>
                </c:pt>
              </c:numCache>
            </c:numRef>
          </c:val>
          <c:extLst>
            <c:ext xmlns:c16="http://schemas.microsoft.com/office/drawing/2014/chart" uri="{C3380CC4-5D6E-409C-BE32-E72D297353CC}">
              <c16:uniqueId val="{00000002-4163-422A-8424-D5A266556AC0}"/>
            </c:ext>
          </c:extLst>
        </c:ser>
        <c:ser>
          <c:idx val="3"/>
          <c:order val="3"/>
          <c:tx>
            <c:strRef>
              <c:f>Sheet1!$E$1</c:f>
              <c:strCache>
                <c:ptCount val="1"/>
                <c:pt idx="0">
                  <c:v>400 (µg/ml)</c:v>
                </c:pt>
              </c:strCache>
            </c:strRef>
          </c:tx>
          <c:spPr>
            <a:solidFill>
              <a:schemeClr val="accent4"/>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Sheet1!$E$2:$E$5</c:f>
              <c:numCache>
                <c:formatCode>General</c:formatCode>
                <c:ptCount val="4"/>
                <c:pt idx="0">
                  <c:v>82.33</c:v>
                </c:pt>
                <c:pt idx="1">
                  <c:v>87.14</c:v>
                </c:pt>
                <c:pt idx="2">
                  <c:v>84.65</c:v>
                </c:pt>
                <c:pt idx="3">
                  <c:v>88.02</c:v>
                </c:pt>
              </c:numCache>
            </c:numRef>
          </c:val>
          <c:extLst>
            <c:ext xmlns:c16="http://schemas.microsoft.com/office/drawing/2014/chart" uri="{C3380CC4-5D6E-409C-BE32-E72D297353CC}">
              <c16:uniqueId val="{00000003-4163-422A-8424-D5A266556AC0}"/>
            </c:ext>
          </c:extLst>
        </c:ser>
        <c:dLbls>
          <c:showLegendKey val="0"/>
          <c:showVal val="0"/>
          <c:showCatName val="0"/>
          <c:showSerName val="0"/>
          <c:showPercent val="0"/>
          <c:showBubbleSize val="0"/>
        </c:dLbls>
        <c:gapWidth val="219"/>
        <c:overlap val="-27"/>
        <c:axId val="489140376"/>
        <c:axId val="862144808"/>
      </c:barChart>
      <c:catAx>
        <c:axId val="489140376"/>
        <c:scaling>
          <c:orientation val="minMax"/>
        </c:scaling>
        <c:delete val="0"/>
        <c:axPos val="b"/>
        <c:title>
          <c:tx>
            <c:rich>
              <a:bodyPr rot="0" spcFirstLastPara="1" vertOverflow="ellipsis" vert="horz" wrap="square" anchor="ctr" anchorCtr="1"/>
              <a:lstStyle/>
              <a:p>
                <a:pPr>
                  <a:defRPr lang="en-US"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latin typeface="Times New Roman" panose="02020603050405020304" pitchFamily="18" charset="0"/>
                    <a:cs typeface="Times New Roman" panose="02020603050405020304" pitchFamily="18" charset="0"/>
                  </a:rPr>
                  <a:t>Samples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144808"/>
        <c:crosses val="autoZero"/>
        <c:auto val="1"/>
        <c:lblAlgn val="ctr"/>
        <c:lblOffset val="100"/>
        <c:noMultiLvlLbl val="0"/>
      </c:catAx>
      <c:valAx>
        <c:axId val="862144808"/>
        <c:scaling>
          <c:orientation val="minMax"/>
        </c:scaling>
        <c:delete val="0"/>
        <c:axPos val="l"/>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(Percentage Activity</a:t>
                </a:r>
                <a:r>
                  <a:rPr lang="en-US" sz="1000" b="1" i="0" u="none" strike="noStrike" baseline="0">
                    <a:effectLst/>
                    <a:latin typeface="Times New Roman" panose="02020603050405020304" pitchFamily="18" charset="0"/>
                    <a:cs typeface="Times New Roman" panose="02020603050405020304" pitchFamily="18" charset="0"/>
                  </a:rPr>
                  <a:t>)</a:t>
                </a:r>
                <a:r>
                  <a:rPr lang="en-US" baseline="0">
                    <a:latin typeface="Times New Roman" panose="02020603050405020304" pitchFamily="18" charset="0"/>
                    <a:cs typeface="Times New Roman" panose="02020603050405020304" pitchFamily="18" charset="0"/>
                  </a:rPr>
                  <a:t> </a:t>
                </a:r>
                <a:endParaRPr lang="en-US">
                  <a:latin typeface="Times New Roman" panose="02020603050405020304" pitchFamily="18" charset="0"/>
                  <a:cs typeface="Times New Roman" panose="02020603050405020304" pitchFamily="18" charset="0"/>
                </a:endParaRPr>
              </a:p>
            </c:rich>
          </c:tx>
          <c:layout>
            <c:manualLayout>
              <c:xMode val="edge"/>
              <c:yMode val="edge"/>
              <c:x val="2.0833333333333367E-2"/>
              <c:y val="0.2758561429821273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crossAx val="489140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sz="1100" b="1" i="0" u="none" strike="noStrike" baseline="0">
                <a:solidFill>
                  <a:sysClr val="windowText" lastClr="000000"/>
                </a:solidFill>
                <a:effectLst/>
                <a:latin typeface="Times New Roman" panose="02020603050405020304" pitchFamily="18" charset="0"/>
                <a:cs typeface="Times New Roman" panose="02020603050405020304" pitchFamily="18" charset="0"/>
              </a:rPr>
              <a:t>Percentage FRAP Activities of the Crude Extracts at Different Concentrations</a:t>
            </a:r>
            <a:endParaRPr lang="en-US" sz="11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50 (µg/ml)</c:v>
                </c:pt>
              </c:strCache>
            </c:strRef>
          </c:tx>
          <c:spPr>
            <a:solidFill>
              <a:schemeClr val="accent1"/>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Sheet1!$B$2:$B$5</c:f>
              <c:numCache>
                <c:formatCode>General</c:formatCode>
                <c:ptCount val="4"/>
                <c:pt idx="0">
                  <c:v>18.25</c:v>
                </c:pt>
                <c:pt idx="1">
                  <c:v>73.39</c:v>
                </c:pt>
                <c:pt idx="2">
                  <c:v>34.42</c:v>
                </c:pt>
                <c:pt idx="3">
                  <c:v>40.840000000000003</c:v>
                </c:pt>
              </c:numCache>
            </c:numRef>
          </c:val>
          <c:extLst>
            <c:ext xmlns:c16="http://schemas.microsoft.com/office/drawing/2014/chart" uri="{C3380CC4-5D6E-409C-BE32-E72D297353CC}">
              <c16:uniqueId val="{00000000-6A63-41CF-AEE4-2E40234B7C6E}"/>
            </c:ext>
          </c:extLst>
        </c:ser>
        <c:ser>
          <c:idx val="1"/>
          <c:order val="1"/>
          <c:tx>
            <c:strRef>
              <c:f>Sheet1!$C$1</c:f>
              <c:strCache>
                <c:ptCount val="1"/>
                <c:pt idx="0">
                  <c:v>100 (µg/ml)</c:v>
                </c:pt>
              </c:strCache>
            </c:strRef>
          </c:tx>
          <c:spPr>
            <a:solidFill>
              <a:schemeClr val="accent2"/>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Sheet1!$C$2:$C$5</c:f>
              <c:numCache>
                <c:formatCode>General</c:formatCode>
                <c:ptCount val="4"/>
                <c:pt idx="0">
                  <c:v>29.64</c:v>
                </c:pt>
                <c:pt idx="1">
                  <c:v>82.42</c:v>
                </c:pt>
                <c:pt idx="2">
                  <c:v>61.72</c:v>
                </c:pt>
                <c:pt idx="3">
                  <c:v>50.18</c:v>
                </c:pt>
              </c:numCache>
            </c:numRef>
          </c:val>
          <c:extLst>
            <c:ext xmlns:c16="http://schemas.microsoft.com/office/drawing/2014/chart" uri="{C3380CC4-5D6E-409C-BE32-E72D297353CC}">
              <c16:uniqueId val="{00000001-6A63-41CF-AEE4-2E40234B7C6E}"/>
            </c:ext>
          </c:extLst>
        </c:ser>
        <c:ser>
          <c:idx val="2"/>
          <c:order val="2"/>
          <c:tx>
            <c:strRef>
              <c:f>Sheet1!$D$1</c:f>
              <c:strCache>
                <c:ptCount val="1"/>
                <c:pt idx="0">
                  <c:v>200 (µg/ml)</c:v>
                </c:pt>
              </c:strCache>
            </c:strRef>
          </c:tx>
          <c:spPr>
            <a:solidFill>
              <a:schemeClr val="accent3"/>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Sheet1!$D$2:$D$5</c:f>
              <c:numCache>
                <c:formatCode>General</c:formatCode>
                <c:ptCount val="4"/>
                <c:pt idx="0">
                  <c:v>38.799999999999997</c:v>
                </c:pt>
                <c:pt idx="1">
                  <c:v>88.51</c:v>
                </c:pt>
                <c:pt idx="2">
                  <c:v>77.22</c:v>
                </c:pt>
                <c:pt idx="3">
                  <c:v>58.3</c:v>
                </c:pt>
              </c:numCache>
            </c:numRef>
          </c:val>
          <c:extLst>
            <c:ext xmlns:c16="http://schemas.microsoft.com/office/drawing/2014/chart" uri="{C3380CC4-5D6E-409C-BE32-E72D297353CC}">
              <c16:uniqueId val="{00000002-6A63-41CF-AEE4-2E40234B7C6E}"/>
            </c:ext>
          </c:extLst>
        </c:ser>
        <c:ser>
          <c:idx val="3"/>
          <c:order val="3"/>
          <c:tx>
            <c:strRef>
              <c:f>Sheet1!$E$1</c:f>
              <c:strCache>
                <c:ptCount val="1"/>
                <c:pt idx="0">
                  <c:v>400 (µg/ml)</c:v>
                </c:pt>
              </c:strCache>
            </c:strRef>
          </c:tx>
          <c:spPr>
            <a:solidFill>
              <a:schemeClr val="accent4"/>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Sheet1!$E$2:$E$5</c:f>
              <c:numCache>
                <c:formatCode>General</c:formatCode>
                <c:ptCount val="4"/>
                <c:pt idx="0">
                  <c:v>62.69</c:v>
                </c:pt>
                <c:pt idx="1">
                  <c:v>89.93</c:v>
                </c:pt>
                <c:pt idx="2">
                  <c:v>79.53</c:v>
                </c:pt>
                <c:pt idx="3">
                  <c:v>76.8</c:v>
                </c:pt>
              </c:numCache>
            </c:numRef>
          </c:val>
          <c:extLst>
            <c:ext xmlns:c16="http://schemas.microsoft.com/office/drawing/2014/chart" uri="{C3380CC4-5D6E-409C-BE32-E72D297353CC}">
              <c16:uniqueId val="{00000003-6A63-41CF-AEE4-2E40234B7C6E}"/>
            </c:ext>
          </c:extLst>
        </c:ser>
        <c:dLbls>
          <c:showLegendKey val="0"/>
          <c:showVal val="0"/>
          <c:showCatName val="0"/>
          <c:showSerName val="0"/>
          <c:showPercent val="0"/>
          <c:showBubbleSize val="0"/>
        </c:dLbls>
        <c:gapWidth val="219"/>
        <c:overlap val="-27"/>
        <c:axId val="862145200"/>
        <c:axId val="862145984"/>
      </c:barChart>
      <c:catAx>
        <c:axId val="862145200"/>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Samples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145984"/>
        <c:crosses val="autoZero"/>
        <c:auto val="1"/>
        <c:lblAlgn val="ctr"/>
        <c:lblOffset val="100"/>
        <c:noMultiLvlLbl val="0"/>
      </c:catAx>
      <c:valAx>
        <c:axId val="862145984"/>
        <c:scaling>
          <c:orientation val="minMax"/>
        </c:scaling>
        <c:delete val="0"/>
        <c:axPos val="l"/>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sz="1000" b="1" i="0" u="none" strike="noStrike" baseline="0">
                    <a:effectLst/>
                    <a:latin typeface="Times New Roman" panose="02020603050405020304" pitchFamily="18" charset="0"/>
                    <a:cs typeface="Times New Roman" panose="02020603050405020304" pitchFamily="18" charset="0"/>
                  </a:rPr>
                  <a:t>(</a:t>
                </a:r>
                <a:r>
                  <a:rPr lang="en-US" sz="1000" b="1" i="0" u="none" strike="noStrike" baseline="0">
                    <a:solidFill>
                      <a:sysClr val="windowText" lastClr="000000"/>
                    </a:solidFill>
                    <a:effectLst/>
                    <a:latin typeface="Times New Roman" panose="02020603050405020304" pitchFamily="18" charset="0"/>
                    <a:cs typeface="Times New Roman" panose="02020603050405020304" pitchFamily="18" charset="0"/>
                  </a:rPr>
                  <a:t>Percentage Activity</a:t>
                </a:r>
                <a:r>
                  <a:rPr lang="en-US" sz="1000" b="1" i="0" u="none" strike="noStrike" baseline="0">
                    <a:effectLst/>
                  </a:rPr>
                  <a:t>)</a:t>
                </a:r>
                <a:r>
                  <a:rPr lang="en-US" baseline="0"/>
                  <a:t> </a:t>
                </a:r>
                <a:endParaRPr lang="en-US"/>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145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sz="1100" b="1" i="0" u="none" strike="noStrike" baseline="0">
                <a:solidFill>
                  <a:sysClr val="windowText" lastClr="000000"/>
                </a:solidFill>
                <a:effectLst/>
                <a:latin typeface="Times New Roman" panose="02020603050405020304" pitchFamily="18" charset="0"/>
                <a:cs typeface="Times New Roman" panose="02020603050405020304" pitchFamily="18" charset="0"/>
              </a:rPr>
              <a:t>Lipid Peroxidation Inhibition Activities of the Extracts at Different Concentrations</a:t>
            </a:r>
            <a:endParaRPr lang="en-US" sz="11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Sheet1!$B$1</c:f>
              <c:strCache>
                <c:ptCount val="1"/>
                <c:pt idx="0">
                  <c:v>50 (µg/ml)</c:v>
                </c:pt>
              </c:strCache>
            </c:strRef>
          </c:tx>
          <c:spPr>
            <a:solidFill>
              <a:schemeClr val="accent1"/>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Sheet1!$B$2:$B$5</c:f>
              <c:numCache>
                <c:formatCode>General</c:formatCode>
                <c:ptCount val="4"/>
                <c:pt idx="0">
                  <c:v>2.86</c:v>
                </c:pt>
                <c:pt idx="1">
                  <c:v>2.0099999999999998</c:v>
                </c:pt>
                <c:pt idx="2">
                  <c:v>1.73</c:v>
                </c:pt>
                <c:pt idx="3">
                  <c:v>2.23</c:v>
                </c:pt>
              </c:numCache>
            </c:numRef>
          </c:val>
          <c:extLst>
            <c:ext xmlns:c16="http://schemas.microsoft.com/office/drawing/2014/chart" uri="{C3380CC4-5D6E-409C-BE32-E72D297353CC}">
              <c16:uniqueId val="{00000000-8E97-4F01-8EE9-9D4DCD410739}"/>
            </c:ext>
          </c:extLst>
        </c:ser>
        <c:ser>
          <c:idx val="1"/>
          <c:order val="1"/>
          <c:tx>
            <c:strRef>
              <c:f>Sheet1!$C$1</c:f>
              <c:strCache>
                <c:ptCount val="1"/>
                <c:pt idx="0">
                  <c:v>100 (µg/ml)</c:v>
                </c:pt>
              </c:strCache>
            </c:strRef>
          </c:tx>
          <c:spPr>
            <a:solidFill>
              <a:schemeClr val="accent2"/>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Sheet1!$C$2:$C$5</c:f>
              <c:numCache>
                <c:formatCode>General</c:formatCode>
                <c:ptCount val="4"/>
                <c:pt idx="0">
                  <c:v>2.95</c:v>
                </c:pt>
                <c:pt idx="1">
                  <c:v>2.63</c:v>
                </c:pt>
                <c:pt idx="2">
                  <c:v>1.97</c:v>
                </c:pt>
                <c:pt idx="3">
                  <c:v>3.26</c:v>
                </c:pt>
              </c:numCache>
            </c:numRef>
          </c:val>
          <c:extLst>
            <c:ext xmlns:c16="http://schemas.microsoft.com/office/drawing/2014/chart" uri="{C3380CC4-5D6E-409C-BE32-E72D297353CC}">
              <c16:uniqueId val="{00000001-8E97-4F01-8EE9-9D4DCD410739}"/>
            </c:ext>
          </c:extLst>
        </c:ser>
        <c:ser>
          <c:idx val="2"/>
          <c:order val="2"/>
          <c:tx>
            <c:strRef>
              <c:f>Sheet1!$D$1</c:f>
              <c:strCache>
                <c:ptCount val="1"/>
                <c:pt idx="0">
                  <c:v>200 (µg/ml)</c:v>
                </c:pt>
              </c:strCache>
            </c:strRef>
          </c:tx>
          <c:spPr>
            <a:solidFill>
              <a:schemeClr val="accent3"/>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Sheet1!$D$2:$D$5</c:f>
              <c:numCache>
                <c:formatCode>General</c:formatCode>
                <c:ptCount val="4"/>
                <c:pt idx="0">
                  <c:v>4</c:v>
                </c:pt>
                <c:pt idx="1">
                  <c:v>2.88</c:v>
                </c:pt>
                <c:pt idx="2">
                  <c:v>2.29</c:v>
                </c:pt>
                <c:pt idx="3">
                  <c:v>3.5</c:v>
                </c:pt>
              </c:numCache>
            </c:numRef>
          </c:val>
          <c:extLst>
            <c:ext xmlns:c16="http://schemas.microsoft.com/office/drawing/2014/chart" uri="{C3380CC4-5D6E-409C-BE32-E72D297353CC}">
              <c16:uniqueId val="{00000002-8E97-4F01-8EE9-9D4DCD410739}"/>
            </c:ext>
          </c:extLst>
        </c:ser>
        <c:ser>
          <c:idx val="3"/>
          <c:order val="3"/>
          <c:tx>
            <c:strRef>
              <c:f>Sheet1!$E$1</c:f>
              <c:strCache>
                <c:ptCount val="1"/>
                <c:pt idx="0">
                  <c:v>400 (µg/ml)</c:v>
                </c:pt>
              </c:strCache>
            </c:strRef>
          </c:tx>
          <c:spPr>
            <a:solidFill>
              <a:schemeClr val="accent4"/>
            </a:solidFill>
            <a:ln>
              <a:noFill/>
            </a:ln>
            <a:effectLst/>
          </c:spPr>
          <c:invertIfNegative val="0"/>
          <c:errBars>
            <c:errBarType val="both"/>
            <c:errValType val="stdErr"/>
            <c:noEndCap val="0"/>
          </c:errBars>
          <c:cat>
            <c:strRef>
              <c:f>Sheet1!$A$2:$A$5</c:f>
              <c:strCache>
                <c:ptCount val="4"/>
                <c:pt idx="0">
                  <c:v>CONTROL</c:v>
                </c:pt>
                <c:pt idx="1">
                  <c:v>AGX</c:v>
                </c:pt>
                <c:pt idx="2">
                  <c:v>ATX</c:v>
                </c:pt>
                <c:pt idx="3">
                  <c:v>AMX</c:v>
                </c:pt>
              </c:strCache>
            </c:strRef>
          </c:cat>
          <c:val>
            <c:numRef>
              <c:f>Sheet1!$E$2:$E$5</c:f>
              <c:numCache>
                <c:formatCode>General</c:formatCode>
                <c:ptCount val="4"/>
                <c:pt idx="0">
                  <c:v>6.34</c:v>
                </c:pt>
                <c:pt idx="1">
                  <c:v>3.48</c:v>
                </c:pt>
                <c:pt idx="2">
                  <c:v>2.91</c:v>
                </c:pt>
                <c:pt idx="3">
                  <c:v>4.55</c:v>
                </c:pt>
              </c:numCache>
            </c:numRef>
          </c:val>
          <c:extLst>
            <c:ext xmlns:c16="http://schemas.microsoft.com/office/drawing/2014/chart" uri="{C3380CC4-5D6E-409C-BE32-E72D297353CC}">
              <c16:uniqueId val="{00000003-8E97-4F01-8EE9-9D4DCD410739}"/>
            </c:ext>
          </c:extLst>
        </c:ser>
        <c:dLbls>
          <c:showLegendKey val="0"/>
          <c:showVal val="0"/>
          <c:showCatName val="0"/>
          <c:showSerName val="0"/>
          <c:showPercent val="0"/>
          <c:showBubbleSize val="0"/>
        </c:dLbls>
        <c:gapWidth val="219"/>
        <c:overlap val="-27"/>
        <c:axId val="862146768"/>
        <c:axId val="862143632"/>
      </c:barChart>
      <c:catAx>
        <c:axId val="862146768"/>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latin typeface="Times New Roman" panose="02020603050405020304" pitchFamily="18" charset="0"/>
                    <a:cs typeface="Times New Roman" panose="02020603050405020304" pitchFamily="18" charset="0"/>
                  </a:rPr>
                  <a:t>Samples</a:t>
                </a:r>
              </a:p>
            </c:rich>
          </c:tx>
          <c:layout>
            <c:manualLayout>
              <c:xMode val="edge"/>
              <c:yMode val="edge"/>
              <c:x val="0.43971161012280913"/>
              <c:y val="0.85868953463222464"/>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crossAx val="862143632"/>
        <c:crosses val="autoZero"/>
        <c:auto val="1"/>
        <c:lblAlgn val="ctr"/>
        <c:lblOffset val="100"/>
        <c:noMultiLvlLbl val="0"/>
      </c:catAx>
      <c:valAx>
        <c:axId val="862143632"/>
        <c:scaling>
          <c:orientation val="minMax"/>
        </c:scaling>
        <c:delete val="0"/>
        <c:axPos val="l"/>
        <c:title>
          <c:tx>
            <c:rich>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Concentration</a:t>
                </a:r>
                <a:r>
                  <a:rPr lang="en-US" b="1" baseline="0">
                    <a:solidFill>
                      <a:sysClr val="windowText" lastClr="000000"/>
                    </a:solidFill>
                  </a:rPr>
                  <a:t> </a:t>
                </a:r>
                <a:r>
                  <a:rPr lang="en-US" sz="1000" b="1" i="0" u="none" strike="noStrike" baseline="0">
                    <a:solidFill>
                      <a:sysClr val="windowText" lastClr="000000"/>
                    </a:solidFill>
                    <a:effectLst/>
                  </a:rPr>
                  <a:t>(µg/ml)</a:t>
                </a:r>
                <a:endParaRPr lang="en-US" b="1">
                  <a:solidFill>
                    <a:sysClr val="windowText" lastClr="000000"/>
                  </a:solidFill>
                </a:endParaRP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crossAx val="862146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The</a:t>
            </a:r>
            <a:r>
              <a:rPr lang="en-US" sz="1200" baseline="0">
                <a:solidFill>
                  <a:sysClr val="windowText" lastClr="000000"/>
                </a:solidFill>
                <a:latin typeface="Times New Roman" panose="02020603050405020304" pitchFamily="18" charset="0"/>
                <a:cs typeface="Times New Roman" panose="02020603050405020304" pitchFamily="18" charset="0"/>
              </a:rPr>
              <a:t> Target Bioactives in the Different Samples of Crude Extracts</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4.01960720427188E-2"/>
          <c:y val="9.2762762762762768E-2"/>
          <c:w val="0.83244053900478931"/>
          <c:h val="0.7020659241919085"/>
        </c:manualLayout>
      </c:layout>
      <c:barChart>
        <c:barDir val="col"/>
        <c:grouping val="clustered"/>
        <c:varyColors val="0"/>
        <c:ser>
          <c:idx val="0"/>
          <c:order val="0"/>
          <c:tx>
            <c:strRef>
              <c:f>Sheet1!$B$1</c:f>
              <c:strCache>
                <c:ptCount val="1"/>
                <c:pt idx="0">
                  <c:v>TOCOPHEROL</c:v>
                </c:pt>
              </c:strCache>
            </c:strRef>
          </c:tx>
          <c:spPr>
            <a:solidFill>
              <a:schemeClr val="accent1"/>
            </a:solidFill>
            <a:ln>
              <a:noFill/>
            </a:ln>
            <a:effectLst/>
          </c:spPr>
          <c:invertIfNegative val="0"/>
          <c:cat>
            <c:strRef>
              <c:f>Sheet1!$A$2:$A$5</c:f>
              <c:strCache>
                <c:ptCount val="3"/>
                <c:pt idx="0">
                  <c:v>AGX</c:v>
                </c:pt>
                <c:pt idx="1">
                  <c:v>ATX</c:v>
                </c:pt>
                <c:pt idx="2">
                  <c:v>AMX</c:v>
                </c:pt>
              </c:strCache>
            </c:strRef>
          </c:cat>
          <c:val>
            <c:numRef>
              <c:f>Sheet1!$B$2:$B$5</c:f>
              <c:numCache>
                <c:formatCode>General</c:formatCode>
                <c:ptCount val="4"/>
                <c:pt idx="0">
                  <c:v>2.9000000000000001E-2</c:v>
                </c:pt>
                <c:pt idx="1">
                  <c:v>4.1000000000000002E-2</c:v>
                </c:pt>
                <c:pt idx="2">
                  <c:v>2.4E-2</c:v>
                </c:pt>
              </c:numCache>
            </c:numRef>
          </c:val>
          <c:extLst>
            <c:ext xmlns:c16="http://schemas.microsoft.com/office/drawing/2014/chart" uri="{C3380CC4-5D6E-409C-BE32-E72D297353CC}">
              <c16:uniqueId val="{00000000-FAFC-4D5C-B225-862C410C9AEB}"/>
            </c:ext>
          </c:extLst>
        </c:ser>
        <c:ser>
          <c:idx val="1"/>
          <c:order val="1"/>
          <c:tx>
            <c:strRef>
              <c:f>Sheet1!$C$1</c:f>
              <c:strCache>
                <c:ptCount val="1"/>
                <c:pt idx="0">
                  <c:v>CAROTENOIDS</c:v>
                </c:pt>
              </c:strCache>
            </c:strRef>
          </c:tx>
          <c:spPr>
            <a:solidFill>
              <a:schemeClr val="accent2"/>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Sheet1!$C$2:$C$5</c:f>
              <c:numCache>
                <c:formatCode>General</c:formatCode>
                <c:ptCount val="4"/>
                <c:pt idx="0">
                  <c:v>15.5</c:v>
                </c:pt>
                <c:pt idx="1">
                  <c:v>7.55</c:v>
                </c:pt>
                <c:pt idx="2">
                  <c:v>17.66</c:v>
                </c:pt>
              </c:numCache>
            </c:numRef>
          </c:val>
          <c:extLst>
            <c:ext xmlns:c16="http://schemas.microsoft.com/office/drawing/2014/chart" uri="{C3380CC4-5D6E-409C-BE32-E72D297353CC}">
              <c16:uniqueId val="{00000001-FAFC-4D5C-B225-862C410C9AEB}"/>
            </c:ext>
          </c:extLst>
        </c:ser>
        <c:ser>
          <c:idx val="2"/>
          <c:order val="2"/>
          <c:tx>
            <c:strRef>
              <c:f>Sheet1!$D$1</c:f>
              <c:strCache>
                <c:ptCount val="1"/>
                <c:pt idx="0">
                  <c:v>GINGEROLS</c:v>
                </c:pt>
              </c:strCache>
            </c:strRef>
          </c:tx>
          <c:spPr>
            <a:solidFill>
              <a:schemeClr val="accent3"/>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Sheet1!$D$2:$D$5</c:f>
              <c:numCache>
                <c:formatCode>General</c:formatCode>
                <c:ptCount val="4"/>
                <c:pt idx="0">
                  <c:v>18.79</c:v>
                </c:pt>
                <c:pt idx="1">
                  <c:v>13.26</c:v>
                </c:pt>
                <c:pt idx="2">
                  <c:v>12.07</c:v>
                </c:pt>
              </c:numCache>
            </c:numRef>
          </c:val>
          <c:extLst>
            <c:ext xmlns:c16="http://schemas.microsoft.com/office/drawing/2014/chart" uri="{C3380CC4-5D6E-409C-BE32-E72D297353CC}">
              <c16:uniqueId val="{00000002-FAFC-4D5C-B225-862C410C9AEB}"/>
            </c:ext>
          </c:extLst>
        </c:ser>
        <c:ser>
          <c:idx val="3"/>
          <c:order val="3"/>
          <c:tx>
            <c:strRef>
              <c:f>Sheet1!$E$1</c:f>
              <c:strCache>
                <c:ptCount val="1"/>
                <c:pt idx="0">
                  <c:v>TERPENES</c:v>
                </c:pt>
              </c:strCache>
            </c:strRef>
          </c:tx>
          <c:spPr>
            <a:solidFill>
              <a:schemeClr val="accent4"/>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Sheet1!$E$2:$E$5</c:f>
              <c:numCache>
                <c:formatCode>General</c:formatCode>
                <c:ptCount val="4"/>
                <c:pt idx="0">
                  <c:v>9.4600000000000009</c:v>
                </c:pt>
                <c:pt idx="1">
                  <c:v>8.64</c:v>
                </c:pt>
                <c:pt idx="2">
                  <c:v>5.49</c:v>
                </c:pt>
              </c:numCache>
            </c:numRef>
          </c:val>
          <c:extLst>
            <c:ext xmlns:c16="http://schemas.microsoft.com/office/drawing/2014/chart" uri="{C3380CC4-5D6E-409C-BE32-E72D297353CC}">
              <c16:uniqueId val="{00000003-FAFC-4D5C-B225-862C410C9AEB}"/>
            </c:ext>
          </c:extLst>
        </c:ser>
        <c:ser>
          <c:idx val="4"/>
          <c:order val="4"/>
          <c:tx>
            <c:strRef>
              <c:f>Sheet1!$F$1</c:f>
              <c:strCache>
                <c:ptCount val="1"/>
                <c:pt idx="0">
                  <c:v>VIT. C.</c:v>
                </c:pt>
              </c:strCache>
            </c:strRef>
          </c:tx>
          <c:spPr>
            <a:solidFill>
              <a:schemeClr val="accent5"/>
            </a:solidFill>
            <a:ln>
              <a:noFill/>
            </a:ln>
            <a:effectLst/>
          </c:spPr>
          <c:invertIfNegative val="0"/>
          <c:cat>
            <c:strRef>
              <c:f>Sheet1!$A$2:$A$5</c:f>
              <c:strCache>
                <c:ptCount val="3"/>
                <c:pt idx="0">
                  <c:v>AGX</c:v>
                </c:pt>
                <c:pt idx="1">
                  <c:v>ATX</c:v>
                </c:pt>
                <c:pt idx="2">
                  <c:v>AMX</c:v>
                </c:pt>
              </c:strCache>
            </c:strRef>
          </c:cat>
          <c:val>
            <c:numRef>
              <c:f>Sheet1!$F$2:$F$5</c:f>
              <c:numCache>
                <c:formatCode>General</c:formatCode>
                <c:ptCount val="4"/>
                <c:pt idx="0">
                  <c:v>9.0399999999999991</c:v>
                </c:pt>
                <c:pt idx="1">
                  <c:v>6.21</c:v>
                </c:pt>
                <c:pt idx="2">
                  <c:v>9.33</c:v>
                </c:pt>
              </c:numCache>
            </c:numRef>
          </c:val>
          <c:extLst>
            <c:ext xmlns:c16="http://schemas.microsoft.com/office/drawing/2014/chart" uri="{C3380CC4-5D6E-409C-BE32-E72D297353CC}">
              <c16:uniqueId val="{00000004-FAFC-4D5C-B225-862C410C9AEB}"/>
            </c:ext>
          </c:extLst>
        </c:ser>
        <c:ser>
          <c:idx val="5"/>
          <c:order val="5"/>
          <c:tx>
            <c:strRef>
              <c:f>Sheet1!$G$1</c:f>
              <c:strCache>
                <c:ptCount val="1"/>
                <c:pt idx="0">
                  <c:v>VIT. B6</c:v>
                </c:pt>
              </c:strCache>
            </c:strRef>
          </c:tx>
          <c:spPr>
            <a:solidFill>
              <a:schemeClr val="accent6"/>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Sheet1!$G$2:$G$5</c:f>
              <c:numCache>
                <c:formatCode>General</c:formatCode>
                <c:ptCount val="4"/>
                <c:pt idx="0">
                  <c:v>8.56</c:v>
                </c:pt>
                <c:pt idx="1">
                  <c:v>7.26</c:v>
                </c:pt>
                <c:pt idx="2">
                  <c:v>7.88</c:v>
                </c:pt>
              </c:numCache>
            </c:numRef>
          </c:val>
          <c:extLst>
            <c:ext xmlns:c16="http://schemas.microsoft.com/office/drawing/2014/chart" uri="{C3380CC4-5D6E-409C-BE32-E72D297353CC}">
              <c16:uniqueId val="{00000005-FAFC-4D5C-B225-862C410C9AEB}"/>
            </c:ext>
          </c:extLst>
        </c:ser>
        <c:ser>
          <c:idx val="6"/>
          <c:order val="6"/>
          <c:tx>
            <c:strRef>
              <c:f>Sheet1!$H$1</c:f>
              <c:strCache>
                <c:ptCount val="1"/>
                <c:pt idx="0">
                  <c:v>VIT.B12</c:v>
                </c:pt>
              </c:strCache>
            </c:strRef>
          </c:tx>
          <c:spPr>
            <a:solidFill>
              <a:schemeClr val="accent1">
                <a:lumMod val="60000"/>
              </a:schemeClr>
            </a:solidFill>
            <a:ln>
              <a:noFill/>
            </a:ln>
            <a:effectLst/>
          </c:spPr>
          <c:invertIfNegative val="0"/>
          <c:errBars>
            <c:errBarType val="both"/>
            <c:errValType val="stdErr"/>
            <c:noEndCap val="0"/>
          </c:errBars>
          <c:cat>
            <c:strRef>
              <c:f>Sheet1!$A$2:$A$5</c:f>
              <c:strCache>
                <c:ptCount val="3"/>
                <c:pt idx="0">
                  <c:v>AGX</c:v>
                </c:pt>
                <c:pt idx="1">
                  <c:v>ATX</c:v>
                </c:pt>
                <c:pt idx="2">
                  <c:v>AMX</c:v>
                </c:pt>
              </c:strCache>
            </c:strRef>
          </c:cat>
          <c:val>
            <c:numRef>
              <c:f>Sheet1!$H$2:$H$5</c:f>
              <c:numCache>
                <c:formatCode>General</c:formatCode>
                <c:ptCount val="4"/>
                <c:pt idx="0">
                  <c:v>15</c:v>
                </c:pt>
                <c:pt idx="1">
                  <c:v>12.09</c:v>
                </c:pt>
                <c:pt idx="2">
                  <c:v>13.89</c:v>
                </c:pt>
              </c:numCache>
            </c:numRef>
          </c:val>
          <c:extLst>
            <c:ext xmlns:c16="http://schemas.microsoft.com/office/drawing/2014/chart" uri="{C3380CC4-5D6E-409C-BE32-E72D297353CC}">
              <c16:uniqueId val="{00000006-FAFC-4D5C-B225-862C410C9AEB}"/>
            </c:ext>
          </c:extLst>
        </c:ser>
        <c:dLbls>
          <c:showLegendKey val="0"/>
          <c:showVal val="0"/>
          <c:showCatName val="0"/>
          <c:showSerName val="0"/>
          <c:showPercent val="0"/>
          <c:showBubbleSize val="0"/>
        </c:dLbls>
        <c:gapWidth val="219"/>
        <c:axId val="862144024"/>
        <c:axId val="862144416"/>
      </c:barChart>
      <c:catAx>
        <c:axId val="862144024"/>
        <c:scaling>
          <c:orientation val="minMax"/>
        </c:scaling>
        <c:delete val="0"/>
        <c:axPos val="b"/>
        <c:title>
          <c:tx>
            <c:rich>
              <a:bodyPr rot="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r>
                  <a:rPr lang="en-US" sz="1100" b="1">
                    <a:solidFill>
                      <a:sysClr val="windowText" lastClr="000000"/>
                    </a:solidFill>
                    <a:latin typeface="Times New Roman" panose="02020603050405020304" pitchFamily="18" charset="0"/>
                    <a:cs typeface="Times New Roman" panose="02020603050405020304" pitchFamily="18" charset="0"/>
                  </a:rPr>
                  <a:t>Samples Concentration (ug/ml)</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144416"/>
        <c:crosses val="autoZero"/>
        <c:auto val="1"/>
        <c:lblAlgn val="ctr"/>
        <c:lblOffset val="100"/>
        <c:noMultiLvlLbl val="0"/>
      </c:catAx>
      <c:valAx>
        <c:axId val="8621444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862144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5955</TotalTime>
  <Pages>22</Pages>
  <Words>6963</Words>
  <Characters>39694</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OFOEDUM ARIZONA</dc:creator>
  <cp:lastModifiedBy>Editor-90</cp:lastModifiedBy>
  <cp:revision>56</cp:revision>
  <dcterms:created xsi:type="dcterms:W3CDTF">2024-04-05T15:13:00Z</dcterms:created>
  <dcterms:modified xsi:type="dcterms:W3CDTF">2026-06-26T07:01:00Z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c7e9665c3b6b4536a5a642b99a267540</vt:lpwstr>
  </property>
</Properties>
</file>