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3D07F" w14:textId="77777777" w:rsidR="008423F8" w:rsidRPr="00135619" w:rsidRDefault="008423F8" w:rsidP="006C19AA">
      <w:pPr>
        <w:spacing w:line="276" w:lineRule="auto"/>
        <w:jc w:val="center"/>
        <w:rPr>
          <w:rFonts w:ascii="Times New Roman" w:hAnsi="Times New Roman" w:cs="Times New Roman"/>
          <w:b/>
          <w:bCs/>
          <w:color w:val="000000" w:themeColor="text1"/>
          <w:sz w:val="28"/>
          <w:szCs w:val="28"/>
        </w:rPr>
      </w:pPr>
      <w:r w:rsidRPr="00135619">
        <w:rPr>
          <w:rFonts w:ascii="Times New Roman" w:hAnsi="Times New Roman" w:cs="Times New Roman"/>
          <w:b/>
          <w:bCs/>
          <w:color w:val="000000" w:themeColor="text1"/>
          <w:sz w:val="28"/>
          <w:szCs w:val="28"/>
        </w:rPr>
        <w:t>MICRONUTRIENT COMPOSITION OF BREAD PRODUCED FROM MILLET AND PIGEON PEA FLOUR</w:t>
      </w:r>
    </w:p>
    <w:p w14:paraId="70985EBA" w14:textId="77777777" w:rsidR="003A5786" w:rsidRPr="00135619" w:rsidRDefault="003A5786" w:rsidP="006C19AA">
      <w:pPr>
        <w:spacing w:after="200" w:line="276" w:lineRule="auto"/>
        <w:jc w:val="center"/>
        <w:rPr>
          <w:rFonts w:ascii="Times New Roman" w:eastAsia="Calibri" w:hAnsi="Times New Roman" w:cs="Times New Roman"/>
          <w:b/>
          <w:color w:val="000000" w:themeColor="text1"/>
          <w:sz w:val="28"/>
          <w:szCs w:val="28"/>
          <w:lang w:val="en-GB"/>
        </w:rPr>
      </w:pPr>
    </w:p>
    <w:p w14:paraId="11506CD1" w14:textId="77777777" w:rsidR="00D01FB6" w:rsidRPr="00135619" w:rsidRDefault="00D01FB6" w:rsidP="00D01FB6">
      <w:pPr>
        <w:spacing w:line="240" w:lineRule="auto"/>
        <w:jc w:val="both"/>
        <w:rPr>
          <w:rFonts w:ascii="Times New Roman" w:hAnsi="Times New Roman" w:cs="Times New Roman"/>
          <w:b/>
          <w:bCs/>
          <w:color w:val="000000" w:themeColor="text1"/>
          <w:sz w:val="24"/>
          <w:szCs w:val="24"/>
        </w:rPr>
      </w:pPr>
      <w:r w:rsidRPr="00135619">
        <w:rPr>
          <w:rFonts w:ascii="Times New Roman" w:hAnsi="Times New Roman" w:cs="Times New Roman"/>
          <w:b/>
          <w:bCs/>
          <w:color w:val="000000" w:themeColor="text1"/>
          <w:sz w:val="24"/>
          <w:szCs w:val="24"/>
        </w:rPr>
        <w:t>Abstract</w:t>
      </w:r>
    </w:p>
    <w:p w14:paraId="6B90EE7C" w14:textId="77777777" w:rsidR="00CD7951" w:rsidRPr="00135619" w:rsidRDefault="00CD7951" w:rsidP="00D01FB6">
      <w:pPr>
        <w:spacing w:line="240" w:lineRule="auto"/>
        <w:jc w:val="both"/>
      </w:pPr>
      <w:r w:rsidRPr="00135619">
        <w:t>This study evaluated the micronutrient composition of bread produced from blends of wheat, millet and pigeon pea flours. The work was based on the need to improve the nutritional quality of commonly consumed bread while promoting the use of locally available cereal and legume crops. Composite flour blends were formulated and used to produce bread under standard baking conditions. The bread samples were analysed for selected minerals and B-complex vitamins using standard analytical procedures. The results showed variation in mineral and vitamin contents among the bread samples. Potassium ranged from 150.20 to 344.08 mg/100 g, magnesium from 103.56 to 139.58 mg/100 g, calcium from 136.94 to 187.72 mg/100 g, phosphorus from 25.08 to 48.08 mg/100 g, and iron from 0.50 to 0.90 mg/100 g. The highest potassium, calcium and iron values were observed in bread containing 50% pigeon pea flour, while the highest magnesium and phosphorus values were recorded in bread containing 50% millet flour. Vitamin B3 ranged from 0.13 to 0.33 mg/100 g, vitamin B2 from 0.09 to 0.37 mg/100 g, and vitamin B1 from 0.00 to 0.23 mg/100 g. Overall, the inclusion of millet and pigeon pea flours improved the micronutrient composition of the bread samples when compared with the 100% wheat flour control.</w:t>
      </w:r>
    </w:p>
    <w:p w14:paraId="1A97EE4A" w14:textId="28B7AFE5" w:rsidR="00D01FB6" w:rsidRPr="00135619" w:rsidRDefault="00CD7951" w:rsidP="00D01FB6">
      <w:pPr>
        <w:spacing w:line="240" w:lineRule="auto"/>
        <w:jc w:val="both"/>
      </w:pPr>
      <w:r w:rsidRPr="00135619">
        <w:rPr>
          <w:rStyle w:val="Strong"/>
        </w:rPr>
        <w:t>Keywords:</w:t>
      </w:r>
      <w:r w:rsidRPr="00135619">
        <w:t xml:space="preserve"> Bread; millet flour; pigeon pea flour; composite flour; micronutrients; minerals; vitamins; wheat substitution; potassium; calcium; food security</w:t>
      </w:r>
    </w:p>
    <w:p w14:paraId="2CA4A1B7" w14:textId="77777777" w:rsidR="00CD7951" w:rsidRPr="00135619" w:rsidRDefault="00CD7951" w:rsidP="00D01FB6">
      <w:pPr>
        <w:spacing w:line="240" w:lineRule="auto"/>
        <w:jc w:val="both"/>
        <w:rPr>
          <w:rFonts w:ascii="Times New Roman" w:hAnsi="Times New Roman" w:cs="Times New Roman"/>
          <w:b/>
          <w:bCs/>
          <w:color w:val="000000" w:themeColor="text1"/>
          <w:sz w:val="24"/>
          <w:szCs w:val="24"/>
        </w:rPr>
      </w:pPr>
    </w:p>
    <w:p w14:paraId="519D4FA5" w14:textId="147FBA58" w:rsidR="008423F8" w:rsidRPr="00135619" w:rsidRDefault="008423F8" w:rsidP="006C19AA">
      <w:pPr>
        <w:spacing w:line="276" w:lineRule="auto"/>
        <w:jc w:val="both"/>
        <w:rPr>
          <w:rFonts w:ascii="Times New Roman" w:hAnsi="Times New Roman" w:cs="Times New Roman"/>
          <w:b/>
          <w:bCs/>
          <w:color w:val="000000" w:themeColor="text1"/>
          <w:sz w:val="24"/>
          <w:szCs w:val="24"/>
        </w:rPr>
      </w:pPr>
      <w:r w:rsidRPr="00135619">
        <w:rPr>
          <w:rFonts w:ascii="Times New Roman" w:hAnsi="Times New Roman" w:cs="Times New Roman"/>
          <w:b/>
          <w:bCs/>
          <w:color w:val="000000" w:themeColor="text1"/>
          <w:sz w:val="24"/>
          <w:szCs w:val="24"/>
        </w:rPr>
        <w:t xml:space="preserve">1.1 </w:t>
      </w:r>
      <w:r w:rsidR="00CD7951" w:rsidRPr="00135619">
        <w:rPr>
          <w:rFonts w:ascii="Times New Roman" w:hAnsi="Times New Roman" w:cs="Times New Roman"/>
          <w:b/>
          <w:bCs/>
          <w:color w:val="000000" w:themeColor="text1"/>
          <w:sz w:val="24"/>
          <w:szCs w:val="24"/>
        </w:rPr>
        <w:t>Introduction</w:t>
      </w:r>
    </w:p>
    <w:p w14:paraId="339062CE" w14:textId="7B270A3E" w:rsidR="00D3791F" w:rsidRPr="00135619" w:rsidRDefault="00D3791F" w:rsidP="00654B85">
      <w:pPr>
        <w:spacing w:line="276" w:lineRule="auto"/>
        <w:jc w:val="both"/>
        <w:rPr>
          <w:rFonts w:ascii="Times New Roman" w:hAnsi="Times New Roman" w:cs="Times New Roman"/>
          <w:color w:val="000000" w:themeColor="text1"/>
          <w:sz w:val="24"/>
          <w:szCs w:val="24"/>
        </w:rPr>
      </w:pPr>
      <w:r w:rsidRPr="00135619">
        <w:t>Due to its affordability and ease of use, bread is a staple food consumed by people worldwide. However, traditional bread prepared from wheat flour often lacks important micronutrients, such as vitamins, iron, and zinc, which contributes to malnutrition in developing nations. Recent studies have highlighted the need to use locally available, nutrient-dense crops in food products. Millet, an underutilised cereal, contains nutrients such as iron, calcium, magnesium, and B vitamins (Ramashia et al., 2025). Similarly, pigeon pea (</w:t>
      </w:r>
      <w:r w:rsidRPr="00135619">
        <w:rPr>
          <w:i/>
        </w:rPr>
        <w:t>Cajanus cajan</w:t>
      </w:r>
      <w:r w:rsidRPr="00135619">
        <w:t>) is a legume with high protein and micronutrient contents, including vitamins, iron, and zinc (</w:t>
      </w:r>
      <w:r w:rsidR="00846FEB" w:rsidRPr="00846FEB">
        <w:t xml:space="preserve">Balpande </w:t>
      </w:r>
      <w:r w:rsidRPr="00135619">
        <w:t>et al., 20</w:t>
      </w:r>
      <w:r w:rsidR="00846FEB">
        <w:t>16</w:t>
      </w:r>
      <w:r w:rsidRPr="00135619">
        <w:t xml:space="preserve">). Because of their complementary nutrient profiles, cereals and legumes have been shown to enhance micronutrient density and nutritional quality (Ahmed &amp; Pandey, 2024). Studies on millet-pigeon pea blends have reported significant gains in mineral content, particularly calcium and iron, which are important for human health (Oyarekua et al., 2022). Blends of wheat and other flours used to make baked products, or non-wheat blends used for the same purpose, are referred to as composite flour. Combining wheat with other flours is done for economic and nutritional reasons (Emojorho et al., 2024). Composite flour technology combines flours from various crops, including cereals, legumes, roots, and tubers, to create baked products with enhanced nutritional and functional qualities (Emojorho et al., 2024). This strategy encourages the use of local crops while reducing dependence on wheat flour. The use of composite flours made from legumes and tubers has been shown to improve the protein, fibre, mineral, and functional qualities of baked products such as breads and biscuits. Recent bread-formulation studies also indicate that partial substitution of wheat flour with pigeon pea flour can </w:t>
      </w:r>
      <w:r w:rsidRPr="00135619">
        <w:lastRenderedPageBreak/>
        <w:t>increase protein content, while millet-based substitution may improve selected nutritional parameters but requires attention to bread-quality attributes (Adjou et al., 2022; Amponsah et al., 2026).</w:t>
      </w:r>
    </w:p>
    <w:p w14:paraId="452B46C3" w14:textId="77777777" w:rsidR="00D3791F" w:rsidRPr="00135619" w:rsidRDefault="00D3791F" w:rsidP="006C19AA">
      <w:pPr>
        <w:spacing w:line="276" w:lineRule="auto"/>
        <w:jc w:val="both"/>
        <w:rPr>
          <w:rFonts w:ascii="Times New Roman" w:hAnsi="Times New Roman" w:cs="Times New Roman"/>
          <w:color w:val="000000" w:themeColor="text1"/>
          <w:sz w:val="24"/>
          <w:szCs w:val="24"/>
        </w:rPr>
      </w:pPr>
      <w:r w:rsidRPr="00135619">
        <w:t>In contrast, pigeon pea (</w:t>
      </w:r>
      <w:r w:rsidRPr="00135619">
        <w:rPr>
          <w:i/>
        </w:rPr>
        <w:t>Cajanus cajan</w:t>
      </w:r>
      <w:r w:rsidRPr="00135619">
        <w:t>) is a protein-rich legume that contains essential amino acids, vitamins, and minerals, such as calcium, potassium, and iron (Olagunju et al., 2018). It is also a valuable source of minerals, particularly B vitamins. The complementary protein and micronutrient compositions of cereals and legumes can improve nutritional quality (Ezegbe et al., 2025). As a result, making bread with millet and pigeon pea flour may increase micronutrient contents, including vitamins and minerals, while encouraging the use of regional crops and reducing reliance on imported wheat flour. Millets contain about 8% protein and 4% fat and are rich in vitamins and minerals, particularly calcium (Emojorho et al., 2025a). Millets also contain a relatively large amount of carbohydrate. Starch is the main carbohydrate component, along with a higher proportion of non-starchy polysaccharides (dietary fibre) (Sibanda et al., 2024). Micronutrient deficiencies, also known as "hidden hunger", remain a major public health concern in underdeveloped nations. Using millet and pigeon pea in bread making may reduce reliance on imported wheat and increase dietary micronutrient intake. In Nigeria and other developing countries, micronutrient deficiencies, particularly those involving iron and zinc, remain common. These deficiencies contribute to reduced immunity, anaemia, and impaired cognitive development. Despite its widespread use, conventional wheat bread does not provide sufficient micronutrients needed for good health. This has made it necessary to investigate more nutritious raw materials. Recent research indicates that food products made from blends of millet and pigeon pea have improved micronutrient profiles, including higher levels of vitamins, calcium, and iron (Adeoye et al., 2024). Co-fermented millet-pigeon pea products have also shown notable increases in vitamin and mineral contents (Oyarekua et al., 2022). Recent analyses of millet-containing flours and composite breads further support the need to evaluate both nutritional improvement and bread-quality outcomes when millet flour is used as a wheat substitute (Ahmad et al., 2025; Tiwari et al., 2025). Despite these findings, limited research has focused specifically on the micronutrient composition of bread made from millet and pigeon pea flour blends. This manuscript therefore addresses a focused gap by evaluating the micronutrient profile of bread produced from millet and pigeon pea flour blends within the stated formulation framework. The study aimed to assess the micronutrient content of bread made with millet and pigeon pea flour.</w:t>
      </w:r>
    </w:p>
    <w:p w14:paraId="28467D16" w14:textId="77777777" w:rsidR="003A5786" w:rsidRPr="00135619" w:rsidRDefault="00E4013A" w:rsidP="006C19AA">
      <w:pPr>
        <w:spacing w:line="276" w:lineRule="auto"/>
        <w:jc w:val="both"/>
        <w:rPr>
          <w:rFonts w:ascii="Times New Roman" w:hAnsi="Times New Roman" w:cs="Times New Roman"/>
          <w:bCs/>
          <w:color w:val="000000" w:themeColor="text1"/>
          <w:sz w:val="24"/>
          <w:szCs w:val="24"/>
        </w:rPr>
      </w:pPr>
      <w:r w:rsidRPr="00135619">
        <w:t>Keywords: millet flour; pigeon pea flour; bread; minerals; vitamins</w:t>
      </w:r>
    </w:p>
    <w:p w14:paraId="33396B17" w14:textId="77777777" w:rsidR="008423F8" w:rsidRPr="00135619" w:rsidRDefault="008423F8" w:rsidP="006C19AA">
      <w:pPr>
        <w:spacing w:line="276" w:lineRule="auto"/>
        <w:jc w:val="both"/>
        <w:rPr>
          <w:rFonts w:ascii="Times New Roman" w:hAnsi="Times New Roman" w:cs="Times New Roman"/>
          <w:b/>
          <w:bCs/>
          <w:color w:val="000000" w:themeColor="text1"/>
          <w:sz w:val="24"/>
          <w:szCs w:val="24"/>
        </w:rPr>
      </w:pPr>
      <w:r w:rsidRPr="00135619">
        <w:rPr>
          <w:rFonts w:ascii="Times New Roman" w:hAnsi="Times New Roman" w:cs="Times New Roman"/>
          <w:b/>
          <w:bCs/>
          <w:color w:val="000000" w:themeColor="text1"/>
          <w:sz w:val="24"/>
          <w:szCs w:val="24"/>
        </w:rPr>
        <w:t>MATERIALS AND METHODS</w:t>
      </w:r>
    </w:p>
    <w:p w14:paraId="3CCE30BD" w14:textId="77777777" w:rsidR="00D3791F" w:rsidRPr="00135619" w:rsidRDefault="00E4013A" w:rsidP="006C19AA">
      <w:pPr>
        <w:spacing w:line="276" w:lineRule="auto"/>
        <w:jc w:val="both"/>
        <w:rPr>
          <w:rFonts w:ascii="Times New Roman" w:hAnsi="Times New Roman" w:cs="Times New Roman"/>
          <w:color w:val="000000" w:themeColor="text1"/>
          <w:sz w:val="24"/>
          <w:szCs w:val="24"/>
        </w:rPr>
      </w:pPr>
      <w:r w:rsidRPr="00135619">
        <w:t>2.1 Materials: Pigeon peas and millet were purchased from Asaba, Delta State, Nigeria. Wheat flour, yeast, butter, sugar, and milk were purchased from Ozoro Main Market, Delta State.</w:t>
      </w:r>
    </w:p>
    <w:p w14:paraId="4D30A544" w14:textId="77777777" w:rsidR="001D0284" w:rsidRPr="00135619" w:rsidRDefault="00E4013A" w:rsidP="006C19AA">
      <w:pPr>
        <w:spacing w:line="276" w:lineRule="auto"/>
        <w:jc w:val="both"/>
        <w:rPr>
          <w:rFonts w:ascii="Times New Roman" w:hAnsi="Times New Roman" w:cs="Times New Roman"/>
          <w:color w:val="000000" w:themeColor="text1"/>
          <w:sz w:val="24"/>
          <w:szCs w:val="24"/>
        </w:rPr>
      </w:pPr>
      <w:r w:rsidRPr="00135619">
        <w:t>2.2 Millet Flour Production: Millet grain was stone-milled into fine flour after being purchased from the grain market in North Khartoum, Sudan. Until analysis, the flour was stored at 25°C. Before analysis, all samples were dried, ground into a fine powder, and stored in polyethylene bags at 4°C.</w:t>
      </w:r>
    </w:p>
    <w:p w14:paraId="5E40FD0A" w14:textId="77777777" w:rsidR="001D0284" w:rsidRPr="00135619" w:rsidRDefault="00E4013A" w:rsidP="006C19AA">
      <w:pPr>
        <w:spacing w:line="276" w:lineRule="auto"/>
        <w:jc w:val="both"/>
        <w:rPr>
          <w:rFonts w:ascii="Times New Roman" w:hAnsi="Times New Roman" w:cs="Times New Roman"/>
          <w:color w:val="000000" w:themeColor="text1"/>
          <w:sz w:val="24"/>
          <w:szCs w:val="24"/>
          <w:shd w:val="clear" w:color="auto" w:fill="FFFFFF"/>
        </w:rPr>
      </w:pPr>
      <w:r w:rsidRPr="00135619">
        <w:t xml:space="preserve">2.3 Preparation of Fermented Pigeon Pea Flour: As stated by Akubor (2017), a portion of the raw pigeon pea flour (RPPF) was combined with water in a covered plastic bowl at a ratio of 3.2 (water: flour). The paste underwent three days of fermentation, oven drying at 60°C for three hours, attrition milling, and </w:t>
      </w:r>
      <w:r w:rsidRPr="00135619">
        <w:lastRenderedPageBreak/>
        <w:t>screening through a 60-mesh sieve (0.1 mm). Before use, the flour samples were kept in high-density polyethylene (HDPE) bags that were 0.77 mm thick.</w:t>
      </w:r>
    </w:p>
    <w:p w14:paraId="7E385294" w14:textId="77777777" w:rsidR="007704FD" w:rsidRPr="00135619" w:rsidRDefault="00E4013A" w:rsidP="006C19AA">
      <w:pPr>
        <w:spacing w:line="276" w:lineRule="auto"/>
        <w:jc w:val="both"/>
        <w:rPr>
          <w:rFonts w:ascii="Times New Roman" w:hAnsi="Times New Roman" w:cs="Times New Roman"/>
          <w:b/>
          <w:bCs/>
          <w:color w:val="000000" w:themeColor="text1"/>
        </w:rPr>
      </w:pPr>
      <w:r w:rsidRPr="00135619">
        <w:t>2.4 Formulation of Composite Flour: Composite flour blends were prepared in the following ratios:</w:t>
      </w:r>
    </w:p>
    <w:tbl>
      <w:tblPr>
        <w:tblStyle w:val="TableGrid"/>
        <w:tblW w:w="0" w:type="auto"/>
        <w:tblLook w:val="04A0" w:firstRow="1" w:lastRow="0" w:firstColumn="1" w:lastColumn="0" w:noHBand="0" w:noVBand="1"/>
      </w:tblPr>
      <w:tblGrid>
        <w:gridCol w:w="2337"/>
        <w:gridCol w:w="2337"/>
        <w:gridCol w:w="2338"/>
        <w:gridCol w:w="2338"/>
      </w:tblGrid>
      <w:tr w:rsidR="008A22FB" w:rsidRPr="00135619" w14:paraId="40AEDC30" w14:textId="77777777" w:rsidTr="00A51578">
        <w:tc>
          <w:tcPr>
            <w:tcW w:w="2337" w:type="dxa"/>
          </w:tcPr>
          <w:p w14:paraId="51C4F1D3" w14:textId="77777777" w:rsidR="007704FD" w:rsidRPr="00135619" w:rsidRDefault="007704FD" w:rsidP="003A5786">
            <w:pPr>
              <w:jc w:val="both"/>
              <w:rPr>
                <w:rFonts w:ascii="Times New Roman" w:hAnsi="Times New Roman" w:cs="Times New Roman"/>
                <w:color w:val="000000" w:themeColor="text1"/>
              </w:rPr>
            </w:pPr>
            <w:r w:rsidRPr="00135619">
              <w:rPr>
                <w:rFonts w:ascii="Times New Roman" w:hAnsi="Times New Roman" w:cs="Times New Roman"/>
                <w:color w:val="000000" w:themeColor="text1"/>
              </w:rPr>
              <w:t xml:space="preserve">Sample </w:t>
            </w:r>
          </w:p>
        </w:tc>
        <w:tc>
          <w:tcPr>
            <w:tcW w:w="2337" w:type="dxa"/>
          </w:tcPr>
          <w:p w14:paraId="0B7E0173" w14:textId="77777777" w:rsidR="007704FD" w:rsidRPr="00135619" w:rsidRDefault="007704FD" w:rsidP="003A5786">
            <w:pPr>
              <w:jc w:val="both"/>
              <w:rPr>
                <w:rFonts w:ascii="Times New Roman" w:hAnsi="Times New Roman" w:cs="Times New Roman"/>
                <w:color w:val="000000" w:themeColor="text1"/>
              </w:rPr>
            </w:pPr>
            <w:r w:rsidRPr="00135619">
              <w:rPr>
                <w:rFonts w:ascii="Times New Roman" w:hAnsi="Times New Roman" w:cs="Times New Roman"/>
                <w:color w:val="000000" w:themeColor="text1"/>
              </w:rPr>
              <w:t>Wheat (%)</w:t>
            </w:r>
          </w:p>
        </w:tc>
        <w:tc>
          <w:tcPr>
            <w:tcW w:w="2338" w:type="dxa"/>
          </w:tcPr>
          <w:p w14:paraId="7C0A4B6D" w14:textId="77777777" w:rsidR="007704FD" w:rsidRPr="00135619" w:rsidRDefault="007704FD" w:rsidP="003A5786">
            <w:pPr>
              <w:jc w:val="both"/>
              <w:rPr>
                <w:rFonts w:ascii="Times New Roman" w:hAnsi="Times New Roman" w:cs="Times New Roman"/>
                <w:color w:val="000000" w:themeColor="text1"/>
              </w:rPr>
            </w:pPr>
            <w:r w:rsidRPr="00135619">
              <w:rPr>
                <w:rFonts w:ascii="Times New Roman" w:hAnsi="Times New Roman" w:cs="Times New Roman"/>
                <w:color w:val="000000" w:themeColor="text1"/>
              </w:rPr>
              <w:t>Millet (%)</w:t>
            </w:r>
          </w:p>
        </w:tc>
        <w:tc>
          <w:tcPr>
            <w:tcW w:w="2338" w:type="dxa"/>
          </w:tcPr>
          <w:p w14:paraId="31FC8CB5" w14:textId="77777777" w:rsidR="007704FD" w:rsidRPr="00135619" w:rsidRDefault="007704FD" w:rsidP="003A5786">
            <w:pPr>
              <w:jc w:val="both"/>
              <w:rPr>
                <w:rFonts w:ascii="Times New Roman" w:hAnsi="Times New Roman" w:cs="Times New Roman"/>
                <w:color w:val="000000" w:themeColor="text1"/>
              </w:rPr>
            </w:pPr>
            <w:r w:rsidRPr="00135619">
              <w:rPr>
                <w:rFonts w:ascii="Times New Roman" w:hAnsi="Times New Roman" w:cs="Times New Roman"/>
                <w:color w:val="000000" w:themeColor="text1"/>
              </w:rPr>
              <w:t>Pigeon Pea (%)</w:t>
            </w:r>
          </w:p>
        </w:tc>
      </w:tr>
      <w:tr w:rsidR="008A22FB" w:rsidRPr="00135619" w14:paraId="4C8A5291" w14:textId="77777777" w:rsidTr="00A51578">
        <w:tc>
          <w:tcPr>
            <w:tcW w:w="2337" w:type="dxa"/>
          </w:tcPr>
          <w:p w14:paraId="0F41EE83" w14:textId="77777777" w:rsidR="00CD6329" w:rsidRPr="00135619" w:rsidRDefault="00CD6329" w:rsidP="00CD6329">
            <w:pPr>
              <w:rPr>
                <w:rFonts w:ascii="Times New Roman" w:hAnsi="Times New Roman" w:cs="Times New Roman"/>
                <w:color w:val="000000" w:themeColor="text1"/>
              </w:rPr>
            </w:pPr>
            <w:r w:rsidRPr="00135619">
              <w:rPr>
                <w:rFonts w:ascii="Times New Roman" w:hAnsi="Times New Roman" w:cs="Times New Roman"/>
                <w:color w:val="000000" w:themeColor="text1"/>
              </w:rPr>
              <w:t>Control</w:t>
            </w:r>
          </w:p>
        </w:tc>
        <w:tc>
          <w:tcPr>
            <w:tcW w:w="2337" w:type="dxa"/>
          </w:tcPr>
          <w:p w14:paraId="6F67DF98"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100</w:t>
            </w:r>
          </w:p>
        </w:tc>
        <w:tc>
          <w:tcPr>
            <w:tcW w:w="2338" w:type="dxa"/>
          </w:tcPr>
          <w:p w14:paraId="7EF9B969"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0</w:t>
            </w:r>
          </w:p>
        </w:tc>
        <w:tc>
          <w:tcPr>
            <w:tcW w:w="2338" w:type="dxa"/>
          </w:tcPr>
          <w:p w14:paraId="4D4AE043"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0</w:t>
            </w:r>
          </w:p>
        </w:tc>
      </w:tr>
      <w:tr w:rsidR="008A22FB" w:rsidRPr="00135619" w14:paraId="03AE5364" w14:textId="77777777" w:rsidTr="00A51578">
        <w:tc>
          <w:tcPr>
            <w:tcW w:w="2337" w:type="dxa"/>
          </w:tcPr>
          <w:p w14:paraId="718E518D" w14:textId="77777777" w:rsidR="00CD6329" w:rsidRPr="00135619" w:rsidRDefault="00967768" w:rsidP="00CD6329">
            <w:pPr>
              <w:rPr>
                <w:rFonts w:ascii="Times New Roman" w:hAnsi="Times New Roman" w:cs="Times New Roman"/>
                <w:color w:val="000000" w:themeColor="text1"/>
              </w:rPr>
            </w:pPr>
            <w:r w:rsidRPr="00135619">
              <w:rPr>
                <w:rFonts w:ascii="Times New Roman" w:hAnsi="Times New Roman" w:cs="Times New Roman"/>
                <w:color w:val="000000" w:themeColor="text1"/>
              </w:rPr>
              <w:t>MB25</w:t>
            </w:r>
          </w:p>
        </w:tc>
        <w:tc>
          <w:tcPr>
            <w:tcW w:w="2337" w:type="dxa"/>
          </w:tcPr>
          <w:p w14:paraId="7BDB75FF"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75</w:t>
            </w:r>
          </w:p>
        </w:tc>
        <w:tc>
          <w:tcPr>
            <w:tcW w:w="2338" w:type="dxa"/>
          </w:tcPr>
          <w:p w14:paraId="2D4AA782"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25</w:t>
            </w:r>
          </w:p>
        </w:tc>
        <w:tc>
          <w:tcPr>
            <w:tcW w:w="2338" w:type="dxa"/>
          </w:tcPr>
          <w:p w14:paraId="2408E10C"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0</w:t>
            </w:r>
          </w:p>
        </w:tc>
      </w:tr>
      <w:tr w:rsidR="008A22FB" w:rsidRPr="00135619" w14:paraId="0A0819F7" w14:textId="77777777" w:rsidTr="00A51578">
        <w:tc>
          <w:tcPr>
            <w:tcW w:w="2337" w:type="dxa"/>
          </w:tcPr>
          <w:p w14:paraId="51C1E87C" w14:textId="77777777" w:rsidR="00CD6329" w:rsidRPr="00135619" w:rsidRDefault="00967768" w:rsidP="00CD6329">
            <w:pPr>
              <w:rPr>
                <w:rFonts w:ascii="Times New Roman" w:hAnsi="Times New Roman" w:cs="Times New Roman"/>
                <w:color w:val="000000" w:themeColor="text1"/>
              </w:rPr>
            </w:pPr>
            <w:r w:rsidRPr="00135619">
              <w:rPr>
                <w:rFonts w:ascii="Times New Roman" w:hAnsi="Times New Roman" w:cs="Times New Roman"/>
                <w:color w:val="000000" w:themeColor="text1"/>
              </w:rPr>
              <w:t>MB50</w:t>
            </w:r>
          </w:p>
        </w:tc>
        <w:tc>
          <w:tcPr>
            <w:tcW w:w="2337" w:type="dxa"/>
          </w:tcPr>
          <w:p w14:paraId="1700CFFD"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25</w:t>
            </w:r>
          </w:p>
        </w:tc>
        <w:tc>
          <w:tcPr>
            <w:tcW w:w="2338" w:type="dxa"/>
          </w:tcPr>
          <w:p w14:paraId="1537E8D1"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50</w:t>
            </w:r>
          </w:p>
        </w:tc>
        <w:tc>
          <w:tcPr>
            <w:tcW w:w="2338" w:type="dxa"/>
          </w:tcPr>
          <w:p w14:paraId="1CEB4D7B"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0</w:t>
            </w:r>
          </w:p>
        </w:tc>
      </w:tr>
      <w:tr w:rsidR="008A22FB" w:rsidRPr="00135619" w14:paraId="618F7159" w14:textId="77777777" w:rsidTr="00A51578">
        <w:tc>
          <w:tcPr>
            <w:tcW w:w="2337" w:type="dxa"/>
          </w:tcPr>
          <w:p w14:paraId="73D8C7A2" w14:textId="77777777" w:rsidR="00CD6329" w:rsidRPr="00135619" w:rsidRDefault="00967768" w:rsidP="00CD6329">
            <w:pPr>
              <w:rPr>
                <w:rFonts w:ascii="Times New Roman" w:hAnsi="Times New Roman" w:cs="Times New Roman"/>
                <w:color w:val="000000" w:themeColor="text1"/>
              </w:rPr>
            </w:pPr>
            <w:r w:rsidRPr="00135619">
              <w:rPr>
                <w:rFonts w:ascii="Times New Roman" w:hAnsi="Times New Roman" w:cs="Times New Roman"/>
                <w:color w:val="000000" w:themeColor="text1"/>
              </w:rPr>
              <w:t>PB25</w:t>
            </w:r>
          </w:p>
        </w:tc>
        <w:tc>
          <w:tcPr>
            <w:tcW w:w="2337" w:type="dxa"/>
          </w:tcPr>
          <w:p w14:paraId="5E6F86D0"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75</w:t>
            </w:r>
          </w:p>
        </w:tc>
        <w:tc>
          <w:tcPr>
            <w:tcW w:w="2338" w:type="dxa"/>
          </w:tcPr>
          <w:p w14:paraId="7793C83B"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0</w:t>
            </w:r>
          </w:p>
        </w:tc>
        <w:tc>
          <w:tcPr>
            <w:tcW w:w="2338" w:type="dxa"/>
          </w:tcPr>
          <w:p w14:paraId="7B756422"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25</w:t>
            </w:r>
          </w:p>
        </w:tc>
      </w:tr>
      <w:tr w:rsidR="008A22FB" w:rsidRPr="00135619" w14:paraId="79914DD8" w14:textId="77777777" w:rsidTr="00A51578">
        <w:tc>
          <w:tcPr>
            <w:tcW w:w="2337" w:type="dxa"/>
          </w:tcPr>
          <w:p w14:paraId="56FC4D0E" w14:textId="77777777" w:rsidR="00CD6329" w:rsidRPr="00135619" w:rsidRDefault="00967768" w:rsidP="00CD6329">
            <w:pPr>
              <w:rPr>
                <w:rFonts w:ascii="Times New Roman" w:hAnsi="Times New Roman" w:cs="Times New Roman"/>
                <w:color w:val="000000" w:themeColor="text1"/>
              </w:rPr>
            </w:pPr>
            <w:r w:rsidRPr="00135619">
              <w:rPr>
                <w:rFonts w:ascii="Times New Roman" w:hAnsi="Times New Roman" w:cs="Times New Roman"/>
                <w:color w:val="000000" w:themeColor="text1"/>
              </w:rPr>
              <w:t>PB50</w:t>
            </w:r>
          </w:p>
        </w:tc>
        <w:tc>
          <w:tcPr>
            <w:tcW w:w="2337" w:type="dxa"/>
          </w:tcPr>
          <w:p w14:paraId="2824F73E"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25</w:t>
            </w:r>
          </w:p>
        </w:tc>
        <w:tc>
          <w:tcPr>
            <w:tcW w:w="2338" w:type="dxa"/>
          </w:tcPr>
          <w:p w14:paraId="2D2DC13E"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0</w:t>
            </w:r>
          </w:p>
        </w:tc>
        <w:tc>
          <w:tcPr>
            <w:tcW w:w="2338" w:type="dxa"/>
          </w:tcPr>
          <w:p w14:paraId="4F5B3872" w14:textId="77777777" w:rsidR="00CD6329" w:rsidRPr="00135619" w:rsidRDefault="00CD6329" w:rsidP="00CD6329">
            <w:pPr>
              <w:jc w:val="both"/>
              <w:rPr>
                <w:rFonts w:ascii="Times New Roman" w:hAnsi="Times New Roman" w:cs="Times New Roman"/>
                <w:color w:val="000000" w:themeColor="text1"/>
              </w:rPr>
            </w:pPr>
            <w:r w:rsidRPr="00135619">
              <w:rPr>
                <w:rFonts w:ascii="Times New Roman" w:hAnsi="Times New Roman" w:cs="Times New Roman"/>
                <w:color w:val="000000" w:themeColor="text1"/>
              </w:rPr>
              <w:t>50</w:t>
            </w:r>
          </w:p>
        </w:tc>
      </w:tr>
    </w:tbl>
    <w:p w14:paraId="56644EE7" w14:textId="77777777" w:rsidR="007704FD" w:rsidRPr="00135619" w:rsidRDefault="007704FD" w:rsidP="006C19AA">
      <w:pPr>
        <w:spacing w:line="276" w:lineRule="auto"/>
        <w:jc w:val="both"/>
        <w:rPr>
          <w:rFonts w:ascii="Times New Roman" w:hAnsi="Times New Roman" w:cs="Times New Roman"/>
          <w:color w:val="000000" w:themeColor="text1"/>
          <w:sz w:val="24"/>
          <w:szCs w:val="24"/>
        </w:rPr>
      </w:pPr>
    </w:p>
    <w:p w14:paraId="6133E26F" w14:textId="77777777" w:rsidR="007704FD" w:rsidRPr="00135619" w:rsidRDefault="00E4013A" w:rsidP="006C19AA">
      <w:pPr>
        <w:spacing w:line="276" w:lineRule="auto"/>
        <w:jc w:val="both"/>
        <w:rPr>
          <w:rFonts w:ascii="Times New Roman" w:hAnsi="Times New Roman" w:cs="Times New Roman"/>
          <w:b/>
          <w:color w:val="000000" w:themeColor="text1"/>
          <w:sz w:val="24"/>
          <w:szCs w:val="24"/>
        </w:rPr>
      </w:pPr>
      <w:r w:rsidRPr="00135619">
        <w:t>2.5 Production of Bread: The loaves were prepared with about 50 g of flour, 4 g of sugar, 2 g of salt, 8 g of margarine, 25 mL of water, 1 g of yeast, and 10 g of powdered milk. The rubbing-in method was used for the dry ingredients. After the ingredients had been weighed, the yeast was mixed with milk and water in a basin. The dissolved yeast was added after a hole had been made in the centre of the flour mixture. This was covered with cheesecloth and fermented at 35°C. The dough was hand-kneaded until it was smooth and not sticky after the remaining milk-water mixture, butter, sugar, and salt had been added. The remaining dough was returned to the basin, covered with cheesecloth, and heated at 35°C to proof. After proofing, the doughs were gently coated with egg, placed in fat-oiled pans, and baked for 10 minutes at 220°C (Adinkwu et al., 2025).</w:t>
      </w:r>
    </w:p>
    <w:p w14:paraId="1E82B975" w14:textId="77777777" w:rsidR="00F65A78" w:rsidRPr="00135619" w:rsidRDefault="00F65A78" w:rsidP="00F65A78">
      <w:pPr>
        <w:spacing w:after="0" w:line="276" w:lineRule="auto"/>
        <w:jc w:val="both"/>
        <w:rPr>
          <w:rFonts w:ascii="Times New Roman" w:hAnsi="Times New Roman" w:cs="Times New Roman"/>
          <w:b/>
          <w:color w:val="000000" w:themeColor="text1"/>
          <w:sz w:val="24"/>
          <w:szCs w:val="24"/>
        </w:rPr>
      </w:pPr>
      <w:r w:rsidRPr="00135619">
        <w:rPr>
          <w:rFonts w:ascii="Times New Roman" w:hAnsi="Times New Roman" w:cs="Times New Roman"/>
          <w:b/>
          <w:color w:val="000000" w:themeColor="text1"/>
          <w:sz w:val="24"/>
          <w:szCs w:val="24"/>
        </w:rPr>
        <w:t>2.6 Determination of mineral and vitamin composition</w:t>
      </w:r>
    </w:p>
    <w:p w14:paraId="18117E05" w14:textId="77777777" w:rsidR="00F65A78" w:rsidRPr="00135619" w:rsidRDefault="00F65A78" w:rsidP="00F65A78">
      <w:pPr>
        <w:spacing w:line="276" w:lineRule="auto"/>
        <w:jc w:val="both"/>
        <w:rPr>
          <w:rFonts w:ascii="Times New Roman" w:hAnsi="Times New Roman" w:cs="Times New Roman"/>
          <w:bCs/>
          <w:color w:val="000000" w:themeColor="text1"/>
          <w:sz w:val="24"/>
          <w:szCs w:val="24"/>
        </w:rPr>
      </w:pPr>
      <w:r w:rsidRPr="00135619">
        <w:rPr>
          <w:rFonts w:ascii="Times New Roman" w:hAnsi="Times New Roman" w:cs="Times New Roman"/>
          <w:b/>
          <w:bCs/>
          <w:color w:val="000000" w:themeColor="text1"/>
          <w:sz w:val="24"/>
          <w:szCs w:val="24"/>
        </w:rPr>
        <w:t>Determination of Mineral Composition of Flour Samples</w:t>
      </w:r>
    </w:p>
    <w:p w14:paraId="721C485A" w14:textId="77777777" w:rsidR="001D0284" w:rsidRPr="00135619" w:rsidRDefault="001D0284" w:rsidP="00F65A78">
      <w:pPr>
        <w:spacing w:line="276" w:lineRule="auto"/>
        <w:jc w:val="both"/>
        <w:rPr>
          <w:rFonts w:ascii="Times New Roman" w:hAnsi="Times New Roman" w:cs="Times New Roman"/>
          <w:color w:val="000000" w:themeColor="text1"/>
          <w:sz w:val="24"/>
          <w:szCs w:val="24"/>
        </w:rPr>
      </w:pPr>
      <w:r w:rsidRPr="00135619">
        <w:t>In accordance with the standard procedures recommended by the Association of Official Analytical Chemists (AOAC, 2023), the mineral contents of the flour samples, namely phosphorus, iron, calcium, magnesium, and potassium, were determined using standard methods.</w:t>
      </w:r>
    </w:p>
    <w:p w14:paraId="421089EC" w14:textId="77777777" w:rsidR="00F65A78" w:rsidRPr="00135619" w:rsidRDefault="00F65A78" w:rsidP="00F65A78">
      <w:pPr>
        <w:spacing w:line="276" w:lineRule="auto"/>
        <w:jc w:val="both"/>
        <w:rPr>
          <w:rFonts w:ascii="Times New Roman" w:hAnsi="Times New Roman" w:cs="Times New Roman"/>
          <w:bCs/>
          <w:color w:val="000000" w:themeColor="text1"/>
          <w:sz w:val="24"/>
          <w:szCs w:val="24"/>
        </w:rPr>
      </w:pPr>
      <w:r w:rsidRPr="00135619">
        <w:rPr>
          <w:rFonts w:ascii="Times New Roman" w:hAnsi="Times New Roman" w:cs="Times New Roman"/>
          <w:bCs/>
          <w:color w:val="000000" w:themeColor="text1"/>
          <w:sz w:val="24"/>
          <w:szCs w:val="24"/>
        </w:rPr>
        <w:t>Sample Preparation and Wet Digestion</w:t>
      </w:r>
    </w:p>
    <w:p w14:paraId="0F880BDD" w14:textId="77777777" w:rsidR="001D0284" w:rsidRPr="00135619" w:rsidRDefault="001D0284" w:rsidP="00F65A78">
      <w:pPr>
        <w:spacing w:line="276" w:lineRule="auto"/>
        <w:jc w:val="both"/>
        <w:rPr>
          <w:rFonts w:ascii="Times New Roman" w:hAnsi="Times New Roman" w:cs="Times New Roman"/>
          <w:color w:val="000000" w:themeColor="text1"/>
          <w:sz w:val="24"/>
          <w:szCs w:val="24"/>
        </w:rPr>
      </w:pPr>
      <w:r w:rsidRPr="00135619">
        <w:t>A digestion flask was filled with precisely 2 g of each flour sample. The material was mixed with about 20 mL of concentrated nitric acid (HNO₃), perchloric acid (HClO₄), and sulphuric acid (H₂SO₄) in a 9:2:1 ratio. A clear solution was obtained by gradually heating the mixture on a digestion block in a fume cupboard. For mineral analysis, the digest was cooled, filtered through Whatman No. 1 filter paper into a 100 mL volumetric flask, and made up to volume with distilled water (AOAC, 2023).</w:t>
      </w:r>
    </w:p>
    <w:p w14:paraId="713BCAB0" w14:textId="77777777" w:rsidR="00F65A78" w:rsidRPr="00135619" w:rsidRDefault="00F65A78" w:rsidP="00F65A78">
      <w:pPr>
        <w:spacing w:line="276" w:lineRule="auto"/>
        <w:jc w:val="both"/>
        <w:rPr>
          <w:rFonts w:ascii="Times New Roman" w:hAnsi="Times New Roman" w:cs="Times New Roman"/>
          <w:b/>
          <w:bCs/>
          <w:color w:val="000000" w:themeColor="text1"/>
          <w:sz w:val="24"/>
          <w:szCs w:val="24"/>
        </w:rPr>
      </w:pPr>
      <w:r w:rsidRPr="00135619">
        <w:rPr>
          <w:rFonts w:ascii="Times New Roman" w:hAnsi="Times New Roman" w:cs="Times New Roman"/>
          <w:b/>
          <w:bCs/>
          <w:color w:val="000000" w:themeColor="text1"/>
          <w:sz w:val="24"/>
          <w:szCs w:val="24"/>
        </w:rPr>
        <w:t>Determination of Calcium</w:t>
      </w:r>
    </w:p>
    <w:p w14:paraId="1DDBC4FD" w14:textId="77777777" w:rsidR="001D0284" w:rsidRPr="00135619" w:rsidRDefault="001D0284" w:rsidP="00F65A78">
      <w:pPr>
        <w:spacing w:line="276" w:lineRule="auto"/>
        <w:jc w:val="both"/>
        <w:rPr>
          <w:rFonts w:ascii="Times New Roman" w:hAnsi="Times New Roman" w:cs="Times New Roman"/>
          <w:color w:val="000000" w:themeColor="text1"/>
          <w:sz w:val="24"/>
          <w:szCs w:val="24"/>
        </w:rPr>
      </w:pPr>
      <w:r w:rsidRPr="00135619">
        <w:t>According to AOAC (2023), Atomic Absorption Spectrophotometry (AAS) was used to determine the calcium concentration. Analytical-grade calcium standards were used to prepare standard calcium solutions for instrument calibration. At a wavelength of 422.7 nm, the digested samples were aspirated into the Atomic Absorption Spectrophotometer. The calcium concentration was determined by comparing the measured absorbance values with those of standard solutions using the calibration curve.</w:t>
      </w:r>
    </w:p>
    <w:p w14:paraId="1320EBEA" w14:textId="77777777" w:rsidR="00F65A78" w:rsidRPr="00135619" w:rsidRDefault="00F65A78" w:rsidP="00F65A78">
      <w:pPr>
        <w:spacing w:line="276" w:lineRule="auto"/>
        <w:jc w:val="both"/>
        <w:rPr>
          <w:rFonts w:ascii="Times New Roman" w:hAnsi="Times New Roman" w:cs="Times New Roman"/>
          <w:b/>
          <w:bCs/>
          <w:color w:val="000000" w:themeColor="text1"/>
          <w:sz w:val="24"/>
          <w:szCs w:val="24"/>
        </w:rPr>
      </w:pPr>
      <w:r w:rsidRPr="00135619">
        <w:rPr>
          <w:rFonts w:ascii="Times New Roman" w:hAnsi="Times New Roman" w:cs="Times New Roman"/>
          <w:b/>
          <w:bCs/>
          <w:color w:val="000000" w:themeColor="text1"/>
          <w:sz w:val="24"/>
          <w:szCs w:val="24"/>
        </w:rPr>
        <w:t>Determination of Magnesium</w:t>
      </w:r>
    </w:p>
    <w:p w14:paraId="710726DA" w14:textId="77777777" w:rsidR="000D561A" w:rsidRPr="00135619" w:rsidRDefault="001D0284" w:rsidP="00F65A78">
      <w:pPr>
        <w:spacing w:line="276" w:lineRule="auto"/>
        <w:jc w:val="both"/>
        <w:rPr>
          <w:rFonts w:ascii="Times New Roman" w:hAnsi="Times New Roman" w:cs="Times New Roman"/>
          <w:color w:val="000000" w:themeColor="text1"/>
          <w:sz w:val="24"/>
          <w:szCs w:val="24"/>
        </w:rPr>
      </w:pPr>
      <w:r w:rsidRPr="00135619">
        <w:lastRenderedPageBreak/>
        <w:t>Magnesium content was determined using Atomic Absorption Spectrophotometry (AAS) according to AOAC (2023). Standard magnesium solutions were prepared from analytical-grade magnesium standards for instrument calibration. The digested samples were aspirated into the Atomic Absorption Spectrophotometer. The absorbance values obtained were compared with those of standard solutions, and the magnesium concentration was calculated from the calibration curve.</w:t>
      </w:r>
    </w:p>
    <w:p w14:paraId="3A6A77E6" w14:textId="77777777" w:rsidR="00F65A78" w:rsidRPr="00135619" w:rsidRDefault="00F65A78" w:rsidP="00F65A78">
      <w:pPr>
        <w:spacing w:line="276" w:lineRule="auto"/>
        <w:jc w:val="both"/>
        <w:rPr>
          <w:rFonts w:ascii="Times New Roman" w:hAnsi="Times New Roman" w:cs="Times New Roman"/>
          <w:b/>
          <w:bCs/>
          <w:color w:val="000000" w:themeColor="text1"/>
          <w:sz w:val="24"/>
          <w:szCs w:val="24"/>
        </w:rPr>
      </w:pPr>
      <w:r w:rsidRPr="00135619">
        <w:rPr>
          <w:rFonts w:ascii="Times New Roman" w:hAnsi="Times New Roman" w:cs="Times New Roman"/>
          <w:b/>
          <w:bCs/>
          <w:color w:val="000000" w:themeColor="text1"/>
          <w:sz w:val="24"/>
          <w:szCs w:val="24"/>
        </w:rPr>
        <w:t>Determination of Iron</w:t>
      </w:r>
    </w:p>
    <w:p w14:paraId="21869264" w14:textId="77777777" w:rsidR="000D561A" w:rsidRPr="00135619" w:rsidRDefault="001D0284" w:rsidP="00F65A78">
      <w:pPr>
        <w:spacing w:line="276" w:lineRule="auto"/>
        <w:jc w:val="both"/>
        <w:rPr>
          <w:rFonts w:ascii="Times New Roman" w:hAnsi="Times New Roman" w:cs="Times New Roman"/>
          <w:color w:val="000000" w:themeColor="text1"/>
          <w:sz w:val="24"/>
          <w:szCs w:val="24"/>
        </w:rPr>
      </w:pPr>
      <w:r w:rsidRPr="00135619">
        <w:t>The Atomic Absorption Spectrophotometric technique, as described by AOAC (2023), was used to determine iron. At a wavelength of 248.3 nm, the digested sample solutions were aspirated into the AAS. The iron concentration in the samples was determined using the calibration curve and standard iron solutions for calibration.</w:t>
      </w:r>
    </w:p>
    <w:p w14:paraId="42AAC604" w14:textId="77777777" w:rsidR="00F65A78" w:rsidRPr="00135619" w:rsidRDefault="00F65A78" w:rsidP="00F65A78">
      <w:pPr>
        <w:spacing w:line="276" w:lineRule="auto"/>
        <w:jc w:val="both"/>
        <w:rPr>
          <w:rFonts w:ascii="Times New Roman" w:hAnsi="Times New Roman" w:cs="Times New Roman"/>
          <w:b/>
          <w:bCs/>
          <w:color w:val="000000" w:themeColor="text1"/>
          <w:sz w:val="24"/>
          <w:szCs w:val="24"/>
        </w:rPr>
      </w:pPr>
      <w:r w:rsidRPr="00135619">
        <w:rPr>
          <w:rFonts w:ascii="Times New Roman" w:hAnsi="Times New Roman" w:cs="Times New Roman"/>
          <w:b/>
          <w:bCs/>
          <w:color w:val="000000" w:themeColor="text1"/>
          <w:sz w:val="24"/>
          <w:szCs w:val="24"/>
        </w:rPr>
        <w:t>Determination of Potassium</w:t>
      </w:r>
    </w:p>
    <w:p w14:paraId="2C7B706E" w14:textId="77777777" w:rsidR="000D561A" w:rsidRPr="00135619" w:rsidRDefault="001D0284" w:rsidP="00F65A78">
      <w:pPr>
        <w:spacing w:line="276" w:lineRule="auto"/>
        <w:jc w:val="both"/>
        <w:rPr>
          <w:rFonts w:ascii="Times New Roman" w:hAnsi="Times New Roman" w:cs="Times New Roman"/>
          <w:color w:val="000000" w:themeColor="text1"/>
          <w:sz w:val="24"/>
          <w:szCs w:val="24"/>
        </w:rPr>
      </w:pPr>
      <w:r w:rsidRPr="00135619">
        <w:t>The Atomic Absorption Spectrophotometric technique, as described by AOAC (2023), was used to determine potassium. The digested sample solutions were aspirated into the AAS. The potassium concentration in the samples was determined using the calibration curve and standard potassium solutions for calibration.</w:t>
      </w:r>
    </w:p>
    <w:p w14:paraId="1694F1CC" w14:textId="77777777" w:rsidR="00F65A78" w:rsidRPr="00135619" w:rsidRDefault="00F65A78" w:rsidP="00F65A78">
      <w:pPr>
        <w:spacing w:line="276" w:lineRule="auto"/>
        <w:jc w:val="both"/>
        <w:rPr>
          <w:rFonts w:ascii="Times New Roman" w:hAnsi="Times New Roman" w:cs="Times New Roman"/>
          <w:b/>
          <w:bCs/>
          <w:color w:val="000000" w:themeColor="text1"/>
          <w:sz w:val="24"/>
          <w:szCs w:val="24"/>
        </w:rPr>
      </w:pPr>
      <w:r w:rsidRPr="00135619">
        <w:rPr>
          <w:rFonts w:ascii="Times New Roman" w:hAnsi="Times New Roman" w:cs="Times New Roman"/>
          <w:b/>
          <w:bCs/>
          <w:color w:val="000000" w:themeColor="text1"/>
          <w:sz w:val="24"/>
          <w:szCs w:val="24"/>
        </w:rPr>
        <w:t>Determination of Phosphorus</w:t>
      </w:r>
    </w:p>
    <w:p w14:paraId="6B0CDDAC" w14:textId="77777777" w:rsidR="001D0284" w:rsidRPr="00135619" w:rsidRDefault="001D0284" w:rsidP="00F65A78">
      <w:pPr>
        <w:spacing w:line="276" w:lineRule="auto"/>
        <w:jc w:val="both"/>
        <w:rPr>
          <w:rFonts w:ascii="Times New Roman" w:hAnsi="Times New Roman" w:cs="Times New Roman"/>
          <w:color w:val="000000" w:themeColor="text1"/>
          <w:sz w:val="24"/>
          <w:szCs w:val="24"/>
        </w:rPr>
      </w:pPr>
      <w:r w:rsidRPr="00135619">
        <w:t>The molybdovanadate colourimetric method, as outlined by AOAC (2023), was used to estimate the phosphorus concentration. Ammonium molybdate and ammonium vanadate reagents were added to a test tube containing an aliquot of the digested material. Using a UV-visible spectrophotometer, the yellow complex formed was detected spectrophotometrically at 420 nm. A standard phosphorus calibration curve was used to determine the phosphorus concentration, which was expressed as mg/100 g sample.</w:t>
      </w:r>
    </w:p>
    <w:p w14:paraId="67A10306" w14:textId="77777777" w:rsidR="00F65A78" w:rsidRPr="00135619" w:rsidRDefault="00F65A78" w:rsidP="00F65A78">
      <w:pPr>
        <w:spacing w:line="276" w:lineRule="auto"/>
        <w:jc w:val="both"/>
        <w:rPr>
          <w:rFonts w:ascii="Times New Roman" w:hAnsi="Times New Roman" w:cs="Times New Roman"/>
          <w:b/>
          <w:bCs/>
          <w:color w:val="000000" w:themeColor="text1"/>
          <w:sz w:val="24"/>
          <w:szCs w:val="24"/>
        </w:rPr>
      </w:pPr>
      <w:r w:rsidRPr="00135619">
        <w:rPr>
          <w:rFonts w:ascii="Times New Roman" w:hAnsi="Times New Roman" w:cs="Times New Roman"/>
          <w:b/>
          <w:bCs/>
          <w:color w:val="000000" w:themeColor="text1"/>
          <w:sz w:val="24"/>
          <w:szCs w:val="24"/>
        </w:rPr>
        <w:t>Determination of Vitamin B1 (Thiamine)</w:t>
      </w:r>
    </w:p>
    <w:p w14:paraId="26FDDA9E" w14:textId="77777777" w:rsidR="00AA0B6B" w:rsidRPr="00135619" w:rsidRDefault="001D0284" w:rsidP="00F65A78">
      <w:pPr>
        <w:spacing w:line="276" w:lineRule="auto"/>
        <w:jc w:val="both"/>
        <w:rPr>
          <w:rFonts w:ascii="Times New Roman" w:hAnsi="Times New Roman" w:cs="Times New Roman"/>
          <w:color w:val="000000" w:themeColor="text1"/>
          <w:sz w:val="24"/>
          <w:szCs w:val="24"/>
        </w:rPr>
      </w:pPr>
      <w:r w:rsidRPr="00135619">
        <w:t>The spectrophotometric method outlined by AOAC (2023) was used to measure vitamin B1 (thiamine). To extract thiamine, about 5 g of the flour sample was homogenised with diluted hydrochloric acid and heated in a water bath. Fluorescent thiochrome was produced by filtering the extract and treating it with an alkaline potassium ferricyanide solution. A UV-visible spectrophotometer was used to detect the absorbance, and standard thiamine solutions were used to calculate the thiamine concentration.</w:t>
      </w:r>
    </w:p>
    <w:p w14:paraId="73B8A647" w14:textId="77777777" w:rsidR="00F65A78" w:rsidRPr="00135619" w:rsidRDefault="00F65A78" w:rsidP="00F65A78">
      <w:pPr>
        <w:spacing w:line="276" w:lineRule="auto"/>
        <w:jc w:val="both"/>
        <w:rPr>
          <w:rFonts w:ascii="Times New Roman" w:hAnsi="Times New Roman" w:cs="Times New Roman"/>
          <w:b/>
          <w:bCs/>
          <w:color w:val="000000" w:themeColor="text1"/>
          <w:sz w:val="24"/>
          <w:szCs w:val="24"/>
        </w:rPr>
      </w:pPr>
      <w:r w:rsidRPr="00135619">
        <w:rPr>
          <w:rFonts w:ascii="Times New Roman" w:hAnsi="Times New Roman" w:cs="Times New Roman"/>
          <w:b/>
          <w:bCs/>
          <w:color w:val="000000" w:themeColor="text1"/>
          <w:sz w:val="24"/>
          <w:szCs w:val="24"/>
        </w:rPr>
        <w:t>Determination of Vitamin B2 (Riboflavin)</w:t>
      </w:r>
    </w:p>
    <w:p w14:paraId="0DCFEB8E" w14:textId="77777777" w:rsidR="00AA0B6B" w:rsidRPr="00135619" w:rsidRDefault="00AA0B6B" w:rsidP="00F65A78">
      <w:pPr>
        <w:spacing w:line="276" w:lineRule="auto"/>
        <w:jc w:val="both"/>
        <w:rPr>
          <w:rFonts w:ascii="Times New Roman" w:hAnsi="Times New Roman" w:cs="Times New Roman"/>
          <w:color w:val="000000" w:themeColor="text1"/>
          <w:sz w:val="24"/>
          <w:szCs w:val="24"/>
        </w:rPr>
      </w:pPr>
      <w:r w:rsidRPr="00135619">
        <w:t>The method outlined by AOAC (2023) was used to determine vitamin B2 (riboflavin). Flour samples were filtered after extraction using a diluted acid solution. Before determining absorbance using a UV-visible spectrophotometer at the appropriate wavelength, the filtrate was properly treated to liberate bound riboflavin. The calibration curve was prepared using standard riboflavin solutions, and the riboflavin concentration was determined and expressed as mg/100 g sample.</w:t>
      </w:r>
    </w:p>
    <w:p w14:paraId="7C8C6081" w14:textId="77777777" w:rsidR="00F65A78" w:rsidRPr="00135619" w:rsidRDefault="00F65A78" w:rsidP="00F65A78">
      <w:pPr>
        <w:spacing w:line="276" w:lineRule="auto"/>
        <w:jc w:val="both"/>
        <w:rPr>
          <w:rFonts w:ascii="Times New Roman" w:hAnsi="Times New Roman" w:cs="Times New Roman"/>
          <w:b/>
          <w:bCs/>
          <w:color w:val="000000" w:themeColor="text1"/>
          <w:sz w:val="24"/>
          <w:szCs w:val="24"/>
        </w:rPr>
      </w:pPr>
      <w:r w:rsidRPr="00135619">
        <w:rPr>
          <w:rFonts w:ascii="Times New Roman" w:hAnsi="Times New Roman" w:cs="Times New Roman"/>
          <w:b/>
          <w:bCs/>
          <w:color w:val="000000" w:themeColor="text1"/>
          <w:sz w:val="24"/>
          <w:szCs w:val="24"/>
        </w:rPr>
        <w:t>Determination of Vitamin B3 (Niacin)</w:t>
      </w:r>
    </w:p>
    <w:p w14:paraId="305F1E5D" w14:textId="77777777" w:rsidR="00AA0B6B" w:rsidRPr="00135619" w:rsidRDefault="00AA0B6B" w:rsidP="006C19AA">
      <w:pPr>
        <w:spacing w:line="276" w:lineRule="auto"/>
        <w:jc w:val="both"/>
        <w:rPr>
          <w:rFonts w:ascii="Times New Roman" w:hAnsi="Times New Roman" w:cs="Times New Roman"/>
          <w:color w:val="000000" w:themeColor="text1"/>
          <w:sz w:val="24"/>
          <w:szCs w:val="24"/>
        </w:rPr>
      </w:pPr>
      <w:r w:rsidRPr="00135619">
        <w:lastRenderedPageBreak/>
        <w:t>The colourimetric method outlined by AOAC (2023) was used to determine vitamin B3 (niacin). After extraction using an acidic solution, the flour samples were filtered. A coloured complex was produced by reacting the filtrate with cyanogen bromide and aromatic amine reagents. The absorbance of the generated colour was measured using spectrophotometry, and the calibration curve prepared with standard niacin solutions was used to calculate the niacin content.</w:t>
      </w:r>
    </w:p>
    <w:p w14:paraId="4C1CA608" w14:textId="77777777" w:rsidR="00082A24" w:rsidRPr="00135619" w:rsidRDefault="00CB2BB9" w:rsidP="006C19AA">
      <w:pPr>
        <w:spacing w:line="276" w:lineRule="auto"/>
        <w:jc w:val="both"/>
        <w:rPr>
          <w:rFonts w:ascii="Times New Roman" w:hAnsi="Times New Roman" w:cs="Times New Roman"/>
          <w:b/>
          <w:bCs/>
          <w:color w:val="000000" w:themeColor="text1"/>
        </w:rPr>
      </w:pPr>
      <w:r w:rsidRPr="00135619">
        <w:rPr>
          <w:rFonts w:ascii="Times New Roman" w:hAnsi="Times New Roman" w:cs="Times New Roman"/>
          <w:b/>
          <w:bCs/>
          <w:color w:val="000000" w:themeColor="text1"/>
        </w:rPr>
        <w:t>2</w:t>
      </w:r>
      <w:r w:rsidR="00082A24" w:rsidRPr="00135619">
        <w:rPr>
          <w:rFonts w:ascii="Times New Roman" w:hAnsi="Times New Roman" w:cs="Times New Roman"/>
          <w:b/>
          <w:bCs/>
          <w:color w:val="000000" w:themeColor="text1"/>
        </w:rPr>
        <w:t>.8 Experimental Design</w:t>
      </w:r>
    </w:p>
    <w:p w14:paraId="021A6F5B" w14:textId="77777777" w:rsidR="00967768" w:rsidRPr="00135619" w:rsidRDefault="00967768" w:rsidP="00967768">
      <w:pPr>
        <w:rPr>
          <w:rFonts w:ascii="Times New Roman" w:hAnsi="Times New Roman" w:cs="Times New Roman"/>
          <w:bCs/>
          <w:color w:val="000000" w:themeColor="text1"/>
        </w:rPr>
      </w:pPr>
      <w:r w:rsidRPr="00135619">
        <w:t>A completely randomised design was used for the experiment. Analysis of variance (ANOVA) was used to examine the collected data. The least significant difference (LSD) test was used to identify significantly different means. Significance was accepted at p &lt; 0.05.</w:t>
      </w:r>
    </w:p>
    <w:p w14:paraId="4B2E9F7E" w14:textId="77777777" w:rsidR="00C60D36" w:rsidRPr="00135619" w:rsidRDefault="00C60D36" w:rsidP="00CB2BB9">
      <w:pPr>
        <w:rPr>
          <w:rFonts w:ascii="Times New Roman" w:eastAsia="Calibri" w:hAnsi="Times New Roman" w:cs="Times New Roman"/>
          <w:b/>
          <w:color w:val="000000" w:themeColor="text1"/>
          <w:sz w:val="24"/>
          <w:szCs w:val="24"/>
        </w:rPr>
      </w:pPr>
      <w:r w:rsidRPr="00135619">
        <w:rPr>
          <w:rFonts w:ascii="Times New Roman" w:eastAsia="Calibri" w:hAnsi="Times New Roman" w:cs="Times New Roman"/>
          <w:b/>
          <w:color w:val="000000" w:themeColor="text1"/>
          <w:sz w:val="24"/>
          <w:szCs w:val="24"/>
        </w:rPr>
        <w:t>RESULTS AND CONCLUSION</w:t>
      </w:r>
      <w:r w:rsidR="007211D2" w:rsidRPr="00135619">
        <w:rPr>
          <w:rFonts w:ascii="Times New Roman" w:eastAsia="Calibri" w:hAnsi="Times New Roman" w:cs="Times New Roman"/>
          <w:b/>
          <w:color w:val="000000" w:themeColor="text1"/>
          <w:sz w:val="24"/>
          <w:szCs w:val="24"/>
        </w:rPr>
        <w:t xml:space="preserve"> </w:t>
      </w:r>
    </w:p>
    <w:p w14:paraId="56A98FC6" w14:textId="77777777" w:rsidR="00B26DDE" w:rsidRPr="00135619" w:rsidRDefault="00B26DDE" w:rsidP="00B26DDE">
      <w:pPr>
        <w:rPr>
          <w:rFonts w:ascii="Times New Roman" w:eastAsia="Calibri" w:hAnsi="Times New Roman" w:cs="Times New Roman"/>
          <w:b/>
          <w:color w:val="000000" w:themeColor="text1"/>
        </w:rPr>
      </w:pPr>
      <w:r w:rsidRPr="00135619">
        <w:t>3.1 Mineral concentration of bread produced from blends of wheat, pigeon pea, and millet flour</w:t>
      </w:r>
    </w:p>
    <w:p w14:paraId="41FD7818" w14:textId="77777777" w:rsidR="00B26DDE" w:rsidRPr="00135619" w:rsidRDefault="00EC1047" w:rsidP="00B26DDE">
      <w:pPr>
        <w:rPr>
          <w:rFonts w:ascii="Times New Roman" w:eastAsia="Calibri" w:hAnsi="Times New Roman" w:cs="Times New Roman"/>
          <w:b/>
          <w:color w:val="000000" w:themeColor="text1"/>
        </w:rPr>
      </w:pPr>
      <w:r w:rsidRPr="00135619">
        <w:rPr>
          <w:rFonts w:ascii="Times New Roman" w:eastAsia="Calibri" w:hAnsi="Times New Roman" w:cs="Times New Roman"/>
          <w:b/>
          <w:color w:val="000000" w:themeColor="text1"/>
        </w:rPr>
        <w:t>Table 1: M</w:t>
      </w:r>
      <w:r w:rsidR="00B26DDE" w:rsidRPr="00135619">
        <w:rPr>
          <w:rFonts w:ascii="Times New Roman" w:eastAsia="Calibri" w:hAnsi="Times New Roman" w:cs="Times New Roman"/>
          <w:b/>
          <w:color w:val="000000" w:themeColor="text1"/>
        </w:rPr>
        <w:t>ineral concentration of bread produced from blends of wheat, pigeon pea and millet flour</w:t>
      </w:r>
      <w:r w:rsidR="00FB7BE2" w:rsidRPr="00135619">
        <w:rPr>
          <w:rFonts w:ascii="Times New Roman" w:eastAsia="Calibri" w:hAnsi="Times New Roman" w:cs="Times New Roman"/>
          <w:b/>
          <w:color w:val="000000" w:themeColor="text1"/>
        </w:rPr>
        <w:t xml:space="preserve"> (mg/100g)</w:t>
      </w:r>
    </w:p>
    <w:p w14:paraId="33F51067" w14:textId="77777777" w:rsidR="00B26DDE" w:rsidRPr="00135619" w:rsidRDefault="00B26DDE" w:rsidP="00B26DDE">
      <w:pPr>
        <w:rPr>
          <w:rFonts w:ascii="Times New Roman" w:eastAsia="Calibri" w:hAnsi="Times New Roman" w:cs="Times New Roman"/>
          <w:color w:val="000000" w:themeColor="text1"/>
        </w:rPr>
      </w:pPr>
      <w:r w:rsidRPr="00135619">
        <w:t>The mineral composition of the bread samples is shown in Table 1.</w:t>
      </w:r>
    </w:p>
    <w:tbl>
      <w:tblPr>
        <w:tblW w:w="5000" w:type="pct"/>
        <w:tblLook w:val="04A0" w:firstRow="1" w:lastRow="0" w:firstColumn="1" w:lastColumn="0" w:noHBand="0" w:noVBand="1"/>
      </w:tblPr>
      <w:tblGrid>
        <w:gridCol w:w="1384"/>
        <w:gridCol w:w="1647"/>
        <w:gridCol w:w="505"/>
        <w:gridCol w:w="960"/>
        <w:gridCol w:w="261"/>
        <w:gridCol w:w="1256"/>
        <w:gridCol w:w="222"/>
        <w:gridCol w:w="1573"/>
        <w:gridCol w:w="1552"/>
      </w:tblGrid>
      <w:tr w:rsidR="008A22FB" w:rsidRPr="00135619" w14:paraId="3803CB2C" w14:textId="77777777" w:rsidTr="00D94BB1">
        <w:trPr>
          <w:trHeight w:val="288"/>
        </w:trPr>
        <w:tc>
          <w:tcPr>
            <w:tcW w:w="586" w:type="pct"/>
            <w:tcBorders>
              <w:top w:val="single" w:sz="12" w:space="0" w:color="auto"/>
              <w:left w:val="nil"/>
              <w:bottom w:val="single" w:sz="12" w:space="0" w:color="auto"/>
              <w:right w:val="nil"/>
            </w:tcBorders>
            <w:noWrap/>
            <w:vAlign w:val="bottom"/>
            <w:hideMark/>
          </w:tcPr>
          <w:p w14:paraId="5B831788"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SAMPLE</w:t>
            </w:r>
          </w:p>
        </w:tc>
        <w:tc>
          <w:tcPr>
            <w:tcW w:w="786" w:type="pct"/>
            <w:tcBorders>
              <w:top w:val="single" w:sz="12" w:space="0" w:color="auto"/>
              <w:left w:val="nil"/>
              <w:bottom w:val="single" w:sz="12" w:space="0" w:color="auto"/>
              <w:right w:val="nil"/>
            </w:tcBorders>
            <w:noWrap/>
            <w:vAlign w:val="bottom"/>
            <w:hideMark/>
          </w:tcPr>
          <w:p w14:paraId="4F2AAD9F"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PHOSPHORUS</w:t>
            </w:r>
          </w:p>
        </w:tc>
        <w:tc>
          <w:tcPr>
            <w:tcW w:w="305" w:type="pct"/>
            <w:tcBorders>
              <w:top w:val="single" w:sz="12" w:space="0" w:color="auto"/>
              <w:left w:val="nil"/>
              <w:bottom w:val="single" w:sz="12" w:space="0" w:color="auto"/>
              <w:right w:val="nil"/>
            </w:tcBorders>
            <w:noWrap/>
            <w:vAlign w:val="bottom"/>
            <w:hideMark/>
          </w:tcPr>
          <w:p w14:paraId="33539836" w14:textId="77777777" w:rsidR="00C60D36" w:rsidRPr="00135619" w:rsidRDefault="00C60D36" w:rsidP="00D94BB1">
            <w:pPr>
              <w:rPr>
                <w:rFonts w:ascii="Times New Roman" w:eastAsia="Calibri" w:hAnsi="Times New Roman" w:cs="Times New Roman"/>
                <w:color w:val="000000" w:themeColor="text1"/>
              </w:rPr>
            </w:pPr>
          </w:p>
        </w:tc>
        <w:tc>
          <w:tcPr>
            <w:tcW w:w="548" w:type="pct"/>
            <w:tcBorders>
              <w:top w:val="single" w:sz="12" w:space="0" w:color="auto"/>
              <w:left w:val="nil"/>
              <w:bottom w:val="single" w:sz="12" w:space="0" w:color="auto"/>
              <w:right w:val="nil"/>
            </w:tcBorders>
            <w:noWrap/>
            <w:vAlign w:val="bottom"/>
            <w:hideMark/>
          </w:tcPr>
          <w:p w14:paraId="2903153A"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IRON</w:t>
            </w:r>
          </w:p>
        </w:tc>
        <w:tc>
          <w:tcPr>
            <w:tcW w:w="156" w:type="pct"/>
            <w:tcBorders>
              <w:top w:val="single" w:sz="12" w:space="0" w:color="auto"/>
              <w:left w:val="nil"/>
              <w:bottom w:val="single" w:sz="12" w:space="0" w:color="auto"/>
              <w:right w:val="nil"/>
            </w:tcBorders>
            <w:noWrap/>
            <w:vAlign w:val="bottom"/>
            <w:hideMark/>
          </w:tcPr>
          <w:p w14:paraId="76522217" w14:textId="77777777" w:rsidR="00C60D36" w:rsidRPr="00135619" w:rsidRDefault="00C60D36" w:rsidP="00D94BB1">
            <w:pPr>
              <w:rPr>
                <w:rFonts w:ascii="Times New Roman" w:eastAsia="Calibri" w:hAnsi="Times New Roman" w:cs="Times New Roman"/>
                <w:color w:val="000000" w:themeColor="text1"/>
              </w:rPr>
            </w:pPr>
          </w:p>
        </w:tc>
        <w:tc>
          <w:tcPr>
            <w:tcW w:w="725" w:type="pct"/>
            <w:tcBorders>
              <w:top w:val="single" w:sz="12" w:space="0" w:color="auto"/>
              <w:left w:val="nil"/>
              <w:bottom w:val="single" w:sz="12" w:space="0" w:color="auto"/>
              <w:right w:val="nil"/>
            </w:tcBorders>
            <w:noWrap/>
            <w:vAlign w:val="bottom"/>
            <w:hideMark/>
          </w:tcPr>
          <w:p w14:paraId="47F2CC42"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CALCIUM</w:t>
            </w:r>
          </w:p>
        </w:tc>
        <w:tc>
          <w:tcPr>
            <w:tcW w:w="129" w:type="pct"/>
            <w:tcBorders>
              <w:top w:val="single" w:sz="12" w:space="0" w:color="auto"/>
              <w:left w:val="nil"/>
              <w:bottom w:val="single" w:sz="12" w:space="0" w:color="auto"/>
              <w:right w:val="nil"/>
            </w:tcBorders>
            <w:noWrap/>
            <w:vAlign w:val="bottom"/>
            <w:hideMark/>
          </w:tcPr>
          <w:p w14:paraId="4892DC37" w14:textId="77777777" w:rsidR="00C60D36" w:rsidRPr="00135619" w:rsidRDefault="00C60D36" w:rsidP="00D94BB1">
            <w:pPr>
              <w:rPr>
                <w:rFonts w:ascii="Times New Roman" w:eastAsia="Calibri" w:hAnsi="Times New Roman" w:cs="Times New Roman"/>
                <w:color w:val="000000" w:themeColor="text1"/>
              </w:rPr>
            </w:pPr>
          </w:p>
        </w:tc>
        <w:tc>
          <w:tcPr>
            <w:tcW w:w="881" w:type="pct"/>
            <w:tcBorders>
              <w:top w:val="single" w:sz="12" w:space="0" w:color="auto"/>
              <w:left w:val="nil"/>
              <w:bottom w:val="single" w:sz="12" w:space="0" w:color="auto"/>
              <w:right w:val="nil"/>
            </w:tcBorders>
            <w:noWrap/>
            <w:vAlign w:val="bottom"/>
            <w:hideMark/>
          </w:tcPr>
          <w:p w14:paraId="4516F476"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MAGNESIUM</w:t>
            </w:r>
          </w:p>
        </w:tc>
        <w:tc>
          <w:tcPr>
            <w:tcW w:w="884" w:type="pct"/>
            <w:tcBorders>
              <w:top w:val="single" w:sz="12" w:space="0" w:color="auto"/>
              <w:left w:val="nil"/>
              <w:bottom w:val="single" w:sz="12" w:space="0" w:color="auto"/>
              <w:right w:val="nil"/>
            </w:tcBorders>
            <w:noWrap/>
            <w:vAlign w:val="bottom"/>
            <w:hideMark/>
          </w:tcPr>
          <w:p w14:paraId="1CAD1B7A"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POTASSIUM</w:t>
            </w:r>
          </w:p>
        </w:tc>
      </w:tr>
      <w:tr w:rsidR="008A22FB" w:rsidRPr="00135619" w14:paraId="272324C2" w14:textId="77777777" w:rsidTr="00D94BB1">
        <w:trPr>
          <w:trHeight w:val="288"/>
        </w:trPr>
        <w:tc>
          <w:tcPr>
            <w:tcW w:w="586" w:type="pct"/>
            <w:tcBorders>
              <w:top w:val="single" w:sz="12" w:space="0" w:color="auto"/>
              <w:left w:val="nil"/>
              <w:bottom w:val="nil"/>
              <w:right w:val="nil"/>
            </w:tcBorders>
            <w:noWrap/>
            <w:vAlign w:val="bottom"/>
            <w:hideMark/>
          </w:tcPr>
          <w:p w14:paraId="04962523" w14:textId="77777777" w:rsidR="00C60D36" w:rsidRPr="00135619" w:rsidRDefault="00967768"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CC (</w:t>
            </w:r>
            <w:r w:rsidR="00C60D36" w:rsidRPr="00135619">
              <w:rPr>
                <w:rFonts w:ascii="Times New Roman" w:eastAsia="Calibri" w:hAnsi="Times New Roman" w:cs="Times New Roman"/>
                <w:color w:val="000000" w:themeColor="text1"/>
              </w:rPr>
              <w:t>Control</w:t>
            </w:r>
            <w:r w:rsidRPr="00135619">
              <w:rPr>
                <w:rFonts w:ascii="Times New Roman" w:eastAsia="Calibri" w:hAnsi="Times New Roman" w:cs="Times New Roman"/>
                <w:color w:val="000000" w:themeColor="text1"/>
              </w:rPr>
              <w:t>)</w:t>
            </w:r>
          </w:p>
        </w:tc>
        <w:tc>
          <w:tcPr>
            <w:tcW w:w="1091" w:type="pct"/>
            <w:gridSpan w:val="2"/>
            <w:tcBorders>
              <w:top w:val="single" w:sz="12" w:space="0" w:color="auto"/>
              <w:left w:val="nil"/>
              <w:bottom w:val="nil"/>
              <w:right w:val="nil"/>
            </w:tcBorders>
            <w:noWrap/>
            <w:vAlign w:val="bottom"/>
            <w:hideMark/>
          </w:tcPr>
          <w:p w14:paraId="0F1B7481"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25.08</w:t>
            </w:r>
            <w:r w:rsidR="0000236D" w:rsidRPr="00135619">
              <w:rPr>
                <w:rFonts w:ascii="Times New Roman" w:eastAsia="Calibri" w:hAnsi="Times New Roman" w:cs="Times New Roman"/>
                <w:color w:val="000000" w:themeColor="text1"/>
                <w:vertAlign w:val="superscript"/>
              </w:rPr>
              <w:t>d</w:t>
            </w:r>
            <w:r w:rsidRPr="00135619">
              <w:rPr>
                <w:rFonts w:ascii="Times New Roman" w:eastAsia="Calibri" w:hAnsi="Times New Roman" w:cs="Times New Roman"/>
                <w:color w:val="000000" w:themeColor="text1"/>
              </w:rPr>
              <w:t>+1.46</w:t>
            </w:r>
          </w:p>
        </w:tc>
        <w:tc>
          <w:tcPr>
            <w:tcW w:w="704" w:type="pct"/>
            <w:gridSpan w:val="2"/>
            <w:tcBorders>
              <w:top w:val="single" w:sz="12" w:space="0" w:color="auto"/>
              <w:left w:val="nil"/>
              <w:bottom w:val="nil"/>
              <w:right w:val="nil"/>
            </w:tcBorders>
            <w:noWrap/>
            <w:vAlign w:val="bottom"/>
            <w:hideMark/>
          </w:tcPr>
          <w:p w14:paraId="2B51229A"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0.61</w:t>
            </w:r>
            <w:r w:rsidR="0000236D" w:rsidRPr="00135619">
              <w:rPr>
                <w:rFonts w:ascii="Times New Roman" w:eastAsia="Calibri" w:hAnsi="Times New Roman" w:cs="Times New Roman"/>
                <w:color w:val="000000" w:themeColor="text1"/>
                <w:vertAlign w:val="superscript"/>
              </w:rPr>
              <w:t>c</w:t>
            </w:r>
            <w:r w:rsidRPr="00135619">
              <w:rPr>
                <w:rFonts w:ascii="Times New Roman" w:eastAsia="Calibri" w:hAnsi="Times New Roman" w:cs="Times New Roman"/>
                <w:color w:val="000000" w:themeColor="text1"/>
              </w:rPr>
              <w:t>+0.02</w:t>
            </w:r>
          </w:p>
        </w:tc>
        <w:tc>
          <w:tcPr>
            <w:tcW w:w="854" w:type="pct"/>
            <w:gridSpan w:val="2"/>
            <w:tcBorders>
              <w:top w:val="single" w:sz="12" w:space="0" w:color="auto"/>
              <w:left w:val="nil"/>
              <w:bottom w:val="nil"/>
              <w:right w:val="nil"/>
            </w:tcBorders>
            <w:noWrap/>
            <w:vAlign w:val="bottom"/>
            <w:hideMark/>
          </w:tcPr>
          <w:p w14:paraId="62A92816"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136.94</w:t>
            </w:r>
            <w:r w:rsidR="0000236D" w:rsidRPr="00135619">
              <w:rPr>
                <w:rFonts w:ascii="Times New Roman" w:eastAsia="Calibri" w:hAnsi="Times New Roman" w:cs="Times New Roman"/>
                <w:color w:val="000000" w:themeColor="text1"/>
                <w:vertAlign w:val="superscript"/>
              </w:rPr>
              <w:t>e</w:t>
            </w:r>
            <w:r w:rsidRPr="00135619">
              <w:rPr>
                <w:rFonts w:ascii="Times New Roman" w:eastAsia="Calibri" w:hAnsi="Times New Roman" w:cs="Times New Roman"/>
                <w:color w:val="000000" w:themeColor="text1"/>
              </w:rPr>
              <w:t>+1.94</w:t>
            </w:r>
          </w:p>
        </w:tc>
        <w:tc>
          <w:tcPr>
            <w:tcW w:w="881" w:type="pct"/>
            <w:tcBorders>
              <w:top w:val="single" w:sz="12" w:space="0" w:color="auto"/>
              <w:left w:val="nil"/>
              <w:bottom w:val="nil"/>
              <w:right w:val="nil"/>
            </w:tcBorders>
            <w:noWrap/>
            <w:vAlign w:val="bottom"/>
            <w:hideMark/>
          </w:tcPr>
          <w:p w14:paraId="0E73D266"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103.56</w:t>
            </w:r>
            <w:r w:rsidR="0000236D" w:rsidRPr="00135619">
              <w:rPr>
                <w:rFonts w:ascii="Times New Roman" w:eastAsia="Calibri" w:hAnsi="Times New Roman" w:cs="Times New Roman"/>
                <w:color w:val="000000" w:themeColor="text1"/>
                <w:vertAlign w:val="superscript"/>
              </w:rPr>
              <w:t>d</w:t>
            </w:r>
            <w:r w:rsidRPr="00135619">
              <w:rPr>
                <w:rFonts w:ascii="Times New Roman" w:eastAsia="Calibri" w:hAnsi="Times New Roman" w:cs="Times New Roman"/>
                <w:color w:val="000000" w:themeColor="text1"/>
              </w:rPr>
              <w:t>+0.81</w:t>
            </w:r>
          </w:p>
        </w:tc>
        <w:tc>
          <w:tcPr>
            <w:tcW w:w="884" w:type="pct"/>
            <w:tcBorders>
              <w:top w:val="nil"/>
              <w:left w:val="nil"/>
              <w:bottom w:val="nil"/>
              <w:right w:val="nil"/>
            </w:tcBorders>
            <w:noWrap/>
            <w:vAlign w:val="bottom"/>
            <w:hideMark/>
          </w:tcPr>
          <w:p w14:paraId="0C5B56F1"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150.20</w:t>
            </w:r>
            <w:r w:rsidR="0000236D" w:rsidRPr="00135619">
              <w:rPr>
                <w:rFonts w:ascii="Times New Roman" w:eastAsia="Calibri" w:hAnsi="Times New Roman" w:cs="Times New Roman"/>
                <w:color w:val="000000" w:themeColor="text1"/>
                <w:vertAlign w:val="superscript"/>
              </w:rPr>
              <w:t>e</w:t>
            </w:r>
            <w:r w:rsidRPr="00135619">
              <w:rPr>
                <w:rFonts w:ascii="Times New Roman" w:eastAsia="Calibri" w:hAnsi="Times New Roman" w:cs="Times New Roman"/>
                <w:color w:val="000000" w:themeColor="text1"/>
              </w:rPr>
              <w:t>+0.11</w:t>
            </w:r>
          </w:p>
        </w:tc>
      </w:tr>
      <w:tr w:rsidR="008A22FB" w:rsidRPr="00135619" w14:paraId="79FBDF91" w14:textId="77777777" w:rsidTr="00D94BB1">
        <w:trPr>
          <w:trHeight w:val="288"/>
        </w:trPr>
        <w:tc>
          <w:tcPr>
            <w:tcW w:w="586" w:type="pct"/>
            <w:tcBorders>
              <w:top w:val="nil"/>
              <w:left w:val="nil"/>
              <w:bottom w:val="nil"/>
              <w:right w:val="nil"/>
            </w:tcBorders>
            <w:noWrap/>
            <w:vAlign w:val="bottom"/>
          </w:tcPr>
          <w:p w14:paraId="0A45EBB7" w14:textId="77777777" w:rsidR="00C60D36" w:rsidRPr="00135619" w:rsidRDefault="00967768"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MB25</w:t>
            </w:r>
          </w:p>
        </w:tc>
        <w:tc>
          <w:tcPr>
            <w:tcW w:w="1091" w:type="pct"/>
            <w:gridSpan w:val="2"/>
            <w:tcBorders>
              <w:top w:val="nil"/>
              <w:left w:val="nil"/>
              <w:bottom w:val="nil"/>
              <w:right w:val="nil"/>
            </w:tcBorders>
            <w:noWrap/>
          </w:tcPr>
          <w:p w14:paraId="377078AA"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31.23</w:t>
            </w:r>
            <w:r w:rsidR="0000236D" w:rsidRPr="00135619">
              <w:rPr>
                <w:rFonts w:ascii="Times New Roman" w:eastAsia="Calibri" w:hAnsi="Times New Roman" w:cs="Times New Roman"/>
                <w:color w:val="000000" w:themeColor="text1"/>
                <w:vertAlign w:val="superscript"/>
              </w:rPr>
              <w:t>c</w:t>
            </w:r>
            <w:r w:rsidRPr="00135619">
              <w:rPr>
                <w:rFonts w:ascii="Times New Roman" w:eastAsia="Calibri" w:hAnsi="Times New Roman" w:cs="Times New Roman"/>
                <w:color w:val="000000" w:themeColor="text1"/>
              </w:rPr>
              <w:t>+1.06</w:t>
            </w:r>
          </w:p>
        </w:tc>
        <w:tc>
          <w:tcPr>
            <w:tcW w:w="704" w:type="pct"/>
            <w:gridSpan w:val="2"/>
            <w:tcBorders>
              <w:top w:val="nil"/>
              <w:left w:val="nil"/>
              <w:bottom w:val="nil"/>
              <w:right w:val="nil"/>
            </w:tcBorders>
            <w:noWrap/>
          </w:tcPr>
          <w:p w14:paraId="70D1D989"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0.55</w:t>
            </w:r>
            <w:r w:rsidR="0000236D" w:rsidRPr="00135619">
              <w:rPr>
                <w:rFonts w:ascii="Times New Roman" w:eastAsia="Calibri" w:hAnsi="Times New Roman" w:cs="Times New Roman"/>
                <w:color w:val="000000" w:themeColor="text1"/>
                <w:vertAlign w:val="superscript"/>
              </w:rPr>
              <w:t>d</w:t>
            </w:r>
            <w:r w:rsidRPr="00135619">
              <w:rPr>
                <w:rFonts w:ascii="Times New Roman" w:eastAsia="Calibri" w:hAnsi="Times New Roman" w:cs="Times New Roman"/>
                <w:color w:val="000000" w:themeColor="text1"/>
              </w:rPr>
              <w:t>+0.01</w:t>
            </w:r>
          </w:p>
        </w:tc>
        <w:tc>
          <w:tcPr>
            <w:tcW w:w="854" w:type="pct"/>
            <w:gridSpan w:val="2"/>
            <w:tcBorders>
              <w:top w:val="nil"/>
              <w:left w:val="nil"/>
              <w:bottom w:val="nil"/>
              <w:right w:val="nil"/>
            </w:tcBorders>
            <w:noWrap/>
          </w:tcPr>
          <w:p w14:paraId="3D935D6C"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163.11</w:t>
            </w:r>
            <w:r w:rsidR="0000236D" w:rsidRPr="00135619">
              <w:rPr>
                <w:rFonts w:ascii="Times New Roman" w:eastAsia="Calibri" w:hAnsi="Times New Roman" w:cs="Times New Roman"/>
                <w:color w:val="000000" w:themeColor="text1"/>
                <w:vertAlign w:val="superscript"/>
              </w:rPr>
              <w:t>d</w:t>
            </w:r>
            <w:r w:rsidRPr="00135619">
              <w:rPr>
                <w:rFonts w:ascii="Times New Roman" w:eastAsia="Calibri" w:hAnsi="Times New Roman" w:cs="Times New Roman"/>
                <w:color w:val="000000" w:themeColor="text1"/>
              </w:rPr>
              <w:t>+1.28</w:t>
            </w:r>
          </w:p>
        </w:tc>
        <w:tc>
          <w:tcPr>
            <w:tcW w:w="881" w:type="pct"/>
            <w:tcBorders>
              <w:top w:val="nil"/>
              <w:left w:val="nil"/>
              <w:bottom w:val="nil"/>
              <w:right w:val="nil"/>
            </w:tcBorders>
            <w:noWrap/>
          </w:tcPr>
          <w:p w14:paraId="5973CD6D" w14:textId="77777777" w:rsidR="00C60D36" w:rsidRPr="00135619" w:rsidRDefault="0000236D"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127.23</w:t>
            </w:r>
            <w:r w:rsidRPr="00135619">
              <w:rPr>
                <w:rFonts w:ascii="Times New Roman" w:eastAsia="Calibri" w:hAnsi="Times New Roman" w:cs="Times New Roman"/>
                <w:color w:val="000000" w:themeColor="text1"/>
                <w:vertAlign w:val="superscript"/>
              </w:rPr>
              <w:t>c</w:t>
            </w:r>
            <w:r w:rsidR="00C60D36" w:rsidRPr="00135619">
              <w:rPr>
                <w:rFonts w:ascii="Times New Roman" w:eastAsia="Calibri" w:hAnsi="Times New Roman" w:cs="Times New Roman"/>
                <w:color w:val="000000" w:themeColor="text1"/>
              </w:rPr>
              <w:t>+1.01</w:t>
            </w:r>
          </w:p>
        </w:tc>
        <w:tc>
          <w:tcPr>
            <w:tcW w:w="884" w:type="pct"/>
            <w:tcBorders>
              <w:top w:val="nil"/>
              <w:left w:val="nil"/>
              <w:bottom w:val="nil"/>
              <w:right w:val="nil"/>
            </w:tcBorders>
            <w:noWrap/>
          </w:tcPr>
          <w:p w14:paraId="4A9CBC98" w14:textId="77777777" w:rsidR="00C60D36" w:rsidRPr="00135619" w:rsidRDefault="00C60D36" w:rsidP="0000236D">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214.73</w:t>
            </w:r>
            <w:r w:rsidR="0000236D" w:rsidRPr="00135619">
              <w:rPr>
                <w:rFonts w:ascii="Times New Roman" w:eastAsia="Calibri" w:hAnsi="Times New Roman" w:cs="Times New Roman"/>
                <w:color w:val="000000" w:themeColor="text1"/>
                <w:vertAlign w:val="superscript"/>
              </w:rPr>
              <w:t>d</w:t>
            </w:r>
            <w:r w:rsidRPr="00135619">
              <w:rPr>
                <w:rFonts w:ascii="Times New Roman" w:eastAsia="Calibri" w:hAnsi="Times New Roman" w:cs="Times New Roman"/>
                <w:color w:val="000000" w:themeColor="text1"/>
              </w:rPr>
              <w:t>+1.11</w:t>
            </w:r>
          </w:p>
        </w:tc>
      </w:tr>
      <w:tr w:rsidR="008A22FB" w:rsidRPr="00135619" w14:paraId="5209304A" w14:textId="77777777" w:rsidTr="00D94BB1">
        <w:trPr>
          <w:trHeight w:val="288"/>
        </w:trPr>
        <w:tc>
          <w:tcPr>
            <w:tcW w:w="586" w:type="pct"/>
            <w:tcBorders>
              <w:top w:val="nil"/>
              <w:left w:val="nil"/>
              <w:bottom w:val="nil"/>
              <w:right w:val="nil"/>
            </w:tcBorders>
            <w:noWrap/>
          </w:tcPr>
          <w:p w14:paraId="4EBCC166" w14:textId="77777777" w:rsidR="00C60D36" w:rsidRPr="00135619" w:rsidRDefault="00967768"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MB50</w:t>
            </w:r>
          </w:p>
        </w:tc>
        <w:tc>
          <w:tcPr>
            <w:tcW w:w="1091" w:type="pct"/>
            <w:gridSpan w:val="2"/>
            <w:tcBorders>
              <w:top w:val="nil"/>
              <w:left w:val="nil"/>
              <w:bottom w:val="nil"/>
              <w:right w:val="nil"/>
            </w:tcBorders>
            <w:noWrap/>
          </w:tcPr>
          <w:p w14:paraId="3A544C7B"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48.08</w:t>
            </w:r>
            <w:r w:rsidR="0000236D" w:rsidRPr="00135619">
              <w:rPr>
                <w:rFonts w:ascii="Times New Roman" w:eastAsia="Calibri" w:hAnsi="Times New Roman" w:cs="Times New Roman"/>
                <w:color w:val="000000" w:themeColor="text1"/>
                <w:vertAlign w:val="superscript"/>
              </w:rPr>
              <w:t>a</w:t>
            </w:r>
            <w:r w:rsidRPr="00135619">
              <w:rPr>
                <w:rFonts w:ascii="Times New Roman" w:eastAsia="Calibri" w:hAnsi="Times New Roman" w:cs="Times New Roman"/>
                <w:color w:val="000000" w:themeColor="text1"/>
              </w:rPr>
              <w:t>+1.56</w:t>
            </w:r>
          </w:p>
        </w:tc>
        <w:tc>
          <w:tcPr>
            <w:tcW w:w="704" w:type="pct"/>
            <w:gridSpan w:val="2"/>
            <w:tcBorders>
              <w:top w:val="nil"/>
              <w:left w:val="nil"/>
              <w:bottom w:val="nil"/>
              <w:right w:val="nil"/>
            </w:tcBorders>
            <w:noWrap/>
          </w:tcPr>
          <w:p w14:paraId="4F06F023"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0.50</w:t>
            </w:r>
            <w:r w:rsidR="0000236D" w:rsidRPr="00135619">
              <w:rPr>
                <w:rFonts w:ascii="Times New Roman" w:eastAsia="Calibri" w:hAnsi="Times New Roman" w:cs="Times New Roman"/>
                <w:color w:val="000000" w:themeColor="text1"/>
                <w:vertAlign w:val="superscript"/>
              </w:rPr>
              <w:t>e</w:t>
            </w:r>
            <w:r w:rsidRPr="00135619">
              <w:rPr>
                <w:rFonts w:ascii="Times New Roman" w:eastAsia="Calibri" w:hAnsi="Times New Roman" w:cs="Times New Roman"/>
                <w:color w:val="000000" w:themeColor="text1"/>
              </w:rPr>
              <w:t>+0.05</w:t>
            </w:r>
          </w:p>
        </w:tc>
        <w:tc>
          <w:tcPr>
            <w:tcW w:w="854" w:type="pct"/>
            <w:gridSpan w:val="2"/>
            <w:tcBorders>
              <w:top w:val="nil"/>
              <w:left w:val="nil"/>
              <w:bottom w:val="nil"/>
              <w:right w:val="nil"/>
            </w:tcBorders>
            <w:noWrap/>
          </w:tcPr>
          <w:p w14:paraId="5837464E"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182.10</w:t>
            </w:r>
            <w:r w:rsidRPr="00135619">
              <w:rPr>
                <w:rFonts w:ascii="Times New Roman" w:eastAsia="Calibri" w:hAnsi="Times New Roman" w:cs="Times New Roman"/>
                <w:color w:val="000000" w:themeColor="text1"/>
                <w:vertAlign w:val="superscript"/>
              </w:rPr>
              <w:t>b</w:t>
            </w:r>
            <w:r w:rsidRPr="00135619">
              <w:rPr>
                <w:rFonts w:ascii="Times New Roman" w:eastAsia="Calibri" w:hAnsi="Times New Roman" w:cs="Times New Roman"/>
                <w:color w:val="000000" w:themeColor="text1"/>
              </w:rPr>
              <w:t>+1.28</w:t>
            </w:r>
          </w:p>
        </w:tc>
        <w:tc>
          <w:tcPr>
            <w:tcW w:w="881" w:type="pct"/>
            <w:tcBorders>
              <w:top w:val="nil"/>
              <w:left w:val="nil"/>
              <w:bottom w:val="nil"/>
              <w:right w:val="nil"/>
            </w:tcBorders>
            <w:noWrap/>
          </w:tcPr>
          <w:p w14:paraId="5B910523" w14:textId="77777777" w:rsidR="00C60D36" w:rsidRPr="00135619" w:rsidRDefault="0000236D"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139.58</w:t>
            </w:r>
            <w:r w:rsidRPr="00135619">
              <w:rPr>
                <w:rFonts w:ascii="Times New Roman" w:eastAsia="Calibri" w:hAnsi="Times New Roman" w:cs="Times New Roman"/>
                <w:color w:val="000000" w:themeColor="text1"/>
                <w:vertAlign w:val="superscript"/>
              </w:rPr>
              <w:t>a</w:t>
            </w:r>
            <w:r w:rsidR="00C60D36" w:rsidRPr="00135619">
              <w:rPr>
                <w:rFonts w:ascii="Times New Roman" w:eastAsia="Calibri" w:hAnsi="Times New Roman" w:cs="Times New Roman"/>
                <w:color w:val="000000" w:themeColor="text1"/>
              </w:rPr>
              <w:t>+1.21</w:t>
            </w:r>
          </w:p>
        </w:tc>
        <w:tc>
          <w:tcPr>
            <w:tcW w:w="884" w:type="pct"/>
            <w:tcBorders>
              <w:top w:val="nil"/>
              <w:left w:val="nil"/>
              <w:bottom w:val="nil"/>
              <w:right w:val="nil"/>
            </w:tcBorders>
            <w:noWrap/>
          </w:tcPr>
          <w:p w14:paraId="657EF1A5" w14:textId="77777777" w:rsidR="00C60D36" w:rsidRPr="00135619" w:rsidRDefault="0000236D"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334.47</w:t>
            </w:r>
            <w:r w:rsidRPr="00135619">
              <w:rPr>
                <w:rFonts w:ascii="Times New Roman" w:eastAsia="Calibri" w:hAnsi="Times New Roman" w:cs="Times New Roman"/>
                <w:color w:val="000000" w:themeColor="text1"/>
                <w:vertAlign w:val="superscript"/>
              </w:rPr>
              <w:t>b</w:t>
            </w:r>
            <w:r w:rsidR="00C60D36" w:rsidRPr="00135619">
              <w:rPr>
                <w:rFonts w:ascii="Times New Roman" w:eastAsia="Calibri" w:hAnsi="Times New Roman" w:cs="Times New Roman"/>
                <w:color w:val="000000" w:themeColor="text1"/>
              </w:rPr>
              <w:t>+1.61</w:t>
            </w:r>
          </w:p>
        </w:tc>
      </w:tr>
      <w:tr w:rsidR="008A22FB" w:rsidRPr="00135619" w14:paraId="037A68E6" w14:textId="77777777" w:rsidTr="00D94BB1">
        <w:trPr>
          <w:trHeight w:val="288"/>
        </w:trPr>
        <w:tc>
          <w:tcPr>
            <w:tcW w:w="586" w:type="pct"/>
            <w:tcBorders>
              <w:top w:val="nil"/>
              <w:left w:val="nil"/>
              <w:bottom w:val="nil"/>
              <w:right w:val="nil"/>
            </w:tcBorders>
            <w:noWrap/>
            <w:vAlign w:val="bottom"/>
          </w:tcPr>
          <w:p w14:paraId="458E6F8F" w14:textId="77777777" w:rsidR="00C60D36" w:rsidRPr="00135619" w:rsidRDefault="00967768"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PB25</w:t>
            </w:r>
          </w:p>
        </w:tc>
        <w:tc>
          <w:tcPr>
            <w:tcW w:w="1091" w:type="pct"/>
            <w:gridSpan w:val="2"/>
            <w:tcBorders>
              <w:top w:val="nil"/>
              <w:left w:val="nil"/>
              <w:bottom w:val="nil"/>
              <w:right w:val="nil"/>
            </w:tcBorders>
            <w:noWrap/>
          </w:tcPr>
          <w:p w14:paraId="045A9147"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29.13</w:t>
            </w:r>
            <w:r w:rsidRPr="00135619">
              <w:rPr>
                <w:rFonts w:ascii="Times New Roman" w:eastAsia="Calibri" w:hAnsi="Times New Roman" w:cs="Times New Roman"/>
                <w:color w:val="000000" w:themeColor="text1"/>
                <w:vertAlign w:val="superscript"/>
              </w:rPr>
              <w:t>c</w:t>
            </w:r>
            <w:r w:rsidRPr="00135619">
              <w:rPr>
                <w:rFonts w:ascii="Times New Roman" w:eastAsia="Calibri" w:hAnsi="Times New Roman" w:cs="Times New Roman"/>
                <w:color w:val="000000" w:themeColor="text1"/>
              </w:rPr>
              <w:t>+1.03</w:t>
            </w:r>
          </w:p>
        </w:tc>
        <w:tc>
          <w:tcPr>
            <w:tcW w:w="704" w:type="pct"/>
            <w:gridSpan w:val="2"/>
            <w:tcBorders>
              <w:top w:val="nil"/>
              <w:left w:val="nil"/>
              <w:bottom w:val="nil"/>
              <w:right w:val="nil"/>
            </w:tcBorders>
            <w:noWrap/>
          </w:tcPr>
          <w:p w14:paraId="2183F97B"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0.66</w:t>
            </w:r>
            <w:r w:rsidR="0000236D" w:rsidRPr="00135619">
              <w:rPr>
                <w:rFonts w:ascii="Times New Roman" w:eastAsia="Calibri" w:hAnsi="Times New Roman" w:cs="Times New Roman"/>
                <w:color w:val="000000" w:themeColor="text1"/>
                <w:vertAlign w:val="superscript"/>
              </w:rPr>
              <w:t>b</w:t>
            </w:r>
            <w:r w:rsidRPr="00135619">
              <w:rPr>
                <w:rFonts w:ascii="Times New Roman" w:eastAsia="Calibri" w:hAnsi="Times New Roman" w:cs="Times New Roman"/>
                <w:color w:val="000000" w:themeColor="text1"/>
              </w:rPr>
              <w:t>+0.03</w:t>
            </w:r>
          </w:p>
        </w:tc>
        <w:tc>
          <w:tcPr>
            <w:tcW w:w="854" w:type="pct"/>
            <w:gridSpan w:val="2"/>
            <w:tcBorders>
              <w:top w:val="nil"/>
              <w:left w:val="nil"/>
              <w:bottom w:val="nil"/>
              <w:right w:val="nil"/>
            </w:tcBorders>
            <w:noWrap/>
          </w:tcPr>
          <w:p w14:paraId="5F06AF5C"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179.61</w:t>
            </w:r>
            <w:r w:rsidR="0000236D" w:rsidRPr="00135619">
              <w:rPr>
                <w:rFonts w:ascii="Times New Roman" w:eastAsia="Calibri" w:hAnsi="Times New Roman" w:cs="Times New Roman"/>
                <w:color w:val="000000" w:themeColor="text1"/>
                <w:vertAlign w:val="superscript"/>
              </w:rPr>
              <w:t>c</w:t>
            </w:r>
            <w:r w:rsidRPr="00135619">
              <w:rPr>
                <w:rFonts w:ascii="Times New Roman" w:eastAsia="Calibri" w:hAnsi="Times New Roman" w:cs="Times New Roman"/>
                <w:color w:val="000000" w:themeColor="text1"/>
              </w:rPr>
              <w:t>+2.14</w:t>
            </w:r>
          </w:p>
        </w:tc>
        <w:tc>
          <w:tcPr>
            <w:tcW w:w="881" w:type="pct"/>
            <w:tcBorders>
              <w:top w:val="nil"/>
              <w:left w:val="nil"/>
              <w:bottom w:val="nil"/>
              <w:right w:val="nil"/>
            </w:tcBorders>
            <w:noWrap/>
          </w:tcPr>
          <w:p w14:paraId="1E8247CC" w14:textId="77777777" w:rsidR="00C60D36" w:rsidRPr="00135619" w:rsidRDefault="0000236D"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120.02</w:t>
            </w:r>
            <w:r w:rsidRPr="00135619">
              <w:rPr>
                <w:rFonts w:ascii="Times New Roman" w:eastAsia="Calibri" w:hAnsi="Times New Roman" w:cs="Times New Roman"/>
                <w:color w:val="000000" w:themeColor="text1"/>
                <w:vertAlign w:val="superscript"/>
              </w:rPr>
              <w:t>c</w:t>
            </w:r>
            <w:r w:rsidR="00C60D36" w:rsidRPr="00135619">
              <w:rPr>
                <w:rFonts w:ascii="Times New Roman" w:eastAsia="Calibri" w:hAnsi="Times New Roman" w:cs="Times New Roman"/>
                <w:color w:val="000000" w:themeColor="text1"/>
              </w:rPr>
              <w:t>+0.09</w:t>
            </w:r>
          </w:p>
        </w:tc>
        <w:tc>
          <w:tcPr>
            <w:tcW w:w="884" w:type="pct"/>
            <w:tcBorders>
              <w:top w:val="nil"/>
              <w:left w:val="nil"/>
              <w:bottom w:val="nil"/>
              <w:right w:val="nil"/>
            </w:tcBorders>
            <w:noWrap/>
          </w:tcPr>
          <w:p w14:paraId="07091BC1" w14:textId="77777777" w:rsidR="00C60D36" w:rsidRPr="00135619" w:rsidRDefault="0000236D"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244.40</w:t>
            </w:r>
            <w:r w:rsidRPr="00135619">
              <w:rPr>
                <w:rFonts w:ascii="Times New Roman" w:eastAsia="Calibri" w:hAnsi="Times New Roman" w:cs="Times New Roman"/>
                <w:color w:val="000000" w:themeColor="text1"/>
                <w:vertAlign w:val="superscript"/>
              </w:rPr>
              <w:t>c</w:t>
            </w:r>
            <w:r w:rsidR="00C60D36" w:rsidRPr="00135619">
              <w:rPr>
                <w:rFonts w:ascii="Times New Roman" w:eastAsia="Calibri" w:hAnsi="Times New Roman" w:cs="Times New Roman"/>
                <w:color w:val="000000" w:themeColor="text1"/>
              </w:rPr>
              <w:t>+1.03</w:t>
            </w:r>
          </w:p>
        </w:tc>
      </w:tr>
      <w:tr w:rsidR="008A22FB" w:rsidRPr="00135619" w14:paraId="1CF482A4" w14:textId="77777777" w:rsidTr="00D94BB1">
        <w:trPr>
          <w:trHeight w:val="288"/>
        </w:trPr>
        <w:tc>
          <w:tcPr>
            <w:tcW w:w="586" w:type="pct"/>
            <w:tcBorders>
              <w:top w:val="nil"/>
              <w:left w:val="nil"/>
              <w:bottom w:val="single" w:sz="12" w:space="0" w:color="auto"/>
              <w:right w:val="nil"/>
            </w:tcBorders>
            <w:noWrap/>
          </w:tcPr>
          <w:p w14:paraId="0A16F25C" w14:textId="77777777" w:rsidR="00C60D36" w:rsidRPr="00135619" w:rsidRDefault="00967768"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PB50</w:t>
            </w:r>
          </w:p>
        </w:tc>
        <w:tc>
          <w:tcPr>
            <w:tcW w:w="1091" w:type="pct"/>
            <w:gridSpan w:val="2"/>
            <w:tcBorders>
              <w:top w:val="nil"/>
              <w:left w:val="nil"/>
              <w:bottom w:val="single" w:sz="12" w:space="0" w:color="auto"/>
              <w:right w:val="nil"/>
            </w:tcBorders>
            <w:noWrap/>
          </w:tcPr>
          <w:p w14:paraId="2D5C6CBE"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40.36</w:t>
            </w:r>
            <w:r w:rsidR="0000236D" w:rsidRPr="00135619">
              <w:rPr>
                <w:rFonts w:ascii="Times New Roman" w:eastAsia="Calibri" w:hAnsi="Times New Roman" w:cs="Times New Roman"/>
                <w:color w:val="000000" w:themeColor="text1"/>
                <w:vertAlign w:val="superscript"/>
              </w:rPr>
              <w:t>b</w:t>
            </w:r>
            <w:r w:rsidRPr="00135619">
              <w:rPr>
                <w:rFonts w:ascii="Times New Roman" w:eastAsia="Calibri" w:hAnsi="Times New Roman" w:cs="Times New Roman"/>
                <w:color w:val="000000" w:themeColor="text1"/>
              </w:rPr>
              <w:t>+1.38</w:t>
            </w:r>
          </w:p>
        </w:tc>
        <w:tc>
          <w:tcPr>
            <w:tcW w:w="704" w:type="pct"/>
            <w:gridSpan w:val="2"/>
            <w:tcBorders>
              <w:top w:val="nil"/>
              <w:left w:val="nil"/>
              <w:bottom w:val="single" w:sz="12" w:space="0" w:color="auto"/>
              <w:right w:val="nil"/>
            </w:tcBorders>
            <w:noWrap/>
          </w:tcPr>
          <w:p w14:paraId="4DC48D23" w14:textId="77777777" w:rsidR="00C60D36" w:rsidRPr="00135619" w:rsidRDefault="00C60D36" w:rsidP="0000236D">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0.90</w:t>
            </w:r>
            <w:r w:rsidR="0000236D" w:rsidRPr="00135619">
              <w:rPr>
                <w:rFonts w:ascii="Times New Roman" w:eastAsia="Calibri" w:hAnsi="Times New Roman" w:cs="Times New Roman"/>
                <w:color w:val="000000" w:themeColor="text1"/>
                <w:vertAlign w:val="superscript"/>
              </w:rPr>
              <w:t>a</w:t>
            </w:r>
            <w:r w:rsidRPr="00135619">
              <w:rPr>
                <w:rFonts w:ascii="Times New Roman" w:eastAsia="Calibri" w:hAnsi="Times New Roman" w:cs="Times New Roman"/>
                <w:color w:val="000000" w:themeColor="text1"/>
              </w:rPr>
              <w:t>+0.04</w:t>
            </w:r>
          </w:p>
        </w:tc>
        <w:tc>
          <w:tcPr>
            <w:tcW w:w="854" w:type="pct"/>
            <w:gridSpan w:val="2"/>
            <w:tcBorders>
              <w:top w:val="nil"/>
              <w:left w:val="nil"/>
              <w:bottom w:val="single" w:sz="12" w:space="0" w:color="auto"/>
              <w:right w:val="nil"/>
            </w:tcBorders>
            <w:noWrap/>
          </w:tcPr>
          <w:p w14:paraId="086768EF" w14:textId="77777777" w:rsidR="00C60D36" w:rsidRPr="00135619" w:rsidRDefault="00C60D36"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187.72</w:t>
            </w:r>
            <w:r w:rsidR="0000236D" w:rsidRPr="00135619">
              <w:rPr>
                <w:rFonts w:ascii="Times New Roman" w:eastAsia="Calibri" w:hAnsi="Times New Roman" w:cs="Times New Roman"/>
                <w:color w:val="000000" w:themeColor="text1"/>
                <w:vertAlign w:val="superscript"/>
              </w:rPr>
              <w:t>a</w:t>
            </w:r>
            <w:r w:rsidRPr="00135619">
              <w:rPr>
                <w:rFonts w:ascii="Times New Roman" w:eastAsia="Calibri" w:hAnsi="Times New Roman" w:cs="Times New Roman"/>
                <w:color w:val="000000" w:themeColor="text1"/>
              </w:rPr>
              <w:t>+2.14</w:t>
            </w:r>
          </w:p>
        </w:tc>
        <w:tc>
          <w:tcPr>
            <w:tcW w:w="881" w:type="pct"/>
            <w:tcBorders>
              <w:top w:val="nil"/>
              <w:left w:val="nil"/>
              <w:bottom w:val="single" w:sz="12" w:space="0" w:color="auto"/>
              <w:right w:val="nil"/>
            </w:tcBorders>
            <w:noWrap/>
          </w:tcPr>
          <w:p w14:paraId="02315DEA" w14:textId="77777777" w:rsidR="00C60D36" w:rsidRPr="00135619" w:rsidRDefault="0000236D"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131.64</w:t>
            </w:r>
            <w:r w:rsidRPr="00135619">
              <w:rPr>
                <w:rFonts w:ascii="Times New Roman" w:eastAsia="Calibri" w:hAnsi="Times New Roman" w:cs="Times New Roman"/>
                <w:color w:val="000000" w:themeColor="text1"/>
                <w:vertAlign w:val="superscript"/>
              </w:rPr>
              <w:t>b</w:t>
            </w:r>
            <w:r w:rsidR="00C60D36" w:rsidRPr="00135619">
              <w:rPr>
                <w:rFonts w:ascii="Times New Roman" w:eastAsia="Calibri" w:hAnsi="Times New Roman" w:cs="Times New Roman"/>
                <w:color w:val="000000" w:themeColor="text1"/>
              </w:rPr>
              <w:t>+0.11</w:t>
            </w:r>
          </w:p>
        </w:tc>
        <w:tc>
          <w:tcPr>
            <w:tcW w:w="884" w:type="pct"/>
            <w:tcBorders>
              <w:top w:val="nil"/>
              <w:left w:val="nil"/>
              <w:bottom w:val="single" w:sz="12" w:space="0" w:color="auto"/>
              <w:right w:val="nil"/>
            </w:tcBorders>
            <w:noWrap/>
          </w:tcPr>
          <w:p w14:paraId="3AEC7941" w14:textId="77777777" w:rsidR="00C60D36" w:rsidRPr="00135619" w:rsidRDefault="0000236D" w:rsidP="00D94BB1">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344.08</w:t>
            </w:r>
            <w:r w:rsidRPr="00135619">
              <w:rPr>
                <w:rFonts w:ascii="Times New Roman" w:eastAsia="Calibri" w:hAnsi="Times New Roman" w:cs="Times New Roman"/>
                <w:color w:val="000000" w:themeColor="text1"/>
                <w:vertAlign w:val="superscript"/>
              </w:rPr>
              <w:t>a</w:t>
            </w:r>
            <w:r w:rsidR="00C60D36" w:rsidRPr="00135619">
              <w:rPr>
                <w:rFonts w:ascii="Times New Roman" w:eastAsia="Calibri" w:hAnsi="Times New Roman" w:cs="Times New Roman"/>
                <w:color w:val="000000" w:themeColor="text1"/>
              </w:rPr>
              <w:t>+1.39</w:t>
            </w:r>
          </w:p>
        </w:tc>
      </w:tr>
    </w:tbl>
    <w:p w14:paraId="6B4497C1" w14:textId="77777777" w:rsidR="00C60D36" w:rsidRPr="00135619" w:rsidRDefault="00967768" w:rsidP="00BA6DEF">
      <w:pPr>
        <w:rPr>
          <w:rFonts w:ascii="Times New Roman" w:eastAsia="Calibri" w:hAnsi="Times New Roman" w:cs="Times New Roman"/>
          <w:color w:val="000000" w:themeColor="text1"/>
        </w:rPr>
      </w:pPr>
      <w:r w:rsidRPr="00135619">
        <w:rPr>
          <w:rFonts w:ascii="Times New Roman" w:eastAsia="Calibri" w:hAnsi="Times New Roman" w:cs="Times New Roman"/>
          <w:color w:val="000000" w:themeColor="text1"/>
        </w:rPr>
        <w:t>Values are means ± standard deviation of 3 replications</w:t>
      </w:r>
      <w:r w:rsidR="00C60D36" w:rsidRPr="00135619">
        <w:rPr>
          <w:rFonts w:ascii="Times New Roman" w:eastAsia="Calibri" w:hAnsi="Times New Roman" w:cs="Times New Roman"/>
          <w:color w:val="000000" w:themeColor="text1"/>
        </w:rPr>
        <w:t>. Values in the same column bearing similar superscripts are not significantly (p&gt;0.05) different, while values in the same column with different superscript are significantly (p&lt;0.05) different.</w:t>
      </w:r>
      <w:r w:rsidRPr="00135619">
        <w:rPr>
          <w:rFonts w:ascii="Times New Roman" w:hAnsi="Times New Roman" w:cs="Times New Roman"/>
          <w:color w:val="000000" w:themeColor="text1"/>
          <w:sz w:val="20"/>
          <w:szCs w:val="20"/>
        </w:rPr>
        <w:t xml:space="preserve"> </w:t>
      </w:r>
      <w:r w:rsidRPr="00135619">
        <w:rPr>
          <w:rFonts w:ascii="Times New Roman" w:eastAsia="Calibri" w:hAnsi="Times New Roman" w:cs="Times New Roman"/>
          <w:color w:val="000000" w:themeColor="text1"/>
        </w:rPr>
        <w:t>Bread produced using 25% millet flour (MB25), 50% millet flour (MB50), 25% pigeon pea flour (PB25), 50% pigeon pea flour (PB50), and 100% wheat flour bread (control) (CC)</w:t>
      </w:r>
    </w:p>
    <w:p w14:paraId="417EC093" w14:textId="77777777" w:rsidR="00AA0B6B" w:rsidRPr="00135619" w:rsidRDefault="00AA0B6B" w:rsidP="00C60D36">
      <w:pPr>
        <w:spacing w:line="360" w:lineRule="auto"/>
        <w:jc w:val="both"/>
        <w:rPr>
          <w:rFonts w:ascii="Times New Roman" w:hAnsi="Times New Roman" w:cs="Times New Roman"/>
          <w:color w:val="000000" w:themeColor="text1"/>
        </w:rPr>
      </w:pPr>
      <w:r w:rsidRPr="00135619">
        <w:t>The bread samples' potassium level ranged from 150.20 to 344.08 mg/100 g, with the 100% wheat flour bread having the lowest value at 150.20 mg/100 g. Bread made with millet flour had lower values than bread made with pigeon pea flour. For biscuits made from composite flour, the values were somewhat higher than those reported by Onuoha et al. (2025) and Emojorho et al. (2023), which were 149.94 to 195.54 mg/100 g and 156.49 to 270.271 mg/100 g, respectively. With greater amounts of millet and pigeon pea flour, the bread's potassium levels increased noticeably. The bread formulation with 50% pigeon pea flour had the highest value (344.08 mg/100 g).</w:t>
      </w:r>
    </w:p>
    <w:p w14:paraId="36AE8BD0" w14:textId="77777777" w:rsidR="00AA0B6B" w:rsidRPr="00135619" w:rsidRDefault="00AA0B6B" w:rsidP="00C60D36">
      <w:pPr>
        <w:spacing w:line="360" w:lineRule="auto"/>
        <w:jc w:val="both"/>
        <w:rPr>
          <w:rFonts w:ascii="Times New Roman" w:hAnsi="Times New Roman" w:cs="Times New Roman"/>
          <w:color w:val="000000" w:themeColor="text1"/>
        </w:rPr>
      </w:pPr>
      <w:r w:rsidRPr="00135619">
        <w:lastRenderedPageBreak/>
        <w:t>The bread samples' magnesium concentration ranged from 103.56 to 139.58 mg/100 g, with the 100% wheat flour bread having the lowest value at 103.56 mg/100 g. Bread made with millet flour had higher values than bread made with pigeon pea flour. For biscuits made using composite flour, the values overlapped with, but were generally lower than, the 126 to 168.34 mg/100 g magnesium reported by Onuoha et al. (2025). With greater amounts of millet and pigeon pea flour, the bread's magnesium levels increased noticeably. The formulation with 50% millet flour had the highest value (139.58 mg/100 g).</w:t>
      </w:r>
    </w:p>
    <w:p w14:paraId="61367E2E" w14:textId="77777777" w:rsidR="00AA0B6B" w:rsidRPr="00135619" w:rsidRDefault="00AA0B6B" w:rsidP="00C60D36">
      <w:pPr>
        <w:spacing w:line="360" w:lineRule="auto"/>
        <w:jc w:val="both"/>
        <w:rPr>
          <w:rFonts w:ascii="Times New Roman" w:hAnsi="Times New Roman" w:cs="Times New Roman"/>
          <w:color w:val="000000" w:themeColor="text1"/>
        </w:rPr>
      </w:pPr>
      <w:r w:rsidRPr="00135619">
        <w:t>The bread samples' calcium level ranged from 136.94 to 187.72 mg/100 g, with the bread made entirely of wheat flour having the lowest value at 136.94 mg/100 g. Bread made with millet flour had lower values than bread made with pigeon pea flour. According to Adinkwu et al. (2025), the values for bread made with composite flour ranged from 413.24 to 453.21 mg/100 g. Higher quantities of millet and pigeon pea led to a considerable increase in the bread's calcium content. The formulation with 50% pigeon pea flour had the highest result (187.72 mg/100 g).</w:t>
      </w:r>
    </w:p>
    <w:p w14:paraId="02939FD4" w14:textId="77777777" w:rsidR="00AA0B6B" w:rsidRPr="00135619" w:rsidRDefault="00AA0B6B" w:rsidP="00AA0B6B">
      <w:pPr>
        <w:spacing w:line="360" w:lineRule="auto"/>
        <w:jc w:val="both"/>
        <w:rPr>
          <w:rFonts w:ascii="Times New Roman" w:hAnsi="Times New Roman" w:cs="Times New Roman"/>
          <w:color w:val="000000" w:themeColor="text1"/>
        </w:rPr>
      </w:pPr>
      <w:r w:rsidRPr="00135619">
        <w:t>The bread samples' iron level ranged from 0.50 to 0.90 mg/100 g, with the 50% millet flour bread having the lowest value at 0.50 mg/100 g. Bread made with millet flour had lower values than bread made with pigeon pea flour. For tortilla bread made with composite flour, the values were lower than the 2.92 to 5.05 mg/100 g iron reported by Emojorho et al. (2025b). Higher pigeon pea proportions resulted in much higher iron levels in the bread, whereas higher millet amounts produced lower iron concentrations. The formulation with 50% pigeon pea flour had the highest result (0.90 mg/100 g).</w:t>
      </w:r>
    </w:p>
    <w:p w14:paraId="746737D1" w14:textId="77777777" w:rsidR="00AA0B6B" w:rsidRPr="00135619" w:rsidRDefault="00AA0B6B" w:rsidP="00AA0B6B">
      <w:pPr>
        <w:spacing w:line="360" w:lineRule="auto"/>
        <w:jc w:val="both"/>
        <w:rPr>
          <w:rFonts w:ascii="Times New Roman" w:hAnsi="Times New Roman" w:cs="Times New Roman"/>
          <w:color w:val="000000" w:themeColor="text1"/>
        </w:rPr>
      </w:pPr>
      <w:r w:rsidRPr="00135619">
        <w:t>The bread samples' phosphorus concentration ranged from 25.08 to 48.08 mg/100 g, with the 100% wheat flour bread having the lowest value at 25.08 mg/100 g. The results were lower than the 41.63 to 88.37 mg/100 g reported by Adinkwu et al. (2025) for bread made with sorghum and Bambara groundnut composite flour. Higher percentages of millet and pigeon pea flour led to a considerable increase in the bread's phosphorus levels. The formulation with 50% millet flour had the highest result at 48.08 mg/100 g.</w:t>
      </w:r>
    </w:p>
    <w:p w14:paraId="36D548C9" w14:textId="77777777" w:rsidR="00B26DDE" w:rsidRPr="00135619" w:rsidRDefault="00B26DDE" w:rsidP="00B26DDE">
      <w:pPr>
        <w:rPr>
          <w:rFonts w:ascii="Times New Roman" w:hAnsi="Times New Roman" w:cs="Times New Roman"/>
          <w:b/>
          <w:color w:val="000000" w:themeColor="text1"/>
        </w:rPr>
      </w:pPr>
      <w:r w:rsidRPr="00135619">
        <w:t>3.2 Vitamin concentration of bread produced from blends of wheat, pigeon pea, and millet flour</w:t>
      </w:r>
    </w:p>
    <w:p w14:paraId="2F561B2A" w14:textId="77777777" w:rsidR="00C16F2A" w:rsidRPr="00135619" w:rsidRDefault="00B26DDE" w:rsidP="00B26DDE">
      <w:pPr>
        <w:rPr>
          <w:rFonts w:ascii="Times New Roman" w:hAnsi="Times New Roman" w:cs="Times New Roman"/>
          <w:b/>
          <w:color w:val="000000" w:themeColor="text1"/>
        </w:rPr>
      </w:pPr>
      <w:r w:rsidRPr="00135619">
        <w:rPr>
          <w:rFonts w:ascii="Times New Roman" w:hAnsi="Times New Roman" w:cs="Times New Roman"/>
          <w:b/>
          <w:color w:val="000000" w:themeColor="text1"/>
        </w:rPr>
        <w:t>Table 1: Vitamin concentration of bread produced from blends of wheat, pigeon pea and millet flour</w:t>
      </w:r>
      <w:r w:rsidR="00BA6DEF" w:rsidRPr="00135619">
        <w:rPr>
          <w:rFonts w:ascii="Times New Roman" w:hAnsi="Times New Roman" w:cs="Times New Roman"/>
          <w:b/>
          <w:color w:val="000000" w:themeColor="text1"/>
        </w:rPr>
        <w:t xml:space="preserve"> (mg/100g)</w:t>
      </w:r>
      <w:r w:rsidR="007211D2" w:rsidRPr="00135619">
        <w:rPr>
          <w:rFonts w:ascii="Times New Roman" w:hAnsi="Times New Roman" w:cs="Times New Roman"/>
          <w:b/>
          <w:color w:val="000000" w:themeColor="text1"/>
        </w:rPr>
        <w:t xml:space="preserve"> </w:t>
      </w:r>
    </w:p>
    <w:p w14:paraId="155CF36D" w14:textId="77777777" w:rsidR="00C16F2A" w:rsidRPr="00135619" w:rsidRDefault="00C16F2A" w:rsidP="00B26DDE">
      <w:pPr>
        <w:rPr>
          <w:rFonts w:ascii="Times New Roman" w:hAnsi="Times New Roman" w:cs="Times New Roman"/>
          <w:b/>
          <w:color w:val="000000" w:themeColor="text1"/>
        </w:rPr>
      </w:pPr>
    </w:p>
    <w:p w14:paraId="29F355EB" w14:textId="77777777" w:rsidR="00B26DDE" w:rsidRPr="00135619" w:rsidRDefault="00B26DDE" w:rsidP="00B26DDE">
      <w:pPr>
        <w:rPr>
          <w:rFonts w:ascii="Times New Roman" w:hAnsi="Times New Roman" w:cs="Times New Roman"/>
          <w:color w:val="000000" w:themeColor="text1"/>
        </w:rPr>
      </w:pPr>
      <w:r w:rsidRPr="00135619">
        <w:t>The vitamin composition of the bread samples is shown in Table 1.</w:t>
      </w:r>
    </w:p>
    <w:tbl>
      <w:tblPr>
        <w:tblW w:w="5000" w:type="pct"/>
        <w:tblLook w:val="04A0" w:firstRow="1" w:lastRow="0" w:firstColumn="1" w:lastColumn="0" w:noHBand="0" w:noVBand="1"/>
      </w:tblPr>
      <w:tblGrid>
        <w:gridCol w:w="1983"/>
        <w:gridCol w:w="1646"/>
        <w:gridCol w:w="816"/>
        <w:gridCol w:w="1645"/>
        <w:gridCol w:w="816"/>
        <w:gridCol w:w="1645"/>
        <w:gridCol w:w="809"/>
      </w:tblGrid>
      <w:tr w:rsidR="008A22FB" w:rsidRPr="00135619" w14:paraId="73EF6F82" w14:textId="77777777" w:rsidTr="00D94BB1">
        <w:trPr>
          <w:trHeight w:val="288"/>
        </w:trPr>
        <w:tc>
          <w:tcPr>
            <w:tcW w:w="1059" w:type="pct"/>
            <w:tcBorders>
              <w:top w:val="single" w:sz="12" w:space="0" w:color="auto"/>
              <w:left w:val="nil"/>
              <w:bottom w:val="single" w:sz="12" w:space="0" w:color="auto"/>
              <w:right w:val="nil"/>
            </w:tcBorders>
            <w:noWrap/>
            <w:vAlign w:val="bottom"/>
            <w:hideMark/>
          </w:tcPr>
          <w:p w14:paraId="7733F07C" w14:textId="77777777" w:rsidR="00C60D36" w:rsidRPr="00135619" w:rsidRDefault="00C60D36" w:rsidP="00D94BB1">
            <w:pPr>
              <w:rPr>
                <w:rFonts w:ascii="Times New Roman" w:hAnsi="Times New Roman" w:cs="Times New Roman"/>
                <w:color w:val="000000" w:themeColor="text1"/>
              </w:rPr>
            </w:pPr>
            <w:r w:rsidRPr="00135619">
              <w:rPr>
                <w:rFonts w:ascii="Times New Roman" w:hAnsi="Times New Roman" w:cs="Times New Roman"/>
                <w:color w:val="000000" w:themeColor="text1"/>
              </w:rPr>
              <w:t>SAMPLE</w:t>
            </w:r>
          </w:p>
        </w:tc>
        <w:tc>
          <w:tcPr>
            <w:tcW w:w="879" w:type="pct"/>
            <w:tcBorders>
              <w:top w:val="single" w:sz="12" w:space="0" w:color="auto"/>
              <w:left w:val="nil"/>
              <w:bottom w:val="single" w:sz="12" w:space="0" w:color="auto"/>
              <w:right w:val="nil"/>
            </w:tcBorders>
            <w:noWrap/>
            <w:vAlign w:val="bottom"/>
            <w:hideMark/>
          </w:tcPr>
          <w:p w14:paraId="1E9DB644" w14:textId="77777777" w:rsidR="00C60D36" w:rsidRPr="00135619" w:rsidRDefault="00C60D36" w:rsidP="00D94BB1">
            <w:pPr>
              <w:rPr>
                <w:rFonts w:ascii="Times New Roman" w:hAnsi="Times New Roman" w:cs="Times New Roman"/>
                <w:color w:val="000000" w:themeColor="text1"/>
              </w:rPr>
            </w:pPr>
            <w:r w:rsidRPr="00135619">
              <w:rPr>
                <w:rFonts w:ascii="Times New Roman" w:hAnsi="Times New Roman" w:cs="Times New Roman"/>
                <w:color w:val="000000" w:themeColor="text1"/>
              </w:rPr>
              <w:t>B1</w:t>
            </w:r>
          </w:p>
        </w:tc>
        <w:tc>
          <w:tcPr>
            <w:tcW w:w="436" w:type="pct"/>
            <w:tcBorders>
              <w:top w:val="single" w:sz="12" w:space="0" w:color="auto"/>
              <w:left w:val="nil"/>
              <w:bottom w:val="single" w:sz="12" w:space="0" w:color="auto"/>
              <w:right w:val="nil"/>
            </w:tcBorders>
            <w:noWrap/>
            <w:vAlign w:val="bottom"/>
            <w:hideMark/>
          </w:tcPr>
          <w:p w14:paraId="236613DD" w14:textId="77777777" w:rsidR="00C60D36" w:rsidRPr="00135619" w:rsidRDefault="00C60D36" w:rsidP="00D94BB1">
            <w:pPr>
              <w:rPr>
                <w:rFonts w:ascii="Times New Roman" w:hAnsi="Times New Roman" w:cs="Times New Roman"/>
                <w:color w:val="000000" w:themeColor="text1"/>
              </w:rPr>
            </w:pPr>
          </w:p>
        </w:tc>
        <w:tc>
          <w:tcPr>
            <w:tcW w:w="879" w:type="pct"/>
            <w:tcBorders>
              <w:top w:val="single" w:sz="12" w:space="0" w:color="auto"/>
              <w:left w:val="nil"/>
              <w:bottom w:val="single" w:sz="12" w:space="0" w:color="auto"/>
              <w:right w:val="nil"/>
            </w:tcBorders>
            <w:noWrap/>
            <w:vAlign w:val="bottom"/>
            <w:hideMark/>
          </w:tcPr>
          <w:p w14:paraId="1E14D1DD" w14:textId="77777777" w:rsidR="00C60D36" w:rsidRPr="00135619" w:rsidRDefault="00C60D36" w:rsidP="00D94BB1">
            <w:pPr>
              <w:rPr>
                <w:rFonts w:ascii="Times New Roman" w:hAnsi="Times New Roman" w:cs="Times New Roman"/>
                <w:color w:val="000000" w:themeColor="text1"/>
              </w:rPr>
            </w:pPr>
            <w:r w:rsidRPr="00135619">
              <w:rPr>
                <w:rFonts w:ascii="Times New Roman" w:hAnsi="Times New Roman" w:cs="Times New Roman"/>
                <w:color w:val="000000" w:themeColor="text1"/>
              </w:rPr>
              <w:t>B2</w:t>
            </w:r>
          </w:p>
        </w:tc>
        <w:tc>
          <w:tcPr>
            <w:tcW w:w="436" w:type="pct"/>
            <w:tcBorders>
              <w:top w:val="single" w:sz="12" w:space="0" w:color="auto"/>
              <w:left w:val="nil"/>
              <w:bottom w:val="single" w:sz="12" w:space="0" w:color="auto"/>
              <w:right w:val="nil"/>
            </w:tcBorders>
            <w:noWrap/>
            <w:vAlign w:val="bottom"/>
            <w:hideMark/>
          </w:tcPr>
          <w:p w14:paraId="1FC3D731" w14:textId="77777777" w:rsidR="00C60D36" w:rsidRPr="00135619" w:rsidRDefault="00C60D36" w:rsidP="00D94BB1">
            <w:pPr>
              <w:rPr>
                <w:rFonts w:ascii="Times New Roman" w:hAnsi="Times New Roman" w:cs="Times New Roman"/>
                <w:color w:val="000000" w:themeColor="text1"/>
              </w:rPr>
            </w:pPr>
          </w:p>
        </w:tc>
        <w:tc>
          <w:tcPr>
            <w:tcW w:w="879" w:type="pct"/>
            <w:tcBorders>
              <w:top w:val="single" w:sz="12" w:space="0" w:color="auto"/>
              <w:left w:val="nil"/>
              <w:bottom w:val="single" w:sz="12" w:space="0" w:color="auto"/>
              <w:right w:val="nil"/>
            </w:tcBorders>
            <w:noWrap/>
            <w:vAlign w:val="bottom"/>
            <w:hideMark/>
          </w:tcPr>
          <w:p w14:paraId="3723265A" w14:textId="77777777" w:rsidR="00C60D36" w:rsidRPr="00135619" w:rsidRDefault="00C60D36" w:rsidP="00D94BB1">
            <w:pPr>
              <w:rPr>
                <w:rFonts w:ascii="Times New Roman" w:hAnsi="Times New Roman" w:cs="Times New Roman"/>
                <w:color w:val="000000" w:themeColor="text1"/>
              </w:rPr>
            </w:pPr>
            <w:r w:rsidRPr="00135619">
              <w:rPr>
                <w:rFonts w:ascii="Times New Roman" w:hAnsi="Times New Roman" w:cs="Times New Roman"/>
                <w:color w:val="000000" w:themeColor="text1"/>
              </w:rPr>
              <w:t>B3</w:t>
            </w:r>
          </w:p>
        </w:tc>
        <w:tc>
          <w:tcPr>
            <w:tcW w:w="432" w:type="pct"/>
            <w:tcBorders>
              <w:top w:val="single" w:sz="12" w:space="0" w:color="auto"/>
              <w:left w:val="nil"/>
              <w:bottom w:val="single" w:sz="12" w:space="0" w:color="auto"/>
              <w:right w:val="nil"/>
            </w:tcBorders>
            <w:noWrap/>
            <w:vAlign w:val="bottom"/>
            <w:hideMark/>
          </w:tcPr>
          <w:p w14:paraId="5A832356" w14:textId="77777777" w:rsidR="00C60D36" w:rsidRPr="00135619" w:rsidRDefault="00C60D36" w:rsidP="00D94BB1">
            <w:pPr>
              <w:rPr>
                <w:rFonts w:ascii="Times New Roman" w:hAnsi="Times New Roman" w:cs="Times New Roman"/>
                <w:color w:val="000000" w:themeColor="text1"/>
              </w:rPr>
            </w:pPr>
          </w:p>
        </w:tc>
      </w:tr>
      <w:tr w:rsidR="008A22FB" w:rsidRPr="00135619" w14:paraId="097E375C" w14:textId="77777777" w:rsidTr="001824F6">
        <w:trPr>
          <w:trHeight w:val="288"/>
        </w:trPr>
        <w:tc>
          <w:tcPr>
            <w:tcW w:w="1059" w:type="pct"/>
            <w:tcBorders>
              <w:top w:val="single" w:sz="12" w:space="0" w:color="auto"/>
              <w:left w:val="nil"/>
              <w:bottom w:val="nil"/>
              <w:right w:val="nil"/>
            </w:tcBorders>
            <w:noWrap/>
            <w:hideMark/>
          </w:tcPr>
          <w:p w14:paraId="4395C331"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lastRenderedPageBreak/>
              <w:t>CC (Control)</w:t>
            </w:r>
          </w:p>
        </w:tc>
        <w:tc>
          <w:tcPr>
            <w:tcW w:w="1315" w:type="pct"/>
            <w:gridSpan w:val="2"/>
            <w:tcBorders>
              <w:top w:val="single" w:sz="12" w:space="0" w:color="auto"/>
              <w:left w:val="nil"/>
              <w:bottom w:val="nil"/>
              <w:right w:val="nil"/>
            </w:tcBorders>
            <w:noWrap/>
            <w:vAlign w:val="bottom"/>
            <w:hideMark/>
          </w:tcPr>
          <w:p w14:paraId="636DF71B"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0.00</w:t>
            </w:r>
            <w:r w:rsidR="0000236D" w:rsidRPr="00135619">
              <w:rPr>
                <w:rFonts w:ascii="Times New Roman" w:hAnsi="Times New Roman" w:cs="Times New Roman"/>
                <w:color w:val="000000" w:themeColor="text1"/>
                <w:vertAlign w:val="superscript"/>
              </w:rPr>
              <w:t>d</w:t>
            </w:r>
            <w:r w:rsidRPr="00135619">
              <w:rPr>
                <w:rFonts w:ascii="Times New Roman" w:hAnsi="Times New Roman" w:cs="Times New Roman"/>
                <w:color w:val="000000" w:themeColor="text1"/>
              </w:rPr>
              <w:t>+0.00</w:t>
            </w:r>
          </w:p>
        </w:tc>
        <w:tc>
          <w:tcPr>
            <w:tcW w:w="1315" w:type="pct"/>
            <w:gridSpan w:val="2"/>
            <w:tcBorders>
              <w:top w:val="single" w:sz="12" w:space="0" w:color="auto"/>
              <w:left w:val="nil"/>
              <w:bottom w:val="nil"/>
              <w:right w:val="nil"/>
            </w:tcBorders>
            <w:noWrap/>
            <w:vAlign w:val="bottom"/>
            <w:hideMark/>
          </w:tcPr>
          <w:p w14:paraId="0CADAB84"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0.09</w:t>
            </w:r>
            <w:r w:rsidR="0000236D" w:rsidRPr="00135619">
              <w:rPr>
                <w:rFonts w:ascii="Times New Roman" w:hAnsi="Times New Roman" w:cs="Times New Roman"/>
                <w:color w:val="000000" w:themeColor="text1"/>
                <w:vertAlign w:val="superscript"/>
              </w:rPr>
              <w:t>d</w:t>
            </w:r>
            <w:r w:rsidRPr="00135619">
              <w:rPr>
                <w:rFonts w:ascii="Times New Roman" w:hAnsi="Times New Roman" w:cs="Times New Roman"/>
                <w:color w:val="000000" w:themeColor="text1"/>
              </w:rPr>
              <w:t>+0.00</w:t>
            </w:r>
          </w:p>
        </w:tc>
        <w:tc>
          <w:tcPr>
            <w:tcW w:w="1311" w:type="pct"/>
            <w:gridSpan w:val="2"/>
            <w:tcBorders>
              <w:top w:val="single" w:sz="12" w:space="0" w:color="auto"/>
              <w:left w:val="nil"/>
              <w:bottom w:val="nil"/>
              <w:right w:val="nil"/>
            </w:tcBorders>
            <w:noWrap/>
            <w:vAlign w:val="bottom"/>
            <w:hideMark/>
          </w:tcPr>
          <w:p w14:paraId="7D999F39"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0.13</w:t>
            </w:r>
            <w:r w:rsidR="000E5AE8" w:rsidRPr="00135619">
              <w:rPr>
                <w:rFonts w:ascii="Times New Roman" w:hAnsi="Times New Roman" w:cs="Times New Roman"/>
                <w:color w:val="000000" w:themeColor="text1"/>
                <w:vertAlign w:val="superscript"/>
              </w:rPr>
              <w:t>e</w:t>
            </w:r>
            <w:r w:rsidRPr="00135619">
              <w:rPr>
                <w:rFonts w:ascii="Times New Roman" w:hAnsi="Times New Roman" w:cs="Times New Roman"/>
                <w:color w:val="000000" w:themeColor="text1"/>
              </w:rPr>
              <w:t>+0.00</w:t>
            </w:r>
          </w:p>
        </w:tc>
      </w:tr>
      <w:tr w:rsidR="008A22FB" w:rsidRPr="00135619" w14:paraId="72E4359C" w14:textId="77777777" w:rsidTr="001824F6">
        <w:trPr>
          <w:trHeight w:val="288"/>
        </w:trPr>
        <w:tc>
          <w:tcPr>
            <w:tcW w:w="1059" w:type="pct"/>
            <w:tcBorders>
              <w:top w:val="nil"/>
              <w:left w:val="nil"/>
              <w:bottom w:val="nil"/>
              <w:right w:val="nil"/>
            </w:tcBorders>
            <w:noWrap/>
          </w:tcPr>
          <w:p w14:paraId="4A1E7C65"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MB25</w:t>
            </w:r>
          </w:p>
        </w:tc>
        <w:tc>
          <w:tcPr>
            <w:tcW w:w="1315" w:type="pct"/>
            <w:gridSpan w:val="2"/>
            <w:tcBorders>
              <w:top w:val="nil"/>
              <w:left w:val="nil"/>
              <w:bottom w:val="nil"/>
              <w:right w:val="nil"/>
            </w:tcBorders>
            <w:noWrap/>
          </w:tcPr>
          <w:p w14:paraId="0E96FC78" w14:textId="77777777" w:rsidR="00967768" w:rsidRPr="00135619" w:rsidRDefault="0000236D"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0.09</w:t>
            </w:r>
            <w:r w:rsidRPr="00135619">
              <w:rPr>
                <w:rFonts w:ascii="Times New Roman" w:hAnsi="Times New Roman" w:cs="Times New Roman"/>
                <w:color w:val="000000" w:themeColor="text1"/>
                <w:vertAlign w:val="superscript"/>
              </w:rPr>
              <w:t>c</w:t>
            </w:r>
            <w:r w:rsidR="00967768" w:rsidRPr="00135619">
              <w:rPr>
                <w:rFonts w:ascii="Times New Roman" w:hAnsi="Times New Roman" w:cs="Times New Roman"/>
                <w:color w:val="000000" w:themeColor="text1"/>
              </w:rPr>
              <w:t>+0.00</w:t>
            </w:r>
          </w:p>
        </w:tc>
        <w:tc>
          <w:tcPr>
            <w:tcW w:w="1315" w:type="pct"/>
            <w:gridSpan w:val="2"/>
            <w:tcBorders>
              <w:top w:val="nil"/>
              <w:left w:val="nil"/>
              <w:bottom w:val="nil"/>
              <w:right w:val="nil"/>
            </w:tcBorders>
            <w:noWrap/>
          </w:tcPr>
          <w:p w14:paraId="51604FE6" w14:textId="77777777" w:rsidR="00967768" w:rsidRPr="00135619" w:rsidRDefault="0000236D"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0.10</w:t>
            </w:r>
            <w:r w:rsidRPr="00135619">
              <w:rPr>
                <w:rFonts w:ascii="Times New Roman" w:hAnsi="Times New Roman" w:cs="Times New Roman"/>
                <w:color w:val="000000" w:themeColor="text1"/>
                <w:vertAlign w:val="superscript"/>
              </w:rPr>
              <w:t>d</w:t>
            </w:r>
            <w:r w:rsidR="00967768" w:rsidRPr="00135619">
              <w:rPr>
                <w:rFonts w:ascii="Times New Roman" w:hAnsi="Times New Roman" w:cs="Times New Roman"/>
                <w:color w:val="000000" w:themeColor="text1"/>
              </w:rPr>
              <w:t>+0.00</w:t>
            </w:r>
          </w:p>
        </w:tc>
        <w:tc>
          <w:tcPr>
            <w:tcW w:w="1311" w:type="pct"/>
            <w:gridSpan w:val="2"/>
            <w:tcBorders>
              <w:top w:val="nil"/>
              <w:left w:val="nil"/>
              <w:bottom w:val="nil"/>
              <w:right w:val="nil"/>
            </w:tcBorders>
            <w:noWrap/>
          </w:tcPr>
          <w:p w14:paraId="76E60F41" w14:textId="77777777" w:rsidR="00967768" w:rsidRPr="00135619" w:rsidRDefault="000E5AE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0.18</w:t>
            </w:r>
            <w:r w:rsidRPr="00135619">
              <w:rPr>
                <w:rFonts w:ascii="Times New Roman" w:hAnsi="Times New Roman" w:cs="Times New Roman"/>
                <w:color w:val="000000" w:themeColor="text1"/>
                <w:vertAlign w:val="superscript"/>
              </w:rPr>
              <w:t>d</w:t>
            </w:r>
            <w:r w:rsidR="00967768" w:rsidRPr="00135619">
              <w:rPr>
                <w:rFonts w:ascii="Times New Roman" w:hAnsi="Times New Roman" w:cs="Times New Roman"/>
                <w:color w:val="000000" w:themeColor="text1"/>
              </w:rPr>
              <w:t>+0.00</w:t>
            </w:r>
          </w:p>
        </w:tc>
      </w:tr>
      <w:tr w:rsidR="008A22FB" w:rsidRPr="00135619" w14:paraId="31028414" w14:textId="77777777" w:rsidTr="001824F6">
        <w:trPr>
          <w:trHeight w:val="288"/>
        </w:trPr>
        <w:tc>
          <w:tcPr>
            <w:tcW w:w="1059" w:type="pct"/>
            <w:tcBorders>
              <w:top w:val="nil"/>
              <w:left w:val="nil"/>
              <w:bottom w:val="nil"/>
              <w:right w:val="nil"/>
            </w:tcBorders>
            <w:noWrap/>
          </w:tcPr>
          <w:p w14:paraId="37E98B66"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MB50</w:t>
            </w:r>
          </w:p>
        </w:tc>
        <w:tc>
          <w:tcPr>
            <w:tcW w:w="1315" w:type="pct"/>
            <w:gridSpan w:val="2"/>
            <w:tcBorders>
              <w:top w:val="nil"/>
              <w:left w:val="nil"/>
              <w:bottom w:val="nil"/>
              <w:right w:val="nil"/>
            </w:tcBorders>
            <w:noWrap/>
            <w:vAlign w:val="bottom"/>
          </w:tcPr>
          <w:p w14:paraId="159586EC"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0.13</w:t>
            </w:r>
            <w:r w:rsidRPr="00135619">
              <w:rPr>
                <w:rFonts w:ascii="Times New Roman" w:hAnsi="Times New Roman" w:cs="Times New Roman"/>
                <w:color w:val="000000" w:themeColor="text1"/>
                <w:vertAlign w:val="superscript"/>
              </w:rPr>
              <w:t>b</w:t>
            </w:r>
            <w:r w:rsidRPr="00135619">
              <w:rPr>
                <w:rFonts w:ascii="Times New Roman" w:hAnsi="Times New Roman" w:cs="Times New Roman"/>
                <w:color w:val="000000" w:themeColor="text1"/>
              </w:rPr>
              <w:t>+0.00</w:t>
            </w:r>
          </w:p>
        </w:tc>
        <w:tc>
          <w:tcPr>
            <w:tcW w:w="1315" w:type="pct"/>
            <w:gridSpan w:val="2"/>
            <w:tcBorders>
              <w:top w:val="nil"/>
              <w:left w:val="nil"/>
              <w:bottom w:val="nil"/>
              <w:right w:val="nil"/>
            </w:tcBorders>
            <w:noWrap/>
            <w:vAlign w:val="bottom"/>
          </w:tcPr>
          <w:p w14:paraId="2465CE6C"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0.17</w:t>
            </w:r>
            <w:r w:rsidR="0000236D" w:rsidRPr="00135619">
              <w:rPr>
                <w:rFonts w:ascii="Times New Roman" w:hAnsi="Times New Roman" w:cs="Times New Roman"/>
                <w:color w:val="000000" w:themeColor="text1"/>
                <w:vertAlign w:val="superscript"/>
              </w:rPr>
              <w:t>c</w:t>
            </w:r>
            <w:r w:rsidRPr="00135619">
              <w:rPr>
                <w:rFonts w:ascii="Times New Roman" w:hAnsi="Times New Roman" w:cs="Times New Roman"/>
                <w:color w:val="000000" w:themeColor="text1"/>
              </w:rPr>
              <w:t>+0.00</w:t>
            </w:r>
          </w:p>
        </w:tc>
        <w:tc>
          <w:tcPr>
            <w:tcW w:w="1311" w:type="pct"/>
            <w:gridSpan w:val="2"/>
            <w:tcBorders>
              <w:top w:val="nil"/>
              <w:left w:val="nil"/>
              <w:bottom w:val="nil"/>
              <w:right w:val="nil"/>
            </w:tcBorders>
            <w:noWrap/>
            <w:vAlign w:val="bottom"/>
          </w:tcPr>
          <w:p w14:paraId="70ACD209"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0.27</w:t>
            </w:r>
            <w:r w:rsidR="000E5AE8" w:rsidRPr="00135619">
              <w:rPr>
                <w:rFonts w:ascii="Times New Roman" w:hAnsi="Times New Roman" w:cs="Times New Roman"/>
                <w:color w:val="000000" w:themeColor="text1"/>
                <w:vertAlign w:val="superscript"/>
              </w:rPr>
              <w:t>b</w:t>
            </w:r>
            <w:r w:rsidRPr="00135619">
              <w:rPr>
                <w:rFonts w:ascii="Times New Roman" w:hAnsi="Times New Roman" w:cs="Times New Roman"/>
                <w:color w:val="000000" w:themeColor="text1"/>
              </w:rPr>
              <w:t>+0.00</w:t>
            </w:r>
          </w:p>
        </w:tc>
      </w:tr>
      <w:tr w:rsidR="008A22FB" w:rsidRPr="00135619" w14:paraId="02B8A63B" w14:textId="77777777" w:rsidTr="001824F6">
        <w:trPr>
          <w:trHeight w:val="288"/>
        </w:trPr>
        <w:tc>
          <w:tcPr>
            <w:tcW w:w="1059" w:type="pct"/>
            <w:tcBorders>
              <w:top w:val="nil"/>
              <w:left w:val="nil"/>
              <w:bottom w:val="nil"/>
              <w:right w:val="nil"/>
            </w:tcBorders>
            <w:noWrap/>
          </w:tcPr>
          <w:p w14:paraId="4891C0D1"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PB25</w:t>
            </w:r>
          </w:p>
        </w:tc>
        <w:tc>
          <w:tcPr>
            <w:tcW w:w="1315" w:type="pct"/>
            <w:gridSpan w:val="2"/>
            <w:tcBorders>
              <w:top w:val="nil"/>
              <w:left w:val="nil"/>
              <w:bottom w:val="nil"/>
              <w:right w:val="nil"/>
            </w:tcBorders>
            <w:noWrap/>
          </w:tcPr>
          <w:p w14:paraId="1A9EEBB1"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0.10</w:t>
            </w:r>
            <w:r w:rsidR="0000236D" w:rsidRPr="00135619">
              <w:rPr>
                <w:rFonts w:ascii="Times New Roman" w:hAnsi="Times New Roman" w:cs="Times New Roman"/>
                <w:color w:val="000000" w:themeColor="text1"/>
                <w:vertAlign w:val="superscript"/>
              </w:rPr>
              <w:t>c</w:t>
            </w:r>
            <w:r w:rsidRPr="00135619">
              <w:rPr>
                <w:rFonts w:ascii="Times New Roman" w:hAnsi="Times New Roman" w:cs="Times New Roman"/>
                <w:color w:val="000000" w:themeColor="text1"/>
              </w:rPr>
              <w:t>+0.00</w:t>
            </w:r>
          </w:p>
        </w:tc>
        <w:tc>
          <w:tcPr>
            <w:tcW w:w="1315" w:type="pct"/>
            <w:gridSpan w:val="2"/>
            <w:tcBorders>
              <w:top w:val="nil"/>
              <w:left w:val="nil"/>
              <w:bottom w:val="nil"/>
              <w:right w:val="nil"/>
            </w:tcBorders>
            <w:noWrap/>
          </w:tcPr>
          <w:p w14:paraId="5DC4B001" w14:textId="77777777" w:rsidR="00967768" w:rsidRPr="00135619" w:rsidRDefault="0000236D"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0.24</w:t>
            </w:r>
            <w:r w:rsidRPr="00135619">
              <w:rPr>
                <w:rFonts w:ascii="Times New Roman" w:hAnsi="Times New Roman" w:cs="Times New Roman"/>
                <w:color w:val="000000" w:themeColor="text1"/>
                <w:vertAlign w:val="superscript"/>
              </w:rPr>
              <w:t>b</w:t>
            </w:r>
            <w:r w:rsidR="00967768" w:rsidRPr="00135619">
              <w:rPr>
                <w:rFonts w:ascii="Times New Roman" w:hAnsi="Times New Roman" w:cs="Times New Roman"/>
                <w:color w:val="000000" w:themeColor="text1"/>
              </w:rPr>
              <w:t>+0.01</w:t>
            </w:r>
          </w:p>
        </w:tc>
        <w:tc>
          <w:tcPr>
            <w:tcW w:w="1311" w:type="pct"/>
            <w:gridSpan w:val="2"/>
            <w:tcBorders>
              <w:top w:val="nil"/>
              <w:left w:val="nil"/>
              <w:bottom w:val="nil"/>
              <w:right w:val="nil"/>
            </w:tcBorders>
            <w:noWrap/>
          </w:tcPr>
          <w:p w14:paraId="5DA0F3DF"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0.23</w:t>
            </w:r>
            <w:r w:rsidRPr="00135619">
              <w:rPr>
                <w:rFonts w:ascii="Times New Roman" w:hAnsi="Times New Roman" w:cs="Times New Roman"/>
                <w:color w:val="000000" w:themeColor="text1"/>
                <w:vertAlign w:val="superscript"/>
              </w:rPr>
              <w:t>c</w:t>
            </w:r>
            <w:r w:rsidRPr="00135619">
              <w:rPr>
                <w:rFonts w:ascii="Times New Roman" w:hAnsi="Times New Roman" w:cs="Times New Roman"/>
                <w:color w:val="000000" w:themeColor="text1"/>
              </w:rPr>
              <w:t>+0.00</w:t>
            </w:r>
          </w:p>
        </w:tc>
      </w:tr>
      <w:tr w:rsidR="008A22FB" w:rsidRPr="00135619" w14:paraId="1385C486" w14:textId="77777777" w:rsidTr="001824F6">
        <w:trPr>
          <w:trHeight w:val="288"/>
        </w:trPr>
        <w:tc>
          <w:tcPr>
            <w:tcW w:w="1059" w:type="pct"/>
            <w:tcBorders>
              <w:top w:val="nil"/>
              <w:left w:val="nil"/>
              <w:bottom w:val="single" w:sz="12" w:space="0" w:color="auto"/>
              <w:right w:val="nil"/>
            </w:tcBorders>
            <w:noWrap/>
          </w:tcPr>
          <w:p w14:paraId="00CDCE59"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PB50</w:t>
            </w:r>
          </w:p>
        </w:tc>
        <w:tc>
          <w:tcPr>
            <w:tcW w:w="1315" w:type="pct"/>
            <w:gridSpan w:val="2"/>
            <w:tcBorders>
              <w:top w:val="nil"/>
              <w:left w:val="nil"/>
              <w:bottom w:val="single" w:sz="12" w:space="0" w:color="auto"/>
              <w:right w:val="nil"/>
            </w:tcBorders>
            <w:noWrap/>
            <w:vAlign w:val="bottom"/>
          </w:tcPr>
          <w:p w14:paraId="7271E68D"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0.23</w:t>
            </w:r>
            <w:r w:rsidRPr="00135619">
              <w:rPr>
                <w:rFonts w:ascii="Times New Roman" w:hAnsi="Times New Roman" w:cs="Times New Roman"/>
                <w:color w:val="000000" w:themeColor="text1"/>
                <w:vertAlign w:val="superscript"/>
              </w:rPr>
              <w:t>a</w:t>
            </w:r>
            <w:r w:rsidRPr="00135619">
              <w:rPr>
                <w:rFonts w:ascii="Times New Roman" w:hAnsi="Times New Roman" w:cs="Times New Roman"/>
                <w:color w:val="000000" w:themeColor="text1"/>
              </w:rPr>
              <w:t>+0.00</w:t>
            </w:r>
          </w:p>
        </w:tc>
        <w:tc>
          <w:tcPr>
            <w:tcW w:w="1315" w:type="pct"/>
            <w:gridSpan w:val="2"/>
            <w:tcBorders>
              <w:top w:val="nil"/>
              <w:left w:val="nil"/>
              <w:bottom w:val="single" w:sz="12" w:space="0" w:color="auto"/>
              <w:right w:val="nil"/>
            </w:tcBorders>
            <w:noWrap/>
            <w:vAlign w:val="bottom"/>
          </w:tcPr>
          <w:p w14:paraId="16A6A53B"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0.37</w:t>
            </w:r>
            <w:r w:rsidRPr="00135619">
              <w:rPr>
                <w:rFonts w:ascii="Times New Roman" w:hAnsi="Times New Roman" w:cs="Times New Roman"/>
                <w:color w:val="000000" w:themeColor="text1"/>
                <w:vertAlign w:val="superscript"/>
              </w:rPr>
              <w:t>a</w:t>
            </w:r>
            <w:r w:rsidRPr="00135619">
              <w:rPr>
                <w:rFonts w:ascii="Times New Roman" w:hAnsi="Times New Roman" w:cs="Times New Roman"/>
                <w:color w:val="000000" w:themeColor="text1"/>
              </w:rPr>
              <w:t>+0.01</w:t>
            </w:r>
          </w:p>
        </w:tc>
        <w:tc>
          <w:tcPr>
            <w:tcW w:w="1311" w:type="pct"/>
            <w:gridSpan w:val="2"/>
            <w:tcBorders>
              <w:top w:val="nil"/>
              <w:left w:val="nil"/>
              <w:bottom w:val="single" w:sz="12" w:space="0" w:color="auto"/>
              <w:right w:val="nil"/>
            </w:tcBorders>
            <w:noWrap/>
            <w:vAlign w:val="bottom"/>
          </w:tcPr>
          <w:p w14:paraId="121D9264" w14:textId="77777777" w:rsidR="00967768" w:rsidRPr="00135619" w:rsidRDefault="00967768" w:rsidP="00967768">
            <w:pPr>
              <w:rPr>
                <w:rFonts w:ascii="Times New Roman" w:hAnsi="Times New Roman" w:cs="Times New Roman"/>
                <w:color w:val="000000" w:themeColor="text1"/>
              </w:rPr>
            </w:pPr>
            <w:r w:rsidRPr="00135619">
              <w:rPr>
                <w:rFonts w:ascii="Times New Roman" w:hAnsi="Times New Roman" w:cs="Times New Roman"/>
                <w:color w:val="000000" w:themeColor="text1"/>
              </w:rPr>
              <w:t>0.33</w:t>
            </w:r>
            <w:r w:rsidR="000E5AE8" w:rsidRPr="00135619">
              <w:rPr>
                <w:rFonts w:ascii="Times New Roman" w:hAnsi="Times New Roman" w:cs="Times New Roman"/>
                <w:color w:val="000000" w:themeColor="text1"/>
                <w:vertAlign w:val="superscript"/>
              </w:rPr>
              <w:t>a</w:t>
            </w:r>
            <w:r w:rsidRPr="00135619">
              <w:rPr>
                <w:rFonts w:ascii="Times New Roman" w:hAnsi="Times New Roman" w:cs="Times New Roman"/>
                <w:color w:val="000000" w:themeColor="text1"/>
              </w:rPr>
              <w:t>+0.00</w:t>
            </w:r>
          </w:p>
        </w:tc>
      </w:tr>
    </w:tbl>
    <w:p w14:paraId="0DD0F304" w14:textId="77777777" w:rsidR="00C60D36" w:rsidRPr="00135619" w:rsidRDefault="007A36A8" w:rsidP="00C60D36">
      <w:pPr>
        <w:rPr>
          <w:rFonts w:ascii="Times New Roman" w:hAnsi="Times New Roman" w:cs="Times New Roman"/>
          <w:color w:val="000000" w:themeColor="text1"/>
        </w:rPr>
      </w:pPr>
      <w:r w:rsidRPr="00135619">
        <w:rPr>
          <w:rFonts w:ascii="Times New Roman" w:hAnsi="Times New Roman" w:cs="Times New Roman"/>
          <w:color w:val="000000" w:themeColor="text1"/>
        </w:rPr>
        <w:t>Values are means ± standard deviation of 3 replications</w:t>
      </w:r>
      <w:r w:rsidR="00C60D36" w:rsidRPr="00135619">
        <w:rPr>
          <w:rFonts w:ascii="Times New Roman" w:hAnsi="Times New Roman" w:cs="Times New Roman"/>
          <w:color w:val="000000" w:themeColor="text1"/>
        </w:rPr>
        <w:t>. Values in the same column bearing similar superscripts are not significantly (p&gt;0.05) different, while values in the same column with different superscript are significantly (p&lt;0.05) different.</w:t>
      </w:r>
    </w:p>
    <w:p w14:paraId="2407ABFC" w14:textId="77777777" w:rsidR="003775DE" w:rsidRPr="00135619" w:rsidRDefault="003775DE" w:rsidP="00C60D36">
      <w:pPr>
        <w:spacing w:line="360" w:lineRule="auto"/>
        <w:jc w:val="both"/>
        <w:rPr>
          <w:rFonts w:ascii="Times New Roman" w:hAnsi="Times New Roman" w:cs="Times New Roman"/>
          <w:color w:val="000000" w:themeColor="text1"/>
        </w:rPr>
      </w:pPr>
      <w:r w:rsidRPr="00135619">
        <w:t>The bread samples' vitamin B3 level ranged from 0.13 to 0.33 mg/100 g, with the 100% wheat flour bread having the lowest value at 0.13 mg/100 g. Bread made with millet flour had lower vitamin B3 levels than bread made with pigeon pea flour. For biscuits made with composite flours, the readings were lower than the 0.56 to 1.63 mg/100 g reported by Emojorho et al. (2023). Higher percentages of millet and pigeon pea flour led to a considerable increase in the bread's vitamin B3 levels. The bread mixture with 50% pigeon pea flour had the highest value, 0.33 mg/100 g.</w:t>
      </w:r>
    </w:p>
    <w:p w14:paraId="555D999E" w14:textId="77777777" w:rsidR="003775DE" w:rsidRPr="00135619" w:rsidRDefault="003775DE" w:rsidP="00C60D36">
      <w:pPr>
        <w:spacing w:line="360" w:lineRule="auto"/>
        <w:jc w:val="both"/>
        <w:rPr>
          <w:rFonts w:ascii="Times New Roman" w:hAnsi="Times New Roman" w:cs="Times New Roman"/>
          <w:color w:val="000000" w:themeColor="text1"/>
        </w:rPr>
      </w:pPr>
      <w:r w:rsidRPr="00135619">
        <w:t>The bread samples' vitamin B2 level ranged from 0.09 to 0.37 mg/100 g, with the 100% wheat flour bread having the lowest value at 0.09 mg/100 g. Bread made with millet flour had lower values than bread made with pigeon pea flour. For tortilla bread made with composite flour, the values were comparable to or higher than the 0.03 to 0.14 mg/100 g vitamin B2 reported by Emojorho et al. (2025b). Higher amounts of millet and pigeon pea flour led to a considerable increase in the bread's vitamin B2 levels. The bread mixture with 50% pigeon pea flour had the highest value, 0.37 mg/100 g.</w:t>
      </w:r>
    </w:p>
    <w:p w14:paraId="02DB2FA6" w14:textId="77777777" w:rsidR="00C60D36" w:rsidRPr="00135619" w:rsidRDefault="003775DE" w:rsidP="003775DE">
      <w:pPr>
        <w:spacing w:line="360" w:lineRule="auto"/>
        <w:jc w:val="both"/>
        <w:rPr>
          <w:rFonts w:ascii="Times New Roman" w:hAnsi="Times New Roman" w:cs="Times New Roman"/>
          <w:b/>
          <w:bCs/>
          <w:color w:val="000000" w:themeColor="text1"/>
        </w:rPr>
      </w:pPr>
      <w:r w:rsidRPr="00135619">
        <w:t>The bread samples' vitamin B1 level ranged from 0.00 to 0.23 mg/100 g, with the 100% wheat flour bread having the lowest value at 0.00 mg/100 g. Bread made with millet flour had lower values than bread made with pigeon pea flour. For tortilla bread made with composite flour, the values were comparable to or higher than the 0.03 to 0.14 mg/100 g vitamin B1 reported by Emojorho et al. (2025b). Higher amounts of millet and pigeon pea flour led to a considerable increase in the bread's vitamin B1 levels. The bread formulation with 50% pigeon pea flour had the highest amount (0.23 mg/100 g).</w:t>
      </w:r>
    </w:p>
    <w:p w14:paraId="2DBFA057" w14:textId="77777777" w:rsidR="00C60D36" w:rsidRPr="00135619" w:rsidRDefault="00C60D36" w:rsidP="00C60D36">
      <w:pPr>
        <w:spacing w:line="360" w:lineRule="auto"/>
        <w:jc w:val="both"/>
        <w:rPr>
          <w:rFonts w:ascii="Times New Roman" w:hAnsi="Times New Roman" w:cs="Times New Roman"/>
          <w:b/>
          <w:bCs/>
          <w:color w:val="000000" w:themeColor="text1"/>
        </w:rPr>
      </w:pPr>
      <w:r w:rsidRPr="00135619">
        <w:rPr>
          <w:rFonts w:ascii="Times New Roman" w:hAnsi="Times New Roman" w:cs="Times New Roman"/>
          <w:b/>
          <w:bCs/>
          <w:color w:val="000000" w:themeColor="text1"/>
        </w:rPr>
        <w:t>Conclusion</w:t>
      </w:r>
    </w:p>
    <w:p w14:paraId="2B76E374" w14:textId="77777777" w:rsidR="003775DE" w:rsidRPr="00135619" w:rsidRDefault="003775DE" w:rsidP="003775DE">
      <w:pPr>
        <w:spacing w:line="360" w:lineRule="auto"/>
        <w:jc w:val="both"/>
        <w:rPr>
          <w:rFonts w:ascii="Times New Roman" w:hAnsi="Times New Roman" w:cs="Times New Roman"/>
          <w:color w:val="000000" w:themeColor="text1"/>
        </w:rPr>
      </w:pPr>
      <w:r w:rsidRPr="00135619">
        <w:t xml:space="preserve">The findings of the study showed that adding millet and pigeon pea flour to bread formulations increased the mineral and vitamin contents of the bread samples. The increase in phosphorus, calcium, potassium, iron, and magnesium contents with increasing replacement levels of millet and pigeon pea flour demonstrates the nutritional potential of these locally available crops in bread production. Since </w:t>
      </w:r>
      <w:r w:rsidRPr="00135619">
        <w:lastRenderedPageBreak/>
        <w:t>phosphorus is important for cellular processes and skeletal development, the higher phosphorus content of the composite bread indicates improved mineral contribution. Similarly, the higher calcium level observed in the composite bread samples suggests that millet and pigeon pea flour can contribute to dietary calcium intake. Potassium is necessary for maintaining fluid balance, nerve transmission, and blood pressure regulation; therefore, the higher potassium levels observed in the bread samples are nutritionally relevant. Higher inclusion levels of millet and pigeon pea flour also increased the iron content, which is important, particularly in developing countries where iron deficiency anaemia remains a public health concern. The increased magnesium concentration also improved the bread's nutritional profile because magnesium is involved in several metabolic and enzymatic processes in the human body. As the amounts of millet and pigeon pea flour in the bread samples increased, the study also found an improvement in vitamin B complex, notably vitamin B1 (thiamine), vitamin B2 (riboflavin), and vitamin B3 (niacin). These vitamins are necessary for growth and development, nervous system function, and energy metabolism.</w:t>
      </w:r>
    </w:p>
    <w:p w14:paraId="0B00AC51" w14:textId="77777777" w:rsidR="00C60D36" w:rsidRPr="00135619" w:rsidRDefault="003775DE" w:rsidP="003775DE">
      <w:pPr>
        <w:spacing w:line="360" w:lineRule="auto"/>
        <w:jc w:val="both"/>
        <w:rPr>
          <w:rFonts w:ascii="Times New Roman" w:hAnsi="Times New Roman" w:cs="Times New Roman"/>
          <w:color w:val="000000" w:themeColor="text1"/>
        </w:rPr>
      </w:pPr>
      <w:r w:rsidRPr="00135619">
        <w:t>The study's findings further demonstrate that millet and pigeon pea flour have useful micronutrient properties and can be used to produce composite bread without reducing the product's micronutrient quality. Using these underutilised indigenous crops in bread production has economic and agricultural implications, including reducing reliance on imported wheat, promoting local agriculture, encouraging crop diversification, and improving food security. Overall, the study found that bread made from millet and pigeon pea composite flour had a better micronutrient composition than traditional wheat bread.</w:t>
      </w:r>
    </w:p>
    <w:p w14:paraId="33DF445E" w14:textId="77777777" w:rsidR="00C60D36" w:rsidRPr="00135619" w:rsidRDefault="00C60D36" w:rsidP="00C60D36">
      <w:pPr>
        <w:spacing w:line="360" w:lineRule="auto"/>
        <w:jc w:val="both"/>
        <w:rPr>
          <w:rFonts w:ascii="Times New Roman" w:hAnsi="Times New Roman" w:cs="Times New Roman"/>
          <w:b/>
          <w:bCs/>
          <w:color w:val="000000" w:themeColor="text1"/>
        </w:rPr>
      </w:pPr>
      <w:r w:rsidRPr="00135619">
        <w:rPr>
          <w:rFonts w:ascii="Times New Roman" w:hAnsi="Times New Roman" w:cs="Times New Roman"/>
          <w:b/>
          <w:bCs/>
          <w:color w:val="000000" w:themeColor="text1"/>
        </w:rPr>
        <w:t>Recommendations</w:t>
      </w:r>
    </w:p>
    <w:p w14:paraId="174E92AF" w14:textId="77777777" w:rsidR="003775DE" w:rsidRPr="00135619" w:rsidRDefault="009B7398" w:rsidP="009B7398">
      <w:pPr>
        <w:spacing w:line="360" w:lineRule="auto"/>
        <w:jc w:val="both"/>
        <w:rPr>
          <w:rFonts w:ascii="Times New Roman" w:hAnsi="Times New Roman" w:cs="Times New Roman"/>
          <w:color w:val="000000" w:themeColor="text1"/>
        </w:rPr>
      </w:pPr>
      <w:r w:rsidRPr="00135619">
        <w:t>The following suggestions are offered in light of the study's findings:</w:t>
      </w:r>
    </w:p>
    <w:p w14:paraId="3C5DF075" w14:textId="77777777" w:rsidR="003775DE" w:rsidRPr="00135619" w:rsidRDefault="003775DE" w:rsidP="003775DE">
      <w:pPr>
        <w:numPr>
          <w:ilvl w:val="0"/>
          <w:numId w:val="8"/>
        </w:numPr>
        <w:spacing w:line="360" w:lineRule="auto"/>
        <w:jc w:val="both"/>
        <w:rPr>
          <w:rFonts w:ascii="Times New Roman" w:hAnsi="Times New Roman" w:cs="Times New Roman"/>
          <w:color w:val="000000" w:themeColor="text1"/>
        </w:rPr>
      </w:pPr>
      <w:r w:rsidRPr="00135619">
        <w:t>Because millet and pigeon pea flour can improve the mineral and vitamin content of bread products, bread manufacturers and the food industry should consider their use.</w:t>
      </w:r>
    </w:p>
    <w:p w14:paraId="7ADE8AC6" w14:textId="77777777" w:rsidR="003775DE" w:rsidRPr="00135619" w:rsidRDefault="003775DE" w:rsidP="003775DE">
      <w:pPr>
        <w:numPr>
          <w:ilvl w:val="0"/>
          <w:numId w:val="8"/>
        </w:numPr>
        <w:spacing w:line="360" w:lineRule="auto"/>
        <w:jc w:val="both"/>
        <w:rPr>
          <w:rFonts w:ascii="Times New Roman" w:hAnsi="Times New Roman" w:cs="Times New Roman"/>
          <w:color w:val="000000" w:themeColor="text1"/>
        </w:rPr>
      </w:pPr>
      <w:r w:rsidRPr="00135619">
        <w:t>As part of measures to minimise micronutrient deficiencies, particularly iron and calcium shortages among vulnerable groups, government agencies, nutritionists, and health organisations should promote the consumption of composite bread prepared from millet and pigeon pea flour.</w:t>
      </w:r>
    </w:p>
    <w:p w14:paraId="467EB8B4" w14:textId="77777777" w:rsidR="00C60D36" w:rsidRPr="00135619" w:rsidRDefault="003775DE" w:rsidP="003775DE">
      <w:pPr>
        <w:numPr>
          <w:ilvl w:val="0"/>
          <w:numId w:val="8"/>
        </w:numPr>
        <w:spacing w:line="360" w:lineRule="auto"/>
        <w:jc w:val="both"/>
        <w:rPr>
          <w:rFonts w:ascii="Times New Roman" w:hAnsi="Times New Roman" w:cs="Times New Roman"/>
          <w:color w:val="000000" w:themeColor="text1"/>
        </w:rPr>
      </w:pPr>
      <w:r w:rsidRPr="00135619">
        <w:t>Further research should assess the sensory qualities, shelf stability, consumer acceptability, and storage quality of bread made from millet and pigeon pea composite flour.</w:t>
      </w:r>
    </w:p>
    <w:p w14:paraId="0680A517" w14:textId="77777777" w:rsidR="00327C20" w:rsidRPr="00135619" w:rsidRDefault="009B7398" w:rsidP="00327C20">
      <w:pPr>
        <w:numPr>
          <w:ilvl w:val="0"/>
          <w:numId w:val="8"/>
        </w:numPr>
        <w:spacing w:line="360" w:lineRule="auto"/>
        <w:jc w:val="both"/>
        <w:rPr>
          <w:rFonts w:ascii="Times New Roman" w:hAnsi="Times New Roman" w:cs="Times New Roman"/>
          <w:color w:val="000000" w:themeColor="text1"/>
        </w:rPr>
      </w:pPr>
      <w:r w:rsidRPr="00135619">
        <w:lastRenderedPageBreak/>
        <w:t>To improve local food production, increase farmers' income, and reduce reliance on imported wheat flour, policies that encourage the cultivation and use of millet and pigeon pea should be strengthened.</w:t>
      </w:r>
    </w:p>
    <w:p w14:paraId="104A12B7" w14:textId="77777777" w:rsidR="00327C20" w:rsidRPr="00135619" w:rsidRDefault="009B7398" w:rsidP="00327C20">
      <w:pPr>
        <w:numPr>
          <w:ilvl w:val="0"/>
          <w:numId w:val="8"/>
        </w:numPr>
        <w:spacing w:line="360" w:lineRule="auto"/>
        <w:jc w:val="both"/>
        <w:rPr>
          <w:rFonts w:ascii="Times New Roman" w:hAnsi="Times New Roman" w:cs="Times New Roman"/>
          <w:color w:val="000000" w:themeColor="text1"/>
        </w:rPr>
      </w:pPr>
      <w:r w:rsidRPr="00135619">
        <w:t>To produce healthier and more affordable baked products for the growing population, commercial bakeries should be encouraged to use composite flour technology.</w:t>
      </w:r>
    </w:p>
    <w:p w14:paraId="04BCA22B" w14:textId="77777777" w:rsidR="009B7398" w:rsidRPr="00135619" w:rsidRDefault="009B7398" w:rsidP="00327C20">
      <w:pPr>
        <w:numPr>
          <w:ilvl w:val="0"/>
          <w:numId w:val="8"/>
        </w:numPr>
        <w:spacing w:line="360" w:lineRule="auto"/>
        <w:jc w:val="both"/>
        <w:rPr>
          <w:rFonts w:ascii="Times New Roman" w:hAnsi="Times New Roman" w:cs="Times New Roman"/>
          <w:color w:val="000000" w:themeColor="text1"/>
        </w:rPr>
      </w:pPr>
      <w:r w:rsidRPr="00135619">
        <w:t>Universities, research centres, and the food industry should encourage the use of millet and pigeon pea flour in bread production to support food security, nutrition, and the development of a sustainable food system. Further research should be conducted on the bioavailability of the minerals and vitamins found in the composite bread to determine the extent of nutrient absorption and utilisation in the human body.</w:t>
      </w:r>
    </w:p>
    <w:p w14:paraId="75BB691E" w14:textId="2AB203AE" w:rsidR="00CD7951" w:rsidRDefault="00CD7951" w:rsidP="00CD7951">
      <w:pPr>
        <w:spacing w:line="360" w:lineRule="auto"/>
        <w:jc w:val="both"/>
      </w:pPr>
      <w:r w:rsidRPr="00135619">
        <w:rPr>
          <w:rStyle w:val="Strong"/>
        </w:rPr>
        <w:t>Limitation</w:t>
      </w:r>
      <w:r w:rsidRPr="00135619">
        <w:br/>
        <w:t>This study was limited to the determination of selected minerals and B-complex vitamins in bread produced from millet and pigeon pea flour blends. It did not evaluate sensory acceptability, shelf stability, textural quality, glycaemic response or the bioavailability of the reported micronutrients. Therefore, the findings should be interpreted as compositional evidence rather than as a complete assessment of product quality or nutritional impact.</w:t>
      </w:r>
    </w:p>
    <w:p w14:paraId="3194D53F" w14:textId="77777777" w:rsidR="00135619" w:rsidRPr="00D76828" w:rsidRDefault="00135619" w:rsidP="00135619">
      <w:pPr>
        <w:spacing w:line="278" w:lineRule="auto"/>
        <w:rPr>
          <w:rFonts w:ascii="Calibri" w:eastAsia="Calibri" w:hAnsi="Calibri" w:cs="Times New Roman"/>
          <w:b/>
          <w:bCs/>
          <w:sz w:val="24"/>
          <w:szCs w:val="24"/>
        </w:rPr>
      </w:pPr>
      <w:r w:rsidRPr="00D76828">
        <w:rPr>
          <w:rFonts w:ascii="Calibri" w:eastAsia="Calibri" w:hAnsi="Calibri" w:cs="Times New Roman"/>
          <w:b/>
          <w:bCs/>
          <w:sz w:val="24"/>
          <w:szCs w:val="24"/>
        </w:rPr>
        <w:t>Declaration of AI Use</w:t>
      </w:r>
    </w:p>
    <w:p w14:paraId="35C5A462" w14:textId="77777777" w:rsidR="00135619" w:rsidRPr="00D76828" w:rsidRDefault="00135619" w:rsidP="00135619">
      <w:pPr>
        <w:spacing w:line="278" w:lineRule="auto"/>
        <w:jc w:val="both"/>
        <w:rPr>
          <w:rFonts w:ascii="Calibri" w:eastAsia="Calibri" w:hAnsi="Calibri" w:cs="Times New Roman"/>
          <w:sz w:val="24"/>
          <w:szCs w:val="24"/>
        </w:rPr>
      </w:pPr>
      <w:r w:rsidRPr="00D76828">
        <w:rPr>
          <w:rFonts w:ascii="Calibri" w:eastAsia="Calibri" w:hAnsi="Calibri" w:cs="Times New Roman"/>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A15CE36" w14:textId="77777777" w:rsidR="00135619" w:rsidRPr="00135619" w:rsidRDefault="00135619" w:rsidP="00CD7951">
      <w:pPr>
        <w:spacing w:line="360" w:lineRule="auto"/>
        <w:jc w:val="both"/>
        <w:rPr>
          <w:rFonts w:ascii="Times New Roman" w:hAnsi="Times New Roman" w:cs="Times New Roman"/>
          <w:color w:val="000000" w:themeColor="text1"/>
        </w:rPr>
      </w:pPr>
    </w:p>
    <w:p w14:paraId="53A5FB20" w14:textId="77777777" w:rsidR="008423F8" w:rsidRDefault="009B7398" w:rsidP="009B7398">
      <w:pPr>
        <w:spacing w:after="0" w:line="360" w:lineRule="auto"/>
        <w:rPr>
          <w:b/>
          <w:bCs/>
        </w:rPr>
      </w:pPr>
      <w:r w:rsidRPr="00135619">
        <w:rPr>
          <w:b/>
          <w:bCs/>
        </w:rPr>
        <w:t>REFERENCES</w:t>
      </w:r>
    </w:p>
    <w:p w14:paraId="5282DA45"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AOAC International. (2023). </w:t>
      </w:r>
      <w:r w:rsidRPr="00846FEB">
        <w:rPr>
          <w:rFonts w:ascii="Times New Roman" w:eastAsia="Times New Roman" w:hAnsi="Times New Roman" w:cs="Times New Roman"/>
          <w:i/>
          <w:iCs/>
          <w:sz w:val="24"/>
          <w:szCs w:val="24"/>
        </w:rPr>
        <w:t>Official methods of analysis of AOAC International</w:t>
      </w:r>
      <w:r w:rsidRPr="00846FEB">
        <w:rPr>
          <w:rFonts w:ascii="Times New Roman" w:eastAsia="Times New Roman" w:hAnsi="Times New Roman" w:cs="Times New Roman"/>
          <w:sz w:val="24"/>
          <w:szCs w:val="24"/>
        </w:rPr>
        <w:t xml:space="preserve"> (22nd ed.). Oxford University Press. </w:t>
      </w:r>
      <w:hyperlink r:id="rId6" w:tgtFrame="_new" w:history="1">
        <w:r w:rsidRPr="00846FEB">
          <w:rPr>
            <w:rFonts w:ascii="Times New Roman" w:eastAsia="Times New Roman" w:hAnsi="Times New Roman" w:cs="Times New Roman"/>
            <w:color w:val="0000FF"/>
            <w:sz w:val="24"/>
            <w:szCs w:val="24"/>
            <w:u w:val="single"/>
          </w:rPr>
          <w:t>https://doi.org/10.1093/9780197610145.001.0001</w:t>
        </w:r>
      </w:hyperlink>
      <w:r w:rsidRPr="00846FEB">
        <w:rPr>
          <w:rFonts w:ascii="Times New Roman" w:eastAsia="Times New Roman" w:hAnsi="Times New Roman" w:cs="Times New Roman"/>
          <w:sz w:val="24"/>
          <w:szCs w:val="24"/>
        </w:rPr>
        <w:t xml:space="preserve"> </w:t>
      </w:r>
    </w:p>
    <w:p w14:paraId="00FC63F5"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Adeoye, A. O., Ogunjemilusi, M. A., &amp; Akanfe, J. C. (2024). Formulation and assessment of nutritious infant complementary foods from co-fermented maize, millet and pigeon pea blends. </w:t>
      </w:r>
      <w:r w:rsidRPr="00846FEB">
        <w:rPr>
          <w:rFonts w:ascii="Times New Roman" w:eastAsia="Times New Roman" w:hAnsi="Times New Roman" w:cs="Times New Roman"/>
          <w:i/>
          <w:iCs/>
          <w:sz w:val="24"/>
          <w:szCs w:val="24"/>
        </w:rPr>
        <w:lastRenderedPageBreak/>
        <w:t>European Journal of Nutrition &amp; Food Safety, 16</w:t>
      </w:r>
      <w:r w:rsidRPr="00846FEB">
        <w:rPr>
          <w:rFonts w:ascii="Times New Roman" w:eastAsia="Times New Roman" w:hAnsi="Times New Roman" w:cs="Times New Roman"/>
          <w:sz w:val="24"/>
          <w:szCs w:val="24"/>
        </w:rPr>
        <w:t xml:space="preserve">(10), 227–239. </w:t>
      </w:r>
      <w:hyperlink r:id="rId7" w:tgtFrame="_new" w:history="1">
        <w:r w:rsidRPr="00846FEB">
          <w:rPr>
            <w:rFonts w:ascii="Times New Roman" w:eastAsia="Times New Roman" w:hAnsi="Times New Roman" w:cs="Times New Roman"/>
            <w:color w:val="0000FF"/>
            <w:sz w:val="24"/>
            <w:szCs w:val="24"/>
            <w:u w:val="single"/>
          </w:rPr>
          <w:t>https://doi.org/10.9734/ejnfs/2024/v16i101571</w:t>
        </w:r>
      </w:hyperlink>
      <w:r w:rsidRPr="00846FEB">
        <w:rPr>
          <w:rFonts w:ascii="Times New Roman" w:eastAsia="Times New Roman" w:hAnsi="Times New Roman" w:cs="Times New Roman"/>
          <w:sz w:val="24"/>
          <w:szCs w:val="24"/>
        </w:rPr>
        <w:t xml:space="preserve"> </w:t>
      </w:r>
    </w:p>
    <w:p w14:paraId="6D936E24"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Adinkwu, O. M., Emojorho, E. E., Ogboli, C. C., Ogwu, C., &amp; Obruche, F. (2025). Minerals and vitamin composition of bread from Bambara groundnut and sorghum flour. </w:t>
      </w:r>
      <w:r w:rsidRPr="00846FEB">
        <w:rPr>
          <w:rFonts w:ascii="Times New Roman" w:eastAsia="Times New Roman" w:hAnsi="Times New Roman" w:cs="Times New Roman"/>
          <w:i/>
          <w:iCs/>
          <w:sz w:val="24"/>
          <w:szCs w:val="24"/>
        </w:rPr>
        <w:t>International Journal of Multidisciplinary Research and Development, 12</w:t>
      </w:r>
      <w:r w:rsidRPr="00846FEB">
        <w:rPr>
          <w:rFonts w:ascii="Times New Roman" w:eastAsia="Times New Roman" w:hAnsi="Times New Roman" w:cs="Times New Roman"/>
          <w:sz w:val="24"/>
          <w:szCs w:val="24"/>
        </w:rPr>
        <w:t xml:space="preserve">(10), 71–76. </w:t>
      </w:r>
      <w:hyperlink r:id="rId8" w:tgtFrame="_new" w:history="1">
        <w:r w:rsidRPr="00846FEB">
          <w:rPr>
            <w:rFonts w:ascii="Times New Roman" w:eastAsia="Times New Roman" w:hAnsi="Times New Roman" w:cs="Times New Roman"/>
            <w:color w:val="0000FF"/>
            <w:sz w:val="24"/>
            <w:szCs w:val="24"/>
            <w:u w:val="single"/>
          </w:rPr>
          <w:t>https://www.allsubjectjournal.com/assets/archives/2025/vol12issue10/12251.pdf</w:t>
        </w:r>
      </w:hyperlink>
      <w:r w:rsidRPr="00846FEB">
        <w:rPr>
          <w:rFonts w:ascii="Times New Roman" w:eastAsia="Times New Roman" w:hAnsi="Times New Roman" w:cs="Times New Roman"/>
          <w:sz w:val="24"/>
          <w:szCs w:val="24"/>
        </w:rPr>
        <w:t xml:space="preserve"> </w:t>
      </w:r>
    </w:p>
    <w:p w14:paraId="4BF54780"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Ahmed, M. F., &amp; Pandey, S. (2024). Physicochemical, proximate and sensory evaluation of pearl millet and pigeon pea based nutrient dense mix. </w:t>
      </w:r>
      <w:r w:rsidRPr="00846FEB">
        <w:rPr>
          <w:rFonts w:ascii="Times New Roman" w:eastAsia="Times New Roman" w:hAnsi="Times New Roman" w:cs="Times New Roman"/>
          <w:i/>
          <w:iCs/>
          <w:sz w:val="24"/>
          <w:szCs w:val="24"/>
        </w:rPr>
        <w:t>International Journal of Community Medicine and Public Health, 11</w:t>
      </w:r>
      <w:r w:rsidRPr="00846FEB">
        <w:rPr>
          <w:rFonts w:ascii="Times New Roman" w:eastAsia="Times New Roman" w:hAnsi="Times New Roman" w:cs="Times New Roman"/>
          <w:sz w:val="24"/>
          <w:szCs w:val="24"/>
        </w:rPr>
        <w:t xml:space="preserve">(7), 2904–2911. https://doi.org/10.18203/2394-6040.ijcmph20241856 </w:t>
      </w:r>
    </w:p>
    <w:p w14:paraId="1BC4D896" w14:textId="05E7AC56"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Balpande, S. S., Sarap, P. A., &amp; Ghodpage, R. M. (2016). Effect of potassium and sulphur on nutrient uptake, yield and quality of pigeon pea (</w:t>
      </w:r>
      <w:r w:rsidRPr="00846FEB">
        <w:rPr>
          <w:rFonts w:ascii="Times New Roman" w:eastAsia="Times New Roman" w:hAnsi="Times New Roman" w:cs="Times New Roman"/>
          <w:i/>
          <w:iCs/>
          <w:sz w:val="24"/>
          <w:szCs w:val="24"/>
        </w:rPr>
        <w:t>Cajanus cajan</w:t>
      </w:r>
      <w:r w:rsidRPr="00846FEB">
        <w:rPr>
          <w:rFonts w:ascii="Times New Roman" w:eastAsia="Times New Roman" w:hAnsi="Times New Roman" w:cs="Times New Roman"/>
          <w:sz w:val="24"/>
          <w:szCs w:val="24"/>
        </w:rPr>
        <w:t xml:space="preserve">). </w:t>
      </w:r>
      <w:r w:rsidRPr="00846FEB">
        <w:rPr>
          <w:rFonts w:ascii="Times New Roman" w:eastAsia="Times New Roman" w:hAnsi="Times New Roman" w:cs="Times New Roman"/>
          <w:i/>
          <w:iCs/>
          <w:sz w:val="24"/>
          <w:szCs w:val="24"/>
        </w:rPr>
        <w:t>Agricultural Science Digest, 36</w:t>
      </w:r>
      <w:r w:rsidRPr="00846FEB">
        <w:rPr>
          <w:rFonts w:ascii="Times New Roman" w:eastAsia="Times New Roman" w:hAnsi="Times New Roman" w:cs="Times New Roman"/>
          <w:sz w:val="24"/>
          <w:szCs w:val="24"/>
        </w:rPr>
        <w:t>(4), 323–325. https://doi.org/10.18805/asd.v36i4.6476</w:t>
      </w:r>
    </w:p>
    <w:p w14:paraId="69B5B939"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Akubor, P. I. (2017). Effect of processing methods on the chemical composition and functional properties of pigeon pea seed. </w:t>
      </w:r>
      <w:r w:rsidRPr="00846FEB">
        <w:rPr>
          <w:rFonts w:ascii="Times New Roman" w:eastAsia="Times New Roman" w:hAnsi="Times New Roman" w:cs="Times New Roman"/>
          <w:i/>
          <w:iCs/>
          <w:sz w:val="24"/>
          <w:szCs w:val="24"/>
        </w:rPr>
        <w:t>Asian Journal of Advances in Agricultural Research, 2</w:t>
      </w:r>
      <w:r w:rsidRPr="00846FEB">
        <w:rPr>
          <w:rFonts w:ascii="Times New Roman" w:eastAsia="Times New Roman" w:hAnsi="Times New Roman" w:cs="Times New Roman"/>
          <w:sz w:val="24"/>
          <w:szCs w:val="24"/>
        </w:rPr>
        <w:t xml:space="preserve">(2), 1–8. </w:t>
      </w:r>
      <w:hyperlink r:id="rId9" w:tgtFrame="_new" w:history="1">
        <w:r w:rsidRPr="00846FEB">
          <w:rPr>
            <w:rFonts w:ascii="Times New Roman" w:eastAsia="Times New Roman" w:hAnsi="Times New Roman" w:cs="Times New Roman"/>
            <w:color w:val="0000FF"/>
            <w:sz w:val="24"/>
            <w:szCs w:val="24"/>
            <w:u w:val="single"/>
          </w:rPr>
          <w:t>https://doi.org/10.9734/AJAAR/2017/35640</w:t>
        </w:r>
      </w:hyperlink>
      <w:r w:rsidRPr="00846FEB">
        <w:rPr>
          <w:rFonts w:ascii="Times New Roman" w:eastAsia="Times New Roman" w:hAnsi="Times New Roman" w:cs="Times New Roman"/>
          <w:sz w:val="24"/>
          <w:szCs w:val="24"/>
        </w:rPr>
        <w:t xml:space="preserve"> </w:t>
      </w:r>
    </w:p>
    <w:p w14:paraId="7B8FAB87"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Emojorho, E. E., Udeh, C. C., Anene, M. N., Aphiar, A., Nwosu, A. N., &amp; Ochimana, T. O. (2024). Chemical and functional properties of pasting producing from plantain, mesquite seed flours and rice bran. </w:t>
      </w:r>
      <w:r w:rsidRPr="00846FEB">
        <w:rPr>
          <w:rFonts w:ascii="Times New Roman" w:eastAsia="Times New Roman" w:hAnsi="Times New Roman" w:cs="Times New Roman"/>
          <w:i/>
          <w:iCs/>
          <w:sz w:val="24"/>
          <w:szCs w:val="24"/>
        </w:rPr>
        <w:t>Asian Journal of Research in Agriculture and Forestry, 10</w:t>
      </w:r>
      <w:r w:rsidRPr="00846FEB">
        <w:rPr>
          <w:rFonts w:ascii="Times New Roman" w:eastAsia="Times New Roman" w:hAnsi="Times New Roman" w:cs="Times New Roman"/>
          <w:sz w:val="24"/>
          <w:szCs w:val="24"/>
        </w:rPr>
        <w:t xml:space="preserve">(2), 1–11. </w:t>
      </w:r>
      <w:hyperlink r:id="rId10" w:tgtFrame="_new" w:history="1">
        <w:r w:rsidRPr="00846FEB">
          <w:rPr>
            <w:rFonts w:ascii="Times New Roman" w:eastAsia="Times New Roman" w:hAnsi="Times New Roman" w:cs="Times New Roman"/>
            <w:color w:val="0000FF"/>
            <w:sz w:val="24"/>
            <w:szCs w:val="24"/>
            <w:u w:val="single"/>
          </w:rPr>
          <w:t>https://doi.org/10.9734/ajraf/2024/v10i2279</w:t>
        </w:r>
      </w:hyperlink>
      <w:r w:rsidRPr="00846FEB">
        <w:rPr>
          <w:rFonts w:ascii="Times New Roman" w:eastAsia="Times New Roman" w:hAnsi="Times New Roman" w:cs="Times New Roman"/>
          <w:sz w:val="24"/>
          <w:szCs w:val="24"/>
        </w:rPr>
        <w:t xml:space="preserve"> </w:t>
      </w:r>
    </w:p>
    <w:p w14:paraId="51B4427E"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Emojorho, E. E., Oboreh, O. J., Adinkwu, O. M., Obetta, R. N., Iniaghe, P., Ogboli, C. C., &amp; Orede, G. (2025a). Proximate, physicochemical and phytochemical evaluation of biscuits produced from millet and soybean flour. </w:t>
      </w:r>
      <w:r w:rsidRPr="00846FEB">
        <w:rPr>
          <w:rFonts w:ascii="Times New Roman" w:eastAsia="Times New Roman" w:hAnsi="Times New Roman" w:cs="Times New Roman"/>
          <w:i/>
          <w:iCs/>
          <w:sz w:val="24"/>
          <w:szCs w:val="24"/>
        </w:rPr>
        <w:t>Asian Journal of Applied Chemistry Research, 16</w:t>
      </w:r>
      <w:r w:rsidRPr="00846FEB">
        <w:rPr>
          <w:rFonts w:ascii="Times New Roman" w:eastAsia="Times New Roman" w:hAnsi="Times New Roman" w:cs="Times New Roman"/>
          <w:sz w:val="24"/>
          <w:szCs w:val="24"/>
        </w:rPr>
        <w:t xml:space="preserve">(4), 48–55. </w:t>
      </w:r>
      <w:hyperlink r:id="rId11" w:tgtFrame="_new" w:history="1">
        <w:r w:rsidRPr="00846FEB">
          <w:rPr>
            <w:rFonts w:ascii="Times New Roman" w:eastAsia="Times New Roman" w:hAnsi="Times New Roman" w:cs="Times New Roman"/>
            <w:color w:val="0000FF"/>
            <w:sz w:val="24"/>
            <w:szCs w:val="24"/>
            <w:u w:val="single"/>
          </w:rPr>
          <w:t>https://doi.org/10.9734/ajacr/2025/v16i4354</w:t>
        </w:r>
      </w:hyperlink>
      <w:r w:rsidRPr="00846FEB">
        <w:rPr>
          <w:rFonts w:ascii="Times New Roman" w:eastAsia="Times New Roman" w:hAnsi="Times New Roman" w:cs="Times New Roman"/>
          <w:sz w:val="24"/>
          <w:szCs w:val="24"/>
        </w:rPr>
        <w:t xml:space="preserve"> </w:t>
      </w:r>
    </w:p>
    <w:p w14:paraId="0B67BDB5"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Ezegbe, C. C., Nkhata, S. G., Ukpong, E. S., Ezeh, M. C., Okocha, K. S., &amp; Pedro, B. F. (2025). Physicochemical and sensory quality of breakfast cereals produced from flour blends of maize and pigeon pea. </w:t>
      </w:r>
      <w:r w:rsidRPr="00846FEB">
        <w:rPr>
          <w:rFonts w:ascii="Times New Roman" w:eastAsia="Times New Roman" w:hAnsi="Times New Roman" w:cs="Times New Roman"/>
          <w:i/>
          <w:iCs/>
          <w:sz w:val="24"/>
          <w:szCs w:val="24"/>
        </w:rPr>
        <w:t>Heliyon, 11</w:t>
      </w:r>
      <w:r w:rsidRPr="00846FEB">
        <w:rPr>
          <w:rFonts w:ascii="Times New Roman" w:eastAsia="Times New Roman" w:hAnsi="Times New Roman" w:cs="Times New Roman"/>
          <w:sz w:val="24"/>
          <w:szCs w:val="24"/>
        </w:rPr>
        <w:t xml:space="preserve">(4), Article e42612. </w:t>
      </w:r>
      <w:hyperlink r:id="rId12" w:tgtFrame="_new" w:history="1">
        <w:r w:rsidRPr="00846FEB">
          <w:rPr>
            <w:rFonts w:ascii="Times New Roman" w:eastAsia="Times New Roman" w:hAnsi="Times New Roman" w:cs="Times New Roman"/>
            <w:color w:val="0000FF"/>
            <w:sz w:val="24"/>
            <w:szCs w:val="24"/>
            <w:u w:val="single"/>
          </w:rPr>
          <w:t>https://doi.org/10.1016/j.heliyon.2025.e42612</w:t>
        </w:r>
      </w:hyperlink>
      <w:r w:rsidRPr="00846FEB">
        <w:rPr>
          <w:rFonts w:ascii="Times New Roman" w:eastAsia="Times New Roman" w:hAnsi="Times New Roman" w:cs="Times New Roman"/>
          <w:sz w:val="24"/>
          <w:szCs w:val="24"/>
        </w:rPr>
        <w:t xml:space="preserve"> </w:t>
      </w:r>
    </w:p>
    <w:p w14:paraId="25E58BBE"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Oyarekua, M. A., Adeoye, A. O., &amp; Ojo, O. I. (2022). Comparable vitamin and mineral contents of co-fermented maize/carrot/pigeon pea and co-fermented millet/sweet potato/pigeon pea as infant complementary food. </w:t>
      </w:r>
      <w:r w:rsidRPr="00846FEB">
        <w:rPr>
          <w:rFonts w:ascii="Times New Roman" w:eastAsia="Times New Roman" w:hAnsi="Times New Roman" w:cs="Times New Roman"/>
          <w:i/>
          <w:iCs/>
          <w:sz w:val="24"/>
          <w:szCs w:val="24"/>
        </w:rPr>
        <w:t>Tropical Journal of Natural Product Research, 6</w:t>
      </w:r>
      <w:r w:rsidRPr="00846FEB">
        <w:rPr>
          <w:rFonts w:ascii="Times New Roman" w:eastAsia="Times New Roman" w:hAnsi="Times New Roman" w:cs="Times New Roman"/>
          <w:sz w:val="24"/>
          <w:szCs w:val="24"/>
        </w:rPr>
        <w:t xml:space="preserve">(8), 1331–1335. https://doi.org/10.26538/tjnpr/v6i8.28 </w:t>
      </w:r>
    </w:p>
    <w:p w14:paraId="722EBA55"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Ramashia, S. E., Onipe, O. O., Mashau, M. E., &amp; Jideani, A. I. O. (2025). Millets in sub-Saharan Africa: A review of the nutritional and bioactive composition, methods of processing and its developed products. </w:t>
      </w:r>
      <w:r w:rsidRPr="00846FEB">
        <w:rPr>
          <w:rFonts w:ascii="Times New Roman" w:eastAsia="Times New Roman" w:hAnsi="Times New Roman" w:cs="Times New Roman"/>
          <w:i/>
          <w:iCs/>
          <w:sz w:val="24"/>
          <w:szCs w:val="24"/>
        </w:rPr>
        <w:t>Discover Food, 5</w:t>
      </w:r>
      <w:r w:rsidRPr="00846FEB">
        <w:rPr>
          <w:rFonts w:ascii="Times New Roman" w:eastAsia="Times New Roman" w:hAnsi="Times New Roman" w:cs="Times New Roman"/>
          <w:sz w:val="24"/>
          <w:szCs w:val="24"/>
        </w:rPr>
        <w:t xml:space="preserve">, Article 56. </w:t>
      </w:r>
      <w:hyperlink r:id="rId13" w:tgtFrame="_new" w:history="1">
        <w:r w:rsidRPr="00846FEB">
          <w:rPr>
            <w:rFonts w:ascii="Times New Roman" w:eastAsia="Times New Roman" w:hAnsi="Times New Roman" w:cs="Times New Roman"/>
            <w:color w:val="0000FF"/>
            <w:sz w:val="24"/>
            <w:szCs w:val="24"/>
            <w:u w:val="single"/>
          </w:rPr>
          <w:t>https://doi.org/10.1007/s44187-025-00306-9</w:t>
        </w:r>
      </w:hyperlink>
      <w:r w:rsidRPr="00846FEB">
        <w:rPr>
          <w:rFonts w:ascii="Times New Roman" w:eastAsia="Times New Roman" w:hAnsi="Times New Roman" w:cs="Times New Roman"/>
          <w:sz w:val="24"/>
          <w:szCs w:val="24"/>
        </w:rPr>
        <w:t xml:space="preserve"> </w:t>
      </w:r>
    </w:p>
    <w:p w14:paraId="05AF4592"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Sibanda, F., Jideani, V. A., &amp; Obilana, A. O. (2024). Nutritional, biochemical, and functional properties of pearl millet and </w:t>
      </w:r>
      <w:r w:rsidRPr="00846FEB">
        <w:rPr>
          <w:rFonts w:ascii="Times New Roman" w:eastAsia="Times New Roman" w:hAnsi="Times New Roman" w:cs="Times New Roman"/>
          <w:i/>
          <w:iCs/>
          <w:sz w:val="24"/>
          <w:szCs w:val="24"/>
        </w:rPr>
        <w:t>Moringa oleifera</w:t>
      </w:r>
      <w:r w:rsidRPr="00846FEB">
        <w:rPr>
          <w:rFonts w:ascii="Times New Roman" w:eastAsia="Times New Roman" w:hAnsi="Times New Roman" w:cs="Times New Roman"/>
          <w:sz w:val="24"/>
          <w:szCs w:val="24"/>
        </w:rPr>
        <w:t xml:space="preserve"> leaf powder composite meal powders. </w:t>
      </w:r>
      <w:r w:rsidRPr="00846FEB">
        <w:rPr>
          <w:rFonts w:ascii="Times New Roman" w:eastAsia="Times New Roman" w:hAnsi="Times New Roman" w:cs="Times New Roman"/>
          <w:i/>
          <w:iCs/>
          <w:sz w:val="24"/>
          <w:szCs w:val="24"/>
        </w:rPr>
        <w:t>Foods, 13</w:t>
      </w:r>
      <w:r w:rsidRPr="00846FEB">
        <w:rPr>
          <w:rFonts w:ascii="Times New Roman" w:eastAsia="Times New Roman" w:hAnsi="Times New Roman" w:cs="Times New Roman"/>
          <w:sz w:val="24"/>
          <w:szCs w:val="24"/>
        </w:rPr>
        <w:t xml:space="preserve">(5), Article 743. </w:t>
      </w:r>
      <w:hyperlink r:id="rId14" w:tgtFrame="_new" w:history="1">
        <w:r w:rsidRPr="00846FEB">
          <w:rPr>
            <w:rFonts w:ascii="Times New Roman" w:eastAsia="Times New Roman" w:hAnsi="Times New Roman" w:cs="Times New Roman"/>
            <w:color w:val="0000FF"/>
            <w:sz w:val="24"/>
            <w:szCs w:val="24"/>
            <w:u w:val="single"/>
          </w:rPr>
          <w:t>https://doi.org/10.3390/foods13050743</w:t>
        </w:r>
      </w:hyperlink>
      <w:r w:rsidRPr="00846FEB">
        <w:rPr>
          <w:rFonts w:ascii="Times New Roman" w:eastAsia="Times New Roman" w:hAnsi="Times New Roman" w:cs="Times New Roman"/>
          <w:sz w:val="24"/>
          <w:szCs w:val="24"/>
        </w:rPr>
        <w:t xml:space="preserve"> </w:t>
      </w:r>
    </w:p>
    <w:p w14:paraId="300C9ABA"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Onuoha, L. N., Emojorho, E. E., Oboreh, O. J., Obetta, R. N., Adinkwu, O. M., Akubor, P., Ogboli, C. C., &amp; Akinnuoye, V. M. (2025). Evaluation of nutritional and functional characteristics of biscuits enriched with groundnut-wheat composite flour. </w:t>
      </w:r>
      <w:r w:rsidRPr="00846FEB">
        <w:rPr>
          <w:rFonts w:ascii="Times New Roman" w:eastAsia="Times New Roman" w:hAnsi="Times New Roman" w:cs="Times New Roman"/>
          <w:i/>
          <w:iCs/>
          <w:sz w:val="24"/>
          <w:szCs w:val="24"/>
        </w:rPr>
        <w:t>International Journal of Advanced Multidisciplinary Research and Studies, 5</w:t>
      </w:r>
      <w:r w:rsidRPr="00846FEB">
        <w:rPr>
          <w:rFonts w:ascii="Times New Roman" w:eastAsia="Times New Roman" w:hAnsi="Times New Roman" w:cs="Times New Roman"/>
          <w:sz w:val="24"/>
          <w:szCs w:val="24"/>
        </w:rPr>
        <w:t xml:space="preserve">(5), 781–787. </w:t>
      </w:r>
      <w:hyperlink r:id="rId15" w:tgtFrame="_new" w:history="1">
        <w:r w:rsidRPr="00846FEB">
          <w:rPr>
            <w:rFonts w:ascii="Times New Roman" w:eastAsia="Times New Roman" w:hAnsi="Times New Roman" w:cs="Times New Roman"/>
            <w:color w:val="0000FF"/>
            <w:sz w:val="24"/>
            <w:szCs w:val="24"/>
            <w:u w:val="single"/>
          </w:rPr>
          <w:t>https://www.multiresearchjournal.com/arclist/list-2025.5.5/id-5006</w:t>
        </w:r>
      </w:hyperlink>
      <w:r w:rsidRPr="00846FEB">
        <w:rPr>
          <w:rFonts w:ascii="Times New Roman" w:eastAsia="Times New Roman" w:hAnsi="Times New Roman" w:cs="Times New Roman"/>
          <w:sz w:val="24"/>
          <w:szCs w:val="24"/>
        </w:rPr>
        <w:t xml:space="preserve"> </w:t>
      </w:r>
    </w:p>
    <w:p w14:paraId="6E989D3F"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Olagunju, A. I., Omoba, O. S., Enujiugha, V. N., &amp; Aluko, R. E. (2018). Development of value-added nutritious crackers with high antidiabetic properties from blends of acha (</w:t>
      </w:r>
      <w:r w:rsidRPr="00846FEB">
        <w:rPr>
          <w:rFonts w:ascii="Times New Roman" w:eastAsia="Times New Roman" w:hAnsi="Times New Roman" w:cs="Times New Roman"/>
          <w:i/>
          <w:iCs/>
          <w:sz w:val="24"/>
          <w:szCs w:val="24"/>
        </w:rPr>
        <w:t xml:space="preserve">Digitaria </w:t>
      </w:r>
      <w:r w:rsidRPr="00846FEB">
        <w:rPr>
          <w:rFonts w:ascii="Times New Roman" w:eastAsia="Times New Roman" w:hAnsi="Times New Roman" w:cs="Times New Roman"/>
          <w:i/>
          <w:iCs/>
          <w:sz w:val="24"/>
          <w:szCs w:val="24"/>
        </w:rPr>
        <w:lastRenderedPageBreak/>
        <w:t>exilis</w:t>
      </w:r>
      <w:r w:rsidRPr="00846FEB">
        <w:rPr>
          <w:rFonts w:ascii="Times New Roman" w:eastAsia="Times New Roman" w:hAnsi="Times New Roman" w:cs="Times New Roman"/>
          <w:sz w:val="24"/>
          <w:szCs w:val="24"/>
        </w:rPr>
        <w:t>) and blanched pigeon pea (</w:t>
      </w:r>
      <w:r w:rsidRPr="00846FEB">
        <w:rPr>
          <w:rFonts w:ascii="Times New Roman" w:eastAsia="Times New Roman" w:hAnsi="Times New Roman" w:cs="Times New Roman"/>
          <w:i/>
          <w:iCs/>
          <w:sz w:val="24"/>
          <w:szCs w:val="24"/>
        </w:rPr>
        <w:t>Cajanus cajan</w:t>
      </w:r>
      <w:r w:rsidRPr="00846FEB">
        <w:rPr>
          <w:rFonts w:ascii="Times New Roman" w:eastAsia="Times New Roman" w:hAnsi="Times New Roman" w:cs="Times New Roman"/>
          <w:sz w:val="24"/>
          <w:szCs w:val="24"/>
        </w:rPr>
        <w:t xml:space="preserve">). </w:t>
      </w:r>
      <w:r w:rsidRPr="00846FEB">
        <w:rPr>
          <w:rFonts w:ascii="Times New Roman" w:eastAsia="Times New Roman" w:hAnsi="Times New Roman" w:cs="Times New Roman"/>
          <w:i/>
          <w:iCs/>
          <w:sz w:val="24"/>
          <w:szCs w:val="24"/>
        </w:rPr>
        <w:t>Food Science &amp; Nutrition, 6</w:t>
      </w:r>
      <w:r w:rsidRPr="00846FEB">
        <w:rPr>
          <w:rFonts w:ascii="Times New Roman" w:eastAsia="Times New Roman" w:hAnsi="Times New Roman" w:cs="Times New Roman"/>
          <w:sz w:val="24"/>
          <w:szCs w:val="24"/>
        </w:rPr>
        <w:t xml:space="preserve">(7), 1791–1802. </w:t>
      </w:r>
      <w:hyperlink r:id="rId16" w:tgtFrame="_new" w:history="1">
        <w:r w:rsidRPr="00846FEB">
          <w:rPr>
            <w:rFonts w:ascii="Times New Roman" w:eastAsia="Times New Roman" w:hAnsi="Times New Roman" w:cs="Times New Roman"/>
            <w:color w:val="0000FF"/>
            <w:sz w:val="24"/>
            <w:szCs w:val="24"/>
            <w:u w:val="single"/>
          </w:rPr>
          <w:t>https://doi.org/10.1002/fsn3.748</w:t>
        </w:r>
      </w:hyperlink>
      <w:r w:rsidRPr="00846FEB">
        <w:rPr>
          <w:rFonts w:ascii="Times New Roman" w:eastAsia="Times New Roman" w:hAnsi="Times New Roman" w:cs="Times New Roman"/>
          <w:sz w:val="24"/>
          <w:szCs w:val="24"/>
        </w:rPr>
        <w:t xml:space="preserve"> </w:t>
      </w:r>
    </w:p>
    <w:p w14:paraId="6FD56542"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Emojorho, E. E., Anene, M. N., &amp; Chiedu, U. C. (2023). Minerals, vitamins and anti-nutritional properties of biscuits produced from defatted and undefatted debittered orange seed flours. </w:t>
      </w:r>
      <w:r w:rsidRPr="00846FEB">
        <w:rPr>
          <w:rFonts w:ascii="Times New Roman" w:eastAsia="Times New Roman" w:hAnsi="Times New Roman" w:cs="Times New Roman"/>
          <w:i/>
          <w:iCs/>
          <w:sz w:val="24"/>
          <w:szCs w:val="24"/>
        </w:rPr>
        <w:t>American Journal of Food Sciences and Nutrition, 5</w:t>
      </w:r>
      <w:r w:rsidRPr="00846FEB">
        <w:rPr>
          <w:rFonts w:ascii="Times New Roman" w:eastAsia="Times New Roman" w:hAnsi="Times New Roman" w:cs="Times New Roman"/>
          <w:sz w:val="24"/>
          <w:szCs w:val="24"/>
        </w:rPr>
        <w:t xml:space="preserve">(2), 67–82. </w:t>
      </w:r>
      <w:hyperlink r:id="rId17" w:tgtFrame="_new" w:history="1">
        <w:r w:rsidRPr="00846FEB">
          <w:rPr>
            <w:rFonts w:ascii="Times New Roman" w:eastAsia="Times New Roman" w:hAnsi="Times New Roman" w:cs="Times New Roman"/>
            <w:color w:val="0000FF"/>
            <w:sz w:val="24"/>
            <w:szCs w:val="24"/>
            <w:u w:val="single"/>
          </w:rPr>
          <w:t>https://doi.org/10.47672/ajfsn.1694</w:t>
        </w:r>
      </w:hyperlink>
      <w:r w:rsidRPr="00846FEB">
        <w:rPr>
          <w:rFonts w:ascii="Times New Roman" w:eastAsia="Times New Roman" w:hAnsi="Times New Roman" w:cs="Times New Roman"/>
          <w:sz w:val="24"/>
          <w:szCs w:val="24"/>
        </w:rPr>
        <w:t xml:space="preserve"> </w:t>
      </w:r>
    </w:p>
    <w:p w14:paraId="689A7A0D"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Emojorho, E. E., Adinkwu, O. M., Onuoha, L. N., Oboreh, O. J., Nwosu, A. N., &amp; Ogboli, C. C. (2025b). Sensory qualities and micronutrient composition of tortillas made from rice flour for the production of shawarma. </w:t>
      </w:r>
      <w:r w:rsidRPr="00846FEB">
        <w:rPr>
          <w:rFonts w:ascii="Times New Roman" w:eastAsia="Times New Roman" w:hAnsi="Times New Roman" w:cs="Times New Roman"/>
          <w:i/>
          <w:iCs/>
          <w:sz w:val="24"/>
          <w:szCs w:val="24"/>
        </w:rPr>
        <w:t>Asian Journal of Applied Chemistry Research, 16</w:t>
      </w:r>
      <w:r w:rsidRPr="00846FEB">
        <w:rPr>
          <w:rFonts w:ascii="Times New Roman" w:eastAsia="Times New Roman" w:hAnsi="Times New Roman" w:cs="Times New Roman"/>
          <w:sz w:val="24"/>
          <w:szCs w:val="24"/>
        </w:rPr>
        <w:t xml:space="preserve">(2), 96–105. </w:t>
      </w:r>
      <w:hyperlink r:id="rId18" w:tgtFrame="_new" w:history="1">
        <w:r w:rsidRPr="00846FEB">
          <w:rPr>
            <w:rFonts w:ascii="Times New Roman" w:eastAsia="Times New Roman" w:hAnsi="Times New Roman" w:cs="Times New Roman"/>
            <w:color w:val="0000FF"/>
            <w:sz w:val="24"/>
            <w:szCs w:val="24"/>
            <w:u w:val="single"/>
          </w:rPr>
          <w:t>https://doi.org/10.9734/ajacr/2025/v16i2331</w:t>
        </w:r>
      </w:hyperlink>
      <w:r w:rsidRPr="00846FEB">
        <w:rPr>
          <w:rFonts w:ascii="Times New Roman" w:eastAsia="Times New Roman" w:hAnsi="Times New Roman" w:cs="Times New Roman"/>
          <w:sz w:val="24"/>
          <w:szCs w:val="24"/>
        </w:rPr>
        <w:t xml:space="preserve"> </w:t>
      </w:r>
    </w:p>
    <w:p w14:paraId="09494647"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Adjou, E. S., Metome, G., Yao, E. L., Akotowanou, O., Vodounou, A., Dahouenon-Ahoussi, E., &amp; Sohounhloue, D. C. K. (2022). Nutritional and sensory profiles of functional breads produced from partial substitution of wheat flour by pigeon pea (</w:t>
      </w:r>
      <w:r w:rsidRPr="00846FEB">
        <w:rPr>
          <w:rFonts w:ascii="Times New Roman" w:eastAsia="Times New Roman" w:hAnsi="Times New Roman" w:cs="Times New Roman"/>
          <w:i/>
          <w:iCs/>
          <w:sz w:val="24"/>
          <w:szCs w:val="24"/>
        </w:rPr>
        <w:t>Cajanus cajan</w:t>
      </w:r>
      <w:r w:rsidRPr="00846FEB">
        <w:rPr>
          <w:rFonts w:ascii="Times New Roman" w:eastAsia="Times New Roman" w:hAnsi="Times New Roman" w:cs="Times New Roman"/>
          <w:sz w:val="24"/>
          <w:szCs w:val="24"/>
        </w:rPr>
        <w:t xml:space="preserve"> L.) flour. </w:t>
      </w:r>
      <w:r w:rsidRPr="00846FEB">
        <w:rPr>
          <w:rFonts w:ascii="Times New Roman" w:eastAsia="Times New Roman" w:hAnsi="Times New Roman" w:cs="Times New Roman"/>
          <w:i/>
          <w:iCs/>
          <w:sz w:val="24"/>
          <w:szCs w:val="24"/>
        </w:rPr>
        <w:t>European Journal of Nutrition &amp; Food Safety, 14</w:t>
      </w:r>
      <w:r w:rsidRPr="00846FEB">
        <w:rPr>
          <w:rFonts w:ascii="Times New Roman" w:eastAsia="Times New Roman" w:hAnsi="Times New Roman" w:cs="Times New Roman"/>
          <w:sz w:val="24"/>
          <w:szCs w:val="24"/>
        </w:rPr>
        <w:t xml:space="preserve">(7), 41–47. </w:t>
      </w:r>
      <w:hyperlink r:id="rId19" w:tgtFrame="_new" w:history="1">
        <w:r w:rsidRPr="00846FEB">
          <w:rPr>
            <w:rFonts w:ascii="Times New Roman" w:eastAsia="Times New Roman" w:hAnsi="Times New Roman" w:cs="Times New Roman"/>
            <w:color w:val="0000FF"/>
            <w:sz w:val="24"/>
            <w:szCs w:val="24"/>
            <w:u w:val="single"/>
          </w:rPr>
          <w:t>https://doi.org/10.9734/ejnfs/2022/v14i730515</w:t>
        </w:r>
      </w:hyperlink>
      <w:r w:rsidRPr="00846FEB">
        <w:rPr>
          <w:rFonts w:ascii="Times New Roman" w:eastAsia="Times New Roman" w:hAnsi="Times New Roman" w:cs="Times New Roman"/>
          <w:sz w:val="24"/>
          <w:szCs w:val="24"/>
        </w:rPr>
        <w:t xml:space="preserve"> </w:t>
      </w:r>
    </w:p>
    <w:p w14:paraId="5B19C771"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Tiwari, N., Srivastava, S., &amp; Verma, H. (2025). Nutritional and antioxidant comparison of finger millet, foxtail millet, and refined wheat flour. </w:t>
      </w:r>
      <w:r w:rsidRPr="00846FEB">
        <w:rPr>
          <w:rFonts w:ascii="Times New Roman" w:eastAsia="Times New Roman" w:hAnsi="Times New Roman" w:cs="Times New Roman"/>
          <w:i/>
          <w:iCs/>
          <w:sz w:val="24"/>
          <w:szCs w:val="24"/>
        </w:rPr>
        <w:t>Asian Journal of Current Research, 10</w:t>
      </w:r>
      <w:r w:rsidRPr="00846FEB">
        <w:rPr>
          <w:rFonts w:ascii="Times New Roman" w:eastAsia="Times New Roman" w:hAnsi="Times New Roman" w:cs="Times New Roman"/>
          <w:sz w:val="24"/>
          <w:szCs w:val="24"/>
        </w:rPr>
        <w:t xml:space="preserve">(1), 185–192. </w:t>
      </w:r>
      <w:hyperlink r:id="rId20" w:tgtFrame="_new" w:history="1">
        <w:r w:rsidRPr="00846FEB">
          <w:rPr>
            <w:rFonts w:ascii="Times New Roman" w:eastAsia="Times New Roman" w:hAnsi="Times New Roman" w:cs="Times New Roman"/>
            <w:color w:val="0000FF"/>
            <w:sz w:val="24"/>
            <w:szCs w:val="24"/>
            <w:u w:val="single"/>
          </w:rPr>
          <w:t>https://doi.org/10.56557/ajocr/2025/v10i19149</w:t>
        </w:r>
      </w:hyperlink>
      <w:r w:rsidRPr="00846FEB">
        <w:rPr>
          <w:rFonts w:ascii="Times New Roman" w:eastAsia="Times New Roman" w:hAnsi="Times New Roman" w:cs="Times New Roman"/>
          <w:sz w:val="24"/>
          <w:szCs w:val="24"/>
        </w:rPr>
        <w:t xml:space="preserve"> </w:t>
      </w:r>
    </w:p>
    <w:p w14:paraId="070515FE" w14:textId="77777777" w:rsidR="00846FEB" w:rsidRPr="00846FEB" w:rsidRDefault="00846FEB" w:rsidP="00846FEB">
      <w:pPr>
        <w:spacing w:after="0" w:line="240" w:lineRule="auto"/>
        <w:rPr>
          <w:rFonts w:ascii="Times New Roman" w:eastAsia="Times New Roman" w:hAnsi="Times New Roman" w:cs="Times New Roman"/>
          <w:sz w:val="24"/>
          <w:szCs w:val="24"/>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Amponsah, A. S., Kyere, G., Prempeh, K. B., &amp; Adinkrah-Appiah, K. (2026). Valorization of spent millet flour in composite bread: Characterization, predictive modeling, and multi-objective optimization for nutritional enhancement. </w:t>
      </w:r>
      <w:r w:rsidRPr="00846FEB">
        <w:rPr>
          <w:rFonts w:ascii="Times New Roman" w:eastAsia="Times New Roman" w:hAnsi="Times New Roman" w:cs="Times New Roman"/>
          <w:i/>
          <w:iCs/>
          <w:sz w:val="24"/>
          <w:szCs w:val="24"/>
        </w:rPr>
        <w:t>Food Science &amp; Nutrition, 14</w:t>
      </w:r>
      <w:r w:rsidRPr="00846FEB">
        <w:rPr>
          <w:rFonts w:ascii="Times New Roman" w:eastAsia="Times New Roman" w:hAnsi="Times New Roman" w:cs="Times New Roman"/>
          <w:sz w:val="24"/>
          <w:szCs w:val="24"/>
        </w:rPr>
        <w:t xml:space="preserve">(5), Article e71843. </w:t>
      </w:r>
      <w:hyperlink r:id="rId21" w:tgtFrame="_new" w:history="1">
        <w:r w:rsidRPr="00846FEB">
          <w:rPr>
            <w:rFonts w:ascii="Times New Roman" w:eastAsia="Times New Roman" w:hAnsi="Times New Roman" w:cs="Times New Roman"/>
            <w:color w:val="0000FF"/>
            <w:sz w:val="24"/>
            <w:szCs w:val="24"/>
            <w:u w:val="single"/>
          </w:rPr>
          <w:t>https://doi.org/10.1002/fsn3.71843</w:t>
        </w:r>
      </w:hyperlink>
      <w:r w:rsidRPr="00846FEB">
        <w:rPr>
          <w:rFonts w:ascii="Times New Roman" w:eastAsia="Times New Roman" w:hAnsi="Times New Roman" w:cs="Times New Roman"/>
          <w:sz w:val="24"/>
          <w:szCs w:val="24"/>
        </w:rPr>
        <w:t xml:space="preserve"> </w:t>
      </w:r>
    </w:p>
    <w:p w14:paraId="42386060" w14:textId="69295FE0" w:rsidR="00846FEB" w:rsidRPr="00135619" w:rsidRDefault="00846FEB" w:rsidP="00846FEB">
      <w:pPr>
        <w:spacing w:after="0" w:line="360" w:lineRule="auto"/>
        <w:rPr>
          <w:rFonts w:ascii="Times New Roman" w:hAnsi="Times New Roman" w:cs="Times New Roman"/>
          <w:b/>
          <w:bCs/>
          <w:color w:val="000000" w:themeColor="text1"/>
        </w:rPr>
      </w:pPr>
      <w:r w:rsidRPr="00846FEB">
        <w:rPr>
          <w:rFonts w:ascii="Times New Roman" w:eastAsia="Times New Roman" w:hAnsi="Symbol" w:cs="Times New Roman"/>
          <w:sz w:val="24"/>
          <w:szCs w:val="24"/>
        </w:rPr>
        <w:t></w:t>
      </w:r>
      <w:r w:rsidRPr="00846FEB">
        <w:rPr>
          <w:rFonts w:ascii="Times New Roman" w:eastAsia="Times New Roman" w:hAnsi="Times New Roman" w:cs="Times New Roman"/>
          <w:sz w:val="24"/>
          <w:szCs w:val="24"/>
        </w:rPr>
        <w:t xml:space="preserve">  Ahmad, A., Bashir, S., Saeed, K., Saima, H., Aamir, R. M., Khalid, W., Ahmad, M., Sabir, A., Khalid, M. Z., Ahmad, N., Mohamed Ahmed, I. A., &amp; Younis, M. (2025). Nutritional, textural, and sensory properties of bread from wheat-, millet-, and sorghum-based composite flour. </w:t>
      </w:r>
      <w:r w:rsidRPr="00846FEB">
        <w:rPr>
          <w:rFonts w:ascii="Times New Roman" w:eastAsia="Times New Roman" w:hAnsi="Times New Roman" w:cs="Times New Roman"/>
          <w:i/>
          <w:iCs/>
          <w:sz w:val="24"/>
          <w:szCs w:val="24"/>
        </w:rPr>
        <w:t>Italian Journal of Food Science, 37</w:t>
      </w:r>
      <w:r w:rsidRPr="00846FEB">
        <w:rPr>
          <w:rFonts w:ascii="Times New Roman" w:eastAsia="Times New Roman" w:hAnsi="Times New Roman" w:cs="Times New Roman"/>
          <w:sz w:val="24"/>
          <w:szCs w:val="24"/>
        </w:rPr>
        <w:t xml:space="preserve">(4), 506–536. </w:t>
      </w:r>
      <w:hyperlink r:id="rId22" w:tgtFrame="_new" w:history="1">
        <w:r w:rsidRPr="00846FEB">
          <w:rPr>
            <w:rFonts w:ascii="Times New Roman" w:eastAsia="Times New Roman" w:hAnsi="Times New Roman" w:cs="Times New Roman"/>
            <w:color w:val="0000FF"/>
            <w:sz w:val="24"/>
            <w:szCs w:val="24"/>
            <w:u w:val="single"/>
          </w:rPr>
          <w:t>https://doi.org/10.15586/ijfs.v37i4.2974</w:t>
        </w:r>
      </w:hyperlink>
    </w:p>
    <w:sectPr w:rsidR="00846FEB" w:rsidRPr="001356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243B4"/>
    <w:multiLevelType w:val="multilevel"/>
    <w:tmpl w:val="3924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CB4169"/>
    <w:multiLevelType w:val="multilevel"/>
    <w:tmpl w:val="45CB416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69E43DE"/>
    <w:multiLevelType w:val="multilevel"/>
    <w:tmpl w:val="D212A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341958"/>
    <w:multiLevelType w:val="multilevel"/>
    <w:tmpl w:val="F8BC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055AB9"/>
    <w:multiLevelType w:val="hybridMultilevel"/>
    <w:tmpl w:val="84E6D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7C71A2"/>
    <w:multiLevelType w:val="multilevel"/>
    <w:tmpl w:val="5D58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D34497"/>
    <w:multiLevelType w:val="multilevel"/>
    <w:tmpl w:val="1BDC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C47ECE"/>
    <w:multiLevelType w:val="multilevel"/>
    <w:tmpl w:val="EC9E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2D234D"/>
    <w:multiLevelType w:val="multilevel"/>
    <w:tmpl w:val="0E5C610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84477160">
    <w:abstractNumId w:val="2"/>
  </w:num>
  <w:num w:numId="2" w16cid:durableId="58527613">
    <w:abstractNumId w:val="3"/>
  </w:num>
  <w:num w:numId="3" w16cid:durableId="1635478051">
    <w:abstractNumId w:val="0"/>
  </w:num>
  <w:num w:numId="4" w16cid:durableId="965696940">
    <w:abstractNumId w:val="7"/>
  </w:num>
  <w:num w:numId="5" w16cid:durableId="2091610595">
    <w:abstractNumId w:val="5"/>
  </w:num>
  <w:num w:numId="6" w16cid:durableId="2008287842">
    <w:abstractNumId w:val="8"/>
  </w:num>
  <w:num w:numId="7" w16cid:durableId="1951432581">
    <w:abstractNumId w:val="1"/>
  </w:num>
  <w:num w:numId="8" w16cid:durableId="512497387">
    <w:abstractNumId w:val="6"/>
  </w:num>
  <w:num w:numId="9" w16cid:durableId="812722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M0NjAxMDI0MLI0MDdR0lEKTi0uzszPAykwqgUAlowrFCwAAAA="/>
  </w:docVars>
  <w:rsids>
    <w:rsidRoot w:val="008423F8"/>
    <w:rsid w:val="00000F47"/>
    <w:rsid w:val="0000236D"/>
    <w:rsid w:val="0001656B"/>
    <w:rsid w:val="00082A24"/>
    <w:rsid w:val="000938B6"/>
    <w:rsid w:val="00094F79"/>
    <w:rsid w:val="000D561A"/>
    <w:rsid w:val="000E5AE8"/>
    <w:rsid w:val="00101932"/>
    <w:rsid w:val="00114604"/>
    <w:rsid w:val="00116249"/>
    <w:rsid w:val="001344FF"/>
    <w:rsid w:val="00135619"/>
    <w:rsid w:val="00153F2B"/>
    <w:rsid w:val="001B3936"/>
    <w:rsid w:val="001D0284"/>
    <w:rsid w:val="001D73D9"/>
    <w:rsid w:val="00215B98"/>
    <w:rsid w:val="002A08CA"/>
    <w:rsid w:val="002B47F7"/>
    <w:rsid w:val="00327C20"/>
    <w:rsid w:val="00364E07"/>
    <w:rsid w:val="003775DE"/>
    <w:rsid w:val="003A5786"/>
    <w:rsid w:val="003F0AED"/>
    <w:rsid w:val="00406E67"/>
    <w:rsid w:val="004461D6"/>
    <w:rsid w:val="00496B35"/>
    <w:rsid w:val="00654B85"/>
    <w:rsid w:val="00677081"/>
    <w:rsid w:val="006C19AA"/>
    <w:rsid w:val="006F157A"/>
    <w:rsid w:val="007211D2"/>
    <w:rsid w:val="007704FD"/>
    <w:rsid w:val="00776F27"/>
    <w:rsid w:val="007A36A8"/>
    <w:rsid w:val="007B1FBB"/>
    <w:rsid w:val="007C1DA1"/>
    <w:rsid w:val="00815B1E"/>
    <w:rsid w:val="008318A7"/>
    <w:rsid w:val="008342B4"/>
    <w:rsid w:val="008423F8"/>
    <w:rsid w:val="00846FEB"/>
    <w:rsid w:val="00873E35"/>
    <w:rsid w:val="008A22FB"/>
    <w:rsid w:val="008F68FE"/>
    <w:rsid w:val="009208D2"/>
    <w:rsid w:val="00921C24"/>
    <w:rsid w:val="0093278E"/>
    <w:rsid w:val="00935F5B"/>
    <w:rsid w:val="00967768"/>
    <w:rsid w:val="009B7398"/>
    <w:rsid w:val="009C2788"/>
    <w:rsid w:val="009F2478"/>
    <w:rsid w:val="009F413F"/>
    <w:rsid w:val="00AA0B6B"/>
    <w:rsid w:val="00AD3AD3"/>
    <w:rsid w:val="00B2003C"/>
    <w:rsid w:val="00B26DDE"/>
    <w:rsid w:val="00B54B4B"/>
    <w:rsid w:val="00BA6DEF"/>
    <w:rsid w:val="00BD4E4A"/>
    <w:rsid w:val="00C049D3"/>
    <w:rsid w:val="00C16F2A"/>
    <w:rsid w:val="00C42AFE"/>
    <w:rsid w:val="00C60D36"/>
    <w:rsid w:val="00C647E0"/>
    <w:rsid w:val="00CB2BB9"/>
    <w:rsid w:val="00CD6329"/>
    <w:rsid w:val="00CD7951"/>
    <w:rsid w:val="00D01FB6"/>
    <w:rsid w:val="00D3791F"/>
    <w:rsid w:val="00D55880"/>
    <w:rsid w:val="00E4013A"/>
    <w:rsid w:val="00E61954"/>
    <w:rsid w:val="00E7712A"/>
    <w:rsid w:val="00EC1047"/>
    <w:rsid w:val="00EF1AD1"/>
    <w:rsid w:val="00EF563A"/>
    <w:rsid w:val="00F02540"/>
    <w:rsid w:val="00F65A78"/>
    <w:rsid w:val="00FB7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6F63"/>
  <w15:chartTrackingRefBased/>
  <w15:docId w15:val="{FA8D4E81-74CE-4331-B185-76941DB5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0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6F27"/>
    <w:pPr>
      <w:ind w:left="720"/>
      <w:contextualSpacing/>
    </w:pPr>
  </w:style>
  <w:style w:type="character" w:styleId="Hyperlink">
    <w:name w:val="Hyperlink"/>
    <w:basedOn w:val="DefaultParagraphFont"/>
    <w:uiPriority w:val="99"/>
    <w:unhideWhenUsed/>
    <w:rsid w:val="0093278E"/>
    <w:rPr>
      <w:color w:val="0563C1" w:themeColor="hyperlink"/>
      <w:u w:val="single"/>
    </w:rPr>
  </w:style>
  <w:style w:type="character" w:styleId="Strong">
    <w:name w:val="Strong"/>
    <w:basedOn w:val="DefaultParagraphFont"/>
    <w:uiPriority w:val="22"/>
    <w:qFormat/>
    <w:rsid w:val="00CD79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586694">
      <w:bodyDiv w:val="1"/>
      <w:marLeft w:val="0"/>
      <w:marRight w:val="0"/>
      <w:marTop w:val="0"/>
      <w:marBottom w:val="0"/>
      <w:divBdr>
        <w:top w:val="none" w:sz="0" w:space="0" w:color="auto"/>
        <w:left w:val="none" w:sz="0" w:space="0" w:color="auto"/>
        <w:bottom w:val="none" w:sz="0" w:space="0" w:color="auto"/>
        <w:right w:val="none" w:sz="0" w:space="0" w:color="auto"/>
      </w:divBdr>
    </w:div>
    <w:div w:id="733048974">
      <w:bodyDiv w:val="1"/>
      <w:marLeft w:val="0"/>
      <w:marRight w:val="0"/>
      <w:marTop w:val="0"/>
      <w:marBottom w:val="0"/>
      <w:divBdr>
        <w:top w:val="none" w:sz="0" w:space="0" w:color="auto"/>
        <w:left w:val="none" w:sz="0" w:space="0" w:color="auto"/>
        <w:bottom w:val="none" w:sz="0" w:space="0" w:color="auto"/>
        <w:right w:val="none" w:sz="0" w:space="0" w:color="auto"/>
      </w:divBdr>
    </w:div>
    <w:div w:id="208236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subjectjournal.com/assets/archives/2025/vol12issue10/12251.pdf?utm_source=chatgpt.com" TargetMode="External"/><Relationship Id="rId13" Type="http://schemas.openxmlformats.org/officeDocument/2006/relationships/hyperlink" Target="https://doi.org/10.1007/s44187-025-00306-9" TargetMode="External"/><Relationship Id="rId18" Type="http://schemas.openxmlformats.org/officeDocument/2006/relationships/hyperlink" Target="https://doi.org/10.9734/ajacr/2025/v16i2331" TargetMode="External"/><Relationship Id="rId3" Type="http://schemas.openxmlformats.org/officeDocument/2006/relationships/styles" Target="styles.xml"/><Relationship Id="rId21" Type="http://schemas.openxmlformats.org/officeDocument/2006/relationships/hyperlink" Target="https://doi.org/10.1002/fsn3.71843" TargetMode="External"/><Relationship Id="rId7" Type="http://schemas.openxmlformats.org/officeDocument/2006/relationships/hyperlink" Target="https://doi.org/10.9734/ejnfs/2024/v16i101571" TargetMode="External"/><Relationship Id="rId12" Type="http://schemas.openxmlformats.org/officeDocument/2006/relationships/hyperlink" Target="https://doi.org/10.1016/j.heliyon.2025.e42612" TargetMode="External"/><Relationship Id="rId17" Type="http://schemas.openxmlformats.org/officeDocument/2006/relationships/hyperlink" Target="https://doi.org/10.47672/ajfsn.1694" TargetMode="External"/><Relationship Id="rId2" Type="http://schemas.openxmlformats.org/officeDocument/2006/relationships/numbering" Target="numbering.xml"/><Relationship Id="rId16" Type="http://schemas.openxmlformats.org/officeDocument/2006/relationships/hyperlink" Target="https://doi.org/10.1002/fsn3.748" TargetMode="External"/><Relationship Id="rId20" Type="http://schemas.openxmlformats.org/officeDocument/2006/relationships/hyperlink" Target="https://doi.org/10.56557/ajocr/2025/v10i19149" TargetMode="External"/><Relationship Id="rId1" Type="http://schemas.openxmlformats.org/officeDocument/2006/relationships/customXml" Target="../customXml/item1.xml"/><Relationship Id="rId6" Type="http://schemas.openxmlformats.org/officeDocument/2006/relationships/hyperlink" Target="https://doi.org/10.1093/9780197610145.001.0001" TargetMode="External"/><Relationship Id="rId11" Type="http://schemas.openxmlformats.org/officeDocument/2006/relationships/hyperlink" Target="https://doi.org/10.9734/ajacr/2025/v16i435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ultiresearchjournal.com/arclist/list-2025.5.5/id-5006?utm_source=chatgpt.com" TargetMode="External"/><Relationship Id="rId23" Type="http://schemas.openxmlformats.org/officeDocument/2006/relationships/fontTable" Target="fontTable.xml"/><Relationship Id="rId10" Type="http://schemas.openxmlformats.org/officeDocument/2006/relationships/hyperlink" Target="https://doi.org/10.9734/ajraf/2024/v10i2279" TargetMode="External"/><Relationship Id="rId19" Type="http://schemas.openxmlformats.org/officeDocument/2006/relationships/hyperlink" Target="https://doi.org/10.9734/ejnfs/2022/v14i730515" TargetMode="External"/><Relationship Id="rId4" Type="http://schemas.openxmlformats.org/officeDocument/2006/relationships/settings" Target="settings.xml"/><Relationship Id="rId9" Type="http://schemas.openxmlformats.org/officeDocument/2006/relationships/hyperlink" Target="https://doi.org/10.9734/AJAAR/2017/35640" TargetMode="External"/><Relationship Id="rId14" Type="http://schemas.openxmlformats.org/officeDocument/2006/relationships/hyperlink" Target="https://doi.org/10.3390/foods13050743" TargetMode="External"/><Relationship Id="rId22" Type="http://schemas.openxmlformats.org/officeDocument/2006/relationships/hyperlink" Target="https://doi.org/10.15586/ijfs.v37i4.2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25AD2-9665-4997-AF07-C72376B3E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4780</Words>
  <Characters>27247</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CPU 1117</cp:lastModifiedBy>
  <cp:revision>11</cp:revision>
  <dcterms:created xsi:type="dcterms:W3CDTF">2026-06-13T02:30:00Z</dcterms:created>
  <dcterms:modified xsi:type="dcterms:W3CDTF">2026-07-04T07:33:00Z</dcterms:modified>
</cp:coreProperties>
</file>