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92239" w14:textId="77777777" w:rsidR="00854668" w:rsidRDefault="009E1626">
      <w:pPr>
        <w:jc w:val="center"/>
      </w:pPr>
      <w:r>
        <w:rPr>
          <w:b/>
          <w:sz w:val="36"/>
        </w:rPr>
        <w:t>A Methodological Framework for Machine-Learning-Assisted Analysis of AFM-Derived Nanomechanical Features in Supported Lipid Layers</w:t>
      </w:r>
    </w:p>
    <w:p w14:paraId="5C92E1E9" w14:textId="77777777" w:rsidR="00854668" w:rsidRDefault="009E1626">
      <w:pPr>
        <w:pStyle w:val="Heading1"/>
      </w:pPr>
      <w:r>
        <w:t>ABSTRACT</w:t>
      </w:r>
    </w:p>
    <w:p w14:paraId="20B0F91C" w14:textId="77777777" w:rsidR="008B4C26" w:rsidRDefault="008B4C26" w:rsidP="008B4C26">
      <w:pPr>
        <w:rPr>
          <w:highlight w:val="yellow"/>
        </w:rPr>
      </w:pPr>
      <w:r w:rsidRPr="008B4C26">
        <w:rPr>
          <w:highlight w:val="yellow"/>
        </w:rPr>
        <w:t>Supported lipid layers are established biomimetic platforms for examining membrane organisation, phase behaviour, interfacial properties, and mechanically induced changes under controlled experimental conditions. Atomic force microscopy (AFM) can provide nanoscale topographical and force-response information; however, conventional interpretation often depends on a limited set of summary descriptors that may not adequately represent spatial heterogeneity, defects, multimodal mechanical populations, or complex force-curve profiles. This Method Article presents a structured framework for machine-learning-assisted analysis of AFM-derived height maps, force-distance or force-indentation curves, roughness measures, stiffness-related variables, adhesion signals, and heterogeneity features. The proposed workflow addresses data provenance, sample hierarchy, image and force-curve preprocessing, feature extraction, grouped data partitioning, supervised and unsupervised learning, quality control, explainable-AI assessment, uncertainty analysis, and reproducibility reporting. It requires independent lipid preparations or experimental batches to serve as the principal grouping units, thereby preventing leakage caused by distributing nested pixels, patches, maps, or curves across training and test partitions. The framework also specifies reporting requirements for model evaluation, calibration, permutation testing, sample-level error analysis, and external validation. As no original, fully documented AFM dataset or executable analysis is provided, the article does not claim validated predictive performance. Instead, it defines the methodological evidence required for future transparent and independently reproducible implementation.</w:t>
      </w:r>
    </w:p>
    <w:p w14:paraId="1139A87D" w14:textId="77777777" w:rsidR="008B4C26" w:rsidRDefault="008B4C26" w:rsidP="008B4C26">
      <w:pPr>
        <w:rPr>
          <w:highlight w:val="yellow"/>
        </w:rPr>
      </w:pPr>
    </w:p>
    <w:p w14:paraId="7D533ED7" w14:textId="40517D1D" w:rsidR="008B4C26" w:rsidRDefault="009E1626" w:rsidP="008B4C26">
      <w:r>
        <w:rPr>
          <w:highlight w:val="yellow"/>
        </w:rPr>
        <w:t xml:space="preserve">Keywords: </w:t>
      </w:r>
      <w:r w:rsidR="008B4C26" w:rsidRPr="008B4C26">
        <w:rPr>
          <w:highlight w:val="yellow"/>
        </w:rPr>
        <w:t>Supported lipid layers; atomic force microscopy; machine-learning-assisted analysis; AFM nanomechanics; force-distance curves; feature extraction; grouped cross-validation; quality control; explainable artificial intelligence; reproducibility</w:t>
      </w:r>
    </w:p>
    <w:p w14:paraId="4E5C49FE" w14:textId="77777777" w:rsidR="008B4C26" w:rsidRDefault="008B4C26" w:rsidP="008B4C26"/>
    <w:p w14:paraId="6A469DEE" w14:textId="7D9EC0ED" w:rsidR="00854668" w:rsidRDefault="009E1626" w:rsidP="008B4C26">
      <w:r>
        <w:t>1. INTRODUCTION</w:t>
      </w:r>
    </w:p>
    <w:p w14:paraId="3225995D" w14:textId="77777777" w:rsidR="00854668" w:rsidRDefault="009E1626">
      <w:r>
        <w:rPr>
          <w:highlight w:val="yellow"/>
        </w:rPr>
        <w:t>Supported lipid layers provide controllable biomimetic interfaces for studying membrane phase behaviour, interfacial organisation, curvature-dependent properties, and enzyme-induced membrane disruption (Jung &amp; Park, 2023; Park, 2009a, 2009b, 2011, 2012). AFM is particularly useful for these systems because it can acquire topographical maps and local force-response information under conditions compatible with soft biological interfaces (Butt et al., 2005; Eaton &amp; West, 2010).</w:t>
      </w:r>
    </w:p>
    <w:p w14:paraId="67795FD2" w14:textId="77777777" w:rsidR="00854668" w:rsidRDefault="009E1626">
      <w:r>
        <w:rPr>
          <w:highlight w:val="yellow"/>
        </w:rPr>
        <w:t>Conventional AFM interpretation often emphasises mean height, root-mean-square roughness, indentation slope, rupture behaviour, adhesion, or an apparent elastic parameter. Although these descriptors are physically informative, a single mean value may obscure heterogeneous domains, local defects, multimodal mechanical populations, scan artefacts, and complex force-curve shapes. Machine-learning methods can integrate multiple descriptors, but their use with AFM data requires strict control of data hierarchy, leakage, small-sample bias, feature provenance, and model interpretability (Varma &amp; Simon, 2006; Varoquaux, 2018).</w:t>
      </w:r>
    </w:p>
    <w:p w14:paraId="365DEFBB" w14:textId="44F0E639" w:rsidR="00854668" w:rsidRDefault="009E1626">
      <w:r>
        <w:rPr>
          <w:highlight w:val="yellow"/>
        </w:rPr>
        <w:t xml:space="preserve">Recent studies have demonstrated the feasibility of applying deep-learning-based image recognition and machine-learning methods to AFM-derived images and nanomechanical measurements, supporting automated feature identification, high-throughput analysis, and quantitative classification of complex surface structures </w:t>
      </w:r>
      <w:r w:rsidR="00FC4AB2">
        <w:t>(</w:t>
      </w:r>
      <w:r w:rsidR="00FC4AB2" w:rsidRPr="00FC4AB2">
        <w:t>Xiao</w:t>
      </w:r>
      <w:r w:rsidR="00FC4AB2">
        <w:t xml:space="preserve"> et al.</w:t>
      </w:r>
      <w:r>
        <w:rPr>
          <w:highlight w:val="yellow"/>
        </w:rPr>
        <w:t xml:space="preserve"> 2024; </w:t>
      </w:r>
      <w:r w:rsidR="004C5A94" w:rsidRPr="004C5A94">
        <w:t>Yang et al., 2024</w:t>
      </w:r>
      <w:r>
        <w:rPr>
          <w:highlight w:val="yellow"/>
        </w:rPr>
        <w:t>; Paruchuri et al., 2024</w:t>
      </w:r>
      <w:r w:rsidR="00FC4AB2">
        <w:rPr>
          <w:highlight w:val="yellow"/>
        </w:rPr>
        <w:t>;</w:t>
      </w:r>
      <w:r>
        <w:rPr>
          <w:highlight w:val="yellow"/>
        </w:rPr>
        <w:t>).</w:t>
      </w:r>
    </w:p>
    <w:p w14:paraId="4CC296C0" w14:textId="77777777" w:rsidR="0012464B" w:rsidRDefault="00000000">
      <w:r>
        <w:rPr>
          <w:b/>
          <w:highlight w:val="yellow"/>
        </w:rPr>
        <w:lastRenderedPageBreak/>
        <w:t>Recent AFM-focused methodological studies further indicate that machine-learning analysis can support small-dataset surface classification and automated extraction of lattice-scale features, provided that statistical significance, image quality, and algorithmic assumptions are explicitly evaluated (Corrias et al., 2023; Sokolov, 2024).</w:t>
      </w:r>
    </w:p>
    <w:p w14:paraId="601E17F8" w14:textId="77777777" w:rsidR="0012464B" w:rsidRDefault="00000000">
      <w:r>
        <w:rPr>
          <w:b/>
          <w:highlight w:val="yellow"/>
        </w:rPr>
        <w:t>Despite these developments, the literature summarised above does not provide a consolidated, sample-hierarchy-aware workflow tailored to supported lipid layers that jointly addresses AFM image and force-curve preprocessing, feature provenance, grouped validation, quality control, interpretability, uncertainty assessment, and reproducibility reporting. This methodological gap limits transparent comparison and future validation of machine-learning-assisted analyses across independently prepared supported-lipid-layer samples.</w:t>
      </w:r>
    </w:p>
    <w:p w14:paraId="7D8A6539" w14:textId="77777777" w:rsidR="00854668" w:rsidRDefault="009E1626">
      <w:r>
        <w:t>The objective of this article is therefore not to report a completed predictive study. Instead, it specifies a reproducible analytical method for future machine-learning-assisted interpretation of supported-lipid-layer AFM data. The framework identifies mandatory data and metadata, defines preprocessing and feature-engineering steps, describes defensible validation procedures, and specifies the evidence required before mechanistic or predictive claims can be made.</w:t>
      </w:r>
    </w:p>
    <w:p w14:paraId="415A3DA2" w14:textId="77777777" w:rsidR="00854668" w:rsidRDefault="009E1626">
      <w:pPr>
        <w:pStyle w:val="Heading1"/>
      </w:pPr>
      <w:r>
        <w:t>2. SCOPE AND INTENDED USE</w:t>
      </w:r>
    </w:p>
    <w:p w14:paraId="3DFB487E" w14:textId="77777777" w:rsidR="00854668" w:rsidRDefault="009E1626">
      <w:r>
        <w:t>The method is intended for AFM datasets containing one or more of the following: height maps, phase or adhesion maps, stiffness-related maps, force-distance curves, force-indentation curves, and sample-level experimental metadata. Candidate experimental conditions may include homogeneous supported layers, phase-separated layers, defect-containing layers, additive-treated layers, curvature-affected membranes, and mechanically disrupted layers. These labels are examples of a classification scheme and must be defined prospectively from experimental design rather than inferred from the same data used for model evaluation.</w:t>
      </w:r>
    </w:p>
    <w:p w14:paraId="6C18DF0A" w14:textId="77777777" w:rsidR="001570C9" w:rsidRPr="001570C9" w:rsidRDefault="001570C9" w:rsidP="001570C9">
      <w:pPr>
        <w:tabs>
          <w:tab w:val="left" w:pos="1080"/>
        </w:tabs>
        <w:spacing w:after="0" w:line="240" w:lineRule="auto"/>
        <w:ind w:firstLineChars="500" w:firstLine="1000"/>
        <w:jc w:val="both"/>
        <w:rPr>
          <w:rFonts w:eastAsia="Malgun Gothic" w:cs="Times New Roman"/>
          <w:b/>
          <w:szCs w:val="20"/>
        </w:rPr>
      </w:pPr>
      <w:r w:rsidRPr="001570C9">
        <w:rPr>
          <w:rFonts w:eastAsia="Malgun Gothic" w:cs="Times New Roman"/>
          <w:b/>
          <w:szCs w:val="20"/>
        </w:rPr>
        <w:t>Table 1. Supported lipid-layer condition classification</w:t>
      </w:r>
    </w:p>
    <w:p w14:paraId="11317799" w14:textId="77777777" w:rsidR="001570C9" w:rsidRDefault="001570C9"/>
    <w:tbl>
      <w:tblPr>
        <w:tblStyle w:val="TableGrid"/>
        <w:tblW w:w="0" w:type="auto"/>
        <w:jc w:val="center"/>
        <w:tblLook w:val="04A0" w:firstRow="1" w:lastRow="0" w:firstColumn="1" w:lastColumn="0" w:noHBand="0" w:noVBand="1"/>
      </w:tblPr>
      <w:tblGrid>
        <w:gridCol w:w="5040"/>
        <w:gridCol w:w="5040"/>
      </w:tblGrid>
      <w:tr w:rsidR="00854668" w14:paraId="384D6542" w14:textId="77777777">
        <w:trPr>
          <w:tblHeader/>
          <w:jc w:val="center"/>
        </w:trPr>
        <w:tc>
          <w:tcPr>
            <w:tcW w:w="5040" w:type="dxa"/>
            <w:shd w:val="clear" w:color="auto" w:fill="D9EAF7"/>
            <w:vAlign w:val="center"/>
          </w:tcPr>
          <w:p w14:paraId="31C5F0E4" w14:textId="77777777" w:rsidR="00854668" w:rsidRDefault="009E1626">
            <w:r>
              <w:rPr>
                <w:b/>
              </w:rPr>
              <w:t>Example class</w:t>
            </w:r>
          </w:p>
        </w:tc>
        <w:tc>
          <w:tcPr>
            <w:tcW w:w="5040" w:type="dxa"/>
            <w:shd w:val="clear" w:color="auto" w:fill="D9EAF7"/>
            <w:vAlign w:val="center"/>
          </w:tcPr>
          <w:p w14:paraId="11B7192C" w14:textId="77777777" w:rsidR="00854668" w:rsidRDefault="009E1626">
            <w:r>
              <w:rPr>
                <w:b/>
              </w:rPr>
              <w:t>Operational definition required before analysis</w:t>
            </w:r>
          </w:p>
        </w:tc>
      </w:tr>
      <w:tr w:rsidR="00854668" w14:paraId="3F625AE2" w14:textId="77777777">
        <w:trPr>
          <w:jc w:val="center"/>
        </w:trPr>
        <w:tc>
          <w:tcPr>
            <w:tcW w:w="5040" w:type="dxa"/>
          </w:tcPr>
          <w:p w14:paraId="0C325844" w14:textId="77777777" w:rsidR="00854668" w:rsidRDefault="009E1626">
            <w:r>
              <w:t>Homogeneous supported layer</w:t>
            </w:r>
          </w:p>
        </w:tc>
        <w:tc>
          <w:tcPr>
            <w:tcW w:w="5040" w:type="dxa"/>
          </w:tcPr>
          <w:p w14:paraId="0270E087" w14:textId="77777777" w:rsidR="00854668" w:rsidRDefault="009E1626">
            <w:r>
              <w:t>Continuous layer with prespecified roughness, coverage, and defect criteria.</w:t>
            </w:r>
          </w:p>
        </w:tc>
      </w:tr>
      <w:tr w:rsidR="00854668" w14:paraId="77B1D5F3" w14:textId="77777777">
        <w:trPr>
          <w:jc w:val="center"/>
        </w:trPr>
        <w:tc>
          <w:tcPr>
            <w:tcW w:w="5040" w:type="dxa"/>
          </w:tcPr>
          <w:p w14:paraId="3B4560A7" w14:textId="77777777" w:rsidR="00854668" w:rsidRDefault="009E1626">
            <w:r>
              <w:t>Phase-separated layer</w:t>
            </w:r>
          </w:p>
        </w:tc>
        <w:tc>
          <w:tcPr>
            <w:tcW w:w="5040" w:type="dxa"/>
          </w:tcPr>
          <w:p w14:paraId="6F99BB42" w14:textId="77777777" w:rsidR="00854668" w:rsidRDefault="009E1626">
            <w:r>
              <w:t>Two or more domains confirmed by independent morphological or compositional evidence.</w:t>
            </w:r>
          </w:p>
        </w:tc>
      </w:tr>
      <w:tr w:rsidR="00854668" w14:paraId="4A96C2F2" w14:textId="77777777">
        <w:trPr>
          <w:jc w:val="center"/>
        </w:trPr>
        <w:tc>
          <w:tcPr>
            <w:tcW w:w="5040" w:type="dxa"/>
          </w:tcPr>
          <w:p w14:paraId="7C69B898" w14:textId="77777777" w:rsidR="00854668" w:rsidRDefault="009E1626">
            <w:r>
              <w:t>Defect-containing layer</w:t>
            </w:r>
          </w:p>
        </w:tc>
        <w:tc>
          <w:tcPr>
            <w:tcW w:w="5040" w:type="dxa"/>
          </w:tcPr>
          <w:p w14:paraId="7EDBA004" w14:textId="77777777" w:rsidR="00854668" w:rsidRDefault="009E1626">
            <w:r>
              <w:t>Incomplete coverage, pores, rupture sites, or discontinuities defined by objective thresholds.</w:t>
            </w:r>
          </w:p>
        </w:tc>
      </w:tr>
      <w:tr w:rsidR="00854668" w14:paraId="78DF5EE9" w14:textId="77777777">
        <w:trPr>
          <w:jc w:val="center"/>
        </w:trPr>
        <w:tc>
          <w:tcPr>
            <w:tcW w:w="5040" w:type="dxa"/>
          </w:tcPr>
          <w:p w14:paraId="14C1A3BF" w14:textId="77777777" w:rsidR="00854668" w:rsidRDefault="009E1626">
            <w:r>
              <w:t>Additive-treated layer</w:t>
            </w:r>
          </w:p>
        </w:tc>
        <w:tc>
          <w:tcPr>
            <w:tcW w:w="5040" w:type="dxa"/>
          </w:tcPr>
          <w:p w14:paraId="63B38417" w14:textId="77777777" w:rsidR="00854668" w:rsidRDefault="009E1626">
            <w:r>
              <w:t>Layer exposed to a prespecified additive, enzyme, or physicochemical perturbation.</w:t>
            </w:r>
          </w:p>
        </w:tc>
      </w:tr>
      <w:tr w:rsidR="00854668" w14:paraId="261EFFB6" w14:textId="77777777">
        <w:trPr>
          <w:jc w:val="center"/>
        </w:trPr>
        <w:tc>
          <w:tcPr>
            <w:tcW w:w="5040" w:type="dxa"/>
          </w:tcPr>
          <w:p w14:paraId="2C491AD0" w14:textId="77777777" w:rsidR="00854668" w:rsidRDefault="009E1626">
            <w:r>
              <w:t>Mechanically altered layer</w:t>
            </w:r>
          </w:p>
        </w:tc>
        <w:tc>
          <w:tcPr>
            <w:tcW w:w="5040" w:type="dxa"/>
          </w:tcPr>
          <w:p w14:paraId="0B96754F" w14:textId="77777777" w:rsidR="00854668" w:rsidRDefault="009E1626">
            <w:r>
              <w:t>Layer exhibiting a prespecified change after loading, curvature, or disruption.</w:t>
            </w:r>
          </w:p>
        </w:tc>
      </w:tr>
    </w:tbl>
    <w:p w14:paraId="0E44C2CF" w14:textId="77777777" w:rsidR="00854668" w:rsidRDefault="009E1626">
      <w:pPr>
        <w:pStyle w:val="Heading1"/>
      </w:pPr>
      <w:r>
        <w:t>3. REQUIRED DATA AND METADATA</w:t>
      </w:r>
    </w:p>
    <w:p w14:paraId="7EF242EE" w14:textId="77777777" w:rsidR="00854668" w:rsidRDefault="009E1626">
      <w:r>
        <w:t>Each analysis must report the number of independent lipid preparations, experimental batches, substrates, AFM maps, map dimensions, pixels per map, force curves, curves per sample, technical repeats, and class distribution. The independent preparation or experimental batch is the primary grouping unit. Individual pixels, image patches, or force curves are nested observations and must not be treated as independent biological or experimental replicates.</w:t>
      </w:r>
    </w:p>
    <w:p w14:paraId="2EFEAC75" w14:textId="77777777" w:rsidR="00DB0AF6" w:rsidRDefault="00DB0AF6">
      <w:r>
        <w:t xml:space="preserve">Table 2. </w:t>
      </w:r>
      <w:r>
        <w:rPr>
          <w:b/>
        </w:rPr>
        <w:t xml:space="preserve">Minimum reporting requirement for Metadata generation </w:t>
      </w:r>
    </w:p>
    <w:tbl>
      <w:tblPr>
        <w:tblStyle w:val="TableGrid"/>
        <w:tblW w:w="0" w:type="auto"/>
        <w:jc w:val="center"/>
        <w:tblLook w:val="04A0" w:firstRow="1" w:lastRow="0" w:firstColumn="1" w:lastColumn="0" w:noHBand="0" w:noVBand="1"/>
      </w:tblPr>
      <w:tblGrid>
        <w:gridCol w:w="5040"/>
        <w:gridCol w:w="5040"/>
      </w:tblGrid>
      <w:tr w:rsidR="00854668" w14:paraId="2730420D" w14:textId="77777777">
        <w:trPr>
          <w:tblHeader/>
          <w:jc w:val="center"/>
        </w:trPr>
        <w:tc>
          <w:tcPr>
            <w:tcW w:w="5040" w:type="dxa"/>
            <w:shd w:val="clear" w:color="auto" w:fill="D9EAF7"/>
            <w:vAlign w:val="center"/>
          </w:tcPr>
          <w:p w14:paraId="7B2AD20D" w14:textId="77777777" w:rsidR="00854668" w:rsidRDefault="009E1626">
            <w:r>
              <w:rPr>
                <w:b/>
              </w:rPr>
              <w:t>Category</w:t>
            </w:r>
          </w:p>
        </w:tc>
        <w:tc>
          <w:tcPr>
            <w:tcW w:w="5040" w:type="dxa"/>
            <w:shd w:val="clear" w:color="auto" w:fill="D9EAF7"/>
            <w:vAlign w:val="center"/>
          </w:tcPr>
          <w:p w14:paraId="34C93CDA" w14:textId="77777777" w:rsidR="00854668" w:rsidRDefault="009E1626">
            <w:r>
              <w:rPr>
                <w:b/>
              </w:rPr>
              <w:t>Minimum reporting requirement</w:t>
            </w:r>
          </w:p>
        </w:tc>
      </w:tr>
      <w:tr w:rsidR="00854668" w14:paraId="7C3A3038" w14:textId="77777777">
        <w:trPr>
          <w:jc w:val="center"/>
        </w:trPr>
        <w:tc>
          <w:tcPr>
            <w:tcW w:w="5040" w:type="dxa"/>
          </w:tcPr>
          <w:p w14:paraId="0162B1D0" w14:textId="77777777" w:rsidR="00854668" w:rsidRDefault="009E1626">
            <w:r>
              <w:t>Sample provenance</w:t>
            </w:r>
          </w:p>
        </w:tc>
        <w:tc>
          <w:tcPr>
            <w:tcW w:w="5040" w:type="dxa"/>
          </w:tcPr>
          <w:p w14:paraId="424C17CF" w14:textId="77777777" w:rsidR="00854668" w:rsidRDefault="009E1626">
            <w:r>
              <w:t>Lipid composition, preparation method, substrate, buffer, temperature, treatment, batch identifier.</w:t>
            </w:r>
          </w:p>
        </w:tc>
      </w:tr>
      <w:tr w:rsidR="00854668" w14:paraId="46EE6C81" w14:textId="77777777">
        <w:trPr>
          <w:jc w:val="center"/>
        </w:trPr>
        <w:tc>
          <w:tcPr>
            <w:tcW w:w="5040" w:type="dxa"/>
          </w:tcPr>
          <w:p w14:paraId="5F58DFB5" w14:textId="77777777" w:rsidR="00854668" w:rsidRDefault="009E1626">
            <w:r>
              <w:lastRenderedPageBreak/>
              <w:t>AFM acquisition</w:t>
            </w:r>
          </w:p>
        </w:tc>
        <w:tc>
          <w:tcPr>
            <w:tcW w:w="5040" w:type="dxa"/>
          </w:tcPr>
          <w:p w14:paraId="6F8B1D42" w14:textId="77777777" w:rsidR="00854668" w:rsidRDefault="009E1626">
            <w:r>
              <w:t>Instrument, probe, nominal and calibrated spring constant, tip radius where relevant, scan size, resolution, rate, set point, loading rate, environment.</w:t>
            </w:r>
          </w:p>
        </w:tc>
      </w:tr>
      <w:tr w:rsidR="00854668" w14:paraId="61E94F74" w14:textId="77777777">
        <w:trPr>
          <w:jc w:val="center"/>
        </w:trPr>
        <w:tc>
          <w:tcPr>
            <w:tcW w:w="5040" w:type="dxa"/>
          </w:tcPr>
          <w:p w14:paraId="43C570B2" w14:textId="77777777" w:rsidR="00854668" w:rsidRDefault="009E1626">
            <w:r>
              <w:t>Image data</w:t>
            </w:r>
          </w:p>
        </w:tc>
        <w:tc>
          <w:tcPr>
            <w:tcW w:w="5040" w:type="dxa"/>
          </w:tcPr>
          <w:p w14:paraId="088142B8" w14:textId="77777777" w:rsidR="00854668" w:rsidRDefault="009E1626">
            <w:r>
              <w:t>Raw and processed file formats, flattening order, masks, excluded regions, and preprocessing parameters.</w:t>
            </w:r>
          </w:p>
        </w:tc>
      </w:tr>
      <w:tr w:rsidR="00854668" w14:paraId="6FC8D628" w14:textId="77777777">
        <w:trPr>
          <w:jc w:val="center"/>
        </w:trPr>
        <w:tc>
          <w:tcPr>
            <w:tcW w:w="5040" w:type="dxa"/>
          </w:tcPr>
          <w:p w14:paraId="4E9A0156" w14:textId="77777777" w:rsidR="00854668" w:rsidRDefault="009E1626">
            <w:r>
              <w:t>Force data</w:t>
            </w:r>
          </w:p>
        </w:tc>
        <w:tc>
          <w:tcPr>
            <w:tcW w:w="5040" w:type="dxa"/>
          </w:tcPr>
          <w:p w14:paraId="0532252D" w14:textId="77777777" w:rsidR="00854668" w:rsidRDefault="009E1626">
            <w:r>
              <w:t>Approach/retraction retention, baseline region, contact-point algorithm, alignment rule, smoothing, interpolation, and exclusion criteria.</w:t>
            </w:r>
          </w:p>
        </w:tc>
      </w:tr>
      <w:tr w:rsidR="00854668" w14:paraId="20D96F54" w14:textId="77777777">
        <w:trPr>
          <w:jc w:val="center"/>
        </w:trPr>
        <w:tc>
          <w:tcPr>
            <w:tcW w:w="5040" w:type="dxa"/>
          </w:tcPr>
          <w:p w14:paraId="06CCC02F" w14:textId="77777777" w:rsidR="00854668" w:rsidRDefault="009E1626">
            <w:r>
              <w:t>Data hierarchy</w:t>
            </w:r>
          </w:p>
        </w:tc>
        <w:tc>
          <w:tcPr>
            <w:tcW w:w="5040" w:type="dxa"/>
          </w:tcPr>
          <w:p w14:paraId="77F58417" w14:textId="77777777" w:rsidR="00854668" w:rsidRDefault="009E1626">
            <w:r>
              <w:t>Independent samples, maps per sample, curves per map, and all grouping identifiers.</w:t>
            </w:r>
          </w:p>
        </w:tc>
      </w:tr>
      <w:tr w:rsidR="00854668" w14:paraId="10499C1F" w14:textId="77777777">
        <w:trPr>
          <w:jc w:val="center"/>
        </w:trPr>
        <w:tc>
          <w:tcPr>
            <w:tcW w:w="5040" w:type="dxa"/>
          </w:tcPr>
          <w:p w14:paraId="50909E7D" w14:textId="77777777" w:rsidR="00854668" w:rsidRDefault="009E1626">
            <w:r>
              <w:t>Computational environment</w:t>
            </w:r>
          </w:p>
        </w:tc>
        <w:tc>
          <w:tcPr>
            <w:tcW w:w="5040" w:type="dxa"/>
          </w:tcPr>
          <w:p w14:paraId="571D0B5C" w14:textId="77777777" w:rsidR="00854668" w:rsidRDefault="009E1626">
            <w:r>
              <w:t>Software, package versions, operating system, random seeds, and code or workflow availability.</w:t>
            </w:r>
          </w:p>
        </w:tc>
      </w:tr>
    </w:tbl>
    <w:p w14:paraId="72F7009D" w14:textId="77777777" w:rsidR="00854668" w:rsidRDefault="009E1626">
      <w:pPr>
        <w:pStyle w:val="Heading1"/>
      </w:pPr>
      <w:r>
        <w:t>4. AFM IMAGE PREPROCESSING</w:t>
      </w:r>
    </w:p>
    <w:p w14:paraId="08DF7F73" w14:textId="77777777" w:rsidR="00854668" w:rsidRDefault="009E1626">
      <w:r>
        <w:rPr>
          <w:highlight w:val="yellow"/>
        </w:rPr>
        <w:t>Raw height maps are retained in an immutable archive. A predefined preprocessing pipeline performs plane correction, line-by-line flattening, scan-line artefact assessment, masking of contaminated regions, and unit-preserving normalisation. Any operation that may alter true topography must be documented. Image patches may be used for feature extraction or deep learning only when every patch from the same original map and sample remains in the same data partition.</w:t>
      </w:r>
    </w:p>
    <w:p w14:paraId="01290E5C" w14:textId="77777777" w:rsidR="00854668" w:rsidRDefault="009E1626">
      <w:r>
        <w:rPr>
          <w:highlight w:val="yellow"/>
        </w:rPr>
        <w:t>Quality-control flags include excessive drift, repeated line artefacts, saturation, abrupt offsets, suspected tip convolution, and contamination. Exclusion thresholds must be fixed before model comparison or evaluated in a sensitivity analysis.</w:t>
      </w:r>
    </w:p>
    <w:p w14:paraId="1F18A003" w14:textId="77777777" w:rsidR="00854668" w:rsidRDefault="009E1626">
      <w:pPr>
        <w:pStyle w:val="Heading1"/>
      </w:pPr>
      <w:r>
        <w:t>5. FORCE-CURVE PREPROCESSING</w:t>
      </w:r>
    </w:p>
    <w:p w14:paraId="0EBF5C99" w14:textId="77777777" w:rsidR="00854668" w:rsidRDefault="009E1626">
      <w:r>
        <w:t>Force-distance and force-indentation curves are processed using a documented sequence: detector and spring-constant calibration, baseline correction, contact-point detection, conversion to force and separation or indentation, alignment to a common coordinate, and curve-length standardization. Approach and retraction segments are retained when adhesion, pull-off events, or hysteresis are relevant. Curves are not rejected solely because they reduce apparent classification performance.</w:t>
      </w:r>
    </w:p>
    <w:p w14:paraId="5E501FD3" w14:textId="77777777" w:rsidR="00854668" w:rsidRDefault="009E1626" w:rsidP="00E33DBB">
      <w:r>
        <w:rPr>
          <w:highlight w:val="yellow"/>
        </w:rPr>
        <w:t>A processed curve may be represented as Xi = [F1, F2, ..., Fn], where force values are sampled at standardised distance or indentation coordinates. Scalar descriptors and curve embeddings must be generated only after the training partition has been defined when the transformation learns parameters from data.</w:t>
      </w:r>
    </w:p>
    <w:p w14:paraId="42E1D9BA" w14:textId="77777777" w:rsidR="00E33DBB" w:rsidRPr="00E33DBB" w:rsidRDefault="00E33DBB" w:rsidP="00E33DBB">
      <w:r>
        <w:t>Table 3. Feature Extraction</w:t>
      </w:r>
    </w:p>
    <w:tbl>
      <w:tblPr>
        <w:tblStyle w:val="TableGrid"/>
        <w:tblW w:w="0" w:type="auto"/>
        <w:jc w:val="center"/>
        <w:tblLook w:val="04A0" w:firstRow="1" w:lastRow="0" w:firstColumn="1" w:lastColumn="0" w:noHBand="0" w:noVBand="1"/>
      </w:tblPr>
      <w:tblGrid>
        <w:gridCol w:w="3360"/>
        <w:gridCol w:w="3360"/>
        <w:gridCol w:w="3360"/>
      </w:tblGrid>
      <w:tr w:rsidR="00854668" w14:paraId="3FFA8FED" w14:textId="77777777">
        <w:trPr>
          <w:tblHeader/>
          <w:jc w:val="center"/>
        </w:trPr>
        <w:tc>
          <w:tcPr>
            <w:tcW w:w="3360" w:type="dxa"/>
            <w:shd w:val="clear" w:color="auto" w:fill="D9EAF7"/>
            <w:vAlign w:val="center"/>
          </w:tcPr>
          <w:p w14:paraId="6D6A7E4C" w14:textId="77777777" w:rsidR="00854668" w:rsidRDefault="009E1626">
            <w:r>
              <w:rPr>
                <w:b/>
              </w:rPr>
              <w:t>Feature group</w:t>
            </w:r>
          </w:p>
        </w:tc>
        <w:tc>
          <w:tcPr>
            <w:tcW w:w="3360" w:type="dxa"/>
            <w:shd w:val="clear" w:color="auto" w:fill="D9EAF7"/>
            <w:vAlign w:val="center"/>
          </w:tcPr>
          <w:p w14:paraId="297C1FA0" w14:textId="77777777" w:rsidR="00854668" w:rsidRDefault="009E1626">
            <w:r>
              <w:rPr>
                <w:b/>
              </w:rPr>
              <w:t>Illustrative variables</w:t>
            </w:r>
          </w:p>
        </w:tc>
        <w:tc>
          <w:tcPr>
            <w:tcW w:w="3360" w:type="dxa"/>
            <w:shd w:val="clear" w:color="auto" w:fill="D9EAF7"/>
            <w:vAlign w:val="center"/>
          </w:tcPr>
          <w:p w14:paraId="19D5F3E6" w14:textId="77777777" w:rsidR="00854668" w:rsidRDefault="009E1626">
            <w:r>
              <w:rPr>
                <w:b/>
              </w:rPr>
              <w:t>Required unit or definition</w:t>
            </w:r>
          </w:p>
        </w:tc>
      </w:tr>
      <w:tr w:rsidR="00854668" w14:paraId="795C4B75" w14:textId="77777777">
        <w:trPr>
          <w:jc w:val="center"/>
        </w:trPr>
        <w:tc>
          <w:tcPr>
            <w:tcW w:w="3360" w:type="dxa"/>
          </w:tcPr>
          <w:p w14:paraId="0A705AFB" w14:textId="77777777" w:rsidR="00854668" w:rsidRDefault="009E1626">
            <w:r>
              <w:t>Topography</w:t>
            </w:r>
          </w:p>
        </w:tc>
        <w:tc>
          <w:tcPr>
            <w:tcW w:w="3360" w:type="dxa"/>
          </w:tcPr>
          <w:p w14:paraId="135F0788" w14:textId="77777777" w:rsidR="00854668" w:rsidRDefault="009E1626">
            <w:r>
              <w:t>Mean/median height, RMS roughness, skewness, kurtosis, autocorrelation length</w:t>
            </w:r>
          </w:p>
        </w:tc>
        <w:tc>
          <w:tcPr>
            <w:tcW w:w="3360" w:type="dxa"/>
          </w:tcPr>
          <w:p w14:paraId="3FB0B6A9" w14:textId="77777777" w:rsidR="00854668" w:rsidRDefault="009E1626">
            <w:r>
              <w:t>nm or explicitly normalized value</w:t>
            </w:r>
          </w:p>
        </w:tc>
      </w:tr>
      <w:tr w:rsidR="00854668" w14:paraId="7E9BCEAD" w14:textId="77777777">
        <w:trPr>
          <w:jc w:val="center"/>
        </w:trPr>
        <w:tc>
          <w:tcPr>
            <w:tcW w:w="3360" w:type="dxa"/>
          </w:tcPr>
          <w:p w14:paraId="64C7AE14" w14:textId="77777777" w:rsidR="00854668" w:rsidRDefault="009E1626">
            <w:r>
              <w:t>Domains and defects</w:t>
            </w:r>
          </w:p>
        </w:tc>
        <w:tc>
          <w:tcPr>
            <w:tcW w:w="3360" w:type="dxa"/>
          </w:tcPr>
          <w:p w14:paraId="5B6E28BB" w14:textId="77777777" w:rsidR="00854668" w:rsidRDefault="009E1626">
            <w:r>
              <w:t>Coverage, defect fraction, domain area, perimeter, boundary density</w:t>
            </w:r>
          </w:p>
        </w:tc>
        <w:tc>
          <w:tcPr>
            <w:tcW w:w="3360" w:type="dxa"/>
          </w:tcPr>
          <w:p w14:paraId="2C1D6441" w14:textId="77777777" w:rsidR="00854668" w:rsidRDefault="009E1626">
            <w:r>
              <w:t>%, nm</w:t>
            </w:r>
            <w:r w:rsidRPr="00D07999">
              <w:rPr>
                <w:vertAlign w:val="superscript"/>
              </w:rPr>
              <w:t>2</w:t>
            </w:r>
            <w:r>
              <w:t>, nm, or count per area</w:t>
            </w:r>
          </w:p>
        </w:tc>
      </w:tr>
      <w:tr w:rsidR="00854668" w14:paraId="2D24FA7D" w14:textId="77777777">
        <w:trPr>
          <w:jc w:val="center"/>
        </w:trPr>
        <w:tc>
          <w:tcPr>
            <w:tcW w:w="3360" w:type="dxa"/>
          </w:tcPr>
          <w:p w14:paraId="3A54C479" w14:textId="77777777" w:rsidR="00854668" w:rsidRDefault="009E1626">
            <w:r>
              <w:t>Mechanical response</w:t>
            </w:r>
          </w:p>
        </w:tc>
        <w:tc>
          <w:tcPr>
            <w:tcW w:w="3360" w:type="dxa"/>
          </w:tcPr>
          <w:p w14:paraId="61023916" w14:textId="77777777" w:rsidR="00854668" w:rsidRDefault="009E1626">
            <w:r>
              <w:t>Indentation slope, fitted modulus, rupture force</w:t>
            </w:r>
          </w:p>
        </w:tc>
        <w:tc>
          <w:tcPr>
            <w:tcW w:w="3360" w:type="dxa"/>
          </w:tcPr>
          <w:p w14:paraId="2D54E6BF" w14:textId="77777777" w:rsidR="00854668" w:rsidRDefault="009E1626">
            <w:r>
              <w:t>N/m, Pa, or nN with model and assumptions stated</w:t>
            </w:r>
          </w:p>
        </w:tc>
      </w:tr>
      <w:tr w:rsidR="00854668" w14:paraId="6EEB6630" w14:textId="77777777">
        <w:trPr>
          <w:jc w:val="center"/>
        </w:trPr>
        <w:tc>
          <w:tcPr>
            <w:tcW w:w="3360" w:type="dxa"/>
          </w:tcPr>
          <w:p w14:paraId="7EAA63B9" w14:textId="77777777" w:rsidR="00854668" w:rsidRDefault="009E1626">
            <w:r>
              <w:t>Adhesion and dissipation</w:t>
            </w:r>
          </w:p>
        </w:tc>
        <w:tc>
          <w:tcPr>
            <w:tcW w:w="3360" w:type="dxa"/>
          </w:tcPr>
          <w:p w14:paraId="69C0B9FF" w14:textId="77777777" w:rsidR="00854668" w:rsidRDefault="009E1626">
            <w:r>
              <w:t>Pull-off force, adhesion work, hysteresis area</w:t>
            </w:r>
          </w:p>
        </w:tc>
        <w:tc>
          <w:tcPr>
            <w:tcW w:w="3360" w:type="dxa"/>
          </w:tcPr>
          <w:p w14:paraId="21AC6D57" w14:textId="77777777" w:rsidR="00854668" w:rsidRDefault="009E1626">
            <w:r>
              <w:t>nN, J, or nN·nm</w:t>
            </w:r>
          </w:p>
        </w:tc>
      </w:tr>
      <w:tr w:rsidR="00854668" w14:paraId="22935312" w14:textId="77777777">
        <w:trPr>
          <w:jc w:val="center"/>
        </w:trPr>
        <w:tc>
          <w:tcPr>
            <w:tcW w:w="3360" w:type="dxa"/>
          </w:tcPr>
          <w:p w14:paraId="57BC397F" w14:textId="77777777" w:rsidR="00854668" w:rsidRDefault="009E1626">
            <w:r>
              <w:t>Spatial heterogeneity</w:t>
            </w:r>
          </w:p>
        </w:tc>
        <w:tc>
          <w:tcPr>
            <w:tcW w:w="3360" w:type="dxa"/>
          </w:tcPr>
          <w:p w14:paraId="6AF692ED" w14:textId="77777777" w:rsidR="00854668" w:rsidRDefault="009E1626">
            <w:r>
              <w:t>Local variance, texture descriptors, variogram or neighborhood statistics</w:t>
            </w:r>
          </w:p>
        </w:tc>
        <w:tc>
          <w:tcPr>
            <w:tcW w:w="3360" w:type="dxa"/>
          </w:tcPr>
          <w:p w14:paraId="106F8D7B" w14:textId="77777777" w:rsidR="00854668" w:rsidRDefault="009E1626">
            <w:r>
              <w:t>Definition and scale reported</w:t>
            </w:r>
          </w:p>
        </w:tc>
      </w:tr>
      <w:tr w:rsidR="00854668" w14:paraId="2A145E52" w14:textId="77777777">
        <w:trPr>
          <w:jc w:val="center"/>
        </w:trPr>
        <w:tc>
          <w:tcPr>
            <w:tcW w:w="3360" w:type="dxa"/>
          </w:tcPr>
          <w:p w14:paraId="08E6938A" w14:textId="77777777" w:rsidR="00854668" w:rsidRDefault="009E1626">
            <w:r>
              <w:t>Distribution-level features</w:t>
            </w:r>
          </w:p>
        </w:tc>
        <w:tc>
          <w:tcPr>
            <w:tcW w:w="3360" w:type="dxa"/>
          </w:tcPr>
          <w:p w14:paraId="10B6B8E0" w14:textId="77777777" w:rsidR="00854668" w:rsidRDefault="009E1626">
            <w:r>
              <w:t>Quantiles, multimodality, mixture proportions</w:t>
            </w:r>
          </w:p>
        </w:tc>
        <w:tc>
          <w:tcPr>
            <w:tcW w:w="3360" w:type="dxa"/>
          </w:tcPr>
          <w:p w14:paraId="4CDF3580" w14:textId="77777777" w:rsidR="00854668" w:rsidRDefault="009E1626">
            <w:r>
              <w:t>Computed at the independent-sample level</w:t>
            </w:r>
          </w:p>
        </w:tc>
      </w:tr>
    </w:tbl>
    <w:p w14:paraId="6A733C10" w14:textId="77777777" w:rsidR="00854668" w:rsidRDefault="009E1626">
      <w:r>
        <w:lastRenderedPageBreak/>
        <w:t>Feature extraction parameters are fixed within the training workflow. Correlated descriptors, missing values, scaling, dimensionality reduction, and feature selection are handled inside each cross-validation loop to prevent information leakage.</w:t>
      </w:r>
    </w:p>
    <w:p w14:paraId="61D42E91" w14:textId="77777777" w:rsidR="00854668" w:rsidRDefault="009E1626">
      <w:pPr>
        <w:pStyle w:val="Heading1"/>
      </w:pPr>
      <w:r>
        <w:t>7. MACHINE-LEARNING WORKFLOW</w:t>
      </w:r>
    </w:p>
    <w:p w14:paraId="240B5B13" w14:textId="77777777" w:rsidR="00854668" w:rsidRDefault="009E1626">
      <w:pPr>
        <w:pStyle w:val="Heading2"/>
      </w:pPr>
      <w:r>
        <w:t>7.1 Supervised analysis</w:t>
      </w:r>
    </w:p>
    <w:p w14:paraId="62B1BF0B" w14:textId="77777777" w:rsidR="00854668" w:rsidRDefault="009E1626">
      <w:r>
        <w:rPr>
          <w:highlight w:val="yellow"/>
        </w:rPr>
        <w:t>Candidate baseline models include regularised logistic regression, support-vector machines, random forests, and gradient boosting (Breiman, 2001; Cortes &amp; Vapnik, 1995; Friedman, 2001; Hosmer et al., 2013). A shallow neural network or convolutional model may be evaluated only when the number of independent samples and the validation design support the additional model complexity (Bishop, 2006; Goodfellow et al., 2016; LeCun et al., 1998). Hyperparameter ranges are declared before final evaluation and optimised using inner grouped cross-validation.</w:t>
      </w:r>
    </w:p>
    <w:p w14:paraId="57FAEC5A" w14:textId="77777777" w:rsidR="00854668" w:rsidRDefault="009E1626">
      <w:pPr>
        <w:pStyle w:val="Heading2"/>
      </w:pPr>
      <w:r>
        <w:t>7.2 Unsupervised analysis</w:t>
      </w:r>
    </w:p>
    <w:p w14:paraId="504A0CFD" w14:textId="77777777" w:rsidR="00854668" w:rsidRDefault="009E1626">
      <w:r>
        <w:rPr>
          <w:highlight w:val="yellow"/>
        </w:rPr>
        <w:t>Principal component analysis, Gaussian mixture models, k-means, t-SNE, or UMAP may be used for exploratory visualisation or subpopulation analysis (Jolliffe, 2002; Lundberg &amp; Lee, 2017; McInnes et al., 2018; van der Maaten &amp; Hinton, 2008). These methods do not by themselves establish biological classes. Cluster stability, sensitivity to preprocessing, and agreement with independent physical measurements must be evaluated.</w:t>
      </w:r>
    </w:p>
    <w:p w14:paraId="43E12D03" w14:textId="77777777" w:rsidR="00854668" w:rsidRDefault="009E1626">
      <w:pPr>
        <w:pStyle w:val="Heading2"/>
      </w:pPr>
      <w:r>
        <w:t>7.3 Explainable AI</w:t>
      </w:r>
    </w:p>
    <w:p w14:paraId="3088A388" w14:textId="77777777" w:rsidR="00854668" w:rsidRDefault="009E1626">
      <w:r>
        <w:rPr>
          <w:highlight w:val="yellow"/>
        </w:rPr>
        <w:t>Permutation importance, SHAP, LIME, saliency maps, and Grad-CAM may be used to examine model dependence on physically meaningful AFM variables (Lundberg &amp; Lee, 2017; Ribeiro et al., 2016; Selvaraju et al., 2020; Simonyan et al., 2013). Interpretation is performed on held-out data. Explanations must be checked for stability across folds and for dependence on scan artefacts, acquisition batches, or preprocessing choices.</w:t>
      </w:r>
    </w:p>
    <w:p w14:paraId="04F67146" w14:textId="77777777" w:rsidR="00854668" w:rsidRDefault="009E1626">
      <w:pPr>
        <w:pStyle w:val="Heading1"/>
      </w:pPr>
      <w:r>
        <w:t>8. DATA PARTITIONING AND VALIDATION</w:t>
      </w:r>
    </w:p>
    <w:p w14:paraId="7D644E3D" w14:textId="77777777" w:rsidR="00854668" w:rsidRDefault="009E1626">
      <w:r>
        <w:rPr>
          <w:highlight w:val="yellow"/>
        </w:rPr>
        <w:t>The principal safeguard is grouped splitting at the independent-sample or experimental-batch level. Curves, pixels, or patches from one sample cannot appear in both training and test data. Nested grouped k-fold cross-validation is preferred for model selection and performance estimation, and permutation testing may be used to evaluate whether classification performance exceeds chance (Ojala &amp; Garriga, 2010). Where enough independent samples exist, an untouched external or temporal test set is retained.</w:t>
      </w:r>
    </w:p>
    <w:p w14:paraId="0C1A62C3" w14:textId="77777777" w:rsidR="00E33DBB" w:rsidRDefault="00E33DBB"/>
    <w:p w14:paraId="6B4B9C31" w14:textId="77777777" w:rsidR="00E33DBB" w:rsidRDefault="00E33DBB">
      <w:r>
        <w:t xml:space="preserve">Table 4. </w:t>
      </w:r>
      <w:r w:rsidRPr="00E33DBB">
        <w:rPr>
          <w:b/>
          <w:bCs/>
        </w:rPr>
        <w:t>Evaluation and</w:t>
      </w:r>
      <w:r>
        <w:t xml:space="preserve"> </w:t>
      </w:r>
      <w:r>
        <w:rPr>
          <w:b/>
        </w:rPr>
        <w:t>Recommended report</w:t>
      </w:r>
    </w:p>
    <w:tbl>
      <w:tblPr>
        <w:tblStyle w:val="TableGrid"/>
        <w:tblW w:w="0" w:type="auto"/>
        <w:jc w:val="center"/>
        <w:tblLook w:val="04A0" w:firstRow="1" w:lastRow="0" w:firstColumn="1" w:lastColumn="0" w:noHBand="0" w:noVBand="1"/>
      </w:tblPr>
      <w:tblGrid>
        <w:gridCol w:w="5040"/>
        <w:gridCol w:w="5040"/>
      </w:tblGrid>
      <w:tr w:rsidR="00854668" w14:paraId="336A5E22" w14:textId="77777777">
        <w:trPr>
          <w:tblHeader/>
          <w:jc w:val="center"/>
        </w:trPr>
        <w:tc>
          <w:tcPr>
            <w:tcW w:w="5040" w:type="dxa"/>
            <w:shd w:val="clear" w:color="auto" w:fill="D9EAF7"/>
            <w:vAlign w:val="center"/>
          </w:tcPr>
          <w:p w14:paraId="4EB3FD55" w14:textId="77777777" w:rsidR="00854668" w:rsidRDefault="009E1626">
            <w:r>
              <w:rPr>
                <w:b/>
              </w:rPr>
              <w:t>Evaluation component</w:t>
            </w:r>
          </w:p>
        </w:tc>
        <w:tc>
          <w:tcPr>
            <w:tcW w:w="5040" w:type="dxa"/>
            <w:shd w:val="clear" w:color="auto" w:fill="D9EAF7"/>
            <w:vAlign w:val="center"/>
          </w:tcPr>
          <w:p w14:paraId="6A0A97B1" w14:textId="77777777" w:rsidR="00854668" w:rsidRDefault="009E1626">
            <w:r>
              <w:rPr>
                <w:b/>
              </w:rPr>
              <w:t>Recommended reporting</w:t>
            </w:r>
          </w:p>
        </w:tc>
      </w:tr>
      <w:tr w:rsidR="00854668" w14:paraId="4856D1FF" w14:textId="77777777">
        <w:trPr>
          <w:jc w:val="center"/>
        </w:trPr>
        <w:tc>
          <w:tcPr>
            <w:tcW w:w="5040" w:type="dxa"/>
          </w:tcPr>
          <w:p w14:paraId="12AA095C" w14:textId="77777777" w:rsidR="00854668" w:rsidRDefault="009E1626">
            <w:r>
              <w:t>Primary metrics</w:t>
            </w:r>
          </w:p>
        </w:tc>
        <w:tc>
          <w:tcPr>
            <w:tcW w:w="5040" w:type="dxa"/>
          </w:tcPr>
          <w:p w14:paraId="2035BB15" w14:textId="77777777" w:rsidR="00854668" w:rsidRDefault="009E1626">
            <w:r>
              <w:t>Balanced accuracy and macro-F1 for imbalanced multiclass data; class-specific precision and recall.</w:t>
            </w:r>
          </w:p>
        </w:tc>
      </w:tr>
      <w:tr w:rsidR="00854668" w14:paraId="71CE96E4" w14:textId="77777777">
        <w:trPr>
          <w:jc w:val="center"/>
        </w:trPr>
        <w:tc>
          <w:tcPr>
            <w:tcW w:w="5040" w:type="dxa"/>
          </w:tcPr>
          <w:p w14:paraId="45C2F469" w14:textId="77777777" w:rsidR="00854668" w:rsidRDefault="009E1626">
            <w:r>
              <w:t>Discrimination</w:t>
            </w:r>
          </w:p>
        </w:tc>
        <w:tc>
          <w:tcPr>
            <w:tcW w:w="5040" w:type="dxa"/>
          </w:tcPr>
          <w:p w14:paraId="632732A4" w14:textId="77777777" w:rsidR="00854668" w:rsidRDefault="009E1626">
            <w:r>
              <w:t>ROC-AUC only with a clear multiclass averaging rule and confidence intervals.</w:t>
            </w:r>
          </w:p>
        </w:tc>
      </w:tr>
      <w:tr w:rsidR="00854668" w14:paraId="2F9F7725" w14:textId="77777777">
        <w:trPr>
          <w:jc w:val="center"/>
        </w:trPr>
        <w:tc>
          <w:tcPr>
            <w:tcW w:w="5040" w:type="dxa"/>
          </w:tcPr>
          <w:p w14:paraId="1D7F9673" w14:textId="77777777" w:rsidR="00854668" w:rsidRDefault="009E1626">
            <w:r>
              <w:t>Uncertainty</w:t>
            </w:r>
          </w:p>
        </w:tc>
        <w:tc>
          <w:tcPr>
            <w:tcW w:w="5040" w:type="dxa"/>
          </w:tcPr>
          <w:p w14:paraId="42BB89BA" w14:textId="77777777" w:rsidR="00854668" w:rsidRDefault="009E1626">
            <w:r>
              <w:t>Bootstrap or fold-based confidence intervals at the independent-sample level.</w:t>
            </w:r>
          </w:p>
        </w:tc>
      </w:tr>
      <w:tr w:rsidR="00854668" w14:paraId="3BAD57FC" w14:textId="77777777">
        <w:trPr>
          <w:jc w:val="center"/>
        </w:trPr>
        <w:tc>
          <w:tcPr>
            <w:tcW w:w="5040" w:type="dxa"/>
          </w:tcPr>
          <w:p w14:paraId="13AA805D" w14:textId="77777777" w:rsidR="00854668" w:rsidRDefault="009E1626">
            <w:r>
              <w:t>Null comparison</w:t>
            </w:r>
          </w:p>
        </w:tc>
        <w:tc>
          <w:tcPr>
            <w:tcW w:w="5040" w:type="dxa"/>
          </w:tcPr>
          <w:p w14:paraId="0F0B32ED" w14:textId="77777777" w:rsidR="00854668" w:rsidRDefault="009E1626">
            <w:r>
              <w:t>Label-permutation testing that preserves grouping.</w:t>
            </w:r>
          </w:p>
        </w:tc>
      </w:tr>
      <w:tr w:rsidR="00854668" w14:paraId="1ECBE185" w14:textId="77777777">
        <w:trPr>
          <w:jc w:val="center"/>
        </w:trPr>
        <w:tc>
          <w:tcPr>
            <w:tcW w:w="5040" w:type="dxa"/>
          </w:tcPr>
          <w:p w14:paraId="041526A2" w14:textId="77777777" w:rsidR="00854668" w:rsidRDefault="009E1626">
            <w:r>
              <w:t>Calibration</w:t>
            </w:r>
          </w:p>
        </w:tc>
        <w:tc>
          <w:tcPr>
            <w:tcW w:w="5040" w:type="dxa"/>
          </w:tcPr>
          <w:p w14:paraId="3A77BE4A" w14:textId="77777777" w:rsidR="00854668" w:rsidRDefault="009E1626">
            <w:r>
              <w:t>Calibration curve and Brier score when probabilistic outputs are interpreted.</w:t>
            </w:r>
          </w:p>
        </w:tc>
      </w:tr>
      <w:tr w:rsidR="00854668" w14:paraId="2A07EBD5" w14:textId="77777777">
        <w:trPr>
          <w:jc w:val="center"/>
        </w:trPr>
        <w:tc>
          <w:tcPr>
            <w:tcW w:w="5040" w:type="dxa"/>
          </w:tcPr>
          <w:p w14:paraId="0E976D7B" w14:textId="77777777" w:rsidR="00854668" w:rsidRDefault="009E1626">
            <w:r>
              <w:t>Error analysis</w:t>
            </w:r>
          </w:p>
        </w:tc>
        <w:tc>
          <w:tcPr>
            <w:tcW w:w="5040" w:type="dxa"/>
          </w:tcPr>
          <w:p w14:paraId="624FCA11" w14:textId="77777777" w:rsidR="00854668" w:rsidRDefault="009E1626">
            <w:r>
              <w:t>Sample-level confusion matrix and review of acquisition, composition, and preprocessing factors.</w:t>
            </w:r>
          </w:p>
        </w:tc>
      </w:tr>
      <w:tr w:rsidR="00854668" w14:paraId="70610499" w14:textId="77777777">
        <w:trPr>
          <w:jc w:val="center"/>
        </w:trPr>
        <w:tc>
          <w:tcPr>
            <w:tcW w:w="5040" w:type="dxa"/>
          </w:tcPr>
          <w:p w14:paraId="0CEF1550" w14:textId="77777777" w:rsidR="00854668" w:rsidRDefault="009E1626">
            <w:r>
              <w:t>External validity</w:t>
            </w:r>
          </w:p>
        </w:tc>
        <w:tc>
          <w:tcPr>
            <w:tcW w:w="5040" w:type="dxa"/>
          </w:tcPr>
          <w:p w14:paraId="4B1143C0" w14:textId="77777777" w:rsidR="00854668" w:rsidRDefault="009E1626">
            <w:r>
              <w:t>Independent batch, instrument, operator, or laboratory where feasible.</w:t>
            </w:r>
          </w:p>
        </w:tc>
      </w:tr>
    </w:tbl>
    <w:p w14:paraId="54FA5858" w14:textId="77777777" w:rsidR="00854668" w:rsidRDefault="009E1626">
      <w:pPr>
        <w:pStyle w:val="Heading1"/>
      </w:pPr>
      <w:r>
        <w:lastRenderedPageBreak/>
        <w:t>9. AI-ASSISTED QUALITY CONTROL</w:t>
      </w:r>
    </w:p>
    <w:p w14:paraId="231BFE10" w14:textId="77777777" w:rsidR="00854668" w:rsidRDefault="009E1626">
      <w:r>
        <w:rPr>
          <w:highlight w:val="yellow"/>
        </w:rPr>
        <w:t>A quality-control classifier may categorise maps or curves as acceptable, uncertain, or unacceptable using predefined indicators such as baseline noise, contact-point reliability, saturation, abnormal retraction behaviour, drift, scan-line artefacts, and suspected tip contamination. The QC model requires its own annotated reference set and validation. Exclusion percentages must not be reported without the underlying dataset, annotation protocol, inter-rater agreement, and uncertainty analysis.</w:t>
      </w:r>
    </w:p>
    <w:p w14:paraId="03EE7A57" w14:textId="77777777" w:rsidR="00854668" w:rsidRDefault="009E1626">
      <w:pPr>
        <w:pStyle w:val="Heading1"/>
      </w:pPr>
      <w:r>
        <w:t>10. EXPECTED ANALYTICAL OUTPUTS</w:t>
      </w:r>
    </w:p>
    <w:p w14:paraId="6ED81CDE" w14:textId="77777777" w:rsidR="00854668" w:rsidRDefault="009E1626">
      <w:r>
        <w:t>A completed implementation should produce: (i) a data-flow diagram and sample hierarchy; (ii) representative raw and processed AFM maps; (iii) force-curve preprocessing examples; (iv) a feature dictionary with units; (v) grouped cross-validation results with uncertainty; (vi) sample-level confusion matrices and calibration diagnostics; (vii) exploratory PCA or UMAP plots labelled as exploratory; (viii) explainability outputs; and (ix) sensitivity analyses for preprocessing and exclusion rules. No numerical model performance is provided in this Method Article because such values would require an original, fully documented AFM dataset and executable analysis.</w:t>
      </w:r>
    </w:p>
    <w:p w14:paraId="73D85281" w14:textId="77777777" w:rsidR="00854668" w:rsidRDefault="009E1626">
      <w:pPr>
        <w:pStyle w:val="Heading1"/>
      </w:pPr>
      <w:r>
        <w:t>11. REPRODUCIBILITY AND REPORTING CHECKLIST</w:t>
      </w:r>
    </w:p>
    <w:p w14:paraId="4CE20165" w14:textId="77777777" w:rsidR="00854668" w:rsidRDefault="009E1626">
      <w:pPr>
        <w:pStyle w:val="ListBullet"/>
      </w:pPr>
      <w:r>
        <w:t>Identify the article as a Method Article and distinguish proposed procedures from completed analyses.</w:t>
      </w:r>
    </w:p>
    <w:p w14:paraId="155C5423" w14:textId="77777777" w:rsidR="00854668" w:rsidRDefault="009E1626">
      <w:pPr>
        <w:pStyle w:val="ListBullet"/>
      </w:pPr>
      <w:r>
        <w:t>Report independent sample counts and nested observations separately.</w:t>
      </w:r>
    </w:p>
    <w:p w14:paraId="12149165" w14:textId="77777777" w:rsidR="00854668" w:rsidRDefault="009E1626">
      <w:pPr>
        <w:pStyle w:val="ListBullet"/>
      </w:pPr>
      <w:r>
        <w:t>Provide raw-data provenance and permissions for any reused dataset.</w:t>
      </w:r>
    </w:p>
    <w:p w14:paraId="3A1A7887" w14:textId="77777777" w:rsidR="00854668" w:rsidRDefault="009E1626">
      <w:pPr>
        <w:pStyle w:val="ListBullet"/>
      </w:pPr>
      <w:r>
        <w:t>Keep all observations from one sample in one data partition.</w:t>
      </w:r>
    </w:p>
    <w:p w14:paraId="248EACA9" w14:textId="77777777" w:rsidR="00854668" w:rsidRDefault="009E1626">
      <w:pPr>
        <w:pStyle w:val="ListBullet"/>
      </w:pPr>
      <w:r>
        <w:t>Fit scaling, imputation, feature selection, and dimensionality reduction within training folds.</w:t>
      </w:r>
    </w:p>
    <w:p w14:paraId="10828C2A" w14:textId="77777777" w:rsidR="00854668" w:rsidRDefault="009E1626">
      <w:pPr>
        <w:pStyle w:val="ListBullet"/>
      </w:pPr>
      <w:r>
        <w:t>Report hyperparameter ranges, software versions, random seeds, and code availability.</w:t>
      </w:r>
    </w:p>
    <w:p w14:paraId="7B47E6A5" w14:textId="77777777" w:rsidR="00854668" w:rsidRDefault="009E1626">
      <w:pPr>
        <w:pStyle w:val="ListBullet"/>
      </w:pPr>
      <w:r>
        <w:t>Provide confidence intervals, permutation tests, and external validation where feasible.</w:t>
      </w:r>
    </w:p>
    <w:p w14:paraId="10683B69" w14:textId="77777777" w:rsidR="00854668" w:rsidRDefault="009E1626">
      <w:pPr>
        <w:pStyle w:val="ListBullet"/>
      </w:pPr>
      <w:r>
        <w:t>Label author-generated schematic or simulated figures explicitly.</w:t>
      </w:r>
    </w:p>
    <w:p w14:paraId="09BBDB2D" w14:textId="77777777" w:rsidR="00854668" w:rsidRDefault="009E1626">
      <w:pPr>
        <w:pStyle w:val="ListBullet"/>
      </w:pPr>
      <w:r>
        <w:t>Validate AI-derived classes with independent biophysical or compositional evidence.</w:t>
      </w:r>
    </w:p>
    <w:p w14:paraId="06D41163" w14:textId="77777777" w:rsidR="00854668" w:rsidRDefault="009E1626">
      <w:pPr>
        <w:pStyle w:val="Heading1"/>
      </w:pPr>
      <w:r>
        <w:t>12. DISCUSSION</w:t>
      </w:r>
    </w:p>
    <w:p w14:paraId="10ABB3BF" w14:textId="77777777" w:rsidR="00854668" w:rsidRDefault="009E1626">
      <w:r>
        <w:rPr>
          <w:highlight w:val="yellow"/>
        </w:rPr>
        <w:t>The proposed workflow extends AFM interpretation from isolated summary descriptors towards multiparametric mechanochemical characterisation. Its principal methodological contribution is not a particular classifier but a data structure that respects the hierarchy of AFM measurements. This distinction is essential because thousands of force curves or image patches may originate from only a small number of independent preparations. Randomly dividing nested observations can produce severe information leakage and overoptimistic estimates (Varma &amp; Simon, 2006; Varoquaux, 2018).</w:t>
      </w:r>
    </w:p>
    <w:p w14:paraId="261B6361" w14:textId="77777777" w:rsidR="00854668" w:rsidRDefault="009E1626">
      <w:r>
        <w:rPr>
          <w:highlight w:val="yellow"/>
        </w:rPr>
        <w:t>The framework also emphasises physical interpretability. A high-performing model is not sufficient if predictions are driven by scan lines, batch effects, tip changes, or post-processing artefacts. Explainability analyses are therefore treated as diagnostic tools that require stability testing and independent physical confirmation, rather than as proof of mechanism.</w:t>
      </w:r>
    </w:p>
    <w:p w14:paraId="03C05489" w14:textId="77777777" w:rsidR="00854668" w:rsidRDefault="009E1626">
      <w:r>
        <w:t>The method is applicable to supported lipid layers, vesicle-derived interfaces, and related soft biomaterial systems, but it must be adapted to the experimental question and acquisition mode. Models developed on one instrument, probe type, buffer, lipid composition, or laboratory may not transfer without recalibration and external validation.</w:t>
      </w:r>
    </w:p>
    <w:p w14:paraId="0477CC83" w14:textId="77777777" w:rsidR="00854668" w:rsidRDefault="009E1626">
      <w:pPr>
        <w:pStyle w:val="Heading1"/>
      </w:pPr>
      <w:r>
        <w:t>13. LIMITATIONS</w:t>
      </w:r>
    </w:p>
    <w:p w14:paraId="02ED6EAC" w14:textId="77777777" w:rsidR="00854668" w:rsidRDefault="009E1626">
      <w:r>
        <w:rPr>
          <w:highlight w:val="yellow"/>
        </w:rPr>
        <w:t xml:space="preserve">This article presents a methodological framework rather than an experimentally validated machine-learning model. It does not include an original raw AFM dataset, completed model training, numerical performance </w:t>
      </w:r>
      <w:r>
        <w:rPr>
          <w:highlight w:val="yellow"/>
        </w:rPr>
        <w:lastRenderedPageBreak/>
        <w:t>estimates, SHAP rankings, QC exclusion percentages, or experimentally derived PCA/UMAP separation. Deep-learning methods may remain inappropriate for small numbers of independent samples. Future validation requires prospective AFM experiments, transparent code, sample-level uncertainty analysis, and confirmation using independent measurements such as fluorescence microscopy, composition analysis, or repeated AFM acquisitions.</w:t>
      </w:r>
    </w:p>
    <w:p w14:paraId="015EA03D" w14:textId="7BCE3400" w:rsidR="00140C55" w:rsidRDefault="009E1626" w:rsidP="00140C55">
      <w:pPr>
        <w:pStyle w:val="Heading1"/>
      </w:pPr>
      <w:r>
        <w:t>14. CONCLUSION</w:t>
      </w:r>
    </w:p>
    <w:p w14:paraId="7E5EA5E9" w14:textId="5A5F8BD8" w:rsidR="00140C55" w:rsidRDefault="00140C55">
      <w:r w:rsidRPr="00140C55">
        <w:t>This Method Article establishes a structured framework for machine-learning-assisted analysis of topographical and nanomechanical information obtained from supported lipid layers by AFM. The framework integrates data provenance, explicit sample hierarchy, documented preprocessing, physically defined feature extraction, grouped model validation, quality control, explainability assessment, uncertainty estimation, and reproducibility reporting. Its central methodological requirement is that pixels, image patches, maps, and force curves derived from the same independent preparation or experimental batch remain within a single data partition. This requirement reduces information leakage and supports more defensible estimates of model performance. The framework also distinguishes exploratory outputs, such as PCA or UMAP patterns, from evidence sufficient to establish biological or physical classes. Explainability results are treated as diagnostic information rather than proof of mechanism and require confirmation through independent measurements. Because the article does not contain an original raw AFM dataset, completed model training, or external validation, no numerical predictive claims are made. Future application should use prospectively generated, independently replicated datasets, transparent computational procedures, sample-level uncertainty analysis, and validation across batches, instruments, operators, or laboratories where feasible.</w:t>
      </w:r>
    </w:p>
    <w:p w14:paraId="789EC972" w14:textId="77777777" w:rsidR="00854668" w:rsidRDefault="009E1626">
      <w:pPr>
        <w:pStyle w:val="Heading1"/>
      </w:pPr>
      <w:r>
        <w:t>Declaration of AI Use</w:t>
      </w:r>
    </w:p>
    <w:p w14:paraId="7EA30110" w14:textId="77777777" w:rsidR="00854668" w:rsidRDefault="009E1626">
      <w:r>
        <w:t>This manuscript was prepared through the combined contributions of all authors. Grammarly and ChatGPT were used to assist with grammar checking, language refinement, and reference formatting. These tools were not used as authors and did not replace scholarly judgment. All AI-assisted outputs were reviewed, revised, and approved by the authors, who accept full responsibility for the accuracy and integrity of the manuscript.</w:t>
      </w:r>
    </w:p>
    <w:p w14:paraId="4E6CBD52" w14:textId="77777777" w:rsidR="00854668" w:rsidRDefault="009E1626">
      <w:pPr>
        <w:pStyle w:val="Heading1"/>
      </w:pPr>
      <w:r>
        <w:t>COMPETING INTERESTS</w:t>
      </w:r>
    </w:p>
    <w:p w14:paraId="3CA7CC07" w14:textId="77777777" w:rsidR="00854668" w:rsidRDefault="009E1626">
      <w:r>
        <w:t>The authors have declared that no competing interests exist.</w:t>
      </w:r>
    </w:p>
    <w:p w14:paraId="0C4B0F33" w14:textId="77777777" w:rsidR="00854668" w:rsidRDefault="009E1626">
      <w:pPr>
        <w:pStyle w:val="Heading1"/>
      </w:pPr>
      <w:r>
        <w:t>REFERENCES</w:t>
      </w:r>
    </w:p>
    <w:p w14:paraId="53BAF07D" w14:textId="77777777" w:rsidR="00FC4AB2" w:rsidRDefault="00FC4AB2" w:rsidP="00FC4AB2">
      <w:pPr>
        <w:pStyle w:val="isselectedend"/>
        <w:ind w:left="540" w:hanging="540"/>
        <w:jc w:val="both"/>
      </w:pPr>
      <w:r w:rsidRPr="00FC4AB2">
        <w:rPr>
          <w:lang w:val="nl-BE"/>
        </w:rPr>
        <w:t xml:space="preserve">Xiao, R., Zhang, Y., &amp; Li, M. (2024). </w:t>
      </w:r>
      <w:r>
        <w:t xml:space="preserve">Automated high-throughput atomic force microscopy single-cell nanomechanical assay enabled by deep learning-based optical image recognition. </w:t>
      </w:r>
      <w:r>
        <w:rPr>
          <w:rStyle w:val="Emphasis"/>
        </w:rPr>
        <w:t>Nano Letters, 24</w:t>
      </w:r>
      <w:r>
        <w:t xml:space="preserve">(39), 12323–12332. </w:t>
      </w:r>
      <w:hyperlink r:id="rId8" w:history="1">
        <w:r>
          <w:rPr>
            <w:rStyle w:val="Hyperlink"/>
          </w:rPr>
          <w:t>https://doi.org/10.1021/acs.nanolett.4c03861</w:t>
        </w:r>
      </w:hyperlink>
    </w:p>
    <w:p w14:paraId="45A8BF2E" w14:textId="77777777" w:rsidR="00FC4AB2" w:rsidRPr="00FC4AB2" w:rsidRDefault="00FC4AB2" w:rsidP="00FC4AB2">
      <w:pPr>
        <w:pStyle w:val="isselectedend"/>
        <w:ind w:left="540" w:hanging="540"/>
        <w:jc w:val="both"/>
        <w:rPr>
          <w:lang w:val="nl-BE"/>
        </w:rPr>
      </w:pPr>
      <w:r>
        <w:t xml:space="preserve">Bishop, C. M. (2006). </w:t>
      </w:r>
      <w:r>
        <w:rPr>
          <w:rStyle w:val="Emphasis"/>
        </w:rPr>
        <w:t>Pattern recognition and machine learning</w:t>
      </w:r>
      <w:r>
        <w:t xml:space="preserve">. </w:t>
      </w:r>
      <w:r w:rsidRPr="00FC4AB2">
        <w:rPr>
          <w:lang w:val="nl-BE"/>
        </w:rPr>
        <w:t xml:space="preserve">Springer. </w:t>
      </w:r>
      <w:hyperlink r:id="rId9" w:history="1">
        <w:r w:rsidRPr="00FC4AB2">
          <w:rPr>
            <w:rStyle w:val="Hyperlink"/>
            <w:lang w:val="nl-BE"/>
          </w:rPr>
          <w:t>https://doi.org/10.1007/978-0-387-45528-0</w:t>
        </w:r>
      </w:hyperlink>
    </w:p>
    <w:p w14:paraId="75BB2465" w14:textId="77777777" w:rsidR="00FC4AB2" w:rsidRDefault="00FC4AB2" w:rsidP="00FC4AB2">
      <w:pPr>
        <w:pStyle w:val="isselectedend"/>
        <w:ind w:left="540" w:hanging="540"/>
        <w:jc w:val="both"/>
      </w:pPr>
      <w:r w:rsidRPr="00FC4AB2">
        <w:rPr>
          <w:lang w:val="nl-BE"/>
        </w:rPr>
        <w:t xml:space="preserve">Breiman, L. (2001). </w:t>
      </w:r>
      <w:r>
        <w:t xml:space="preserve">Random forests. </w:t>
      </w:r>
      <w:r>
        <w:rPr>
          <w:rStyle w:val="Emphasis"/>
        </w:rPr>
        <w:t>Machine Learning, 45</w:t>
      </w:r>
      <w:r>
        <w:t xml:space="preserve">(1), 5–32. </w:t>
      </w:r>
      <w:hyperlink r:id="rId10" w:history="1">
        <w:r>
          <w:rPr>
            <w:rStyle w:val="Hyperlink"/>
          </w:rPr>
          <w:t>https://doi.org/10.1023/A:1010933404324</w:t>
        </w:r>
      </w:hyperlink>
    </w:p>
    <w:p w14:paraId="27702AFB" w14:textId="77777777" w:rsidR="00FC4AB2" w:rsidRDefault="00FC4AB2" w:rsidP="00FC4AB2">
      <w:pPr>
        <w:pStyle w:val="isselectedend"/>
        <w:ind w:left="540" w:hanging="540"/>
        <w:jc w:val="both"/>
      </w:pPr>
      <w:r>
        <w:t xml:space="preserve">Butt, H.-J., Cappella, B., &amp; Kappl, M. (2005). Force measurements with the atomic force microscope: Technique, interpretation and applications. </w:t>
      </w:r>
      <w:r>
        <w:rPr>
          <w:rStyle w:val="Emphasis"/>
        </w:rPr>
        <w:t>Surface Science Reports, 59</w:t>
      </w:r>
      <w:r>
        <w:t xml:space="preserve">(1–6), 1–152. </w:t>
      </w:r>
      <w:hyperlink r:id="rId11" w:history="1">
        <w:r>
          <w:rPr>
            <w:rStyle w:val="Hyperlink"/>
          </w:rPr>
          <w:t>https://doi.org/10.1016/j.surfrep.2005.08.003</w:t>
        </w:r>
      </w:hyperlink>
    </w:p>
    <w:p w14:paraId="152DB56E" w14:textId="77777777" w:rsidR="00FC4AB2" w:rsidRDefault="00FC4AB2" w:rsidP="00FC4AB2">
      <w:pPr>
        <w:pStyle w:val="isselectedend"/>
        <w:ind w:left="540" w:hanging="540"/>
        <w:jc w:val="both"/>
      </w:pPr>
      <w:r>
        <w:lastRenderedPageBreak/>
        <w:t xml:space="preserve">Corrias, M., Papa, L., Sokolović, I., Birschitzky, V., Gorfer, A., Setvin, M., Schmid, M., Diebold, U., Reticcioli, M., &amp; Franchini, C. (2023). Automated real-space lattice extraction for atomic force microscopy images. </w:t>
      </w:r>
      <w:r>
        <w:rPr>
          <w:rStyle w:val="Emphasis"/>
        </w:rPr>
        <w:t>Machine Learning: Science and Technology, 4</w:t>
      </w:r>
      <w:r>
        <w:t xml:space="preserve">(1), Article 015015. </w:t>
      </w:r>
      <w:hyperlink r:id="rId12" w:history="1">
        <w:r>
          <w:rPr>
            <w:rStyle w:val="Hyperlink"/>
          </w:rPr>
          <w:t>https://doi.org/10.1088/2632-2153/acb5e0</w:t>
        </w:r>
      </w:hyperlink>
    </w:p>
    <w:p w14:paraId="1595F310" w14:textId="77777777" w:rsidR="00FC4AB2" w:rsidRPr="00FC4AB2" w:rsidRDefault="00FC4AB2" w:rsidP="00FC4AB2">
      <w:pPr>
        <w:pStyle w:val="isselectedend"/>
        <w:ind w:left="540" w:hanging="540"/>
        <w:jc w:val="both"/>
        <w:rPr>
          <w:lang w:val="nl-BE"/>
        </w:rPr>
      </w:pPr>
      <w:r>
        <w:t xml:space="preserve">Cortes, C., &amp; Vapnik, V. (1995). Support-vector networks. </w:t>
      </w:r>
      <w:r>
        <w:rPr>
          <w:rStyle w:val="Emphasis"/>
        </w:rPr>
        <w:t>Machine Learning, 20</w:t>
      </w:r>
      <w:r>
        <w:t xml:space="preserve">(3), 273–297. </w:t>
      </w:r>
      <w:hyperlink r:id="rId13" w:history="1">
        <w:r w:rsidRPr="00FC4AB2">
          <w:rPr>
            <w:rStyle w:val="Hyperlink"/>
            <w:lang w:val="nl-BE"/>
          </w:rPr>
          <w:t>https://doi.org/10.1007/BF00994018</w:t>
        </w:r>
      </w:hyperlink>
    </w:p>
    <w:p w14:paraId="349A65D5" w14:textId="77777777" w:rsidR="00FC4AB2" w:rsidRDefault="00FC4AB2" w:rsidP="00FC4AB2">
      <w:pPr>
        <w:pStyle w:val="isselectedend"/>
        <w:ind w:left="540" w:hanging="540"/>
        <w:jc w:val="both"/>
      </w:pPr>
      <w:r w:rsidRPr="00FC4AB2">
        <w:rPr>
          <w:lang w:val="nl-BE"/>
        </w:rPr>
        <w:t xml:space="preserve">Yang, X., Yang, Y., Zhang, Z., &amp; Li, M. (2024). </w:t>
      </w:r>
      <w:r>
        <w:t xml:space="preserve">Deep learning image recognition-assisted atomic force microscopy for single-cell efficient mechanics in co-culture environments. </w:t>
      </w:r>
      <w:r>
        <w:rPr>
          <w:rStyle w:val="Emphasis"/>
        </w:rPr>
        <w:t>Langmuir, 40</w:t>
      </w:r>
      <w:r>
        <w:t xml:space="preserve">(1), 837–852. </w:t>
      </w:r>
      <w:hyperlink r:id="rId14" w:history="1">
        <w:r>
          <w:rPr>
            <w:rStyle w:val="Hyperlink"/>
          </w:rPr>
          <w:t>https://doi.org/10.1021/acs.langmuir.3c03046</w:t>
        </w:r>
      </w:hyperlink>
    </w:p>
    <w:p w14:paraId="45B164E2" w14:textId="77777777" w:rsidR="00FC4AB2" w:rsidRDefault="00FC4AB2" w:rsidP="00FC4AB2">
      <w:pPr>
        <w:pStyle w:val="isselectedend"/>
        <w:ind w:left="540" w:hanging="540"/>
        <w:jc w:val="both"/>
      </w:pPr>
      <w:r>
        <w:t xml:space="preserve">Eaton, P., &amp; West, P. (2010). </w:t>
      </w:r>
      <w:r>
        <w:rPr>
          <w:rStyle w:val="Emphasis"/>
        </w:rPr>
        <w:t>Atomic force microscopy</w:t>
      </w:r>
      <w:r>
        <w:t xml:space="preserve">. Oxford University Press. </w:t>
      </w:r>
      <w:hyperlink r:id="rId15" w:history="1">
        <w:r>
          <w:rPr>
            <w:rStyle w:val="Hyperlink"/>
          </w:rPr>
          <w:t>https://doi.org/10.1093/acprof:oso/9780199570454.001.0001</w:t>
        </w:r>
      </w:hyperlink>
    </w:p>
    <w:p w14:paraId="41781C0D" w14:textId="77777777" w:rsidR="00FC4AB2" w:rsidRDefault="00FC4AB2" w:rsidP="00FC4AB2">
      <w:pPr>
        <w:pStyle w:val="isselectedend"/>
        <w:ind w:left="540" w:hanging="540"/>
        <w:jc w:val="both"/>
      </w:pPr>
      <w:r>
        <w:t xml:space="preserve">Friedman, J. H. (2001). Greedy function approximation: A gradient boosting machine. </w:t>
      </w:r>
      <w:r>
        <w:rPr>
          <w:rStyle w:val="Emphasis"/>
        </w:rPr>
        <w:t>The Annals of Statistics, 29</w:t>
      </w:r>
      <w:r>
        <w:t xml:space="preserve">(5), 1189–1232. </w:t>
      </w:r>
      <w:hyperlink r:id="rId16" w:history="1">
        <w:r>
          <w:rPr>
            <w:rStyle w:val="Hyperlink"/>
          </w:rPr>
          <w:t>https://doi.org/10.1214/aos/1013203451</w:t>
        </w:r>
      </w:hyperlink>
    </w:p>
    <w:p w14:paraId="37D8F26B" w14:textId="77777777" w:rsidR="00FC4AB2" w:rsidRDefault="00FC4AB2" w:rsidP="00FC4AB2">
      <w:pPr>
        <w:pStyle w:val="isselectedend"/>
        <w:ind w:left="540" w:hanging="540"/>
        <w:jc w:val="both"/>
      </w:pPr>
      <w:r>
        <w:t xml:space="preserve">Goodfellow, I., Bengio, Y., &amp; Courville, A. (2016). </w:t>
      </w:r>
      <w:r>
        <w:rPr>
          <w:rStyle w:val="Emphasis"/>
        </w:rPr>
        <w:t>Deep learning</w:t>
      </w:r>
      <w:r>
        <w:t xml:space="preserve">. MIT Press. </w:t>
      </w:r>
      <w:hyperlink r:id="rId17" w:history="1">
        <w:r>
          <w:rPr>
            <w:rStyle w:val="Hyperlink"/>
          </w:rPr>
          <w:t>https://mitpress.mit.edu/9780262337373/deep-learning/</w:t>
        </w:r>
      </w:hyperlink>
    </w:p>
    <w:p w14:paraId="18D8C897" w14:textId="77777777" w:rsidR="00FC4AB2" w:rsidRDefault="00FC4AB2" w:rsidP="00FC4AB2">
      <w:pPr>
        <w:pStyle w:val="isselectedend"/>
        <w:ind w:left="540" w:hanging="540"/>
        <w:jc w:val="both"/>
      </w:pPr>
      <w:r>
        <w:t xml:space="preserve">Hosmer, D. W., Lemeshow, S., &amp; Sturdivant, R. X. (2013). </w:t>
      </w:r>
      <w:r>
        <w:rPr>
          <w:rStyle w:val="Emphasis"/>
        </w:rPr>
        <w:t>Applied logistic regression</w:t>
      </w:r>
      <w:r>
        <w:t xml:space="preserve"> (3rd ed.). Wiley. </w:t>
      </w:r>
      <w:hyperlink r:id="rId18" w:history="1">
        <w:r>
          <w:rPr>
            <w:rStyle w:val="Hyperlink"/>
          </w:rPr>
          <w:t>https://doi.org/10.1002/9781118548387</w:t>
        </w:r>
      </w:hyperlink>
    </w:p>
    <w:p w14:paraId="4F941AE7" w14:textId="77777777" w:rsidR="00FC4AB2" w:rsidRDefault="00FC4AB2" w:rsidP="00FC4AB2">
      <w:pPr>
        <w:pStyle w:val="isselectedend"/>
        <w:ind w:left="540" w:hanging="540"/>
        <w:jc w:val="both"/>
      </w:pPr>
      <w:r>
        <w:t xml:space="preserve">Jolliffe, I. T. (2002). </w:t>
      </w:r>
      <w:r>
        <w:rPr>
          <w:rStyle w:val="Emphasis"/>
        </w:rPr>
        <w:t>Principal component analysis</w:t>
      </w:r>
      <w:r>
        <w:t xml:space="preserve"> (2nd ed.). Springer. </w:t>
      </w:r>
      <w:hyperlink r:id="rId19" w:history="1">
        <w:r>
          <w:rPr>
            <w:rStyle w:val="Hyperlink"/>
          </w:rPr>
          <w:t>https://doi.org/10.1007/b98835</w:t>
        </w:r>
      </w:hyperlink>
    </w:p>
    <w:p w14:paraId="7FD8E5C8" w14:textId="77777777" w:rsidR="00FC4AB2" w:rsidRDefault="00FC4AB2" w:rsidP="00FC4AB2">
      <w:pPr>
        <w:pStyle w:val="isselectedend"/>
        <w:ind w:left="540" w:hanging="540"/>
        <w:jc w:val="both"/>
      </w:pPr>
      <w:r>
        <w:t xml:space="preserve">Jung, S. J., Hadinoto, K., &amp; Park, J.-W. (2023). Mechanical properties of 3-hydroxybutyric acid-induced vesicles. </w:t>
      </w:r>
      <w:r>
        <w:rPr>
          <w:rStyle w:val="Emphasis"/>
        </w:rPr>
        <w:t>Molecules, 28</w:t>
      </w:r>
      <w:r>
        <w:t xml:space="preserve">(6), Article 2742. </w:t>
      </w:r>
      <w:hyperlink r:id="rId20" w:history="1">
        <w:r>
          <w:rPr>
            <w:rStyle w:val="Hyperlink"/>
          </w:rPr>
          <w:t>https://doi.org/10.3390/molecules28062742</w:t>
        </w:r>
      </w:hyperlink>
    </w:p>
    <w:p w14:paraId="3EF43001" w14:textId="77777777" w:rsidR="00FC4AB2" w:rsidRDefault="00FC4AB2" w:rsidP="00FC4AB2">
      <w:pPr>
        <w:pStyle w:val="isselectedend"/>
        <w:ind w:left="540" w:hanging="540"/>
        <w:jc w:val="both"/>
      </w:pPr>
      <w:r>
        <w:t xml:space="preserve">LeCun, Y., Bottou, L., Bengio, Y., &amp; Haffner, P. (1998). Gradient-based learning applied to document recognition. </w:t>
      </w:r>
      <w:r>
        <w:rPr>
          <w:rStyle w:val="Emphasis"/>
        </w:rPr>
        <w:t>Proceedings of the IEEE, 86</w:t>
      </w:r>
      <w:r>
        <w:t xml:space="preserve">(11), 2278–2324. </w:t>
      </w:r>
      <w:hyperlink r:id="rId21" w:history="1">
        <w:r>
          <w:rPr>
            <w:rStyle w:val="Hyperlink"/>
          </w:rPr>
          <w:t>https://doi.org/10.1109/5.726791</w:t>
        </w:r>
      </w:hyperlink>
    </w:p>
    <w:p w14:paraId="38E26411" w14:textId="77777777" w:rsidR="00FC4AB2" w:rsidRDefault="00FC4AB2" w:rsidP="00FC4AB2">
      <w:pPr>
        <w:pStyle w:val="isselectedend"/>
        <w:ind w:left="540" w:hanging="540"/>
        <w:jc w:val="both"/>
      </w:pPr>
      <w:r>
        <w:t xml:space="preserve">Lundberg, S. M., &amp; Lee, S.-I. (2017). A unified approach to interpreting model predictions. In I. Guyon, U. von Luxburg, S. Bengio, H. Wallach, R. Fergus, S. Vishwanathan, &amp; R. Garnett (Eds.), </w:t>
      </w:r>
      <w:r>
        <w:rPr>
          <w:rStyle w:val="Emphasis"/>
        </w:rPr>
        <w:t>Advances in neural information processing systems</w:t>
      </w:r>
      <w:r>
        <w:t xml:space="preserve"> (Vol. 30, pp. 4765–4774). Curran Associates, Inc. </w:t>
      </w:r>
      <w:hyperlink r:id="rId22" w:history="1">
        <w:r>
          <w:rPr>
            <w:rStyle w:val="Hyperlink"/>
          </w:rPr>
          <w:t>https://proceedings.neurips.cc/paper_files/paper/2017/hash/8a20a8621978632d76c43dfd28b67767-Abstract.html</w:t>
        </w:r>
      </w:hyperlink>
    </w:p>
    <w:p w14:paraId="6025A183" w14:textId="77777777" w:rsidR="00FC4AB2" w:rsidRDefault="00FC4AB2" w:rsidP="00FC4AB2">
      <w:pPr>
        <w:pStyle w:val="isselectedend"/>
        <w:ind w:left="540" w:hanging="540"/>
        <w:jc w:val="both"/>
      </w:pPr>
      <w:r>
        <w:t xml:space="preserve">McInnes, L., Healy, J., &amp; Melville, J. (2018). </w:t>
      </w:r>
      <w:r>
        <w:rPr>
          <w:rStyle w:val="Emphasis"/>
        </w:rPr>
        <w:t>UMAP: Uniform manifold approximation and projection for dimension reduction</w:t>
      </w:r>
      <w:r>
        <w:t xml:space="preserve"> </w:t>
      </w:r>
      <w:r>
        <w:rPr>
          <w:rStyle w:val="text-token-text-primary"/>
        </w:rPr>
        <w:t>[Preprint]</w:t>
      </w:r>
      <w:r>
        <w:t xml:space="preserve">. arXiv. </w:t>
      </w:r>
      <w:hyperlink r:id="rId23" w:history="1">
        <w:r>
          <w:rPr>
            <w:rStyle w:val="Hyperlink"/>
          </w:rPr>
          <w:t>https://doi.org/10.48550/arXiv.1802.03426</w:t>
        </w:r>
      </w:hyperlink>
    </w:p>
    <w:p w14:paraId="1EB2076B" w14:textId="77777777" w:rsidR="00FC4AB2" w:rsidRDefault="00FC4AB2" w:rsidP="00FC4AB2">
      <w:pPr>
        <w:pStyle w:val="isselectedend"/>
        <w:ind w:left="540" w:hanging="540"/>
        <w:jc w:val="both"/>
      </w:pPr>
      <w:r>
        <w:t xml:space="preserve">Ojala, M., &amp; Garriga, G. C. (2010). Permutation tests for studying classifier performance. </w:t>
      </w:r>
      <w:r>
        <w:rPr>
          <w:rStyle w:val="Emphasis"/>
        </w:rPr>
        <w:t>Journal of Machine Learning Research, 11</w:t>
      </w:r>
      <w:r>
        <w:t xml:space="preserve">, 1833–1863. </w:t>
      </w:r>
      <w:hyperlink r:id="rId24" w:history="1">
        <w:r>
          <w:rPr>
            <w:rStyle w:val="Hyperlink"/>
          </w:rPr>
          <w:t>https://jmlr.org/papers/v11/ojala10a.html</w:t>
        </w:r>
      </w:hyperlink>
    </w:p>
    <w:p w14:paraId="2ED34BC5" w14:textId="77777777" w:rsidR="00FC4AB2" w:rsidRDefault="00FC4AB2" w:rsidP="00FC4AB2">
      <w:pPr>
        <w:pStyle w:val="isselectedend"/>
        <w:ind w:left="540" w:hanging="540"/>
        <w:jc w:val="both"/>
      </w:pPr>
      <w:r>
        <w:t xml:space="preserve">Park, J.-W. (2009a). Characterization of supported lipid layers using atomic force microscopy. </w:t>
      </w:r>
      <w:r>
        <w:rPr>
          <w:rStyle w:val="Emphasis"/>
        </w:rPr>
        <w:t>Korean Chemical Engineering Research, 47</w:t>
      </w:r>
      <w:r>
        <w:t xml:space="preserve">(4), 395–402. </w:t>
      </w:r>
      <w:hyperlink r:id="rId25" w:history="1">
        <w:r>
          <w:rPr>
            <w:rStyle w:val="Hyperlink"/>
          </w:rPr>
          <w:t>https://koreascience.kr/article/ArticleFullRecord.jsp?cn=HHGHHL_2009_v47n4_395</w:t>
        </w:r>
      </w:hyperlink>
    </w:p>
    <w:p w14:paraId="7B0E8B5F" w14:textId="77777777" w:rsidR="00FC4AB2" w:rsidRDefault="00FC4AB2" w:rsidP="00FC4AB2">
      <w:pPr>
        <w:pStyle w:val="isselectedend"/>
        <w:ind w:left="540" w:hanging="540"/>
        <w:jc w:val="both"/>
      </w:pPr>
      <w:r>
        <w:lastRenderedPageBreak/>
        <w:t xml:space="preserve">Park, J.-W. (2009b). Individual leaflet phase effect on nanometer-scale surface properties of phospholipid bilayers. </w:t>
      </w:r>
      <w:r>
        <w:rPr>
          <w:rStyle w:val="Emphasis"/>
        </w:rPr>
        <w:t>Colloids and Surfaces B: Biointerfaces, 71</w:t>
      </w:r>
      <w:r>
        <w:t xml:space="preserve">(1), 128–132. </w:t>
      </w:r>
      <w:hyperlink r:id="rId26" w:history="1">
        <w:r>
          <w:rPr>
            <w:rStyle w:val="Hyperlink"/>
          </w:rPr>
          <w:t>https://doi.org/10.1016/j.colsurfb.2009.01.017</w:t>
        </w:r>
      </w:hyperlink>
    </w:p>
    <w:p w14:paraId="7805AE4C" w14:textId="77777777" w:rsidR="00FC4AB2" w:rsidRDefault="00FC4AB2" w:rsidP="00FC4AB2">
      <w:pPr>
        <w:pStyle w:val="isselectedend"/>
        <w:ind w:left="540" w:hanging="540"/>
        <w:jc w:val="both"/>
      </w:pPr>
      <w:r>
        <w:t xml:space="preserve">Park, J.-W. (2011). Curvature effect on nanometer-scale surface properties of phospholipid layers. </w:t>
      </w:r>
      <w:r>
        <w:rPr>
          <w:rStyle w:val="Emphasis"/>
        </w:rPr>
        <w:t>Colloids and Surfaces B: Biointerfaces, 86</w:t>
      </w:r>
      <w:r>
        <w:t xml:space="preserve">(1), 166–168. </w:t>
      </w:r>
      <w:hyperlink r:id="rId27" w:history="1">
        <w:r>
          <w:rPr>
            <w:rStyle w:val="Hyperlink"/>
          </w:rPr>
          <w:t>https://doi.org/10.1016/j.colsurfb.2011.03.036</w:t>
        </w:r>
      </w:hyperlink>
    </w:p>
    <w:p w14:paraId="0CFCA44E" w14:textId="77777777" w:rsidR="00FC4AB2" w:rsidRDefault="00FC4AB2" w:rsidP="00FC4AB2">
      <w:pPr>
        <w:pStyle w:val="isselectedend"/>
        <w:ind w:left="540" w:hanging="540"/>
        <w:jc w:val="both"/>
      </w:pPr>
      <w:r>
        <w:t xml:space="preserve">Park, J.-W. (2012). Phase effect of mixed-phospholipid layer on phospholipase D reaction-induced vesicle rupture. </w:t>
      </w:r>
      <w:r>
        <w:rPr>
          <w:rStyle w:val="Emphasis"/>
        </w:rPr>
        <w:t>Colloids and Surfaces B: Biointerfaces, 97</w:t>
      </w:r>
      <w:r>
        <w:t xml:space="preserve">, 207–210. </w:t>
      </w:r>
      <w:hyperlink r:id="rId28" w:history="1">
        <w:r>
          <w:rPr>
            <w:rStyle w:val="Hyperlink"/>
          </w:rPr>
          <w:t>https://doi.org/10.1016/j.colsurfb.2012.04.034</w:t>
        </w:r>
      </w:hyperlink>
    </w:p>
    <w:p w14:paraId="53380034" w14:textId="77777777" w:rsidR="00FC4AB2" w:rsidRDefault="00FC4AB2" w:rsidP="00FC4AB2">
      <w:pPr>
        <w:pStyle w:val="isselectedend"/>
        <w:ind w:left="540" w:hanging="540"/>
        <w:jc w:val="both"/>
      </w:pPr>
      <w:r w:rsidRPr="00FC4AB2">
        <w:rPr>
          <w:lang w:val="nl-BE"/>
        </w:rPr>
        <w:t xml:space="preserve">Paruchuri, A., Wang, Y., Gu, X., &amp; Jayaraman, A. (2024). </w:t>
      </w:r>
      <w:r>
        <w:t xml:space="preserve">Machine learning for analysing atomic force microscopy (AFM) images generated from polymer blends. </w:t>
      </w:r>
      <w:r>
        <w:rPr>
          <w:rStyle w:val="Emphasis"/>
        </w:rPr>
        <w:t>Digital Discovery, 3</w:t>
      </w:r>
      <w:r>
        <w:t xml:space="preserve">(12), 2533–2550. </w:t>
      </w:r>
      <w:hyperlink r:id="rId29" w:history="1">
        <w:r>
          <w:rPr>
            <w:rStyle w:val="Hyperlink"/>
          </w:rPr>
          <w:t>https://doi.org/10.1039/D4DD00215F</w:t>
        </w:r>
      </w:hyperlink>
    </w:p>
    <w:p w14:paraId="266CA9C0" w14:textId="77777777" w:rsidR="00FC4AB2" w:rsidRDefault="00FC4AB2" w:rsidP="00FC4AB2">
      <w:pPr>
        <w:pStyle w:val="isselectedend"/>
        <w:ind w:left="540" w:hanging="540"/>
        <w:jc w:val="both"/>
      </w:pPr>
      <w:r>
        <w:t xml:space="preserve">Ribeiro, M. T., Singh, S., &amp; Guestrin, C. (2016). “Why should I trust you?”: Explaining the predictions of any classifier. In </w:t>
      </w:r>
      <w:r>
        <w:rPr>
          <w:rStyle w:val="Emphasis"/>
        </w:rPr>
        <w:t>Proceedings of the 22nd ACM SIGKDD International Conference on Knowledge Discovery and Data Mining</w:t>
      </w:r>
      <w:r>
        <w:t xml:space="preserve"> (pp. 1135–1144). Association for Computing Machinery. </w:t>
      </w:r>
      <w:hyperlink r:id="rId30" w:history="1">
        <w:r>
          <w:rPr>
            <w:rStyle w:val="Hyperlink"/>
          </w:rPr>
          <w:t>https://doi.org/10.1145/2939672.2939778</w:t>
        </w:r>
      </w:hyperlink>
    </w:p>
    <w:p w14:paraId="31B902F1" w14:textId="77777777" w:rsidR="00FC4AB2" w:rsidRDefault="00FC4AB2" w:rsidP="00FC4AB2">
      <w:pPr>
        <w:pStyle w:val="isselectedend"/>
        <w:ind w:left="540" w:hanging="540"/>
        <w:jc w:val="both"/>
      </w:pPr>
      <w:r>
        <w:t xml:space="preserve">Selvaraju, R. R., Cogswell, M., Das, A., Vedantam, R., Parikh, D., &amp; Batra, D. (2020). Grad-CAM: Visual explanations from deep networks via gradient-based localisation. </w:t>
      </w:r>
      <w:r>
        <w:rPr>
          <w:rStyle w:val="Emphasis"/>
        </w:rPr>
        <w:t>International Journal of Computer Vision, 128</w:t>
      </w:r>
      <w:r>
        <w:t xml:space="preserve">, 336–359. </w:t>
      </w:r>
      <w:hyperlink r:id="rId31" w:history="1">
        <w:r>
          <w:rPr>
            <w:rStyle w:val="Hyperlink"/>
          </w:rPr>
          <w:t>https://doi.org/10.1007/s11263-019-01228-7</w:t>
        </w:r>
      </w:hyperlink>
    </w:p>
    <w:p w14:paraId="21B2A960" w14:textId="77777777" w:rsidR="00FC4AB2" w:rsidRDefault="00FC4AB2" w:rsidP="00FC4AB2">
      <w:pPr>
        <w:pStyle w:val="isselectedend"/>
        <w:ind w:left="540" w:hanging="540"/>
        <w:jc w:val="both"/>
      </w:pPr>
      <w:r>
        <w:t xml:space="preserve">Simonyan, K., Vedaldi, A., &amp; Zisserman, A. (2013). </w:t>
      </w:r>
      <w:r>
        <w:rPr>
          <w:rStyle w:val="Emphasis"/>
        </w:rPr>
        <w:t>Deep inside convolutional networks: Visualising image classification models and saliency maps</w:t>
      </w:r>
      <w:r>
        <w:t xml:space="preserve"> </w:t>
      </w:r>
      <w:r>
        <w:rPr>
          <w:rStyle w:val="text-token-text-primary"/>
        </w:rPr>
        <w:t>[Preprint]</w:t>
      </w:r>
      <w:r>
        <w:t xml:space="preserve">. arXiv. </w:t>
      </w:r>
      <w:hyperlink r:id="rId32" w:history="1">
        <w:r>
          <w:rPr>
            <w:rStyle w:val="Hyperlink"/>
          </w:rPr>
          <w:t>https://doi.org/10.48550/arXiv.1312.6034</w:t>
        </w:r>
      </w:hyperlink>
    </w:p>
    <w:p w14:paraId="5E1888D6" w14:textId="77777777" w:rsidR="00FC4AB2" w:rsidRDefault="00FC4AB2" w:rsidP="00FC4AB2">
      <w:pPr>
        <w:pStyle w:val="isselectedend"/>
        <w:ind w:left="540" w:hanging="540"/>
        <w:jc w:val="both"/>
      </w:pPr>
      <w:r>
        <w:t xml:space="preserve">Sokolov, I. (2024). On machine learning analysis of atomic force microscopy images for image classification, sample surface recognition. </w:t>
      </w:r>
      <w:r>
        <w:rPr>
          <w:rStyle w:val="Emphasis"/>
        </w:rPr>
        <w:t>Physical Chemistry Chemical Physics, 26</w:t>
      </w:r>
      <w:r>
        <w:t xml:space="preserve">(15), 11263–11270. </w:t>
      </w:r>
      <w:hyperlink r:id="rId33" w:history="1">
        <w:r>
          <w:rPr>
            <w:rStyle w:val="Hyperlink"/>
          </w:rPr>
          <w:t>https://doi.org/10.1039/D3CP05673B</w:t>
        </w:r>
      </w:hyperlink>
    </w:p>
    <w:p w14:paraId="6E466616" w14:textId="77777777" w:rsidR="00FC4AB2" w:rsidRDefault="00FC4AB2" w:rsidP="00FC4AB2">
      <w:pPr>
        <w:pStyle w:val="isselectedend"/>
        <w:ind w:left="540" w:hanging="540"/>
        <w:jc w:val="both"/>
      </w:pPr>
      <w:r>
        <w:t xml:space="preserve">van der Maaten, L., &amp; Hinton, G. (2008). Visualizing data using t-SNE. </w:t>
      </w:r>
      <w:r>
        <w:rPr>
          <w:rStyle w:val="Emphasis"/>
        </w:rPr>
        <w:t>Journal of Machine Learning Research, 9</w:t>
      </w:r>
      <w:r>
        <w:t xml:space="preserve">, 2579–2605. </w:t>
      </w:r>
      <w:hyperlink r:id="rId34" w:history="1">
        <w:r>
          <w:rPr>
            <w:rStyle w:val="Hyperlink"/>
          </w:rPr>
          <w:t>https://jmlr.org/papers/v9/vandermaaten08a.html</w:t>
        </w:r>
      </w:hyperlink>
    </w:p>
    <w:p w14:paraId="1DC74CDC" w14:textId="77777777" w:rsidR="00FC4AB2" w:rsidRDefault="00FC4AB2" w:rsidP="00FC4AB2">
      <w:pPr>
        <w:pStyle w:val="isselectedend"/>
        <w:ind w:left="540" w:hanging="540"/>
        <w:jc w:val="both"/>
      </w:pPr>
      <w:r>
        <w:t xml:space="preserve">Varma, S., &amp; Simon, R. (2006). Bias in error estimation when using cross-validation for model selection. </w:t>
      </w:r>
      <w:r>
        <w:rPr>
          <w:rStyle w:val="Emphasis"/>
        </w:rPr>
        <w:t>BMC Bioinformatics, 7</w:t>
      </w:r>
      <w:r>
        <w:t xml:space="preserve">, Article 91. </w:t>
      </w:r>
      <w:hyperlink r:id="rId35" w:history="1">
        <w:r>
          <w:rPr>
            <w:rStyle w:val="Hyperlink"/>
          </w:rPr>
          <w:t>https://doi.org/10.1186/1471-2105-7-91</w:t>
        </w:r>
      </w:hyperlink>
    </w:p>
    <w:p w14:paraId="01DC58EF" w14:textId="77777777" w:rsidR="00FC4AB2" w:rsidRDefault="00FC4AB2" w:rsidP="00FC4AB2">
      <w:pPr>
        <w:pStyle w:val="NormalWeb"/>
        <w:ind w:left="540" w:hanging="540"/>
        <w:jc w:val="both"/>
      </w:pPr>
      <w:r>
        <w:t xml:space="preserve">Varoquaux, G. (2018). Cross-validation failure: Small sample sizes lead to large error bars. </w:t>
      </w:r>
      <w:r>
        <w:rPr>
          <w:rStyle w:val="Emphasis"/>
        </w:rPr>
        <w:t>NeuroImage, 180</w:t>
      </w:r>
      <w:r>
        <w:t xml:space="preserve">, 68–77. </w:t>
      </w:r>
      <w:hyperlink r:id="rId36" w:history="1">
        <w:r>
          <w:rPr>
            <w:rStyle w:val="Hyperlink"/>
          </w:rPr>
          <w:t>https://doi.org/10.1016/j.neuroimage.2017.06.061</w:t>
        </w:r>
      </w:hyperlink>
    </w:p>
    <w:p w14:paraId="5224A622" w14:textId="1AA55502" w:rsidR="0012464B" w:rsidRDefault="0012464B" w:rsidP="00FC4AB2">
      <w:pPr>
        <w:ind w:left="720" w:hanging="720"/>
      </w:pPr>
    </w:p>
    <w:sectPr w:rsidR="0012464B" w:rsidSect="0003461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FE2FF" w14:textId="77777777" w:rsidR="00CB2E17" w:rsidRDefault="00CB2E17" w:rsidP="00D07999">
      <w:pPr>
        <w:spacing w:after="0" w:line="240" w:lineRule="auto"/>
      </w:pPr>
      <w:r>
        <w:separator/>
      </w:r>
    </w:p>
  </w:endnote>
  <w:endnote w:type="continuationSeparator" w:id="0">
    <w:p w14:paraId="73C46C99" w14:textId="77777777" w:rsidR="00CB2E17" w:rsidRDefault="00CB2E17" w:rsidP="00D07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45DE" w14:textId="77777777" w:rsidR="00CB2E17" w:rsidRDefault="00CB2E17" w:rsidP="00D07999">
      <w:pPr>
        <w:spacing w:after="0" w:line="240" w:lineRule="auto"/>
      </w:pPr>
      <w:r>
        <w:separator/>
      </w:r>
    </w:p>
  </w:footnote>
  <w:footnote w:type="continuationSeparator" w:id="0">
    <w:p w14:paraId="7909C044" w14:textId="77777777" w:rsidR="00CB2E17" w:rsidRDefault="00CB2E17" w:rsidP="00D07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444725">
    <w:abstractNumId w:val="8"/>
  </w:num>
  <w:num w:numId="2" w16cid:durableId="1167135409">
    <w:abstractNumId w:val="6"/>
  </w:num>
  <w:num w:numId="3" w16cid:durableId="849876450">
    <w:abstractNumId w:val="5"/>
  </w:num>
  <w:num w:numId="4" w16cid:durableId="1101753663">
    <w:abstractNumId w:val="4"/>
  </w:num>
  <w:num w:numId="5" w16cid:durableId="1727797991">
    <w:abstractNumId w:val="7"/>
  </w:num>
  <w:num w:numId="6" w16cid:durableId="1069421374">
    <w:abstractNumId w:val="3"/>
  </w:num>
  <w:num w:numId="7" w16cid:durableId="2051605685">
    <w:abstractNumId w:val="2"/>
  </w:num>
  <w:num w:numId="8" w16cid:durableId="2082289944">
    <w:abstractNumId w:val="1"/>
  </w:num>
  <w:num w:numId="9" w16cid:durableId="30127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AxMDE2MrG0MDewNDVW0lEKTi0uzszPAykwrAUAmBPguCwAAAA="/>
  </w:docVars>
  <w:rsids>
    <w:rsidRoot w:val="00B47730"/>
    <w:rsid w:val="00034616"/>
    <w:rsid w:val="0006063C"/>
    <w:rsid w:val="0012464B"/>
    <w:rsid w:val="00136FBA"/>
    <w:rsid w:val="00140C55"/>
    <w:rsid w:val="0015074B"/>
    <w:rsid w:val="001570C9"/>
    <w:rsid w:val="0029639D"/>
    <w:rsid w:val="00326F90"/>
    <w:rsid w:val="0035392C"/>
    <w:rsid w:val="004C5A94"/>
    <w:rsid w:val="00583564"/>
    <w:rsid w:val="006121AB"/>
    <w:rsid w:val="006A1CD6"/>
    <w:rsid w:val="006F66D9"/>
    <w:rsid w:val="007717E9"/>
    <w:rsid w:val="007F1237"/>
    <w:rsid w:val="00854668"/>
    <w:rsid w:val="008B4C26"/>
    <w:rsid w:val="009E1626"/>
    <w:rsid w:val="00AA1D8D"/>
    <w:rsid w:val="00B47730"/>
    <w:rsid w:val="00CB0664"/>
    <w:rsid w:val="00CB2E17"/>
    <w:rsid w:val="00D07999"/>
    <w:rsid w:val="00D463A9"/>
    <w:rsid w:val="00DB0AF6"/>
    <w:rsid w:val="00E33DBB"/>
    <w:rsid w:val="00ED26FA"/>
    <w:rsid w:val="00FC4AB2"/>
    <w:rsid w:val="00FC693F"/>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D6406B"/>
  <w15:docId w15:val="{AFE78029-57F2-46B4-BFF4-523CF41A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FC4A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4AB2"/>
    <w:rPr>
      <w:color w:val="0000FF"/>
      <w:u w:val="single"/>
    </w:rPr>
  </w:style>
  <w:style w:type="character" w:customStyle="1" w:styleId="text-token-text-primary">
    <w:name w:val="text-token-text-primary"/>
    <w:basedOn w:val="DefaultParagraphFont"/>
    <w:rsid w:val="00FC4AB2"/>
  </w:style>
  <w:style w:type="paragraph" w:styleId="NormalWeb">
    <w:name w:val="Normal (Web)"/>
    <w:basedOn w:val="Normal"/>
    <w:uiPriority w:val="99"/>
    <w:semiHidden/>
    <w:unhideWhenUsed/>
    <w:rsid w:val="00FC4A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BF00994018" TargetMode="External"/><Relationship Id="rId18" Type="http://schemas.openxmlformats.org/officeDocument/2006/relationships/hyperlink" Target="https://doi.org/10.1002/9781118548387" TargetMode="External"/><Relationship Id="rId26" Type="http://schemas.openxmlformats.org/officeDocument/2006/relationships/hyperlink" Target="https://doi.org/10.1016/j.colsurfb.2009.01.017" TargetMode="External"/><Relationship Id="rId21" Type="http://schemas.openxmlformats.org/officeDocument/2006/relationships/hyperlink" Target="https://doi.org/10.1109/5.726791" TargetMode="External"/><Relationship Id="rId34" Type="http://schemas.openxmlformats.org/officeDocument/2006/relationships/hyperlink" Target="https://jmlr.org/papers/v9/vandermaaten08a.html" TargetMode="External"/><Relationship Id="rId7" Type="http://schemas.openxmlformats.org/officeDocument/2006/relationships/endnotes" Target="endnotes.xml"/><Relationship Id="rId12" Type="http://schemas.openxmlformats.org/officeDocument/2006/relationships/hyperlink" Target="https://doi.org/10.1088/2632-2153/acb5e0" TargetMode="External"/><Relationship Id="rId17" Type="http://schemas.openxmlformats.org/officeDocument/2006/relationships/hyperlink" Target="https://mitpress.mit.edu/9780262337373/deep-learning/" TargetMode="External"/><Relationship Id="rId25" Type="http://schemas.openxmlformats.org/officeDocument/2006/relationships/hyperlink" Target="https://koreascience.kr/article/ArticleFullRecord.jsp?cn=HHGHHL_2009_v47n4_395" TargetMode="External"/><Relationship Id="rId33" Type="http://schemas.openxmlformats.org/officeDocument/2006/relationships/hyperlink" Target="https://doi.org/10.1039/D3CP05673B"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214/aos/1013203451" TargetMode="External"/><Relationship Id="rId20" Type="http://schemas.openxmlformats.org/officeDocument/2006/relationships/hyperlink" Target="https://doi.org/10.3390/molecules28062742" TargetMode="External"/><Relationship Id="rId29" Type="http://schemas.openxmlformats.org/officeDocument/2006/relationships/hyperlink" Target="https://doi.org/10.1039/D4DD00215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surfrep.2005.08.003" TargetMode="External"/><Relationship Id="rId24" Type="http://schemas.openxmlformats.org/officeDocument/2006/relationships/hyperlink" Target="https://jmlr.org/papers/v11/ojala10a.html" TargetMode="External"/><Relationship Id="rId32" Type="http://schemas.openxmlformats.org/officeDocument/2006/relationships/hyperlink" Target="https://doi.org/10.48550/arXiv.1312.603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93/acprof:oso/9780199570454.001.0001" TargetMode="External"/><Relationship Id="rId23" Type="http://schemas.openxmlformats.org/officeDocument/2006/relationships/hyperlink" Target="https://doi.org/10.48550/arXiv.1802.03426" TargetMode="External"/><Relationship Id="rId28" Type="http://schemas.openxmlformats.org/officeDocument/2006/relationships/hyperlink" Target="https://doi.org/10.1016/j.colsurfb.2012.04.034" TargetMode="External"/><Relationship Id="rId36" Type="http://schemas.openxmlformats.org/officeDocument/2006/relationships/hyperlink" Target="https://doi.org/10.1016/j.neuroimage.2017.06.061" TargetMode="External"/><Relationship Id="rId10" Type="http://schemas.openxmlformats.org/officeDocument/2006/relationships/hyperlink" Target="https://doi.org/10.1023/A:1010933404324" TargetMode="External"/><Relationship Id="rId19" Type="http://schemas.openxmlformats.org/officeDocument/2006/relationships/hyperlink" Target="https://doi.org/10.1007/b98835" TargetMode="External"/><Relationship Id="rId31" Type="http://schemas.openxmlformats.org/officeDocument/2006/relationships/hyperlink" Target="https://doi.org/10.1007/s11263-019-01228-7" TargetMode="External"/><Relationship Id="rId4" Type="http://schemas.openxmlformats.org/officeDocument/2006/relationships/settings" Target="settings.xml"/><Relationship Id="rId9" Type="http://schemas.openxmlformats.org/officeDocument/2006/relationships/hyperlink" Target="https://doi.org/10.1007/978-0-387-45528-0" TargetMode="External"/><Relationship Id="rId14" Type="http://schemas.openxmlformats.org/officeDocument/2006/relationships/hyperlink" Target="https://doi.org/10.1021/acs.langmuir.3c03046" TargetMode="External"/><Relationship Id="rId22" Type="http://schemas.openxmlformats.org/officeDocument/2006/relationships/hyperlink" Target="https://proceedings.neurips.cc/paper_files/paper/2017/hash/8a20a8621978632d76c43dfd28b67767-Abstract.html" TargetMode="External"/><Relationship Id="rId27" Type="http://schemas.openxmlformats.org/officeDocument/2006/relationships/hyperlink" Target="https://doi.org/10.1016/j.colsurfb.2011.03.036" TargetMode="External"/><Relationship Id="rId30" Type="http://schemas.openxmlformats.org/officeDocument/2006/relationships/hyperlink" Target="https://doi.org/10.1145/2939672.2939778" TargetMode="External"/><Relationship Id="rId35" Type="http://schemas.openxmlformats.org/officeDocument/2006/relationships/hyperlink" Target="https://doi.org/10.1186/1471-2105-7-91" TargetMode="External"/><Relationship Id="rId8" Type="http://schemas.openxmlformats.org/officeDocument/2006/relationships/hyperlink" Target="https://doi.org/10.1021/acs.nanolett.4c0386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3982</Words>
  <Characters>22703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Editor-90</cp:lastModifiedBy>
  <cp:revision>10</cp:revision>
  <dcterms:created xsi:type="dcterms:W3CDTF">2013-12-23T23:15:00Z</dcterms:created>
  <dcterms:modified xsi:type="dcterms:W3CDTF">2026-07-18T13:28:00Z</dcterms:modified>
  <cp:category/>
</cp:coreProperties>
</file>