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5CAE" w14:textId="77777777" w:rsidR="00F12B46" w:rsidRPr="00213F66" w:rsidRDefault="00F12B46" w:rsidP="00F12B46">
      <w:pPr>
        <w:jc w:val="right"/>
        <w:rPr>
          <w:rFonts w:ascii="Arial" w:hAnsi="Arial" w:cs="Arial"/>
          <w:b/>
          <w:bCs/>
          <w:i/>
          <w:iCs/>
          <w:sz w:val="36"/>
          <w:szCs w:val="36"/>
          <w:u w:val="single"/>
        </w:rPr>
      </w:pPr>
      <w:r w:rsidRPr="00213F66">
        <w:rPr>
          <w:rFonts w:ascii="Arial" w:hAnsi="Arial" w:cs="Arial"/>
          <w:b/>
          <w:bCs/>
          <w:i/>
          <w:iCs/>
          <w:sz w:val="36"/>
          <w:szCs w:val="36"/>
          <w:u w:val="single"/>
        </w:rPr>
        <w:t>Original Research Article</w:t>
      </w:r>
    </w:p>
    <w:p w14:paraId="072C7A79" w14:textId="77777777" w:rsidR="004816A9" w:rsidRPr="00213F66" w:rsidRDefault="004816A9" w:rsidP="004816A9">
      <w:pPr>
        <w:jc w:val="right"/>
        <w:rPr>
          <w:rFonts w:ascii="Arial" w:hAnsi="Arial" w:cs="Arial"/>
          <w:b/>
          <w:sz w:val="36"/>
          <w:szCs w:val="36"/>
        </w:rPr>
      </w:pPr>
      <w:r w:rsidRPr="00213F66">
        <w:rPr>
          <w:rFonts w:ascii="Arial" w:hAnsi="Arial" w:cs="Arial"/>
          <w:b/>
          <w:sz w:val="36"/>
          <w:szCs w:val="36"/>
        </w:rPr>
        <w:t xml:space="preserve">Decoding the antimicrobial components of </w:t>
      </w:r>
      <w:r w:rsidRPr="00213F66">
        <w:rPr>
          <w:rFonts w:ascii="Arial" w:hAnsi="Arial" w:cs="Arial"/>
          <w:b/>
          <w:i/>
          <w:sz w:val="36"/>
          <w:szCs w:val="36"/>
        </w:rPr>
        <w:t>Mentha piperita</w:t>
      </w:r>
      <w:r w:rsidRPr="00213F66">
        <w:rPr>
          <w:rFonts w:ascii="Arial" w:hAnsi="Arial" w:cs="Arial"/>
          <w:b/>
          <w:sz w:val="36"/>
          <w:szCs w:val="36"/>
        </w:rPr>
        <w:t xml:space="preserve"> plant using chemical analysis and </w:t>
      </w:r>
      <w:r w:rsidR="00DB3646" w:rsidRPr="00213F66">
        <w:rPr>
          <w:rFonts w:ascii="Arial" w:hAnsi="Arial" w:cs="Arial"/>
          <w:b/>
          <w:color w:val="FF0000"/>
          <w:sz w:val="36"/>
          <w:szCs w:val="36"/>
        </w:rPr>
        <w:t>F</w:t>
      </w:r>
      <w:r w:rsidRPr="00213F66">
        <w:rPr>
          <w:rFonts w:ascii="Arial" w:hAnsi="Arial" w:cs="Arial"/>
          <w:b/>
          <w:bCs/>
          <w:color w:val="FF0000"/>
          <w:sz w:val="36"/>
          <w:szCs w:val="36"/>
        </w:rPr>
        <w:t xml:space="preserve">ourier </w:t>
      </w:r>
      <w:r w:rsidR="00DB3646" w:rsidRPr="00213F66">
        <w:rPr>
          <w:rFonts w:ascii="Arial" w:hAnsi="Arial" w:cs="Arial"/>
          <w:b/>
          <w:bCs/>
          <w:color w:val="FF0000"/>
          <w:sz w:val="36"/>
          <w:szCs w:val="36"/>
        </w:rPr>
        <w:t>T</w:t>
      </w:r>
      <w:r w:rsidRPr="00213F66">
        <w:rPr>
          <w:rFonts w:ascii="Arial" w:hAnsi="Arial" w:cs="Arial"/>
          <w:b/>
          <w:bCs/>
          <w:color w:val="FF0000"/>
          <w:sz w:val="36"/>
          <w:szCs w:val="36"/>
        </w:rPr>
        <w:t xml:space="preserve">ransform </w:t>
      </w:r>
      <w:r w:rsidR="00DB3646" w:rsidRPr="00213F66">
        <w:rPr>
          <w:rFonts w:ascii="Arial" w:hAnsi="Arial" w:cs="Arial"/>
          <w:b/>
          <w:bCs/>
          <w:color w:val="FF0000"/>
          <w:sz w:val="36"/>
          <w:szCs w:val="36"/>
        </w:rPr>
        <w:t>I</w:t>
      </w:r>
      <w:r w:rsidRPr="00213F66">
        <w:rPr>
          <w:rFonts w:ascii="Arial" w:hAnsi="Arial" w:cs="Arial"/>
          <w:b/>
          <w:bCs/>
          <w:color w:val="FF0000"/>
          <w:sz w:val="36"/>
          <w:szCs w:val="36"/>
        </w:rPr>
        <w:t>nfrared</w:t>
      </w:r>
      <w:r w:rsidRPr="00213F66">
        <w:rPr>
          <w:rFonts w:ascii="Arial" w:hAnsi="Arial" w:cs="Arial"/>
          <w:b/>
          <w:color w:val="FF0000"/>
          <w:sz w:val="36"/>
          <w:szCs w:val="36"/>
        </w:rPr>
        <w:t xml:space="preserve"> </w:t>
      </w:r>
      <w:r w:rsidR="00DB3646" w:rsidRPr="00213F66">
        <w:rPr>
          <w:rFonts w:ascii="Arial" w:hAnsi="Arial" w:cs="Arial"/>
          <w:b/>
          <w:color w:val="FF0000"/>
          <w:sz w:val="36"/>
          <w:szCs w:val="36"/>
        </w:rPr>
        <w:t>S</w:t>
      </w:r>
      <w:r w:rsidRPr="00213F66">
        <w:rPr>
          <w:rFonts w:ascii="Arial" w:hAnsi="Arial" w:cs="Arial"/>
          <w:b/>
          <w:color w:val="FF0000"/>
          <w:sz w:val="36"/>
          <w:szCs w:val="36"/>
        </w:rPr>
        <w:t xml:space="preserve">pectroscopy </w:t>
      </w:r>
    </w:p>
    <w:p w14:paraId="50631FCA" w14:textId="77777777" w:rsidR="00BD473A" w:rsidRPr="00213F66" w:rsidRDefault="00BD473A" w:rsidP="004816A9">
      <w:pPr>
        <w:spacing w:line="240" w:lineRule="auto"/>
        <w:jc w:val="right"/>
        <w:rPr>
          <w:rFonts w:ascii="Times New Roman" w:hAnsi="Times New Roman" w:cs="Times New Roman"/>
          <w:sz w:val="16"/>
          <w:szCs w:val="16"/>
        </w:rPr>
      </w:pPr>
    </w:p>
    <w:p w14:paraId="05C76C31" w14:textId="77777777" w:rsidR="004816A9" w:rsidRPr="00213F66" w:rsidRDefault="004816A9"/>
    <w:p w14:paraId="4E8E452E" w14:textId="77777777" w:rsidR="003D04B8" w:rsidRPr="00213F66" w:rsidRDefault="003D04B8" w:rsidP="003D04B8">
      <w:pPr>
        <w:spacing w:after="0" w:line="240" w:lineRule="auto"/>
        <w:jc w:val="both"/>
        <w:rPr>
          <w:rStyle w:val="Strong"/>
          <w:rFonts w:ascii="Arial" w:hAnsi="Arial" w:cs="Arial"/>
          <w:bCs w:val="0"/>
        </w:rPr>
      </w:pPr>
      <w:r w:rsidRPr="00213F66">
        <w:rPr>
          <w:rStyle w:val="Strong"/>
          <w:rFonts w:ascii="Arial" w:hAnsi="Arial" w:cs="Arial"/>
          <w:bCs w:val="0"/>
        </w:rPr>
        <w:t>ABSTRACT</w:t>
      </w:r>
    </w:p>
    <w:p w14:paraId="7CA7019A" w14:textId="77777777" w:rsidR="00ED6F0D" w:rsidRPr="00213F66" w:rsidRDefault="00ED6F0D" w:rsidP="003D04B8">
      <w:pPr>
        <w:spacing w:after="0" w:line="240" w:lineRule="auto"/>
        <w:jc w:val="both"/>
        <w:rPr>
          <w:rFonts w:ascii="Arial" w:hAnsi="Arial" w:cs="Arial"/>
        </w:rPr>
      </w:pPr>
    </w:p>
    <w:p w14:paraId="4300C416" w14:textId="77777777"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Aims:</w:t>
      </w:r>
      <w:r w:rsidRPr="00213F66">
        <w:rPr>
          <w:rFonts w:ascii="Arial" w:hAnsi="Arial" w:cs="Arial"/>
          <w:sz w:val="20"/>
          <w:szCs w:val="20"/>
        </w:rPr>
        <w:t xml:space="preserve"> This study investigated the antimicrobial phytochemicals present in </w:t>
      </w:r>
      <w:r w:rsidRPr="00213F66">
        <w:rPr>
          <w:rStyle w:val="Emphasis"/>
          <w:rFonts w:ascii="Arial" w:hAnsi="Arial" w:cs="Arial"/>
          <w:sz w:val="20"/>
          <w:szCs w:val="20"/>
        </w:rPr>
        <w:t>Mentha piperita</w:t>
      </w:r>
      <w:r w:rsidRPr="00213F66">
        <w:rPr>
          <w:rFonts w:ascii="Arial" w:hAnsi="Arial" w:cs="Arial"/>
          <w:sz w:val="20"/>
          <w:szCs w:val="20"/>
        </w:rPr>
        <w:t>, characterised their functional groups using Fourier transform infrared (FTIR) spectroscopy, and evaluated their antibacterial and antifungal activities against selected human pathogens.</w:t>
      </w:r>
    </w:p>
    <w:p w14:paraId="0F6F59AF" w14:textId="77777777"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Study Design:</w:t>
      </w:r>
      <w:r w:rsidRPr="00213F66">
        <w:rPr>
          <w:rFonts w:ascii="Arial" w:hAnsi="Arial" w:cs="Arial"/>
          <w:sz w:val="20"/>
          <w:szCs w:val="20"/>
        </w:rPr>
        <w:t xml:space="preserve"> Experimental laboratory-based phytochemical, spectroscopic, and antimicrobial study.</w:t>
      </w:r>
    </w:p>
    <w:p w14:paraId="3DD0524F" w14:textId="77777777"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Place and Duration of the Study:</w:t>
      </w:r>
      <w:r w:rsidRPr="00213F66">
        <w:rPr>
          <w:rFonts w:ascii="Arial" w:hAnsi="Arial" w:cs="Arial"/>
          <w:sz w:val="20"/>
          <w:szCs w:val="20"/>
        </w:rPr>
        <w:t xml:space="preserve"> The study was conducted in the Department of Chemistry, Akwa Ibom State University, Ikot </w:t>
      </w:r>
      <w:proofErr w:type="spellStart"/>
      <w:r w:rsidRPr="00213F66">
        <w:rPr>
          <w:rFonts w:ascii="Arial" w:hAnsi="Arial" w:cs="Arial"/>
          <w:sz w:val="20"/>
          <w:szCs w:val="20"/>
        </w:rPr>
        <w:t>Akpaden</w:t>
      </w:r>
      <w:proofErr w:type="spellEnd"/>
      <w:r w:rsidRPr="00213F66">
        <w:rPr>
          <w:rFonts w:ascii="Arial" w:hAnsi="Arial" w:cs="Arial"/>
          <w:sz w:val="20"/>
          <w:szCs w:val="20"/>
        </w:rPr>
        <w:t xml:space="preserve">, Nigeria. Fresh </w:t>
      </w:r>
      <w:r w:rsidRPr="00213F66">
        <w:rPr>
          <w:rStyle w:val="Emphasis"/>
          <w:rFonts w:ascii="Arial" w:hAnsi="Arial" w:cs="Arial"/>
          <w:sz w:val="20"/>
          <w:szCs w:val="20"/>
        </w:rPr>
        <w:t>Mentha piperita</w:t>
      </w:r>
      <w:r w:rsidRPr="00213F66">
        <w:rPr>
          <w:rFonts w:ascii="Arial" w:hAnsi="Arial" w:cs="Arial"/>
          <w:sz w:val="20"/>
          <w:szCs w:val="20"/>
        </w:rPr>
        <w:t xml:space="preserve"> samples were collected from Mkpok, </w:t>
      </w:r>
      <w:proofErr w:type="spellStart"/>
      <w:r w:rsidRPr="00213F66">
        <w:rPr>
          <w:rFonts w:ascii="Arial" w:hAnsi="Arial" w:cs="Arial"/>
          <w:sz w:val="20"/>
          <w:szCs w:val="20"/>
        </w:rPr>
        <w:t>Eket</w:t>
      </w:r>
      <w:proofErr w:type="spellEnd"/>
      <w:r w:rsidRPr="00213F66">
        <w:rPr>
          <w:rFonts w:ascii="Arial" w:hAnsi="Arial" w:cs="Arial"/>
          <w:sz w:val="20"/>
          <w:szCs w:val="20"/>
        </w:rPr>
        <w:t xml:space="preserve"> Local Government Area, Akwa Ibom State, between March and July 2025.</w:t>
      </w:r>
    </w:p>
    <w:p w14:paraId="7BF28254" w14:textId="77777777" w:rsidR="003D04B8" w:rsidRPr="00213F66" w:rsidRDefault="003D04B8" w:rsidP="00594A47">
      <w:pPr>
        <w:spacing w:line="240" w:lineRule="auto"/>
        <w:jc w:val="both"/>
        <w:rPr>
          <w:rFonts w:ascii="Arial" w:hAnsi="Arial" w:cs="Arial"/>
          <w:sz w:val="20"/>
          <w:szCs w:val="20"/>
        </w:rPr>
      </w:pPr>
      <w:r w:rsidRPr="00213F66">
        <w:rPr>
          <w:b/>
        </w:rPr>
        <w:t>Methodology:</w:t>
      </w:r>
      <w:r w:rsidRPr="00213F66">
        <w:t xml:space="preserve"> Ethanol extracts of fresh and dried leaves and stems were prepared by maceration. Qualitative and quantitative phytochemical analyses were performed using standard methods. Alkaloids, flavonoids, and cardiac glycosides were prepared and characterised using an Agilent Cary 630 FTIR Spectrometer in the range of 650 - 4000 cm⁻¹. The antimicrobial activities of the crude extract and isolated phytochemicals were evaluated against six bacterial (</w:t>
      </w:r>
      <w:r w:rsidRPr="00213F66">
        <w:rPr>
          <w:i/>
        </w:rPr>
        <w:t>Staphylococcus aureus</w:t>
      </w:r>
      <w:r w:rsidRPr="00213F66">
        <w:t xml:space="preserve">, </w:t>
      </w:r>
      <w:r w:rsidRPr="00213F66">
        <w:rPr>
          <w:i/>
        </w:rPr>
        <w:t>Pseudomonas aeruginosa</w:t>
      </w:r>
      <w:r w:rsidRPr="00213F66">
        <w:t xml:space="preserve">, </w:t>
      </w:r>
      <w:r w:rsidRPr="00213F66">
        <w:rPr>
          <w:i/>
        </w:rPr>
        <w:t>Vibrio cholerae</w:t>
      </w:r>
      <w:r w:rsidRPr="00213F66">
        <w:t xml:space="preserve">, </w:t>
      </w:r>
      <w:r w:rsidRPr="00213F66">
        <w:rPr>
          <w:i/>
        </w:rPr>
        <w:t>Salmonella</w:t>
      </w:r>
      <w:r w:rsidRPr="00213F66">
        <w:t xml:space="preserve"> spp., </w:t>
      </w:r>
      <w:r w:rsidRPr="00213F66">
        <w:rPr>
          <w:i/>
        </w:rPr>
        <w:t>Shigella</w:t>
      </w:r>
      <w:r w:rsidRPr="00213F66">
        <w:t xml:space="preserve"> spp., and </w:t>
      </w:r>
      <w:r w:rsidRPr="00213F66">
        <w:rPr>
          <w:i/>
        </w:rPr>
        <w:t>Escherichia coli</w:t>
      </w:r>
      <w:r w:rsidRPr="00213F66">
        <w:t>) and four fungal (</w:t>
      </w:r>
      <w:r w:rsidRPr="00213F66">
        <w:rPr>
          <w:i/>
        </w:rPr>
        <w:t>Candida albicans</w:t>
      </w:r>
      <w:r w:rsidRPr="00213F66">
        <w:t xml:space="preserve">, </w:t>
      </w:r>
      <w:r w:rsidRPr="00213F66">
        <w:rPr>
          <w:i/>
        </w:rPr>
        <w:t>Saccharomyces cerevisiae</w:t>
      </w:r>
      <w:r w:rsidRPr="00213F66">
        <w:t xml:space="preserve">, </w:t>
      </w:r>
      <w:r w:rsidRPr="00213F66">
        <w:rPr>
          <w:i/>
        </w:rPr>
        <w:t>Aspergillus flavus</w:t>
      </w:r>
      <w:r w:rsidRPr="00213F66">
        <w:t xml:space="preserve">, and </w:t>
      </w:r>
      <w:r w:rsidRPr="00213F66">
        <w:rPr>
          <w:i/>
        </w:rPr>
        <w:t>Aspergillus niger</w:t>
      </w:r>
      <w:r w:rsidRPr="00213F66">
        <w:t>) pathogens using the agar-well diffusion method, while minimum inhibitory concentrations (MICs) were determined by agar dilution.</w:t>
      </w:r>
    </w:p>
    <w:p w14:paraId="217EC45B" w14:textId="77777777"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Results:</w:t>
      </w:r>
      <w:r w:rsidRPr="00213F66">
        <w:rPr>
          <w:rFonts w:ascii="Arial" w:hAnsi="Arial" w:cs="Arial"/>
          <w:sz w:val="20"/>
          <w:szCs w:val="20"/>
        </w:rPr>
        <w:t xml:space="preserve"> The extracts contained alkaloids, flavonoids, tannins, </w:t>
      </w:r>
      <w:proofErr w:type="spellStart"/>
      <w:r w:rsidRPr="00213F66">
        <w:rPr>
          <w:rFonts w:ascii="Arial" w:hAnsi="Arial" w:cs="Arial"/>
          <w:sz w:val="20"/>
          <w:szCs w:val="20"/>
        </w:rPr>
        <w:t>phlobatannins</w:t>
      </w:r>
      <w:proofErr w:type="spellEnd"/>
      <w:r w:rsidRPr="00213F66">
        <w:rPr>
          <w:rFonts w:ascii="Arial" w:hAnsi="Arial" w:cs="Arial"/>
          <w:sz w:val="20"/>
          <w:szCs w:val="20"/>
        </w:rPr>
        <w:t xml:space="preserve">, cardiac glycosides, polyphenols, triterpenoids, steroids, and carbohydrates. Flavonoids (21.80 ± 2.40%) were the predominant phytochemicals, followed by cardiac glycosides (9.33 ± 1.71%) and alkaloids (4.47 ± 0.25%). FTIR spectra confirmed hydroxyl, carbonyl, amino, aromatic, and ether functional groups characteristic of bioactive compounds. The </w:t>
      </w:r>
      <w:r w:rsidR="004E7BB4" w:rsidRPr="00213F66">
        <w:rPr>
          <w:rFonts w:ascii="Arial" w:hAnsi="Arial" w:cs="Arial"/>
          <w:color w:val="FF0000"/>
          <w:sz w:val="20"/>
          <w:szCs w:val="20"/>
        </w:rPr>
        <w:t>prepared crude</w:t>
      </w:r>
      <w:r w:rsidR="004E7BB4" w:rsidRPr="00213F66">
        <w:rPr>
          <w:rFonts w:ascii="Arial" w:hAnsi="Arial" w:cs="Arial"/>
          <w:sz w:val="20"/>
          <w:szCs w:val="20"/>
        </w:rPr>
        <w:t xml:space="preserve"> </w:t>
      </w:r>
      <w:r w:rsidRPr="00213F66">
        <w:rPr>
          <w:rFonts w:ascii="Arial" w:hAnsi="Arial" w:cs="Arial"/>
          <w:sz w:val="20"/>
          <w:szCs w:val="20"/>
        </w:rPr>
        <w:t>phytochemicals exhibited broad-spectrum, concentration-dependent antimicrobial activity, with alkaloids showing the greatest antibacterial activity and cardiac glycosides exhibiting superior antifungal activity. MIC values ranged from 50 to 350 mg/</w:t>
      </w:r>
      <w:proofErr w:type="spellStart"/>
      <w:r w:rsidRPr="00213F66">
        <w:rPr>
          <w:rFonts w:ascii="Arial" w:hAnsi="Arial" w:cs="Arial"/>
          <w:sz w:val="20"/>
          <w:szCs w:val="20"/>
        </w:rPr>
        <w:t>mL.</w:t>
      </w:r>
      <w:proofErr w:type="spellEnd"/>
    </w:p>
    <w:p w14:paraId="173FAA02" w14:textId="77777777"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Conclusion:</w:t>
      </w:r>
      <w:r w:rsidRPr="00213F66">
        <w:rPr>
          <w:rFonts w:ascii="Arial" w:hAnsi="Arial" w:cs="Arial"/>
          <w:sz w:val="20"/>
          <w:szCs w:val="20"/>
        </w:rPr>
        <w:t xml:space="preserve"> </w:t>
      </w:r>
      <w:r w:rsidRPr="00213F66">
        <w:rPr>
          <w:rStyle w:val="Emphasis"/>
          <w:rFonts w:ascii="Arial" w:hAnsi="Arial" w:cs="Arial"/>
          <w:sz w:val="20"/>
          <w:szCs w:val="20"/>
        </w:rPr>
        <w:t>Mentha piperita</w:t>
      </w:r>
      <w:r w:rsidRPr="00213F66">
        <w:rPr>
          <w:rFonts w:ascii="Arial" w:hAnsi="Arial" w:cs="Arial"/>
          <w:sz w:val="20"/>
          <w:szCs w:val="20"/>
        </w:rPr>
        <w:t xml:space="preserve"> possesses abundant bioactive phytochemicals with significant antimicrobial potential. FTIR characterisation confirmed the structural features of the isolated compounds, while antimicrobial evaluation validated the plant's ethnomedicinal application. These findings highlight </w:t>
      </w:r>
      <w:r w:rsidRPr="00213F66">
        <w:rPr>
          <w:rStyle w:val="Emphasis"/>
          <w:rFonts w:ascii="Arial" w:hAnsi="Arial" w:cs="Arial"/>
          <w:sz w:val="20"/>
          <w:szCs w:val="20"/>
        </w:rPr>
        <w:t>M. piperita</w:t>
      </w:r>
      <w:r w:rsidRPr="00213F66">
        <w:rPr>
          <w:rFonts w:ascii="Arial" w:hAnsi="Arial" w:cs="Arial"/>
          <w:sz w:val="20"/>
          <w:szCs w:val="20"/>
        </w:rPr>
        <w:t xml:space="preserve"> as a promising, sustainable source of novel antimicrobial agents for combating antimicrobial resistance and advancing global health.</w:t>
      </w:r>
    </w:p>
    <w:p w14:paraId="0069C521" w14:textId="77777777" w:rsidR="003D04B8" w:rsidRPr="00213F66" w:rsidRDefault="003D04B8" w:rsidP="003D04B8">
      <w:pPr>
        <w:spacing w:after="0" w:line="240" w:lineRule="auto"/>
        <w:jc w:val="both"/>
        <w:rPr>
          <w:rFonts w:ascii="Arial" w:hAnsi="Arial" w:cs="Arial"/>
          <w:sz w:val="20"/>
          <w:szCs w:val="20"/>
        </w:rPr>
      </w:pPr>
    </w:p>
    <w:p w14:paraId="74BC3184" w14:textId="7C7427D3" w:rsidR="003D04B8" w:rsidRPr="00213F66" w:rsidRDefault="003D04B8" w:rsidP="003D04B8">
      <w:pPr>
        <w:spacing w:after="0" w:line="240" w:lineRule="auto"/>
        <w:jc w:val="both"/>
        <w:rPr>
          <w:rFonts w:ascii="Arial" w:hAnsi="Arial" w:cs="Arial"/>
          <w:sz w:val="20"/>
          <w:szCs w:val="20"/>
        </w:rPr>
      </w:pPr>
      <w:r w:rsidRPr="00213F66">
        <w:rPr>
          <w:rStyle w:val="Strong"/>
          <w:rFonts w:ascii="Arial" w:hAnsi="Arial" w:cs="Arial"/>
          <w:sz w:val="20"/>
          <w:szCs w:val="20"/>
        </w:rPr>
        <w:t>Keywords:</w:t>
      </w:r>
      <w:r w:rsidRPr="00213F66">
        <w:rPr>
          <w:rFonts w:ascii="Arial" w:hAnsi="Arial" w:cs="Arial"/>
          <w:sz w:val="20"/>
          <w:szCs w:val="20"/>
        </w:rPr>
        <w:t xml:space="preserve"> </w:t>
      </w:r>
      <w:r w:rsidR="00ED6F0D" w:rsidRPr="00213F66">
        <w:rPr>
          <w:rStyle w:val="Emphasis"/>
        </w:rPr>
        <w:t>Mentha piperita</w:t>
      </w:r>
      <w:r w:rsidR="00ED6F0D" w:rsidRPr="00213F66">
        <w:t>; phytochemical screening; antimicrobial activity; antimicrobial resistance; Fourier transform infrared spectroscopy; alkaloids; flavonoids; cardiac glycosides; minimum inhibitory concentration; ethanol extract; antibacterial activity; antifungal activity.</w:t>
      </w:r>
    </w:p>
    <w:p w14:paraId="72C48D70" w14:textId="77777777" w:rsidR="003D04B8" w:rsidRPr="00213F66" w:rsidRDefault="003D04B8" w:rsidP="003930BD">
      <w:pPr>
        <w:jc w:val="both"/>
        <w:rPr>
          <w:rFonts w:ascii="Arial" w:hAnsi="Arial" w:cs="Arial"/>
          <w:b/>
        </w:rPr>
      </w:pPr>
    </w:p>
    <w:p w14:paraId="7972ECE8" w14:textId="77777777" w:rsidR="003930BD" w:rsidRPr="00213F66" w:rsidRDefault="00DE5EE9" w:rsidP="003930BD">
      <w:pPr>
        <w:jc w:val="both"/>
        <w:rPr>
          <w:rFonts w:ascii="Arial" w:hAnsi="Arial" w:cs="Arial"/>
          <w:b/>
        </w:rPr>
      </w:pPr>
      <w:r w:rsidRPr="00213F66">
        <w:rPr>
          <w:rFonts w:ascii="Arial" w:hAnsi="Arial" w:cs="Arial"/>
          <w:b/>
        </w:rPr>
        <w:t xml:space="preserve">1. </w:t>
      </w:r>
      <w:r w:rsidR="00AB6CC8" w:rsidRPr="00213F66">
        <w:rPr>
          <w:rFonts w:ascii="Arial" w:hAnsi="Arial" w:cs="Arial"/>
          <w:b/>
        </w:rPr>
        <w:t>INTRODUCTION</w:t>
      </w:r>
    </w:p>
    <w:p w14:paraId="48F77DC9"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 xml:space="preserve">Medicinal plants have remained one of the most important sources of therapeutic agents throughout human history and continue to play a vital role in modern drug discovery. Extensive phytochemical and </w:t>
      </w:r>
      <w:r w:rsidRPr="00213F66">
        <w:rPr>
          <w:rFonts w:ascii="Arial" w:hAnsi="Arial" w:cs="Arial"/>
          <w:sz w:val="20"/>
          <w:szCs w:val="20"/>
        </w:rPr>
        <w:lastRenderedPageBreak/>
        <w:t xml:space="preserve">pharmacological investigations have demonstrated that numerous plant species possess broad-spectrum antimicrobial activities attributable to their diverse secondary metabolites </w:t>
      </w:r>
      <w:r w:rsidRPr="00213F66">
        <w:rPr>
          <w:rFonts w:ascii="Arial" w:hAnsi="Arial" w:cs="Arial"/>
          <w:color w:val="FF0000"/>
          <w:sz w:val="20"/>
          <w:szCs w:val="20"/>
        </w:rPr>
        <w:t>(</w:t>
      </w:r>
      <w:r w:rsidR="00AE252A" w:rsidRPr="00213F66">
        <w:rPr>
          <w:rFonts w:ascii="Arial" w:hAnsi="Arial" w:cs="Arial"/>
          <w:color w:val="FF0000"/>
          <w:sz w:val="20"/>
          <w:szCs w:val="20"/>
        </w:rPr>
        <w:t xml:space="preserve">Adedayo </w:t>
      </w:r>
      <w:r w:rsidR="00AE252A" w:rsidRPr="00213F66">
        <w:rPr>
          <w:rFonts w:ascii="Arial" w:hAnsi="Arial" w:cs="Arial"/>
          <w:i/>
          <w:color w:val="FF0000"/>
          <w:sz w:val="20"/>
          <w:szCs w:val="20"/>
        </w:rPr>
        <w:t>et al</w:t>
      </w:r>
      <w:r w:rsidR="00AE252A" w:rsidRPr="00213F66">
        <w:rPr>
          <w:rFonts w:ascii="Arial" w:hAnsi="Arial" w:cs="Arial"/>
          <w:color w:val="FF0000"/>
          <w:sz w:val="20"/>
          <w:szCs w:val="20"/>
        </w:rPr>
        <w:t xml:space="preserve">., 2001; Perumal </w:t>
      </w:r>
      <w:r w:rsidR="00E3007E" w:rsidRPr="00213F66">
        <w:rPr>
          <w:rFonts w:ascii="Arial" w:hAnsi="Arial" w:cs="Arial"/>
          <w:color w:val="FF0000"/>
          <w:sz w:val="20"/>
          <w:szCs w:val="20"/>
        </w:rPr>
        <w:t xml:space="preserve">Samy </w:t>
      </w:r>
      <w:r w:rsidR="00AE252A" w:rsidRPr="00213F66">
        <w:rPr>
          <w:rFonts w:ascii="Arial" w:hAnsi="Arial" w:cs="Arial"/>
          <w:color w:val="FF0000"/>
          <w:sz w:val="20"/>
          <w:szCs w:val="20"/>
        </w:rPr>
        <w:t xml:space="preserve">&amp; </w:t>
      </w:r>
      <w:proofErr w:type="spellStart"/>
      <w:r w:rsidR="00AE252A" w:rsidRPr="00213F66">
        <w:rPr>
          <w:rFonts w:ascii="Arial" w:hAnsi="Arial" w:cs="Arial"/>
          <w:color w:val="FF0000"/>
          <w:sz w:val="20"/>
          <w:szCs w:val="20"/>
        </w:rPr>
        <w:t>Ignacimuthu</w:t>
      </w:r>
      <w:proofErr w:type="spellEnd"/>
      <w:r w:rsidR="00AE252A" w:rsidRPr="00213F66">
        <w:rPr>
          <w:rFonts w:ascii="Arial" w:hAnsi="Arial" w:cs="Arial"/>
          <w:color w:val="FF0000"/>
          <w:sz w:val="20"/>
          <w:szCs w:val="20"/>
        </w:rPr>
        <w:t xml:space="preserve">, 2001; Sharma </w:t>
      </w:r>
      <w:r w:rsidR="00AE252A" w:rsidRPr="00213F66">
        <w:rPr>
          <w:rFonts w:ascii="Arial" w:hAnsi="Arial" w:cs="Arial"/>
          <w:i/>
          <w:color w:val="FF0000"/>
          <w:sz w:val="20"/>
          <w:szCs w:val="20"/>
        </w:rPr>
        <w:t>et al</w:t>
      </w:r>
      <w:r w:rsidR="00AE252A" w:rsidRPr="00213F66">
        <w:rPr>
          <w:rFonts w:ascii="Arial" w:hAnsi="Arial" w:cs="Arial"/>
          <w:color w:val="FF0000"/>
          <w:sz w:val="20"/>
          <w:szCs w:val="20"/>
        </w:rPr>
        <w:t xml:space="preserve">., 2013; Akpan </w:t>
      </w:r>
      <w:r w:rsidR="00AE252A" w:rsidRPr="00213F66">
        <w:rPr>
          <w:rFonts w:ascii="Arial" w:hAnsi="Arial" w:cs="Arial"/>
          <w:i/>
          <w:color w:val="FF0000"/>
          <w:sz w:val="20"/>
          <w:szCs w:val="20"/>
        </w:rPr>
        <w:t>et al</w:t>
      </w:r>
      <w:r w:rsidR="00AE252A" w:rsidRPr="00213F66">
        <w:rPr>
          <w:rFonts w:ascii="Arial" w:hAnsi="Arial" w:cs="Arial"/>
          <w:color w:val="FF0000"/>
          <w:sz w:val="20"/>
          <w:szCs w:val="20"/>
        </w:rPr>
        <w:t xml:space="preserve">., 2016;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xml:space="preserve">., 2017; </w:t>
      </w:r>
      <w:proofErr w:type="spellStart"/>
      <w:r w:rsidRPr="00213F66">
        <w:rPr>
          <w:rFonts w:ascii="Arial" w:hAnsi="Arial" w:cs="Arial"/>
          <w:color w:val="FF0000"/>
          <w:sz w:val="20"/>
          <w:szCs w:val="20"/>
        </w:rPr>
        <w:t>Oladejobi</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2022)</w:t>
      </w:r>
      <w:r w:rsidRPr="00213F66">
        <w:rPr>
          <w:rFonts w:ascii="Arial" w:hAnsi="Arial" w:cs="Arial"/>
          <w:sz w:val="20"/>
          <w:szCs w:val="20"/>
        </w:rPr>
        <w:t>. These findings have renewed scientific interest in medicinal plants as sustainable sources of novel antimicrobial compounds capable of addressing emerging infectious diseases and antimicrobial resistance.</w:t>
      </w:r>
    </w:p>
    <w:p w14:paraId="59A16B73"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 xml:space="preserve">Plants synthesise a wide range of secondary metabolites primarily as defence mechanisms against microbial pathogens, insects, herbivores and other environmental stresses (Lichterman, 2004). These phytochemicals, including alkaloids, flavonoids, phenolics, tannins, glycosides, terpenoids and saponins, exhibit numerous biological activities such as antibacterial, antifungal, antiviral, antioxidant, anti-inflammatory, anticancer and cardioprotective effects (Edeoga </w:t>
      </w:r>
      <w:r w:rsidRPr="00213F66">
        <w:rPr>
          <w:rFonts w:ascii="Arial" w:hAnsi="Arial" w:cs="Arial"/>
          <w:i/>
          <w:color w:val="FF0000"/>
          <w:sz w:val="20"/>
          <w:szCs w:val="20"/>
        </w:rPr>
        <w:t>et al</w:t>
      </w:r>
      <w:r w:rsidRPr="00213F66">
        <w:rPr>
          <w:rFonts w:ascii="Arial" w:hAnsi="Arial" w:cs="Arial"/>
          <w:sz w:val="20"/>
          <w:szCs w:val="20"/>
        </w:rPr>
        <w:t xml:space="preserve">., 2005; Rangari, 2012). Beyond their ecological functions, these metabolites have become indispensable resources for pharmaceutical development because many modern drugs are either directly derived from plants or synthesised from naturally occurring lead compounds (Akpan </w:t>
      </w:r>
      <w:r w:rsidRPr="00213F66">
        <w:rPr>
          <w:rFonts w:ascii="Arial" w:hAnsi="Arial" w:cs="Arial"/>
          <w:i/>
          <w:color w:val="FF0000"/>
          <w:sz w:val="20"/>
          <w:szCs w:val="20"/>
        </w:rPr>
        <w:t>et al</w:t>
      </w:r>
      <w:r w:rsidRPr="00213F66">
        <w:rPr>
          <w:rFonts w:ascii="Arial" w:hAnsi="Arial" w:cs="Arial"/>
          <w:color w:val="FF0000"/>
          <w:sz w:val="20"/>
          <w:szCs w:val="20"/>
        </w:rPr>
        <w:t>.</w:t>
      </w:r>
      <w:r w:rsidRPr="00213F66">
        <w:rPr>
          <w:rFonts w:ascii="Arial" w:hAnsi="Arial" w:cs="Arial"/>
          <w:sz w:val="20"/>
          <w:szCs w:val="20"/>
        </w:rPr>
        <w:t>, 2021).</w:t>
      </w:r>
    </w:p>
    <w:p w14:paraId="20A3F60B"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The increasing prevalence of antimicrobial resistance (AMR) has become one of the greatest threats to global public health. The indiscriminate use and misuse of antibiotics have accelerated the emergence of resistant bacterial strains, thereby reducing the effectiveness of conventional antimicrobial therapies (</w:t>
      </w:r>
      <w:r w:rsidRPr="00213F66">
        <w:rPr>
          <w:rFonts w:ascii="Arial" w:hAnsi="Arial" w:cs="Arial"/>
          <w:color w:val="FF0000"/>
          <w:sz w:val="20"/>
          <w:szCs w:val="20"/>
        </w:rPr>
        <w:t xml:space="preserve">Williams, 2000; Aibinu </w:t>
      </w:r>
      <w:r w:rsidRPr="00213F66">
        <w:rPr>
          <w:rFonts w:ascii="Arial" w:hAnsi="Arial" w:cs="Arial"/>
          <w:i/>
          <w:color w:val="FF0000"/>
          <w:sz w:val="20"/>
          <w:szCs w:val="20"/>
        </w:rPr>
        <w:t>et al</w:t>
      </w:r>
      <w:r w:rsidRPr="00213F66">
        <w:rPr>
          <w:rFonts w:ascii="Arial" w:hAnsi="Arial" w:cs="Arial"/>
          <w:color w:val="FF0000"/>
          <w:sz w:val="20"/>
          <w:szCs w:val="20"/>
        </w:rPr>
        <w:t xml:space="preserve">., 2003; Aibinu </w:t>
      </w:r>
      <w:r w:rsidRPr="00213F66">
        <w:rPr>
          <w:rFonts w:ascii="Arial" w:hAnsi="Arial" w:cs="Arial"/>
          <w:i/>
          <w:color w:val="FF0000"/>
          <w:sz w:val="20"/>
          <w:szCs w:val="20"/>
        </w:rPr>
        <w:t>et al</w:t>
      </w:r>
      <w:r w:rsidRPr="00213F66">
        <w:rPr>
          <w:rFonts w:ascii="Arial" w:hAnsi="Arial" w:cs="Arial"/>
          <w:color w:val="FF0000"/>
          <w:sz w:val="20"/>
          <w:szCs w:val="20"/>
        </w:rPr>
        <w:t>., 2004</w:t>
      </w:r>
      <w:r w:rsidRPr="00213F66">
        <w:rPr>
          <w:rFonts w:ascii="Arial" w:hAnsi="Arial" w:cs="Arial"/>
          <w:sz w:val="20"/>
          <w:szCs w:val="20"/>
        </w:rPr>
        <w:t>). Consequently, infectious diseases that were once easily managed are becoming increasingly difficult and expensive to treat. The World Health Organization (2002, 2014) has consistently emphasised the urgent need for the discovery of new, safe and affordable antimicrobial agents, particularly those originating from medicinal plants. Traditional medicine therefore continues to attract considerable scientific attention as an alternative and complementary source of bioactive compounds with reduced toxicity, improved accessibility and lower susceptibility to resistance development (Longe, 2005).</w:t>
      </w:r>
    </w:p>
    <w:p w14:paraId="4D22C09D"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 xml:space="preserve">Among the medicinal plants attracting increasing research interest is </w:t>
      </w:r>
      <w:r w:rsidRPr="00213F66">
        <w:rPr>
          <w:rStyle w:val="Emphasis"/>
          <w:rFonts w:ascii="Arial" w:hAnsi="Arial" w:cs="Arial"/>
          <w:sz w:val="20"/>
          <w:szCs w:val="20"/>
        </w:rPr>
        <w:t>Mentha piperita</w:t>
      </w:r>
      <w:r w:rsidRPr="00213F66">
        <w:rPr>
          <w:rFonts w:ascii="Arial" w:hAnsi="Arial" w:cs="Arial"/>
          <w:sz w:val="20"/>
          <w:szCs w:val="20"/>
        </w:rPr>
        <w:t xml:space="preserve"> L. (peppermint), a perennial aromatic herb belonging to the family Lamiaceae. The plant is a natural hybrid of </w:t>
      </w:r>
      <w:r w:rsidRPr="00213F66">
        <w:rPr>
          <w:rStyle w:val="Emphasis"/>
          <w:rFonts w:ascii="Arial" w:hAnsi="Arial" w:cs="Arial"/>
          <w:sz w:val="20"/>
          <w:szCs w:val="20"/>
        </w:rPr>
        <w:t>Mentha aquatica</w:t>
      </w:r>
      <w:r w:rsidRPr="00213F66">
        <w:rPr>
          <w:rFonts w:ascii="Arial" w:hAnsi="Arial" w:cs="Arial"/>
          <w:sz w:val="20"/>
          <w:szCs w:val="20"/>
        </w:rPr>
        <w:t xml:space="preserve"> (water mint) and </w:t>
      </w:r>
      <w:r w:rsidRPr="00213F66">
        <w:rPr>
          <w:rStyle w:val="Emphasis"/>
          <w:rFonts w:ascii="Arial" w:hAnsi="Arial" w:cs="Arial"/>
          <w:sz w:val="20"/>
          <w:szCs w:val="20"/>
        </w:rPr>
        <w:t>Mentha spicata</w:t>
      </w:r>
      <w:r w:rsidRPr="00213F66">
        <w:rPr>
          <w:rFonts w:ascii="Arial" w:hAnsi="Arial" w:cs="Arial"/>
          <w:sz w:val="20"/>
          <w:szCs w:val="20"/>
        </w:rPr>
        <w:t xml:space="preserve"> (spearmint) and is widely cultivated throughout Europe, Asia, Africa and the Americas (Trevisan </w:t>
      </w:r>
      <w:r w:rsidRPr="00213F66">
        <w:rPr>
          <w:rFonts w:ascii="Arial" w:hAnsi="Arial" w:cs="Arial"/>
          <w:i/>
          <w:color w:val="FF0000"/>
          <w:sz w:val="20"/>
          <w:szCs w:val="20"/>
        </w:rPr>
        <w:t>et al</w:t>
      </w:r>
      <w:r w:rsidRPr="00213F66">
        <w:rPr>
          <w:rFonts w:ascii="Arial" w:hAnsi="Arial" w:cs="Arial"/>
          <w:sz w:val="20"/>
          <w:szCs w:val="20"/>
        </w:rPr>
        <w:t xml:space="preserve">., 2017). </w:t>
      </w:r>
      <w:r w:rsidRPr="00213F66">
        <w:rPr>
          <w:rStyle w:val="Emphasis"/>
          <w:rFonts w:ascii="Arial" w:hAnsi="Arial" w:cs="Arial"/>
          <w:sz w:val="20"/>
          <w:szCs w:val="20"/>
        </w:rPr>
        <w:t>Mentha piperita</w:t>
      </w:r>
      <w:r w:rsidRPr="00213F66">
        <w:rPr>
          <w:rFonts w:ascii="Arial" w:hAnsi="Arial" w:cs="Arial"/>
          <w:sz w:val="20"/>
          <w:szCs w:val="20"/>
        </w:rPr>
        <w:t xml:space="preserve"> is characterised by smooth square stems, serrated aromatic leaves and purple flowers arranged in terminal spikes. The essential oils and phytochemical constituents of peppermint have been extensively utilized in traditional medicine for the treatment of gastrointestinal disorders, respiratory infections, headaches, inflammatory conditions and microbial infections (Trevisan </w:t>
      </w:r>
      <w:r w:rsidRPr="00213F66">
        <w:rPr>
          <w:rFonts w:ascii="Arial" w:hAnsi="Arial" w:cs="Arial"/>
          <w:i/>
          <w:color w:val="FF0000"/>
          <w:sz w:val="20"/>
          <w:szCs w:val="20"/>
        </w:rPr>
        <w:t>et al</w:t>
      </w:r>
      <w:r w:rsidRPr="00213F66">
        <w:rPr>
          <w:rFonts w:ascii="Arial" w:hAnsi="Arial" w:cs="Arial"/>
          <w:sz w:val="20"/>
          <w:szCs w:val="20"/>
        </w:rPr>
        <w:t>., 2017).</w:t>
      </w:r>
    </w:p>
    <w:p w14:paraId="49441EDA" w14:textId="77777777" w:rsidR="00A8621F" w:rsidRPr="00213F66" w:rsidRDefault="00000000">
      <w:pPr>
        <w:jc w:val="both"/>
      </w:pPr>
      <w:r w:rsidRPr="00213F66">
        <w:rPr>
          <w:b/>
        </w:rPr>
        <w:t xml:space="preserve">Recent reviews and analytical studies further indicate that </w:t>
      </w:r>
      <w:r w:rsidRPr="00213F66">
        <w:rPr>
          <w:b/>
          <w:i/>
        </w:rPr>
        <w:t>M. piperita</w:t>
      </w:r>
      <w:r w:rsidRPr="00213F66">
        <w:rPr>
          <w:b/>
        </w:rPr>
        <w:t xml:space="preserve"> extracts and essential oil contain bioactive phenolic and terpenoid constituents, and that extraction method may influence their antimicrobial and antioxidant outcomes (Hudz et al., 2023; Abbas et al., 2024).</w:t>
      </w:r>
    </w:p>
    <w:p w14:paraId="5560668A"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 xml:space="preserve">Numerous pharmacological studies have validated the ethnomedicinal importance of </w:t>
      </w:r>
      <w:r w:rsidRPr="00213F66">
        <w:rPr>
          <w:rStyle w:val="Emphasis"/>
          <w:rFonts w:ascii="Arial" w:hAnsi="Arial" w:cs="Arial"/>
          <w:sz w:val="20"/>
          <w:szCs w:val="20"/>
        </w:rPr>
        <w:t>M. piperita</w:t>
      </w:r>
      <w:r w:rsidRPr="00213F66">
        <w:rPr>
          <w:rFonts w:ascii="Arial" w:hAnsi="Arial" w:cs="Arial"/>
          <w:sz w:val="20"/>
          <w:szCs w:val="20"/>
        </w:rPr>
        <w:t xml:space="preserve">, demonstrating its antibacterial, antifungal, antiviral, antioxidant, anti-inflammatory, antidiabetic, anti-tumour, wound-healing, anthelmintic and anti-ageing properties (Trevisan </w:t>
      </w:r>
      <w:r w:rsidRPr="00213F66">
        <w:rPr>
          <w:rFonts w:ascii="Arial" w:hAnsi="Arial" w:cs="Arial"/>
          <w:i/>
          <w:color w:val="FF0000"/>
          <w:sz w:val="20"/>
          <w:szCs w:val="20"/>
        </w:rPr>
        <w:t>et al</w:t>
      </w:r>
      <w:r w:rsidRPr="00213F66">
        <w:rPr>
          <w:rFonts w:ascii="Arial" w:hAnsi="Arial" w:cs="Arial"/>
          <w:sz w:val="20"/>
          <w:szCs w:val="20"/>
        </w:rPr>
        <w:t xml:space="preserve">., 2017). These biological activities are largely attributed to the plant's rich phytochemical composition, particularly its phenolic compounds, flavonoids, terpenoids and essential oils, which exhibit remarkable antimicrobial activities against a broad spectrum of pathogenic microorganisms (Akpan </w:t>
      </w:r>
      <w:r w:rsidRPr="00213F66">
        <w:rPr>
          <w:rFonts w:ascii="Arial" w:hAnsi="Arial" w:cs="Arial"/>
          <w:i/>
          <w:color w:val="FF0000"/>
          <w:sz w:val="20"/>
          <w:szCs w:val="20"/>
        </w:rPr>
        <w:t>et al</w:t>
      </w:r>
      <w:r w:rsidRPr="00213F66">
        <w:rPr>
          <w:rFonts w:ascii="Arial" w:hAnsi="Arial" w:cs="Arial"/>
          <w:sz w:val="20"/>
          <w:szCs w:val="20"/>
        </w:rPr>
        <w:t xml:space="preserve">., 2017; Adedayo </w:t>
      </w:r>
      <w:r w:rsidRPr="00213F66">
        <w:rPr>
          <w:rFonts w:ascii="Arial" w:hAnsi="Arial" w:cs="Arial"/>
          <w:i/>
          <w:color w:val="FF0000"/>
          <w:sz w:val="20"/>
          <w:szCs w:val="20"/>
        </w:rPr>
        <w:t>et al</w:t>
      </w:r>
      <w:r w:rsidRPr="00213F66">
        <w:rPr>
          <w:rFonts w:ascii="Arial" w:hAnsi="Arial" w:cs="Arial"/>
          <w:sz w:val="20"/>
          <w:szCs w:val="20"/>
        </w:rPr>
        <w:t>., 2001; Perumal</w:t>
      </w:r>
      <w:r w:rsidRPr="00213F66">
        <w:t xml:space="preserve"> </w:t>
      </w:r>
      <w:r w:rsidRPr="00213F66">
        <w:rPr>
          <w:rFonts w:ascii="Arial" w:hAnsi="Arial" w:cs="Arial"/>
          <w:sz w:val="20"/>
          <w:szCs w:val="20"/>
        </w:rPr>
        <w:t xml:space="preserve">Samy &amp; Ignacimuthu, 2001; Sharma </w:t>
      </w:r>
      <w:r w:rsidRPr="00213F66">
        <w:rPr>
          <w:rFonts w:ascii="Arial" w:hAnsi="Arial" w:cs="Arial"/>
          <w:i/>
          <w:color w:val="FF0000"/>
          <w:sz w:val="20"/>
          <w:szCs w:val="20"/>
        </w:rPr>
        <w:t>et al</w:t>
      </w:r>
      <w:r w:rsidRPr="00213F66">
        <w:rPr>
          <w:rFonts w:ascii="Arial" w:hAnsi="Arial" w:cs="Arial"/>
          <w:sz w:val="20"/>
          <w:szCs w:val="20"/>
        </w:rPr>
        <w:t xml:space="preserve">., 2013; Oladejobi </w:t>
      </w:r>
      <w:r w:rsidRPr="00213F66">
        <w:rPr>
          <w:rFonts w:ascii="Arial" w:hAnsi="Arial" w:cs="Arial"/>
          <w:i/>
          <w:color w:val="FF0000"/>
          <w:sz w:val="20"/>
          <w:szCs w:val="20"/>
        </w:rPr>
        <w:t>et al</w:t>
      </w:r>
      <w:r w:rsidRPr="00213F66">
        <w:rPr>
          <w:rFonts w:ascii="Arial" w:hAnsi="Arial" w:cs="Arial"/>
          <w:sz w:val="20"/>
          <w:szCs w:val="20"/>
        </w:rPr>
        <w:t xml:space="preserve">., 2022). Such findings suggest that </w:t>
      </w:r>
      <w:r w:rsidRPr="00213F66">
        <w:rPr>
          <w:rStyle w:val="Emphasis"/>
          <w:rFonts w:ascii="Arial" w:hAnsi="Arial" w:cs="Arial"/>
          <w:sz w:val="20"/>
          <w:szCs w:val="20"/>
        </w:rPr>
        <w:t>M. piperita</w:t>
      </w:r>
      <w:r w:rsidRPr="00213F66">
        <w:rPr>
          <w:rFonts w:ascii="Arial" w:hAnsi="Arial" w:cs="Arial"/>
          <w:sz w:val="20"/>
          <w:szCs w:val="20"/>
        </w:rPr>
        <w:t xml:space="preserve"> represents a valuable reservoir of naturally occurring antimicrobial compounds with significant pharmaceutical potential.</w:t>
      </w:r>
    </w:p>
    <w:p w14:paraId="6E4A91B3" w14:textId="77777777" w:rsidR="00A8621F" w:rsidRPr="00213F66" w:rsidRDefault="00000000">
      <w:pPr>
        <w:jc w:val="both"/>
      </w:pPr>
      <w:r w:rsidRPr="00213F66">
        <w:rPr>
          <w:b/>
        </w:rPr>
        <w:t xml:space="preserve">Recent solvent-comparison work in another </w:t>
      </w:r>
      <w:r w:rsidRPr="00213F66">
        <w:rPr>
          <w:b/>
          <w:i/>
        </w:rPr>
        <w:t>Mentha</w:t>
      </w:r>
      <w:r w:rsidRPr="00213F66">
        <w:rPr>
          <w:b/>
        </w:rPr>
        <w:t xml:space="preserve"> species also showed that extract polarity can influence polyphenol/flavonoid recovery and antibacterial performance, supporting the need to </w:t>
      </w:r>
      <w:r w:rsidRPr="00213F66">
        <w:rPr>
          <w:b/>
        </w:rPr>
        <w:lastRenderedPageBreak/>
        <w:t xml:space="preserve">define extraction conditions when evaluating </w:t>
      </w:r>
      <w:r w:rsidRPr="00213F66">
        <w:rPr>
          <w:b/>
          <w:i/>
        </w:rPr>
        <w:t>Mentha</w:t>
      </w:r>
      <w:r w:rsidRPr="00213F66">
        <w:rPr>
          <w:b/>
        </w:rPr>
        <w:t>-derived antimicrobial activity (Tourabi et al., 2023).</w:t>
      </w:r>
    </w:p>
    <w:p w14:paraId="3DC46A80" w14:textId="77777777" w:rsidR="00A8621F" w:rsidRPr="00213F66" w:rsidRDefault="00000000">
      <w:pPr>
        <w:jc w:val="both"/>
      </w:pPr>
      <w:r w:rsidRPr="00213F66">
        <w:rPr>
          <w:b/>
        </w:rPr>
        <w:t xml:space="preserve">A recent phytochemical safety assessment of a polyherbal formulation containing </w:t>
      </w:r>
      <w:r w:rsidRPr="00213F66">
        <w:rPr>
          <w:b/>
          <w:i/>
        </w:rPr>
        <w:t>M. piperita</w:t>
      </w:r>
      <w:r w:rsidRPr="00213F66">
        <w:rPr>
          <w:b/>
        </w:rPr>
        <w:t xml:space="preserve"> similarly reported the presence of alkaloids, polyphenols, flavonoids, sterols and polyterpenes, thereby supporting systematic phytochemical validation of peppermint-containing herbal preparations (Epiphanie et al., 2024).</w:t>
      </w:r>
    </w:p>
    <w:p w14:paraId="33368EB0"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 xml:space="preserve">Recent advances in phytochemical research have highlighted the importance of characterising the chemical constituents responsible for the biological activities of medicinal plants. Modern analytical techniques such as Fourier transform infrared (FTIR) spectroscopy provide rapid and reliable identification of functional groups present in plant metabolites, thereby facilitating the characterisation of bioactive compounds and supporting the development of phytopharmaceutical products (Akpan </w:t>
      </w:r>
      <w:r w:rsidRPr="00213F66">
        <w:rPr>
          <w:rFonts w:ascii="Arial" w:hAnsi="Arial" w:cs="Arial"/>
          <w:i/>
          <w:color w:val="FF0000"/>
          <w:sz w:val="20"/>
          <w:szCs w:val="20"/>
        </w:rPr>
        <w:t>et al</w:t>
      </w:r>
      <w:r w:rsidRPr="00213F66">
        <w:rPr>
          <w:rFonts w:ascii="Arial" w:hAnsi="Arial" w:cs="Arial"/>
          <w:sz w:val="20"/>
          <w:szCs w:val="20"/>
        </w:rPr>
        <w:t>., 2021). FTIR analysis complements conventional phytochemical investigations by providing structural information that aids in identifying the chemical classes responsible for antimicrobial activity.</w:t>
      </w:r>
    </w:p>
    <w:p w14:paraId="4F0CB5C7" w14:textId="77777777" w:rsidR="00A8621F" w:rsidRPr="00213F66" w:rsidRDefault="00000000">
      <w:pPr>
        <w:jc w:val="both"/>
      </w:pPr>
      <w:r w:rsidRPr="00213F66">
        <w:rPr>
          <w:b/>
        </w:rPr>
        <w:t>Recent phytochemical profiling of another medicinal plant against antibiotic-resistant bacteria further illustrates the value of pairing phytochemical screening with antimicrobial assays when evaluating plant extracts as possible antimicrobial sources (Mohanasundari et al., 2026).</w:t>
      </w:r>
    </w:p>
    <w:p w14:paraId="35A663D8" w14:textId="77777777" w:rsidR="003930BD" w:rsidRPr="00213F66" w:rsidRDefault="003930BD" w:rsidP="003930BD">
      <w:pPr>
        <w:jc w:val="both"/>
        <w:rPr>
          <w:rFonts w:ascii="Arial" w:hAnsi="Arial" w:cs="Arial"/>
          <w:sz w:val="20"/>
          <w:szCs w:val="20"/>
        </w:rPr>
      </w:pPr>
      <w:r w:rsidRPr="00213F66">
        <w:rPr>
          <w:rFonts w:ascii="Arial" w:hAnsi="Arial" w:cs="Arial"/>
          <w:sz w:val="20"/>
          <w:szCs w:val="20"/>
        </w:rPr>
        <w:t>The search for plant-derived antimicrobial compounds has become increasingly important as global efforts intensify to combat antimicrobial resistance through sustainable and environmentally friendly approaches. Medicinal plants provide renewable sources of structurally diverse compounds that may serve as alternatives or complements to conventional antibiotics, thereby reducing dependence on synthetic antimicrobial agents and minimising their associated environmental impacts (World Health Organization, 2014; United Nations Environment Programme, 2022). Furthermore, sustainable utilisation of medicinal plants contributes to biodiversity conservation and promotes responsible exploitation of natural resources for pharmaceutical development (United Nations, 2015; UNESCO, 2021).</w:t>
      </w:r>
    </w:p>
    <w:p w14:paraId="4B51130F" w14:textId="77777777" w:rsidR="00A8621F" w:rsidRPr="00213F66" w:rsidRDefault="00000000">
      <w:pPr>
        <w:jc w:val="both"/>
      </w:pPr>
      <w:r w:rsidRPr="00213F66">
        <w:rPr>
          <w:b/>
        </w:rPr>
        <w:t xml:space="preserve">However, evidence remains limited regarding the combined phytochemical screening, FTIR functional-group characterisation and antimicrobial evaluation of crude ethanol extracts and isolated alkaloid, flavonoid and cardiac glycoside fractions from </w:t>
      </w:r>
      <w:r w:rsidRPr="00213F66">
        <w:rPr>
          <w:b/>
          <w:i/>
        </w:rPr>
        <w:t>M. piperita</w:t>
      </w:r>
      <w:r w:rsidRPr="00213F66">
        <w:rPr>
          <w:b/>
        </w:rPr>
        <w:t xml:space="preserve"> collected from the study area. Addressing this gap is necessary to clarify which broad phytochemical classes and functional groups may be associated with the antimicrobial effects observed in this study.</w:t>
      </w:r>
    </w:p>
    <w:p w14:paraId="00550C22" w14:textId="77777777" w:rsidR="003930BD" w:rsidRPr="00213F66" w:rsidRDefault="003930BD" w:rsidP="003930BD">
      <w:pPr>
        <w:jc w:val="both"/>
        <w:rPr>
          <w:rFonts w:ascii="Arial" w:hAnsi="Arial" w:cs="Arial"/>
          <w:color w:val="FF0000"/>
          <w:sz w:val="20"/>
          <w:szCs w:val="20"/>
        </w:rPr>
      </w:pPr>
      <w:r w:rsidRPr="00213F66">
        <w:rPr>
          <w:rFonts w:ascii="Arial" w:hAnsi="Arial" w:cs="Arial"/>
          <w:sz w:val="20"/>
          <w:szCs w:val="20"/>
        </w:rPr>
        <w:t xml:space="preserve">The present study was therefore undertaken to investigate the antimicrobial constituents of </w:t>
      </w:r>
      <w:r w:rsidRPr="00213F66">
        <w:rPr>
          <w:rStyle w:val="Emphasis"/>
          <w:rFonts w:ascii="Arial" w:hAnsi="Arial" w:cs="Arial"/>
          <w:sz w:val="20"/>
          <w:szCs w:val="20"/>
        </w:rPr>
        <w:t>Mentha piperita</w:t>
      </w:r>
      <w:r w:rsidRPr="00213F66">
        <w:rPr>
          <w:rFonts w:ascii="Arial" w:hAnsi="Arial" w:cs="Arial"/>
          <w:sz w:val="20"/>
          <w:szCs w:val="20"/>
        </w:rPr>
        <w:t xml:space="preserve"> through phytochemical characterisation and Fourier transform infrared (FTIR) spectroscopy. By identifying the functional groups and bioactive compounds associated with the antimicrobial activity of the plant, this research seeks to contribute to the discovery of safe, affordable and environmentally sustainable antimicrobial agents. </w:t>
      </w:r>
    </w:p>
    <w:p w14:paraId="59BF141F" w14:textId="77777777" w:rsidR="00F80A73" w:rsidRPr="00213F66" w:rsidRDefault="00DE5EE9" w:rsidP="00F80A73">
      <w:pPr>
        <w:spacing w:line="240" w:lineRule="auto"/>
        <w:jc w:val="both"/>
        <w:rPr>
          <w:rFonts w:ascii="Arial" w:eastAsia="Times New Roman" w:hAnsi="Arial" w:cs="Arial"/>
          <w:b/>
        </w:rPr>
      </w:pPr>
      <w:r w:rsidRPr="00213F66">
        <w:rPr>
          <w:rFonts w:ascii="Arial" w:eastAsia="Times New Roman" w:hAnsi="Arial" w:cs="Arial"/>
          <w:b/>
        </w:rPr>
        <w:t xml:space="preserve">2. </w:t>
      </w:r>
      <w:r w:rsidR="00F80A73" w:rsidRPr="00213F66">
        <w:rPr>
          <w:rFonts w:ascii="Arial" w:eastAsia="Times New Roman" w:hAnsi="Arial" w:cs="Arial"/>
          <w:b/>
        </w:rPr>
        <w:t>MATERIALS AND METHODS</w:t>
      </w:r>
    </w:p>
    <w:p w14:paraId="1273C3B4" w14:textId="77777777" w:rsidR="00F80A73" w:rsidRPr="00213F66" w:rsidRDefault="00DE5EE9" w:rsidP="00F80A73">
      <w:pPr>
        <w:jc w:val="both"/>
        <w:rPr>
          <w:rFonts w:ascii="Arial" w:hAnsi="Arial" w:cs="Arial"/>
          <w:b/>
        </w:rPr>
      </w:pPr>
      <w:r w:rsidRPr="00213F66">
        <w:rPr>
          <w:rFonts w:ascii="Arial" w:hAnsi="Arial" w:cs="Arial"/>
          <w:b/>
        </w:rPr>
        <w:t xml:space="preserve">2.1 Sample collection and identification </w:t>
      </w:r>
    </w:p>
    <w:p w14:paraId="7E279B77" w14:textId="77777777" w:rsidR="00F80A73" w:rsidRPr="00213F66" w:rsidRDefault="00F80A73" w:rsidP="00F80A73">
      <w:pPr>
        <w:jc w:val="both"/>
        <w:rPr>
          <w:rFonts w:ascii="Arial" w:hAnsi="Arial" w:cs="Arial"/>
          <w:sz w:val="20"/>
          <w:szCs w:val="20"/>
        </w:rPr>
      </w:pPr>
      <w:r w:rsidRPr="00213F66">
        <w:rPr>
          <w:rFonts w:ascii="Arial" w:hAnsi="Arial" w:cs="Arial"/>
          <w:sz w:val="20"/>
          <w:szCs w:val="20"/>
        </w:rPr>
        <w:t xml:space="preserve">The </w:t>
      </w:r>
      <w:r w:rsidRPr="00213F66">
        <w:rPr>
          <w:rFonts w:ascii="Arial" w:hAnsi="Arial" w:cs="Arial"/>
          <w:i/>
          <w:sz w:val="20"/>
          <w:szCs w:val="20"/>
        </w:rPr>
        <w:t>Mentha piperita</w:t>
      </w:r>
      <w:r w:rsidRPr="00213F66">
        <w:rPr>
          <w:rFonts w:ascii="Arial" w:hAnsi="Arial" w:cs="Arial"/>
          <w:sz w:val="20"/>
          <w:szCs w:val="20"/>
        </w:rPr>
        <w:t xml:space="preserve"> plant was collected from Mkpok, </w:t>
      </w:r>
      <w:proofErr w:type="spellStart"/>
      <w:r w:rsidRPr="00213F66">
        <w:rPr>
          <w:rFonts w:ascii="Arial" w:hAnsi="Arial" w:cs="Arial"/>
          <w:sz w:val="20"/>
          <w:szCs w:val="20"/>
        </w:rPr>
        <w:t>Eket</w:t>
      </w:r>
      <w:proofErr w:type="spellEnd"/>
      <w:r w:rsidRPr="00213F66">
        <w:rPr>
          <w:rFonts w:ascii="Arial" w:hAnsi="Arial" w:cs="Arial"/>
          <w:sz w:val="20"/>
          <w:szCs w:val="20"/>
        </w:rPr>
        <w:t xml:space="preserve"> Local Government Area of Akwa Ibom State, Nigeria and was identified and authenticated by the Department of Botany, Akwa Ibom State University with the Herbarium No: AKSUH/L0015.  </w:t>
      </w:r>
    </w:p>
    <w:p w14:paraId="50842495" w14:textId="77777777" w:rsidR="00F80A73" w:rsidRPr="00213F66" w:rsidRDefault="00807D50" w:rsidP="00F80A73">
      <w:pPr>
        <w:jc w:val="both"/>
        <w:rPr>
          <w:rFonts w:ascii="Arial" w:hAnsi="Arial" w:cs="Arial"/>
          <w:b/>
        </w:rPr>
      </w:pPr>
      <w:r w:rsidRPr="00213F66">
        <w:rPr>
          <w:rFonts w:ascii="Arial" w:hAnsi="Arial" w:cs="Arial"/>
          <w:b/>
        </w:rPr>
        <w:t xml:space="preserve">2.2 </w:t>
      </w:r>
      <w:r w:rsidR="00F80A73" w:rsidRPr="00213F66">
        <w:rPr>
          <w:rFonts w:ascii="Arial" w:hAnsi="Arial" w:cs="Arial"/>
          <w:b/>
        </w:rPr>
        <w:t>Materials</w:t>
      </w:r>
    </w:p>
    <w:p w14:paraId="787C47CF" w14:textId="77777777" w:rsidR="00F80A73" w:rsidRPr="00213F66" w:rsidRDefault="00807D50" w:rsidP="00F80A73">
      <w:pPr>
        <w:jc w:val="both"/>
        <w:rPr>
          <w:rFonts w:ascii="Arial" w:hAnsi="Arial" w:cs="Arial"/>
          <w:b/>
          <w:sz w:val="20"/>
          <w:szCs w:val="20"/>
          <w:u w:val="single"/>
        </w:rPr>
      </w:pPr>
      <w:bookmarkStart w:id="0" w:name="_Toc106408586"/>
      <w:r w:rsidRPr="00213F66">
        <w:rPr>
          <w:rFonts w:ascii="Arial" w:hAnsi="Arial" w:cs="Arial"/>
          <w:b/>
          <w:sz w:val="20"/>
          <w:szCs w:val="20"/>
          <w:u w:val="single"/>
        </w:rPr>
        <w:t xml:space="preserve">2.2.1 </w:t>
      </w:r>
      <w:r w:rsidR="00F80A73" w:rsidRPr="00213F66">
        <w:rPr>
          <w:rFonts w:ascii="Arial" w:hAnsi="Arial" w:cs="Arial"/>
          <w:b/>
          <w:sz w:val="20"/>
          <w:szCs w:val="20"/>
          <w:u w:val="single"/>
        </w:rPr>
        <w:t>Chemicals and reagents</w:t>
      </w:r>
      <w:bookmarkEnd w:id="0"/>
    </w:p>
    <w:p w14:paraId="52DBCEAD" w14:textId="77777777" w:rsidR="00F80A73" w:rsidRPr="00213F66" w:rsidRDefault="00F80A73" w:rsidP="00F80A73">
      <w:pPr>
        <w:spacing w:line="240" w:lineRule="auto"/>
        <w:ind w:right="1"/>
        <w:jc w:val="both"/>
        <w:rPr>
          <w:rFonts w:ascii="Arial" w:hAnsi="Arial" w:cs="Arial"/>
          <w:sz w:val="20"/>
          <w:szCs w:val="20"/>
        </w:rPr>
      </w:pPr>
      <w:r w:rsidRPr="00213F66">
        <w:rPr>
          <w:rFonts w:ascii="Arial" w:hAnsi="Arial" w:cs="Arial"/>
          <w:sz w:val="20"/>
          <w:szCs w:val="20"/>
        </w:rPr>
        <w:lastRenderedPageBreak/>
        <w:t>Mayer’s reagent, Wagner’s reagent, Dragendorff’s reagent, Biuret’s reagent, Molisch’s reagent, Fehling’s solution A and B, magnesium turnings, concentrated hydrochloric acid, dilute sodium hydroxide, Zinc dust, freshly prepared iron (III) chloride, Nitric acid, Acetic acid, Acetic anhydride, Concentrated hydrogen tetraoxosulpahte (vi), Chloroform, Ammonia.</w:t>
      </w:r>
    </w:p>
    <w:p w14:paraId="5594B410" w14:textId="77777777" w:rsidR="00F80A73" w:rsidRPr="00213F66" w:rsidRDefault="00807D50" w:rsidP="00F80A73">
      <w:pPr>
        <w:jc w:val="both"/>
        <w:rPr>
          <w:rFonts w:ascii="Arial" w:hAnsi="Arial" w:cs="Arial"/>
          <w:b/>
          <w:sz w:val="20"/>
          <w:szCs w:val="20"/>
          <w:u w:val="single"/>
        </w:rPr>
      </w:pPr>
      <w:bookmarkStart w:id="1" w:name="_Toc106408587"/>
      <w:r w:rsidRPr="00213F66">
        <w:rPr>
          <w:rFonts w:ascii="Arial" w:hAnsi="Arial" w:cs="Arial"/>
          <w:b/>
          <w:sz w:val="20"/>
          <w:szCs w:val="20"/>
          <w:u w:val="single"/>
        </w:rPr>
        <w:t>2.</w:t>
      </w:r>
      <w:r w:rsidR="00835189" w:rsidRPr="00213F66">
        <w:rPr>
          <w:rFonts w:ascii="Arial" w:hAnsi="Arial" w:cs="Arial"/>
          <w:b/>
          <w:sz w:val="20"/>
          <w:szCs w:val="20"/>
          <w:u w:val="single"/>
        </w:rPr>
        <w:t>2.2</w:t>
      </w:r>
      <w:r w:rsidRPr="00213F66">
        <w:rPr>
          <w:rFonts w:ascii="Arial" w:hAnsi="Arial" w:cs="Arial"/>
          <w:b/>
          <w:sz w:val="20"/>
          <w:szCs w:val="20"/>
          <w:u w:val="single"/>
        </w:rPr>
        <w:t xml:space="preserve"> </w:t>
      </w:r>
      <w:r w:rsidR="00F80A73" w:rsidRPr="00213F66">
        <w:rPr>
          <w:rFonts w:ascii="Arial" w:hAnsi="Arial" w:cs="Arial"/>
          <w:b/>
          <w:sz w:val="20"/>
          <w:szCs w:val="20"/>
          <w:u w:val="single"/>
        </w:rPr>
        <w:t>Equipment and apparatus</w:t>
      </w:r>
      <w:bookmarkEnd w:id="1"/>
    </w:p>
    <w:p w14:paraId="44CCB542" w14:textId="77777777" w:rsidR="00F80A73" w:rsidRPr="00213F66" w:rsidRDefault="00F80A73" w:rsidP="00F80A73">
      <w:pPr>
        <w:spacing w:before="240" w:line="240" w:lineRule="auto"/>
        <w:ind w:right="1"/>
        <w:jc w:val="both"/>
        <w:rPr>
          <w:rFonts w:ascii="Arial" w:hAnsi="Arial" w:cs="Arial"/>
          <w:sz w:val="20"/>
          <w:szCs w:val="20"/>
        </w:rPr>
      </w:pPr>
      <w:r w:rsidRPr="00213F66">
        <w:rPr>
          <w:rFonts w:ascii="Arial" w:hAnsi="Arial" w:cs="Arial"/>
          <w:sz w:val="20"/>
          <w:szCs w:val="20"/>
        </w:rPr>
        <w:t>The following apparatus were used in the study: beaker, plastic bottle, volumetric flask, test tube, conical flask, separatory funnel, oven, Whatman filter paper No 42 (125 mm), weighing balance, burette, measuring cylinder, condenser, water bath, grinder, spatula, and rotary evaporator (SENCO Technology Co. Ltd.; W2-1005).</w:t>
      </w:r>
    </w:p>
    <w:p w14:paraId="7C5290F2" w14:textId="77777777" w:rsidR="00F80A73" w:rsidRPr="00213F66" w:rsidRDefault="00016B90" w:rsidP="00F80A73">
      <w:pPr>
        <w:jc w:val="both"/>
        <w:rPr>
          <w:rFonts w:ascii="Arial" w:hAnsi="Arial" w:cs="Arial"/>
          <w:b/>
        </w:rPr>
      </w:pPr>
      <w:bookmarkStart w:id="2" w:name="_Toc106408590"/>
      <w:r w:rsidRPr="00213F66">
        <w:rPr>
          <w:rFonts w:ascii="Arial" w:hAnsi="Arial" w:cs="Arial"/>
          <w:b/>
        </w:rPr>
        <w:t xml:space="preserve">2.3 </w:t>
      </w:r>
      <w:r w:rsidR="00F80A73" w:rsidRPr="00213F66">
        <w:rPr>
          <w:rFonts w:ascii="Arial" w:hAnsi="Arial" w:cs="Arial"/>
          <w:b/>
        </w:rPr>
        <w:t>Preparation of</w:t>
      </w:r>
      <w:bookmarkEnd w:id="2"/>
      <w:r w:rsidR="00F80A73" w:rsidRPr="00213F66">
        <w:rPr>
          <w:rFonts w:ascii="Arial" w:hAnsi="Arial" w:cs="Arial"/>
          <w:b/>
        </w:rPr>
        <w:t xml:space="preserve"> sample</w:t>
      </w:r>
    </w:p>
    <w:p w14:paraId="068F8A4E" w14:textId="77777777" w:rsidR="007374DA" w:rsidRPr="00213F66" w:rsidRDefault="00F80A73" w:rsidP="00F80A73">
      <w:pPr>
        <w:spacing w:line="240" w:lineRule="auto"/>
        <w:ind w:right="1"/>
        <w:jc w:val="both"/>
        <w:rPr>
          <w:rFonts w:ascii="Arial" w:hAnsi="Arial" w:cs="Arial"/>
          <w:sz w:val="20"/>
          <w:szCs w:val="20"/>
        </w:rPr>
      </w:pPr>
      <w:r w:rsidRPr="00213F66">
        <w:rPr>
          <w:rFonts w:ascii="Arial" w:hAnsi="Arial" w:cs="Arial"/>
          <w:sz w:val="20"/>
          <w:szCs w:val="20"/>
        </w:rPr>
        <w:t xml:space="preserve">Leaves and stems of the </w:t>
      </w:r>
      <w:r w:rsidRPr="00213F66">
        <w:rPr>
          <w:rFonts w:ascii="Arial" w:hAnsi="Arial" w:cs="Arial"/>
          <w:i/>
          <w:iCs/>
          <w:sz w:val="20"/>
          <w:szCs w:val="20"/>
        </w:rPr>
        <w:t>Menth</w:t>
      </w:r>
      <w:r w:rsidRPr="00213F66">
        <w:rPr>
          <w:rFonts w:ascii="Arial" w:eastAsia="Calibri" w:hAnsi="Arial" w:cs="Arial"/>
          <w:i/>
          <w:iCs/>
          <w:sz w:val="20"/>
          <w:szCs w:val="20"/>
        </w:rPr>
        <w:t xml:space="preserve">a piperita </w:t>
      </w:r>
      <w:r w:rsidRPr="00213F66">
        <w:rPr>
          <w:rFonts w:ascii="Arial" w:eastAsia="Calibri" w:hAnsi="Arial" w:cs="Arial"/>
          <w:iCs/>
          <w:sz w:val="20"/>
          <w:szCs w:val="20"/>
        </w:rPr>
        <w:t>collected</w:t>
      </w:r>
      <w:r w:rsidRPr="00213F66">
        <w:rPr>
          <w:rFonts w:ascii="Arial" w:hAnsi="Arial" w:cs="Arial"/>
          <w:sz w:val="20"/>
          <w:szCs w:val="20"/>
        </w:rPr>
        <w:t xml:space="preserve"> were washed and air-dried at room temperature for 20 and 15 days respectively. The dried leaves and stems were ground using a manual grinding machine into a fine powder and were stored in an airtight container until further use. The ground leaves and stems (20 grams each) were extracted with 500 mL of ethanol at room temperature for 72 hours using the maceration method. After 72 hours, the extracts were filtered with a Whatman filter paper </w:t>
      </w:r>
      <w:r w:rsidRPr="00213F66">
        <w:rPr>
          <w:rFonts w:ascii="Arial" w:hAnsi="Arial" w:cs="Arial"/>
          <w:sz w:val="20"/>
          <w:szCs w:val="20"/>
          <w:lang w:eastAsia="en-GB"/>
        </w:rPr>
        <w:t xml:space="preserve">No 42 (125 mm) </w:t>
      </w:r>
      <w:r w:rsidRPr="00213F66">
        <w:rPr>
          <w:rFonts w:ascii="Arial" w:hAnsi="Arial" w:cs="Arial"/>
          <w:sz w:val="20"/>
          <w:szCs w:val="20"/>
        </w:rPr>
        <w:t>and were concentrated using a rotary evaporator.</w:t>
      </w:r>
    </w:p>
    <w:p w14:paraId="4BB98583" w14:textId="77777777" w:rsidR="00F41AA2" w:rsidRPr="00213F66" w:rsidRDefault="00016B90" w:rsidP="00F41AA2">
      <w:pPr>
        <w:spacing w:after="0" w:line="240" w:lineRule="auto"/>
        <w:jc w:val="both"/>
        <w:rPr>
          <w:rFonts w:ascii="Arial" w:hAnsi="Arial" w:cs="Arial"/>
          <w:b/>
          <w:bCs/>
        </w:rPr>
      </w:pPr>
      <w:r w:rsidRPr="00213F66">
        <w:rPr>
          <w:rFonts w:ascii="Arial" w:hAnsi="Arial" w:cs="Arial"/>
          <w:b/>
          <w:bCs/>
        </w:rPr>
        <w:t xml:space="preserve">2.4 </w:t>
      </w:r>
      <w:r w:rsidR="00F41AA2" w:rsidRPr="00213F66">
        <w:rPr>
          <w:rFonts w:ascii="Arial" w:hAnsi="Arial" w:cs="Arial"/>
          <w:b/>
          <w:bCs/>
        </w:rPr>
        <w:t>Phytochemical Analysis</w:t>
      </w:r>
    </w:p>
    <w:p w14:paraId="2743CEC1" w14:textId="77777777" w:rsidR="00F41AA2" w:rsidRPr="00213F66" w:rsidRDefault="00016B90" w:rsidP="00F41AA2">
      <w:pPr>
        <w:pStyle w:val="BodyText"/>
        <w:spacing w:line="240" w:lineRule="auto"/>
        <w:jc w:val="both"/>
        <w:rPr>
          <w:rFonts w:ascii="Arial" w:hAnsi="Arial" w:cs="Arial"/>
          <w:b/>
          <w:bCs/>
          <w:sz w:val="20"/>
          <w:szCs w:val="20"/>
          <w:u w:val="single"/>
        </w:rPr>
      </w:pPr>
      <w:r w:rsidRPr="00213F66">
        <w:rPr>
          <w:rFonts w:ascii="Arial" w:hAnsi="Arial" w:cs="Arial"/>
          <w:b/>
          <w:bCs/>
          <w:sz w:val="20"/>
          <w:szCs w:val="20"/>
          <w:u w:val="single"/>
        </w:rPr>
        <w:t xml:space="preserve">2.4.1 </w:t>
      </w:r>
      <w:r w:rsidR="00F41AA2" w:rsidRPr="00213F66">
        <w:rPr>
          <w:rFonts w:ascii="Arial" w:hAnsi="Arial" w:cs="Arial"/>
          <w:b/>
          <w:bCs/>
          <w:sz w:val="20"/>
          <w:szCs w:val="20"/>
          <w:u w:val="single"/>
        </w:rPr>
        <w:t>Phytochemical Screening</w:t>
      </w:r>
    </w:p>
    <w:p w14:paraId="6F5F859F" w14:textId="77777777" w:rsidR="00F41AA2" w:rsidRPr="00213F66" w:rsidRDefault="00F41AA2" w:rsidP="00F41AA2">
      <w:pPr>
        <w:autoSpaceDE w:val="0"/>
        <w:autoSpaceDN w:val="0"/>
        <w:adjustRightInd w:val="0"/>
        <w:spacing w:after="0" w:line="240" w:lineRule="auto"/>
        <w:jc w:val="both"/>
        <w:rPr>
          <w:rFonts w:ascii="Arial" w:hAnsi="Arial" w:cs="Arial"/>
          <w:sz w:val="20"/>
          <w:szCs w:val="20"/>
        </w:rPr>
      </w:pPr>
      <w:r w:rsidRPr="00213F66">
        <w:rPr>
          <w:rFonts w:ascii="Arial" w:hAnsi="Arial" w:cs="Arial"/>
          <w:sz w:val="20"/>
          <w:szCs w:val="20"/>
        </w:rPr>
        <w:t xml:space="preserve">The methods employed for phytochemical screening were those previously adopted by </w:t>
      </w:r>
      <w:r w:rsidR="00EB4FCD" w:rsidRPr="00213F66">
        <w:rPr>
          <w:rFonts w:ascii="Arial" w:hAnsi="Arial" w:cs="Arial"/>
          <w:sz w:val="20"/>
          <w:szCs w:val="20"/>
        </w:rPr>
        <w:t xml:space="preserve">Gupta </w:t>
      </w:r>
      <w:r w:rsidR="00A93AE0" w:rsidRPr="00213F66">
        <w:rPr>
          <w:rFonts w:ascii="Arial" w:hAnsi="Arial" w:cs="Arial"/>
          <w:sz w:val="20"/>
          <w:szCs w:val="20"/>
        </w:rPr>
        <w:t>(</w:t>
      </w:r>
      <w:r w:rsidR="00EB4FCD" w:rsidRPr="00213F66">
        <w:rPr>
          <w:rFonts w:ascii="Arial" w:hAnsi="Arial" w:cs="Arial"/>
          <w:sz w:val="20"/>
          <w:szCs w:val="20"/>
        </w:rPr>
        <w:t>2012)</w:t>
      </w:r>
      <w:r w:rsidRPr="00213F66">
        <w:rPr>
          <w:rFonts w:ascii="Arial" w:hAnsi="Arial" w:cs="Arial"/>
          <w:sz w:val="20"/>
          <w:szCs w:val="20"/>
        </w:rPr>
        <w:t xml:space="preserve">, </w:t>
      </w:r>
      <w:proofErr w:type="spellStart"/>
      <w:r w:rsidR="00A93AE0" w:rsidRPr="00213F66">
        <w:rPr>
          <w:rFonts w:ascii="Arial" w:hAnsi="Arial" w:cs="Arial"/>
          <w:sz w:val="20"/>
          <w:szCs w:val="20"/>
        </w:rPr>
        <w:t>Rangari</w:t>
      </w:r>
      <w:proofErr w:type="spellEnd"/>
      <w:r w:rsidR="00A93AE0" w:rsidRPr="00213F66">
        <w:rPr>
          <w:rFonts w:ascii="Arial" w:hAnsi="Arial" w:cs="Arial"/>
          <w:sz w:val="20"/>
          <w:szCs w:val="20"/>
        </w:rPr>
        <w:t xml:space="preserve"> (2012), Mohamed et al. (2014</w:t>
      </w:r>
      <w:r w:rsidR="00A93AE0" w:rsidRPr="00213F66">
        <w:rPr>
          <w:rFonts w:ascii="Arial" w:hAnsi="Arial" w:cs="Arial"/>
          <w:b/>
          <w:sz w:val="20"/>
          <w:szCs w:val="20"/>
        </w:rPr>
        <w:t xml:space="preserve">) and </w:t>
      </w:r>
      <w:proofErr w:type="spellStart"/>
      <w:r w:rsidR="00EB4FCD" w:rsidRPr="00213F66">
        <w:rPr>
          <w:rFonts w:ascii="Arial" w:hAnsi="Arial" w:cs="Arial"/>
          <w:sz w:val="20"/>
          <w:szCs w:val="20"/>
        </w:rPr>
        <w:t>Uwanta</w:t>
      </w:r>
      <w:proofErr w:type="spellEnd"/>
      <w:r w:rsidR="00EB4FCD" w:rsidRPr="00213F66">
        <w:rPr>
          <w:rFonts w:ascii="Arial" w:hAnsi="Arial" w:cs="Arial"/>
          <w:sz w:val="20"/>
          <w:szCs w:val="20"/>
        </w:rPr>
        <w:t xml:space="preserve"> &amp; Akpan (2024) </w:t>
      </w:r>
      <w:r w:rsidRPr="00213F66">
        <w:rPr>
          <w:rFonts w:ascii="Arial" w:hAnsi="Arial" w:cs="Arial"/>
          <w:sz w:val="20"/>
          <w:szCs w:val="20"/>
        </w:rPr>
        <w:t>without any modification as follows.</w:t>
      </w:r>
    </w:p>
    <w:p w14:paraId="3E9617DA" w14:textId="77777777" w:rsidR="00F41AA2" w:rsidRPr="00213F66" w:rsidRDefault="00F41AA2" w:rsidP="00F41AA2">
      <w:pPr>
        <w:autoSpaceDE w:val="0"/>
        <w:autoSpaceDN w:val="0"/>
        <w:adjustRightInd w:val="0"/>
        <w:spacing w:after="0" w:line="240" w:lineRule="auto"/>
        <w:jc w:val="both"/>
        <w:rPr>
          <w:rFonts w:ascii="Arial" w:hAnsi="Arial" w:cs="Arial"/>
          <w:sz w:val="20"/>
          <w:szCs w:val="20"/>
        </w:rPr>
      </w:pPr>
    </w:p>
    <w:p w14:paraId="1F1DE009" w14:textId="77777777" w:rsidR="00F41AA2" w:rsidRPr="00213F66" w:rsidRDefault="004A097D" w:rsidP="00F41AA2">
      <w:pPr>
        <w:spacing w:line="240" w:lineRule="auto"/>
        <w:jc w:val="both"/>
        <w:rPr>
          <w:rFonts w:ascii="Arial" w:eastAsia="Calibri" w:hAnsi="Arial" w:cs="Arial"/>
          <w:i/>
          <w:sz w:val="20"/>
          <w:szCs w:val="20"/>
        </w:rPr>
      </w:pPr>
      <w:r w:rsidRPr="00213F66">
        <w:rPr>
          <w:rFonts w:ascii="Arial" w:eastAsia="Calibri" w:hAnsi="Arial" w:cs="Arial"/>
          <w:b/>
          <w:i/>
          <w:sz w:val="20"/>
          <w:szCs w:val="20"/>
        </w:rPr>
        <w:t xml:space="preserve">2.4.1.1 </w:t>
      </w:r>
      <w:r w:rsidR="00F41AA2" w:rsidRPr="00213F66">
        <w:rPr>
          <w:rFonts w:ascii="Arial" w:eastAsia="Calibri" w:hAnsi="Arial" w:cs="Arial"/>
          <w:b/>
          <w:i/>
          <w:sz w:val="20"/>
          <w:szCs w:val="20"/>
        </w:rPr>
        <w:t xml:space="preserve">Alkaloids </w:t>
      </w:r>
    </w:p>
    <w:p w14:paraId="58288AF1" w14:textId="77777777" w:rsidR="00F41AA2" w:rsidRPr="00213F66" w:rsidRDefault="00F41AA2" w:rsidP="00F41AA2">
      <w:pPr>
        <w:pStyle w:val="ListParagraph"/>
        <w:numPr>
          <w:ilvl w:val="0"/>
          <w:numId w:val="2"/>
        </w:numPr>
        <w:spacing w:after="200" w:line="240" w:lineRule="auto"/>
        <w:contextualSpacing/>
        <w:jc w:val="both"/>
        <w:rPr>
          <w:rFonts w:ascii="Arial" w:eastAsia="Calibri" w:hAnsi="Arial" w:cs="Arial"/>
          <w:sz w:val="20"/>
          <w:szCs w:val="20"/>
        </w:rPr>
      </w:pPr>
      <w:proofErr w:type="spellStart"/>
      <w:r w:rsidRPr="00213F66">
        <w:rPr>
          <w:rFonts w:ascii="Arial" w:eastAsia="Calibri" w:hAnsi="Arial" w:cs="Arial"/>
          <w:b/>
          <w:sz w:val="20"/>
          <w:szCs w:val="20"/>
        </w:rPr>
        <w:t>Dragendorff’s</w:t>
      </w:r>
      <w:proofErr w:type="spellEnd"/>
      <w:r w:rsidRPr="00213F66">
        <w:rPr>
          <w:rFonts w:ascii="Arial" w:eastAsia="Calibri" w:hAnsi="Arial" w:cs="Arial"/>
          <w:b/>
          <w:sz w:val="20"/>
          <w:szCs w:val="20"/>
        </w:rPr>
        <w:t xml:space="preserve"> Test: </w:t>
      </w:r>
      <w:r w:rsidRPr="00213F66">
        <w:rPr>
          <w:rFonts w:ascii="Arial" w:eastAsia="Calibri" w:hAnsi="Arial" w:cs="Arial"/>
          <w:sz w:val="20"/>
          <w:szCs w:val="20"/>
        </w:rPr>
        <w:t xml:space="preserve">1.0 mL of </w:t>
      </w:r>
      <w:proofErr w:type="spellStart"/>
      <w:r w:rsidRPr="00213F66">
        <w:rPr>
          <w:rFonts w:ascii="Arial" w:eastAsia="Calibri" w:hAnsi="Arial" w:cs="Arial"/>
          <w:sz w:val="20"/>
          <w:szCs w:val="20"/>
        </w:rPr>
        <w:t>Dragendorff’s</w:t>
      </w:r>
      <w:proofErr w:type="spellEnd"/>
      <w:r w:rsidRPr="00213F66">
        <w:rPr>
          <w:rFonts w:ascii="Arial" w:eastAsia="Calibri" w:hAnsi="Arial" w:cs="Arial"/>
          <w:sz w:val="20"/>
          <w:szCs w:val="20"/>
        </w:rPr>
        <w:t xml:space="preserve"> reagent was added to 1.0 mL of the sample. Alkaloids produce</w:t>
      </w:r>
      <w:r w:rsidR="00A2618B" w:rsidRPr="00213F66">
        <w:rPr>
          <w:rFonts w:ascii="Arial" w:eastAsia="Calibri" w:hAnsi="Arial" w:cs="Arial"/>
          <w:sz w:val="20"/>
          <w:szCs w:val="20"/>
        </w:rPr>
        <w:t>d</w:t>
      </w:r>
      <w:r w:rsidRPr="00213F66">
        <w:rPr>
          <w:rFonts w:ascii="Arial" w:eastAsia="Calibri" w:hAnsi="Arial" w:cs="Arial"/>
          <w:sz w:val="20"/>
          <w:szCs w:val="20"/>
        </w:rPr>
        <w:t xml:space="preserve"> an orange precipitate with this reagent.</w:t>
      </w:r>
    </w:p>
    <w:p w14:paraId="266718F1" w14:textId="77777777" w:rsidR="00F41AA2" w:rsidRPr="00213F66" w:rsidRDefault="00F41AA2" w:rsidP="00F41AA2">
      <w:pPr>
        <w:pStyle w:val="ListParagraph"/>
        <w:numPr>
          <w:ilvl w:val="0"/>
          <w:numId w:val="2"/>
        </w:numPr>
        <w:spacing w:after="200" w:line="240" w:lineRule="auto"/>
        <w:contextualSpacing/>
        <w:jc w:val="both"/>
        <w:rPr>
          <w:rFonts w:ascii="Arial" w:eastAsia="Calibri" w:hAnsi="Arial" w:cs="Arial"/>
          <w:b/>
          <w:sz w:val="20"/>
          <w:szCs w:val="20"/>
        </w:rPr>
      </w:pPr>
      <w:r w:rsidRPr="00213F66">
        <w:rPr>
          <w:rFonts w:ascii="Arial" w:eastAsia="Calibri" w:hAnsi="Arial" w:cs="Arial"/>
          <w:b/>
          <w:sz w:val="20"/>
          <w:szCs w:val="20"/>
        </w:rPr>
        <w:t xml:space="preserve">Wagner’s Test: </w:t>
      </w:r>
      <w:r w:rsidRPr="00213F66">
        <w:rPr>
          <w:rFonts w:ascii="Arial" w:eastAsia="Calibri" w:hAnsi="Arial" w:cs="Arial"/>
          <w:sz w:val="20"/>
          <w:szCs w:val="20"/>
        </w:rPr>
        <w:t>1-2 mL of Wagner’s reagent was added to 1.0 mL of the sample. Alkaloids produced a brown to reddish-brown precipitate with this reagent.</w:t>
      </w:r>
    </w:p>
    <w:p w14:paraId="5C34A3C6" w14:textId="77777777" w:rsidR="00767425" w:rsidRPr="00213F66" w:rsidRDefault="00767425" w:rsidP="005818A5">
      <w:pPr>
        <w:pStyle w:val="ListParagraph"/>
        <w:numPr>
          <w:ilvl w:val="0"/>
          <w:numId w:val="2"/>
        </w:numPr>
        <w:spacing w:after="200" w:line="240" w:lineRule="auto"/>
        <w:contextualSpacing/>
        <w:jc w:val="both"/>
        <w:rPr>
          <w:rFonts w:ascii="Arial" w:eastAsia="Calibri" w:hAnsi="Arial" w:cs="Arial"/>
          <w:b/>
          <w:sz w:val="20"/>
          <w:szCs w:val="20"/>
        </w:rPr>
      </w:pPr>
      <w:r w:rsidRPr="00213F66">
        <w:rPr>
          <w:rFonts w:ascii="Arial" w:eastAsia="Calibri" w:hAnsi="Arial" w:cs="Arial"/>
          <w:b/>
          <w:sz w:val="20"/>
          <w:szCs w:val="20"/>
        </w:rPr>
        <w:t>Mayer</w:t>
      </w:r>
      <w:r w:rsidR="00A2618B" w:rsidRPr="00213F66">
        <w:rPr>
          <w:rFonts w:ascii="Arial" w:eastAsia="Calibri" w:hAnsi="Arial" w:cs="Arial"/>
          <w:b/>
          <w:sz w:val="20"/>
          <w:szCs w:val="20"/>
        </w:rPr>
        <w:t xml:space="preserve">’s Test: </w:t>
      </w:r>
      <w:r w:rsidR="00A2618B" w:rsidRPr="00213F66">
        <w:rPr>
          <w:rFonts w:ascii="Arial" w:eastAsia="Calibri" w:hAnsi="Arial" w:cs="Arial"/>
          <w:sz w:val="20"/>
          <w:szCs w:val="20"/>
        </w:rPr>
        <w:t>Mayer reagent (1.0 mL)</w:t>
      </w:r>
      <w:r w:rsidR="00A2618B" w:rsidRPr="00213F66">
        <w:rPr>
          <w:rFonts w:ascii="Arial" w:eastAsia="Calibri" w:hAnsi="Arial" w:cs="Arial"/>
          <w:b/>
          <w:sz w:val="20"/>
          <w:szCs w:val="20"/>
        </w:rPr>
        <w:t xml:space="preserve"> </w:t>
      </w:r>
      <w:r w:rsidR="00A2618B" w:rsidRPr="00213F66">
        <w:rPr>
          <w:rFonts w:ascii="Arial" w:eastAsia="Calibri" w:hAnsi="Arial" w:cs="Arial"/>
          <w:sz w:val="20"/>
          <w:szCs w:val="20"/>
        </w:rPr>
        <w:t>was added to 1</w:t>
      </w:r>
      <w:r w:rsidR="005818A5" w:rsidRPr="00213F66">
        <w:rPr>
          <w:rFonts w:ascii="Arial" w:eastAsia="Calibri" w:hAnsi="Arial" w:cs="Arial"/>
          <w:sz w:val="20"/>
          <w:szCs w:val="20"/>
        </w:rPr>
        <w:t>.0</w:t>
      </w:r>
      <w:r w:rsidR="00A2618B" w:rsidRPr="00213F66">
        <w:rPr>
          <w:rFonts w:ascii="Arial" w:eastAsia="Calibri" w:hAnsi="Arial" w:cs="Arial"/>
          <w:sz w:val="20"/>
          <w:szCs w:val="20"/>
        </w:rPr>
        <w:t xml:space="preserve"> m</w:t>
      </w:r>
      <w:r w:rsidR="005818A5" w:rsidRPr="00213F66">
        <w:rPr>
          <w:rFonts w:ascii="Arial" w:eastAsia="Calibri" w:hAnsi="Arial" w:cs="Arial"/>
          <w:sz w:val="20"/>
          <w:szCs w:val="20"/>
        </w:rPr>
        <w:t>L</w:t>
      </w:r>
      <w:r w:rsidR="00A2618B" w:rsidRPr="00213F66">
        <w:rPr>
          <w:rFonts w:ascii="Arial" w:eastAsia="Calibri" w:hAnsi="Arial" w:cs="Arial"/>
          <w:sz w:val="20"/>
          <w:szCs w:val="20"/>
        </w:rPr>
        <w:t xml:space="preserve"> of the sample. Alkaloids produced a white to pale-yellow precipitate with this reagent.</w:t>
      </w:r>
    </w:p>
    <w:p w14:paraId="6A7BD50B" w14:textId="77777777" w:rsidR="00F41AA2" w:rsidRPr="00213F66" w:rsidRDefault="004A097D" w:rsidP="00F41AA2">
      <w:pPr>
        <w:spacing w:line="240" w:lineRule="auto"/>
        <w:jc w:val="both"/>
        <w:rPr>
          <w:rFonts w:ascii="Arial" w:eastAsia="Calibri" w:hAnsi="Arial" w:cs="Arial"/>
          <w:i/>
          <w:sz w:val="20"/>
          <w:szCs w:val="20"/>
        </w:rPr>
      </w:pPr>
      <w:r w:rsidRPr="00213F66">
        <w:rPr>
          <w:rFonts w:ascii="Arial" w:eastAsia="Calibri" w:hAnsi="Arial" w:cs="Arial"/>
          <w:b/>
          <w:i/>
          <w:sz w:val="20"/>
          <w:szCs w:val="20"/>
        </w:rPr>
        <w:t xml:space="preserve">2.4.1.2 </w:t>
      </w:r>
      <w:r w:rsidR="00F41AA2" w:rsidRPr="00213F66">
        <w:rPr>
          <w:rFonts w:ascii="Arial" w:eastAsia="Calibri" w:hAnsi="Arial" w:cs="Arial"/>
          <w:b/>
          <w:i/>
          <w:sz w:val="20"/>
          <w:szCs w:val="20"/>
        </w:rPr>
        <w:t>Tannin</w:t>
      </w:r>
    </w:p>
    <w:p w14:paraId="2BA8F957" w14:textId="77777777" w:rsidR="00F41AA2" w:rsidRPr="00213F66" w:rsidRDefault="00F41AA2" w:rsidP="00F41AA2">
      <w:pPr>
        <w:pStyle w:val="ListParagraph"/>
        <w:numPr>
          <w:ilvl w:val="0"/>
          <w:numId w:val="3"/>
        </w:numPr>
        <w:spacing w:after="200" w:line="240" w:lineRule="auto"/>
        <w:contextualSpacing/>
        <w:jc w:val="both"/>
        <w:rPr>
          <w:rFonts w:ascii="Arial" w:eastAsia="Calibri" w:hAnsi="Arial" w:cs="Arial"/>
          <w:sz w:val="20"/>
          <w:szCs w:val="20"/>
        </w:rPr>
      </w:pPr>
      <w:r w:rsidRPr="00213F66">
        <w:rPr>
          <w:rFonts w:ascii="Arial" w:eastAsia="Calibri" w:hAnsi="Arial" w:cs="Arial"/>
          <w:b/>
          <w:sz w:val="20"/>
          <w:szCs w:val="20"/>
        </w:rPr>
        <w:t xml:space="preserve">Ferric chloride test: </w:t>
      </w:r>
      <w:r w:rsidRPr="00213F66">
        <w:rPr>
          <w:rFonts w:ascii="Arial" w:eastAsia="Calibri" w:hAnsi="Arial" w:cs="Arial"/>
          <w:sz w:val="20"/>
          <w:szCs w:val="20"/>
        </w:rPr>
        <w:t xml:space="preserve">Freshly prepared ferric chloride solution (0.5 mL) was added to the test sample solution (1.0 mL). The blue </w:t>
      </w:r>
      <w:proofErr w:type="spellStart"/>
      <w:r w:rsidRPr="00213F66">
        <w:rPr>
          <w:rFonts w:ascii="Arial" w:eastAsia="Calibri" w:hAnsi="Arial" w:cs="Arial"/>
          <w:sz w:val="20"/>
          <w:szCs w:val="20"/>
        </w:rPr>
        <w:t>colour</w:t>
      </w:r>
      <w:proofErr w:type="spellEnd"/>
      <w:r w:rsidRPr="00213F66">
        <w:rPr>
          <w:rFonts w:ascii="Arial" w:eastAsia="Calibri" w:hAnsi="Arial" w:cs="Arial"/>
          <w:sz w:val="20"/>
          <w:szCs w:val="20"/>
        </w:rPr>
        <w:t xml:space="preserve"> indicate</w:t>
      </w:r>
      <w:r w:rsidR="005818A5" w:rsidRPr="00213F66">
        <w:rPr>
          <w:rFonts w:ascii="Arial" w:eastAsia="Calibri" w:hAnsi="Arial" w:cs="Arial"/>
          <w:sz w:val="20"/>
          <w:szCs w:val="20"/>
        </w:rPr>
        <w:t>d</w:t>
      </w:r>
      <w:r w:rsidRPr="00213F66">
        <w:rPr>
          <w:rFonts w:ascii="Arial" w:eastAsia="Calibri" w:hAnsi="Arial" w:cs="Arial"/>
          <w:sz w:val="20"/>
          <w:szCs w:val="20"/>
        </w:rPr>
        <w:t xml:space="preserve"> the presence of hydrolysable tannins. Condensed tannins produce</w:t>
      </w:r>
      <w:r w:rsidR="005818A5" w:rsidRPr="00213F66">
        <w:rPr>
          <w:rFonts w:ascii="Arial" w:eastAsia="Calibri" w:hAnsi="Arial" w:cs="Arial"/>
          <w:sz w:val="20"/>
          <w:szCs w:val="20"/>
        </w:rPr>
        <w:t>d</w:t>
      </w:r>
      <w:r w:rsidRPr="00213F66">
        <w:rPr>
          <w:rFonts w:ascii="Arial" w:eastAsia="Calibri" w:hAnsi="Arial" w:cs="Arial"/>
          <w:sz w:val="20"/>
          <w:szCs w:val="20"/>
        </w:rPr>
        <w:t xml:space="preserve"> a green </w:t>
      </w:r>
      <w:proofErr w:type="spellStart"/>
      <w:r w:rsidRPr="00213F66">
        <w:rPr>
          <w:rFonts w:ascii="Arial" w:eastAsia="Calibri" w:hAnsi="Arial" w:cs="Arial"/>
          <w:sz w:val="20"/>
          <w:szCs w:val="20"/>
        </w:rPr>
        <w:t>colour</w:t>
      </w:r>
      <w:proofErr w:type="spellEnd"/>
      <w:r w:rsidRPr="00213F66">
        <w:rPr>
          <w:rFonts w:ascii="Arial" w:eastAsia="Calibri" w:hAnsi="Arial" w:cs="Arial"/>
          <w:sz w:val="20"/>
          <w:szCs w:val="20"/>
        </w:rPr>
        <w:t>.</w:t>
      </w:r>
    </w:p>
    <w:p w14:paraId="0C723921" w14:textId="77777777" w:rsidR="005818A5" w:rsidRPr="00213F66" w:rsidRDefault="004A097D" w:rsidP="005818A5">
      <w:pPr>
        <w:spacing w:after="200" w:line="240" w:lineRule="auto"/>
        <w:contextualSpacing/>
        <w:jc w:val="both"/>
        <w:rPr>
          <w:rFonts w:ascii="Arial" w:hAnsi="Arial" w:cs="Arial"/>
          <w:b/>
          <w:bCs/>
          <w:i/>
          <w:sz w:val="20"/>
          <w:szCs w:val="20"/>
        </w:rPr>
      </w:pPr>
      <w:r w:rsidRPr="00213F66">
        <w:rPr>
          <w:rFonts w:ascii="Arial" w:hAnsi="Arial" w:cs="Arial"/>
          <w:b/>
          <w:bCs/>
          <w:i/>
          <w:sz w:val="20"/>
          <w:szCs w:val="20"/>
        </w:rPr>
        <w:t xml:space="preserve">2.4.1.3 </w:t>
      </w:r>
      <w:proofErr w:type="spellStart"/>
      <w:r w:rsidR="005818A5" w:rsidRPr="00213F66">
        <w:rPr>
          <w:rFonts w:ascii="Arial" w:hAnsi="Arial" w:cs="Arial"/>
          <w:b/>
          <w:bCs/>
          <w:i/>
          <w:sz w:val="20"/>
          <w:szCs w:val="20"/>
        </w:rPr>
        <w:t>Phlobotannins</w:t>
      </w:r>
      <w:proofErr w:type="spellEnd"/>
    </w:p>
    <w:p w14:paraId="15065526" w14:textId="77777777" w:rsidR="005818A5" w:rsidRPr="00213F66" w:rsidRDefault="005818A5" w:rsidP="00B20396">
      <w:pPr>
        <w:pStyle w:val="ListParagraph"/>
        <w:numPr>
          <w:ilvl w:val="0"/>
          <w:numId w:val="7"/>
        </w:numPr>
        <w:jc w:val="both"/>
        <w:rPr>
          <w:rFonts w:ascii="Arial" w:hAnsi="Arial" w:cs="Arial"/>
          <w:sz w:val="20"/>
          <w:szCs w:val="20"/>
        </w:rPr>
      </w:pPr>
      <w:r w:rsidRPr="00213F66">
        <w:rPr>
          <w:rFonts w:ascii="Arial" w:hAnsi="Arial" w:cs="Arial"/>
          <w:b/>
          <w:bCs/>
          <w:sz w:val="20"/>
          <w:szCs w:val="20"/>
        </w:rPr>
        <w:t>Acid test:</w:t>
      </w:r>
      <w:r w:rsidRPr="00213F66">
        <w:rPr>
          <w:rFonts w:ascii="Arial" w:hAnsi="Arial" w:cs="Arial"/>
          <w:sz w:val="20"/>
          <w:szCs w:val="20"/>
        </w:rPr>
        <w:t xml:space="preserve"> </w:t>
      </w:r>
      <w:r w:rsidR="0043256E" w:rsidRPr="00213F66">
        <w:rPr>
          <w:rFonts w:ascii="Arial" w:hAnsi="Arial" w:cs="Arial"/>
          <w:sz w:val="20"/>
          <w:szCs w:val="20"/>
        </w:rPr>
        <w:t>About 2.0 mL of 1</w:t>
      </w:r>
      <w:r w:rsidR="00AE13B4" w:rsidRPr="00213F66">
        <w:rPr>
          <w:rFonts w:ascii="Arial" w:hAnsi="Arial" w:cs="Arial"/>
          <w:sz w:val="20"/>
          <w:szCs w:val="20"/>
        </w:rPr>
        <w:t xml:space="preserve"> </w:t>
      </w:r>
      <w:r w:rsidR="0043256E" w:rsidRPr="00213F66">
        <w:rPr>
          <w:rFonts w:ascii="Arial" w:hAnsi="Arial" w:cs="Arial"/>
          <w:sz w:val="20"/>
          <w:szCs w:val="20"/>
        </w:rPr>
        <w:t>% hydrochloric acid was added to 3.0 mL e</w:t>
      </w:r>
      <w:r w:rsidR="00880F83" w:rsidRPr="00213F66">
        <w:rPr>
          <w:rFonts w:ascii="Arial" w:hAnsi="Arial" w:cs="Arial"/>
          <w:sz w:val="20"/>
          <w:szCs w:val="20"/>
        </w:rPr>
        <w:t xml:space="preserve">xtract. Red </w:t>
      </w:r>
      <w:proofErr w:type="spellStart"/>
      <w:r w:rsidR="00880F83" w:rsidRPr="00213F66">
        <w:rPr>
          <w:rFonts w:ascii="Arial" w:hAnsi="Arial" w:cs="Arial"/>
          <w:sz w:val="20"/>
          <w:szCs w:val="20"/>
        </w:rPr>
        <w:t>coloured</w:t>
      </w:r>
      <w:proofErr w:type="spellEnd"/>
      <w:r w:rsidR="00880F83" w:rsidRPr="00213F66">
        <w:rPr>
          <w:rFonts w:ascii="Arial" w:hAnsi="Arial" w:cs="Arial"/>
          <w:sz w:val="20"/>
          <w:szCs w:val="20"/>
        </w:rPr>
        <w:t xml:space="preserve"> </w:t>
      </w:r>
      <w:r w:rsidR="00B20396" w:rsidRPr="00213F66">
        <w:rPr>
          <w:rFonts w:ascii="Arial" w:hAnsi="Arial" w:cs="Arial"/>
          <w:sz w:val="20"/>
          <w:szCs w:val="20"/>
        </w:rPr>
        <w:t>precipitate indicated</w:t>
      </w:r>
      <w:r w:rsidR="00880F83" w:rsidRPr="00213F66">
        <w:rPr>
          <w:rFonts w:ascii="Arial" w:hAnsi="Arial" w:cs="Arial"/>
          <w:sz w:val="20"/>
          <w:szCs w:val="20"/>
        </w:rPr>
        <w:t xml:space="preserve"> the presence of </w:t>
      </w:r>
      <w:proofErr w:type="spellStart"/>
      <w:r w:rsidR="00880F83" w:rsidRPr="00213F66">
        <w:rPr>
          <w:rFonts w:ascii="Arial" w:hAnsi="Arial" w:cs="Arial"/>
          <w:sz w:val="20"/>
          <w:szCs w:val="20"/>
        </w:rPr>
        <w:t>phlobotannins</w:t>
      </w:r>
      <w:proofErr w:type="spellEnd"/>
      <w:r w:rsidR="00D15527" w:rsidRPr="00213F66">
        <w:rPr>
          <w:rFonts w:ascii="Arial" w:hAnsi="Arial" w:cs="Arial"/>
          <w:sz w:val="20"/>
          <w:szCs w:val="20"/>
        </w:rPr>
        <w:t>.</w:t>
      </w:r>
    </w:p>
    <w:p w14:paraId="2EFD4216" w14:textId="77777777" w:rsidR="00B20396" w:rsidRPr="00213F66" w:rsidRDefault="00B20396" w:rsidP="00B20396">
      <w:pPr>
        <w:pStyle w:val="ListParagraph"/>
        <w:numPr>
          <w:ilvl w:val="0"/>
          <w:numId w:val="7"/>
        </w:numPr>
        <w:jc w:val="both"/>
        <w:rPr>
          <w:rFonts w:ascii="Arial" w:hAnsi="Arial" w:cs="Arial"/>
          <w:sz w:val="20"/>
          <w:szCs w:val="20"/>
        </w:rPr>
      </w:pPr>
      <w:r w:rsidRPr="00213F66">
        <w:rPr>
          <w:rFonts w:ascii="Arial" w:hAnsi="Arial" w:cs="Arial"/>
          <w:b/>
          <w:bCs/>
          <w:sz w:val="20"/>
          <w:szCs w:val="20"/>
        </w:rPr>
        <w:t xml:space="preserve">Lead acetate test: </w:t>
      </w:r>
      <w:r w:rsidRPr="00213F66">
        <w:rPr>
          <w:rFonts w:ascii="Arial" w:hAnsi="Arial" w:cs="Arial"/>
          <w:bCs/>
          <w:sz w:val="20"/>
          <w:szCs w:val="20"/>
        </w:rPr>
        <w:t>Few drops (about</w:t>
      </w:r>
      <w:r w:rsidRPr="00213F66">
        <w:rPr>
          <w:rFonts w:ascii="Arial" w:hAnsi="Arial" w:cs="Arial"/>
          <w:b/>
          <w:bCs/>
          <w:sz w:val="20"/>
          <w:szCs w:val="20"/>
        </w:rPr>
        <w:t xml:space="preserve"> </w:t>
      </w:r>
      <w:r w:rsidRPr="00213F66">
        <w:rPr>
          <w:rFonts w:ascii="Arial" w:hAnsi="Arial" w:cs="Arial"/>
          <w:sz w:val="20"/>
          <w:szCs w:val="20"/>
        </w:rPr>
        <w:t xml:space="preserve">3 drops) of 5 % lead acetate </w:t>
      </w:r>
      <w:proofErr w:type="gramStart"/>
      <w:r w:rsidRPr="00213F66">
        <w:rPr>
          <w:rFonts w:ascii="Arial" w:hAnsi="Arial" w:cs="Arial"/>
          <w:sz w:val="20"/>
          <w:szCs w:val="20"/>
        </w:rPr>
        <w:t>was</w:t>
      </w:r>
      <w:proofErr w:type="gramEnd"/>
      <w:r w:rsidRPr="00213F66">
        <w:rPr>
          <w:rFonts w:ascii="Arial" w:hAnsi="Arial" w:cs="Arial"/>
          <w:sz w:val="20"/>
          <w:szCs w:val="20"/>
        </w:rPr>
        <w:t xml:space="preserve"> added to 2.0 mL of the extract. A dark precipitate indicated the presence of phlobotannins.</w:t>
      </w:r>
    </w:p>
    <w:p w14:paraId="44DD1112" w14:textId="77777777" w:rsidR="004A097D" w:rsidRPr="00213F66" w:rsidRDefault="004A097D" w:rsidP="004A097D">
      <w:pPr>
        <w:pStyle w:val="ListParagraph"/>
        <w:jc w:val="both"/>
        <w:rPr>
          <w:rFonts w:ascii="Arial" w:hAnsi="Arial" w:cs="Arial"/>
          <w:sz w:val="20"/>
          <w:szCs w:val="20"/>
        </w:rPr>
      </w:pPr>
    </w:p>
    <w:p w14:paraId="6FE4B986" w14:textId="77777777" w:rsidR="00F41AA2" w:rsidRPr="00213F66" w:rsidRDefault="004A097D" w:rsidP="00F41AA2">
      <w:pPr>
        <w:spacing w:line="240" w:lineRule="auto"/>
        <w:jc w:val="both"/>
        <w:rPr>
          <w:rFonts w:ascii="Arial" w:eastAsia="Calibri" w:hAnsi="Arial" w:cs="Arial"/>
          <w:b/>
          <w:i/>
          <w:sz w:val="20"/>
          <w:szCs w:val="20"/>
        </w:rPr>
      </w:pPr>
      <w:r w:rsidRPr="00213F66">
        <w:rPr>
          <w:rFonts w:ascii="Arial" w:eastAsia="Calibri" w:hAnsi="Arial" w:cs="Arial"/>
          <w:b/>
          <w:i/>
          <w:sz w:val="20"/>
          <w:szCs w:val="20"/>
        </w:rPr>
        <w:t xml:space="preserve">2.4.1.4 </w:t>
      </w:r>
      <w:r w:rsidR="00F41AA2" w:rsidRPr="00213F66">
        <w:rPr>
          <w:rFonts w:ascii="Arial" w:eastAsia="Calibri" w:hAnsi="Arial" w:cs="Arial"/>
          <w:b/>
          <w:i/>
          <w:sz w:val="20"/>
          <w:szCs w:val="20"/>
        </w:rPr>
        <w:t xml:space="preserve">Carbohydrate </w:t>
      </w:r>
    </w:p>
    <w:p w14:paraId="34AE4FA7" w14:textId="77777777" w:rsidR="00F41AA2" w:rsidRPr="00213F66" w:rsidRDefault="00F41AA2" w:rsidP="00F41AA2">
      <w:pPr>
        <w:spacing w:line="240" w:lineRule="auto"/>
        <w:ind w:left="720" w:hanging="360"/>
        <w:jc w:val="both"/>
        <w:rPr>
          <w:rFonts w:ascii="Arial" w:eastAsia="Calibri" w:hAnsi="Arial" w:cs="Arial"/>
          <w:b/>
          <w:sz w:val="20"/>
          <w:szCs w:val="20"/>
        </w:rPr>
      </w:pPr>
      <w:r w:rsidRPr="00213F66">
        <w:rPr>
          <w:rFonts w:ascii="Arial" w:eastAsia="Calibri" w:hAnsi="Arial" w:cs="Arial"/>
          <w:b/>
          <w:sz w:val="20"/>
          <w:szCs w:val="20"/>
        </w:rPr>
        <w:t xml:space="preserve">(a) Molisch’s Test: </w:t>
      </w:r>
      <w:r w:rsidRPr="00213F66">
        <w:rPr>
          <w:rFonts w:ascii="Arial" w:eastAsia="Calibri" w:hAnsi="Arial" w:cs="Arial"/>
          <w:sz w:val="20"/>
          <w:szCs w:val="20"/>
        </w:rPr>
        <w:t xml:space="preserve">A few drops of an alcoholic solution of α-naphthol were added to 1.0 mL of an aqueous solution of the plant sample. When sulfuric acid (2.0 mL) was added along the side of the test tube, a purple ring was formed at the junction below the aqueous layer, indicating the presence of sugars. The test was positive for polysaccharides and glycosides. </w:t>
      </w:r>
    </w:p>
    <w:p w14:paraId="1E328AD1" w14:textId="77777777" w:rsidR="00F41AA2" w:rsidRPr="00213F66" w:rsidRDefault="00F41AA2" w:rsidP="00F41AA2">
      <w:pPr>
        <w:spacing w:line="240" w:lineRule="auto"/>
        <w:ind w:left="720" w:hanging="360"/>
        <w:jc w:val="both"/>
        <w:rPr>
          <w:rFonts w:ascii="Arial" w:eastAsia="Calibri" w:hAnsi="Arial" w:cs="Arial"/>
          <w:b/>
          <w:sz w:val="20"/>
          <w:szCs w:val="20"/>
        </w:rPr>
      </w:pPr>
      <w:r w:rsidRPr="00213F66">
        <w:rPr>
          <w:rFonts w:ascii="Arial" w:eastAsia="Calibri" w:hAnsi="Arial" w:cs="Arial"/>
          <w:b/>
          <w:sz w:val="20"/>
          <w:szCs w:val="20"/>
        </w:rPr>
        <w:lastRenderedPageBreak/>
        <w:t xml:space="preserve">(b) Fehling’s Solution Test: </w:t>
      </w:r>
      <w:r w:rsidRPr="00213F66">
        <w:rPr>
          <w:rFonts w:ascii="Arial" w:eastAsia="Calibri" w:hAnsi="Arial" w:cs="Arial"/>
          <w:sz w:val="20"/>
          <w:szCs w:val="20"/>
        </w:rPr>
        <w:t>Equal volumes of Fehling’s solutions A and B were added to a dilute solution of the test sample and heated for 15 min in a water bath. A brick-red precipitate of cuprous oxide was produced, indicating the presence of reducing sugars.</w:t>
      </w:r>
    </w:p>
    <w:p w14:paraId="140442E7" w14:textId="77777777" w:rsidR="00F41AA2" w:rsidRPr="00213F66" w:rsidRDefault="00FD256E" w:rsidP="00F41AA2">
      <w:pPr>
        <w:spacing w:line="240" w:lineRule="auto"/>
        <w:jc w:val="both"/>
        <w:rPr>
          <w:rFonts w:ascii="Arial" w:eastAsia="Calibri" w:hAnsi="Arial" w:cs="Arial"/>
          <w:b/>
          <w:i/>
          <w:sz w:val="20"/>
          <w:szCs w:val="20"/>
        </w:rPr>
      </w:pPr>
      <w:r w:rsidRPr="00213F66">
        <w:rPr>
          <w:rFonts w:ascii="Arial" w:eastAsia="Calibri" w:hAnsi="Arial" w:cs="Arial"/>
          <w:b/>
          <w:i/>
          <w:sz w:val="20"/>
          <w:szCs w:val="20"/>
        </w:rPr>
        <w:t xml:space="preserve">2.4.1.5 </w:t>
      </w:r>
      <w:r w:rsidR="00F41AA2" w:rsidRPr="00213F66">
        <w:rPr>
          <w:rFonts w:ascii="Arial" w:eastAsia="Calibri" w:hAnsi="Arial" w:cs="Arial"/>
          <w:b/>
          <w:i/>
          <w:sz w:val="20"/>
          <w:szCs w:val="20"/>
        </w:rPr>
        <w:t>Flavonoids</w:t>
      </w:r>
    </w:p>
    <w:p w14:paraId="02875CA2" w14:textId="77777777" w:rsidR="00AD1710" w:rsidRPr="00213F66" w:rsidRDefault="000E295F" w:rsidP="00E57F4A">
      <w:pPr>
        <w:pStyle w:val="ListParagraph"/>
        <w:numPr>
          <w:ilvl w:val="0"/>
          <w:numId w:val="4"/>
        </w:numPr>
        <w:jc w:val="both"/>
        <w:rPr>
          <w:rFonts w:ascii="Arial" w:hAnsi="Arial" w:cs="Arial"/>
          <w:sz w:val="20"/>
          <w:szCs w:val="20"/>
        </w:rPr>
      </w:pPr>
      <w:r w:rsidRPr="00213F66">
        <w:rPr>
          <w:rFonts w:ascii="Arial" w:hAnsi="Arial" w:cs="Arial"/>
          <w:b/>
          <w:bCs/>
          <w:sz w:val="20"/>
          <w:szCs w:val="20"/>
        </w:rPr>
        <w:t xml:space="preserve">Shinoda test: </w:t>
      </w:r>
      <w:r w:rsidRPr="00213F66">
        <w:rPr>
          <w:rFonts w:ascii="Arial" w:hAnsi="Arial" w:cs="Arial"/>
          <w:sz w:val="20"/>
          <w:szCs w:val="20"/>
        </w:rPr>
        <w:t>Magnesium turnings were added to the plant extract followed by two drops of concentrated H</w:t>
      </w:r>
      <w:r w:rsidRPr="00213F66">
        <w:rPr>
          <w:rFonts w:ascii="Arial" w:hAnsi="Arial" w:cs="Arial"/>
          <w:sz w:val="20"/>
          <w:szCs w:val="20"/>
          <w:vertAlign w:val="subscript"/>
        </w:rPr>
        <w:t>2</w:t>
      </w:r>
      <w:r w:rsidRPr="00213F66">
        <w:rPr>
          <w:rFonts w:ascii="Arial" w:hAnsi="Arial" w:cs="Arial"/>
          <w:sz w:val="20"/>
          <w:szCs w:val="20"/>
        </w:rPr>
        <w:t>SO</w:t>
      </w:r>
      <w:r w:rsidRPr="00213F66">
        <w:rPr>
          <w:rFonts w:ascii="Arial" w:hAnsi="Arial" w:cs="Arial"/>
          <w:sz w:val="20"/>
          <w:szCs w:val="20"/>
          <w:vertAlign w:val="subscript"/>
        </w:rPr>
        <w:t>4</w:t>
      </w:r>
      <w:r w:rsidRPr="00213F66">
        <w:rPr>
          <w:rFonts w:ascii="Arial" w:hAnsi="Arial" w:cs="Arial"/>
          <w:sz w:val="20"/>
          <w:szCs w:val="20"/>
        </w:rPr>
        <w:t>. Pink colour indicated the presence of flavonoid in the extract.</w:t>
      </w:r>
    </w:p>
    <w:p w14:paraId="1DF9559F" w14:textId="77777777" w:rsidR="00F41AA2" w:rsidRPr="00213F66" w:rsidRDefault="00F41AA2" w:rsidP="00F41AA2">
      <w:pPr>
        <w:pStyle w:val="ListParagraph"/>
        <w:numPr>
          <w:ilvl w:val="0"/>
          <w:numId w:val="4"/>
        </w:numPr>
        <w:spacing w:after="200" w:line="240" w:lineRule="auto"/>
        <w:contextualSpacing/>
        <w:jc w:val="both"/>
        <w:rPr>
          <w:rFonts w:ascii="Arial" w:eastAsia="Calibri" w:hAnsi="Arial" w:cs="Arial"/>
          <w:sz w:val="20"/>
          <w:szCs w:val="20"/>
        </w:rPr>
      </w:pPr>
      <w:r w:rsidRPr="00213F66">
        <w:rPr>
          <w:rFonts w:ascii="Arial" w:eastAsia="Calibri" w:hAnsi="Arial" w:cs="Arial"/>
          <w:b/>
          <w:sz w:val="20"/>
          <w:szCs w:val="20"/>
        </w:rPr>
        <w:t xml:space="preserve">Alkali Test: </w:t>
      </w:r>
      <w:r w:rsidRPr="00213F66">
        <w:rPr>
          <w:rFonts w:ascii="Arial" w:eastAsia="Calibri" w:hAnsi="Arial" w:cs="Arial"/>
          <w:sz w:val="20"/>
          <w:szCs w:val="20"/>
        </w:rPr>
        <w:t xml:space="preserve">The sample (1.0 mL) was dissolved in dilute NaOH (5.0 mL), followed by the addition of excess dilute HCl dropwise. The presence of flavonoids was indicated by a </w:t>
      </w:r>
      <w:proofErr w:type="spellStart"/>
      <w:r w:rsidRPr="00213F66">
        <w:rPr>
          <w:rFonts w:ascii="Arial" w:eastAsia="Calibri" w:hAnsi="Arial" w:cs="Arial"/>
          <w:sz w:val="20"/>
          <w:szCs w:val="20"/>
        </w:rPr>
        <w:t>colour</w:t>
      </w:r>
      <w:proofErr w:type="spellEnd"/>
      <w:r w:rsidRPr="00213F66">
        <w:rPr>
          <w:rFonts w:ascii="Arial" w:eastAsia="Calibri" w:hAnsi="Arial" w:cs="Arial"/>
          <w:sz w:val="20"/>
          <w:szCs w:val="20"/>
        </w:rPr>
        <w:t xml:space="preserve"> change of the original solution to orange, yellow, or violet, and became </w:t>
      </w:r>
      <w:proofErr w:type="spellStart"/>
      <w:r w:rsidRPr="00213F66">
        <w:rPr>
          <w:rFonts w:ascii="Arial" w:eastAsia="Calibri" w:hAnsi="Arial" w:cs="Arial"/>
          <w:sz w:val="20"/>
          <w:szCs w:val="20"/>
        </w:rPr>
        <w:t>colourless</w:t>
      </w:r>
      <w:proofErr w:type="spellEnd"/>
      <w:r w:rsidRPr="00213F66">
        <w:rPr>
          <w:rFonts w:ascii="Arial" w:eastAsia="Calibri" w:hAnsi="Arial" w:cs="Arial"/>
          <w:sz w:val="20"/>
          <w:szCs w:val="20"/>
        </w:rPr>
        <w:t xml:space="preserve"> with the addition of dilute HCl.</w:t>
      </w:r>
    </w:p>
    <w:p w14:paraId="01567309" w14:textId="77777777" w:rsidR="00E57F4A" w:rsidRPr="00213F66" w:rsidRDefault="00E57F4A" w:rsidP="00F41AA2">
      <w:pPr>
        <w:pStyle w:val="ListParagraph"/>
        <w:numPr>
          <w:ilvl w:val="0"/>
          <w:numId w:val="4"/>
        </w:numPr>
        <w:spacing w:after="200" w:line="240" w:lineRule="auto"/>
        <w:contextualSpacing/>
        <w:jc w:val="both"/>
        <w:rPr>
          <w:rFonts w:ascii="Arial" w:eastAsia="Calibri" w:hAnsi="Arial" w:cs="Arial"/>
          <w:sz w:val="20"/>
          <w:szCs w:val="20"/>
        </w:rPr>
      </w:pPr>
      <w:r w:rsidRPr="00213F66">
        <w:rPr>
          <w:rFonts w:ascii="Arial" w:hAnsi="Arial" w:cs="Arial"/>
          <w:b/>
          <w:sz w:val="20"/>
          <w:szCs w:val="20"/>
        </w:rPr>
        <w:t xml:space="preserve">Zinc dust test: </w:t>
      </w:r>
      <w:r w:rsidRPr="00213F66">
        <w:rPr>
          <w:rFonts w:ascii="Arial" w:hAnsi="Arial" w:cs="Arial"/>
          <w:sz w:val="20"/>
          <w:szCs w:val="20"/>
        </w:rPr>
        <w:t>A small amount of zinc dust was added to the extract followed by Conc. HCl. The solution turned red, indicating the presence of flavonoids.</w:t>
      </w:r>
    </w:p>
    <w:p w14:paraId="6C87C236" w14:textId="77777777" w:rsidR="00F41AA2" w:rsidRPr="00213F66" w:rsidRDefault="00FD256E" w:rsidP="00F41AA2">
      <w:pPr>
        <w:spacing w:line="240" w:lineRule="auto"/>
        <w:jc w:val="both"/>
        <w:rPr>
          <w:rFonts w:ascii="Arial" w:eastAsia="Calibri" w:hAnsi="Arial" w:cs="Arial"/>
          <w:b/>
          <w:i/>
          <w:sz w:val="20"/>
          <w:szCs w:val="20"/>
        </w:rPr>
      </w:pPr>
      <w:r w:rsidRPr="00213F66">
        <w:rPr>
          <w:rFonts w:ascii="Arial" w:eastAsia="Calibri" w:hAnsi="Arial" w:cs="Arial"/>
          <w:b/>
          <w:i/>
          <w:sz w:val="20"/>
          <w:szCs w:val="20"/>
        </w:rPr>
        <w:t xml:space="preserve">2.4.1.6 </w:t>
      </w:r>
      <w:r w:rsidR="00F41AA2" w:rsidRPr="00213F66">
        <w:rPr>
          <w:rFonts w:ascii="Arial" w:eastAsia="Calibri" w:hAnsi="Arial" w:cs="Arial"/>
          <w:b/>
          <w:i/>
          <w:sz w:val="20"/>
          <w:szCs w:val="20"/>
        </w:rPr>
        <w:t>Saponin</w:t>
      </w:r>
    </w:p>
    <w:p w14:paraId="2F327653" w14:textId="77777777" w:rsidR="00F41AA2" w:rsidRPr="00213F66" w:rsidRDefault="00F41AA2" w:rsidP="00962887">
      <w:pPr>
        <w:pStyle w:val="ListParagraph"/>
        <w:numPr>
          <w:ilvl w:val="0"/>
          <w:numId w:val="8"/>
        </w:numPr>
        <w:spacing w:line="240" w:lineRule="auto"/>
        <w:jc w:val="both"/>
        <w:rPr>
          <w:rFonts w:ascii="Arial" w:eastAsia="Calibri" w:hAnsi="Arial" w:cs="Arial"/>
          <w:sz w:val="20"/>
          <w:szCs w:val="20"/>
        </w:rPr>
      </w:pPr>
      <w:r w:rsidRPr="00213F66">
        <w:rPr>
          <w:rFonts w:ascii="Arial" w:eastAsia="Calibri" w:hAnsi="Arial" w:cs="Arial"/>
          <w:b/>
          <w:sz w:val="20"/>
          <w:szCs w:val="20"/>
        </w:rPr>
        <w:t>Foam Test:</w:t>
      </w:r>
      <w:r w:rsidRPr="00213F66">
        <w:rPr>
          <w:rFonts w:ascii="Arial" w:eastAsia="Calibri" w:hAnsi="Arial" w:cs="Arial"/>
          <w:sz w:val="20"/>
          <w:szCs w:val="20"/>
        </w:rPr>
        <w:t xml:space="preserve"> Distilled water (1.0 mL) was added to 1 mL of the test sample and shaken vigorously. Saponins produce foam upon shaking.</w:t>
      </w:r>
    </w:p>
    <w:p w14:paraId="3DF211F7" w14:textId="77777777" w:rsidR="00FD256E" w:rsidRPr="00213F66" w:rsidRDefault="00FD256E" w:rsidP="00FD256E">
      <w:pPr>
        <w:pStyle w:val="ListParagraph"/>
        <w:spacing w:line="240" w:lineRule="auto"/>
        <w:jc w:val="both"/>
        <w:rPr>
          <w:rFonts w:ascii="Arial" w:eastAsia="Calibri" w:hAnsi="Arial" w:cs="Arial"/>
          <w:sz w:val="20"/>
          <w:szCs w:val="20"/>
        </w:rPr>
      </w:pPr>
    </w:p>
    <w:p w14:paraId="0AA7F2F8" w14:textId="77777777" w:rsidR="00962887" w:rsidRPr="00213F66" w:rsidRDefault="00FD256E" w:rsidP="00962887">
      <w:pPr>
        <w:spacing w:line="240" w:lineRule="auto"/>
        <w:jc w:val="both"/>
        <w:rPr>
          <w:rFonts w:ascii="Arial" w:hAnsi="Arial" w:cs="Arial"/>
          <w:b/>
          <w:bCs/>
          <w:i/>
          <w:sz w:val="20"/>
          <w:szCs w:val="20"/>
        </w:rPr>
      </w:pPr>
      <w:r w:rsidRPr="00213F66">
        <w:rPr>
          <w:rFonts w:ascii="Arial" w:hAnsi="Arial" w:cs="Arial"/>
          <w:b/>
          <w:bCs/>
          <w:i/>
          <w:sz w:val="20"/>
          <w:szCs w:val="20"/>
        </w:rPr>
        <w:t xml:space="preserve">2.4.1.7 </w:t>
      </w:r>
      <w:r w:rsidR="00962887" w:rsidRPr="00213F66">
        <w:rPr>
          <w:rFonts w:ascii="Arial" w:hAnsi="Arial" w:cs="Arial"/>
          <w:b/>
          <w:bCs/>
          <w:i/>
          <w:sz w:val="20"/>
          <w:szCs w:val="20"/>
        </w:rPr>
        <w:t>Cardiac glycoside</w:t>
      </w:r>
    </w:p>
    <w:p w14:paraId="6820DD72" w14:textId="77777777" w:rsidR="00962887" w:rsidRPr="00213F66" w:rsidRDefault="00962887" w:rsidP="00962887">
      <w:pPr>
        <w:pStyle w:val="ListParagraph"/>
        <w:numPr>
          <w:ilvl w:val="0"/>
          <w:numId w:val="9"/>
        </w:numPr>
        <w:spacing w:line="240" w:lineRule="auto"/>
        <w:jc w:val="both"/>
        <w:rPr>
          <w:rFonts w:ascii="Arial" w:eastAsia="Calibri" w:hAnsi="Arial" w:cs="Arial"/>
          <w:b/>
          <w:sz w:val="20"/>
          <w:szCs w:val="20"/>
        </w:rPr>
      </w:pPr>
      <w:r w:rsidRPr="00213F66">
        <w:rPr>
          <w:rFonts w:ascii="Arial" w:hAnsi="Arial" w:cs="Arial"/>
          <w:b/>
          <w:sz w:val="20"/>
          <w:szCs w:val="20"/>
        </w:rPr>
        <w:t>Liebermann's test: Acetic anhydride was added to a solution of extract in chloroform in the ratio of 1:1 followed by 3 drops of conc. H2SO4. The formation of a blue colour indicated the presence of cardiac glycosides.</w:t>
      </w:r>
    </w:p>
    <w:p w14:paraId="4FDC57F2" w14:textId="77777777" w:rsidR="00FF3BE2" w:rsidRPr="00213F66" w:rsidRDefault="00FF3BE2" w:rsidP="00FF3BE2">
      <w:pPr>
        <w:pStyle w:val="ListParagraph"/>
        <w:spacing w:line="240" w:lineRule="auto"/>
        <w:jc w:val="both"/>
        <w:rPr>
          <w:rFonts w:ascii="Arial" w:eastAsia="Calibri" w:hAnsi="Arial" w:cs="Arial"/>
          <w:b/>
          <w:sz w:val="20"/>
          <w:szCs w:val="20"/>
        </w:rPr>
      </w:pPr>
    </w:p>
    <w:p w14:paraId="5326D094" w14:textId="77777777" w:rsidR="00F41AA2" w:rsidRPr="00213F66" w:rsidRDefault="00FF3BE2" w:rsidP="00F41AA2">
      <w:pPr>
        <w:spacing w:line="240" w:lineRule="auto"/>
        <w:jc w:val="both"/>
        <w:rPr>
          <w:rFonts w:ascii="Arial" w:eastAsia="Calibri" w:hAnsi="Arial" w:cs="Arial"/>
          <w:b/>
          <w:i/>
          <w:sz w:val="20"/>
          <w:szCs w:val="20"/>
        </w:rPr>
      </w:pPr>
      <w:r w:rsidRPr="00213F66">
        <w:rPr>
          <w:rFonts w:ascii="Arial" w:eastAsia="Calibri" w:hAnsi="Arial" w:cs="Arial"/>
          <w:b/>
          <w:i/>
          <w:sz w:val="20"/>
          <w:szCs w:val="20"/>
        </w:rPr>
        <w:t xml:space="preserve">2.4.1.8 </w:t>
      </w:r>
      <w:r w:rsidR="00F41AA2" w:rsidRPr="00213F66">
        <w:rPr>
          <w:rFonts w:ascii="Arial" w:eastAsia="Calibri" w:hAnsi="Arial" w:cs="Arial"/>
          <w:b/>
          <w:i/>
          <w:sz w:val="20"/>
          <w:szCs w:val="20"/>
        </w:rPr>
        <w:t>Steroids</w:t>
      </w:r>
    </w:p>
    <w:p w14:paraId="131CACAA" w14:textId="77777777" w:rsidR="00F41AA2" w:rsidRPr="00213F66" w:rsidRDefault="00F41AA2" w:rsidP="00F41AA2">
      <w:pPr>
        <w:pStyle w:val="ListParagraph"/>
        <w:numPr>
          <w:ilvl w:val="0"/>
          <w:numId w:val="5"/>
        </w:numPr>
        <w:spacing w:after="200" w:line="240" w:lineRule="auto"/>
        <w:contextualSpacing/>
        <w:jc w:val="both"/>
        <w:rPr>
          <w:rFonts w:ascii="Arial" w:eastAsia="Calibri" w:hAnsi="Arial" w:cs="Arial"/>
          <w:sz w:val="20"/>
          <w:szCs w:val="20"/>
        </w:rPr>
      </w:pPr>
      <w:r w:rsidRPr="00213F66">
        <w:rPr>
          <w:rFonts w:ascii="Arial" w:eastAsia="Calibri" w:hAnsi="Arial" w:cs="Arial"/>
          <w:b/>
          <w:sz w:val="20"/>
          <w:szCs w:val="20"/>
        </w:rPr>
        <w:t xml:space="preserve">Salkowski Test: </w:t>
      </w:r>
      <w:r w:rsidRPr="00213F66">
        <w:rPr>
          <w:rFonts w:ascii="Arial" w:eastAsia="Calibri" w:hAnsi="Arial" w:cs="Arial"/>
          <w:sz w:val="20"/>
          <w:szCs w:val="20"/>
        </w:rPr>
        <w:t xml:space="preserve">A small volume of the test sample solution was treated with a few drops of conc. </w:t>
      </w:r>
      <w:proofErr w:type="spellStart"/>
      <w:r w:rsidRPr="00213F66">
        <w:rPr>
          <w:rFonts w:ascii="Arial" w:eastAsia="Calibri" w:hAnsi="Arial" w:cs="Arial"/>
          <w:sz w:val="20"/>
          <w:szCs w:val="20"/>
        </w:rPr>
        <w:t>sulphuric</w:t>
      </w:r>
      <w:proofErr w:type="spellEnd"/>
      <w:r w:rsidRPr="00213F66">
        <w:rPr>
          <w:rFonts w:ascii="Arial" w:eastAsia="Calibri" w:hAnsi="Arial" w:cs="Arial"/>
          <w:sz w:val="20"/>
          <w:szCs w:val="20"/>
        </w:rPr>
        <w:t xml:space="preserve"> acid. At the lower layer, steroids develop a red </w:t>
      </w:r>
      <w:proofErr w:type="spellStart"/>
      <w:r w:rsidRPr="00213F66">
        <w:rPr>
          <w:rFonts w:ascii="Arial" w:eastAsia="Calibri" w:hAnsi="Arial" w:cs="Arial"/>
          <w:sz w:val="20"/>
          <w:szCs w:val="20"/>
        </w:rPr>
        <w:t>colour</w:t>
      </w:r>
      <w:proofErr w:type="spellEnd"/>
      <w:r w:rsidRPr="00213F66">
        <w:rPr>
          <w:rFonts w:ascii="Arial" w:eastAsia="Calibri" w:hAnsi="Arial" w:cs="Arial"/>
          <w:sz w:val="20"/>
          <w:szCs w:val="20"/>
        </w:rPr>
        <w:t xml:space="preserve">. The formation of a violet </w:t>
      </w:r>
      <w:proofErr w:type="spellStart"/>
      <w:r w:rsidRPr="00213F66">
        <w:rPr>
          <w:rFonts w:ascii="Arial" w:eastAsia="Calibri" w:hAnsi="Arial" w:cs="Arial"/>
          <w:sz w:val="20"/>
          <w:szCs w:val="20"/>
        </w:rPr>
        <w:t>colour</w:t>
      </w:r>
      <w:proofErr w:type="spellEnd"/>
      <w:r w:rsidRPr="00213F66">
        <w:rPr>
          <w:rFonts w:ascii="Arial" w:eastAsia="Calibri" w:hAnsi="Arial" w:cs="Arial"/>
          <w:sz w:val="20"/>
          <w:szCs w:val="20"/>
        </w:rPr>
        <w:t xml:space="preserve"> indicates the presence of cardiac glycosides.</w:t>
      </w:r>
    </w:p>
    <w:p w14:paraId="4E18A2A4" w14:textId="77777777" w:rsidR="00D8023C" w:rsidRPr="00213F66" w:rsidRDefault="004C3D0E" w:rsidP="00D8023C">
      <w:pPr>
        <w:spacing w:after="200" w:line="240" w:lineRule="auto"/>
        <w:contextualSpacing/>
        <w:jc w:val="both"/>
        <w:rPr>
          <w:rFonts w:ascii="Arial" w:hAnsi="Arial" w:cs="Arial"/>
          <w:b/>
          <w:bCs/>
          <w:i/>
          <w:sz w:val="20"/>
          <w:szCs w:val="20"/>
        </w:rPr>
      </w:pPr>
      <w:r w:rsidRPr="00213F66">
        <w:rPr>
          <w:rFonts w:ascii="Arial" w:hAnsi="Arial" w:cs="Arial"/>
          <w:b/>
          <w:bCs/>
          <w:i/>
          <w:sz w:val="20"/>
          <w:szCs w:val="20"/>
        </w:rPr>
        <w:t xml:space="preserve">2.4.1.9 </w:t>
      </w:r>
      <w:r w:rsidR="00D8023C" w:rsidRPr="00213F66">
        <w:rPr>
          <w:rFonts w:ascii="Arial" w:hAnsi="Arial" w:cs="Arial"/>
          <w:b/>
          <w:bCs/>
          <w:i/>
          <w:sz w:val="20"/>
          <w:szCs w:val="20"/>
        </w:rPr>
        <w:t>Anthraquinone</w:t>
      </w:r>
    </w:p>
    <w:p w14:paraId="22243FDA" w14:textId="77777777" w:rsidR="00D8023C" w:rsidRPr="00213F66" w:rsidRDefault="00D8023C" w:rsidP="00D8023C">
      <w:pPr>
        <w:pStyle w:val="ListParagraph"/>
        <w:numPr>
          <w:ilvl w:val="0"/>
          <w:numId w:val="10"/>
        </w:numPr>
        <w:spacing w:after="200" w:line="240" w:lineRule="auto"/>
        <w:contextualSpacing/>
        <w:jc w:val="both"/>
        <w:rPr>
          <w:rFonts w:ascii="Arial" w:eastAsia="Calibri" w:hAnsi="Arial" w:cs="Arial"/>
          <w:sz w:val="20"/>
          <w:szCs w:val="20"/>
        </w:rPr>
      </w:pPr>
      <w:r w:rsidRPr="00213F66">
        <w:rPr>
          <w:rFonts w:ascii="Arial" w:hAnsi="Arial" w:cs="Arial"/>
          <w:b/>
          <w:bCs/>
          <w:sz w:val="20"/>
          <w:szCs w:val="20"/>
        </w:rPr>
        <w:t>Ammonia Test</w:t>
      </w:r>
      <w:r w:rsidRPr="00213F66">
        <w:rPr>
          <w:rFonts w:ascii="Arial" w:hAnsi="Arial" w:cs="Arial"/>
          <w:sz w:val="20"/>
          <w:szCs w:val="20"/>
        </w:rPr>
        <w:t xml:space="preserve">: Few drops of ammonia were added to extract. Pink or red </w:t>
      </w:r>
      <w:proofErr w:type="spellStart"/>
      <w:r w:rsidRPr="00213F66">
        <w:rPr>
          <w:rFonts w:ascii="Arial" w:hAnsi="Arial" w:cs="Arial"/>
          <w:sz w:val="20"/>
          <w:szCs w:val="20"/>
        </w:rPr>
        <w:t>colour</w:t>
      </w:r>
      <w:proofErr w:type="spellEnd"/>
      <w:r w:rsidRPr="00213F66">
        <w:rPr>
          <w:rFonts w:ascii="Arial" w:hAnsi="Arial" w:cs="Arial"/>
          <w:sz w:val="20"/>
          <w:szCs w:val="20"/>
        </w:rPr>
        <w:t xml:space="preserve"> indicated the presence of anthraquinone. </w:t>
      </w:r>
    </w:p>
    <w:p w14:paraId="63B2529A" w14:textId="77777777" w:rsidR="00D8023C" w:rsidRPr="00213F66" w:rsidRDefault="004C3D0E" w:rsidP="00D8023C">
      <w:pPr>
        <w:spacing w:after="200" w:line="240" w:lineRule="auto"/>
        <w:contextualSpacing/>
        <w:jc w:val="both"/>
        <w:rPr>
          <w:rFonts w:ascii="Arial" w:hAnsi="Arial" w:cs="Arial"/>
          <w:b/>
          <w:bCs/>
          <w:i/>
          <w:sz w:val="20"/>
          <w:szCs w:val="20"/>
        </w:rPr>
      </w:pPr>
      <w:r w:rsidRPr="00213F66">
        <w:rPr>
          <w:rFonts w:ascii="Arial" w:hAnsi="Arial" w:cs="Arial"/>
          <w:b/>
          <w:bCs/>
          <w:i/>
          <w:sz w:val="20"/>
          <w:szCs w:val="20"/>
        </w:rPr>
        <w:t xml:space="preserve">2.4.2.0 </w:t>
      </w:r>
      <w:r w:rsidR="00D8023C" w:rsidRPr="00213F66">
        <w:rPr>
          <w:rFonts w:ascii="Arial" w:hAnsi="Arial" w:cs="Arial"/>
          <w:b/>
          <w:bCs/>
          <w:i/>
          <w:sz w:val="20"/>
          <w:szCs w:val="20"/>
        </w:rPr>
        <w:t>Polyphenol</w:t>
      </w:r>
    </w:p>
    <w:p w14:paraId="4B17D7EE" w14:textId="77777777" w:rsidR="00D8023C" w:rsidRPr="00213F66" w:rsidRDefault="00D8023C" w:rsidP="00D8023C">
      <w:pPr>
        <w:pStyle w:val="ListParagraph"/>
        <w:numPr>
          <w:ilvl w:val="0"/>
          <w:numId w:val="12"/>
        </w:numPr>
        <w:jc w:val="both"/>
        <w:rPr>
          <w:rFonts w:ascii="Arial" w:hAnsi="Arial" w:cs="Arial"/>
          <w:sz w:val="20"/>
          <w:szCs w:val="20"/>
        </w:rPr>
      </w:pPr>
      <w:r w:rsidRPr="00213F66">
        <w:rPr>
          <w:rFonts w:ascii="Arial" w:hAnsi="Arial" w:cs="Arial"/>
          <w:b/>
          <w:bCs/>
          <w:sz w:val="20"/>
          <w:szCs w:val="20"/>
        </w:rPr>
        <w:t>Nitric acid test:</w:t>
      </w:r>
      <w:r w:rsidRPr="00213F66">
        <w:rPr>
          <w:rFonts w:ascii="Arial" w:hAnsi="Arial" w:cs="Arial"/>
          <w:sz w:val="20"/>
          <w:szCs w:val="20"/>
        </w:rPr>
        <w:t xml:space="preserve"> Dilute nitric acid was introduced into extract. Reddish-yellow colouration indicated the presence of polyphenol.</w:t>
      </w:r>
    </w:p>
    <w:p w14:paraId="6CC39435" w14:textId="77777777" w:rsidR="00D8023C" w:rsidRPr="00213F66" w:rsidRDefault="00D8023C" w:rsidP="00D8023C">
      <w:pPr>
        <w:pStyle w:val="ListParagraph"/>
        <w:numPr>
          <w:ilvl w:val="0"/>
          <w:numId w:val="12"/>
        </w:numPr>
        <w:jc w:val="both"/>
        <w:rPr>
          <w:rFonts w:ascii="Arial" w:hAnsi="Arial" w:cs="Arial"/>
          <w:sz w:val="20"/>
          <w:szCs w:val="20"/>
        </w:rPr>
      </w:pPr>
      <w:r w:rsidRPr="00213F66">
        <w:rPr>
          <w:rFonts w:ascii="Arial" w:hAnsi="Arial" w:cs="Arial"/>
          <w:b/>
          <w:bCs/>
          <w:sz w:val="20"/>
          <w:szCs w:val="20"/>
        </w:rPr>
        <w:t xml:space="preserve">Acetic acid test: </w:t>
      </w:r>
      <w:r w:rsidRPr="00213F66">
        <w:rPr>
          <w:rFonts w:ascii="Arial" w:hAnsi="Arial" w:cs="Arial"/>
          <w:sz w:val="20"/>
          <w:szCs w:val="20"/>
        </w:rPr>
        <w:t>Dilute acetic acid was added to the extract. Red colouration indicated the presence of polyphenol</w:t>
      </w:r>
    </w:p>
    <w:p w14:paraId="2619B1C9" w14:textId="77777777" w:rsidR="00D8023C" w:rsidRPr="00213F66" w:rsidRDefault="00D8023C" w:rsidP="00D8023C">
      <w:pPr>
        <w:spacing w:after="200" w:line="240" w:lineRule="auto"/>
        <w:contextualSpacing/>
        <w:jc w:val="both"/>
        <w:rPr>
          <w:rFonts w:ascii="Arial" w:eastAsia="Calibri" w:hAnsi="Arial" w:cs="Arial"/>
          <w:sz w:val="20"/>
          <w:szCs w:val="20"/>
        </w:rPr>
      </w:pPr>
    </w:p>
    <w:p w14:paraId="42C641AA" w14:textId="77777777" w:rsidR="00F41AA2" w:rsidRPr="00213F66" w:rsidRDefault="004C3D0E" w:rsidP="00F41AA2">
      <w:pPr>
        <w:spacing w:line="240" w:lineRule="auto"/>
        <w:jc w:val="both"/>
        <w:rPr>
          <w:rFonts w:ascii="Arial" w:eastAsia="Calibri" w:hAnsi="Arial" w:cs="Arial"/>
          <w:b/>
          <w:i/>
          <w:sz w:val="20"/>
          <w:szCs w:val="20"/>
        </w:rPr>
      </w:pPr>
      <w:r w:rsidRPr="00213F66">
        <w:rPr>
          <w:rFonts w:ascii="Arial" w:eastAsia="Calibri" w:hAnsi="Arial" w:cs="Arial"/>
          <w:b/>
          <w:i/>
          <w:sz w:val="20"/>
          <w:szCs w:val="20"/>
        </w:rPr>
        <w:t xml:space="preserve">2.4.2.1 </w:t>
      </w:r>
      <w:r w:rsidR="00F41AA2" w:rsidRPr="00213F66">
        <w:rPr>
          <w:rFonts w:ascii="Arial" w:eastAsia="Calibri" w:hAnsi="Arial" w:cs="Arial"/>
          <w:b/>
          <w:i/>
          <w:sz w:val="20"/>
          <w:szCs w:val="20"/>
        </w:rPr>
        <w:t>Triterpenoids</w:t>
      </w:r>
    </w:p>
    <w:p w14:paraId="4AD1E1D6" w14:textId="77777777" w:rsidR="005018A8" w:rsidRPr="00213F66" w:rsidRDefault="009E6EDF" w:rsidP="005018A8">
      <w:pPr>
        <w:pStyle w:val="ListParagraph"/>
        <w:numPr>
          <w:ilvl w:val="0"/>
          <w:numId w:val="13"/>
        </w:numPr>
        <w:jc w:val="both"/>
        <w:rPr>
          <w:rFonts w:ascii="Arial" w:hAnsi="Arial" w:cs="Arial"/>
          <w:sz w:val="20"/>
          <w:szCs w:val="20"/>
        </w:rPr>
      </w:pPr>
      <w:r w:rsidRPr="00213F66">
        <w:rPr>
          <w:rFonts w:ascii="Arial" w:hAnsi="Arial" w:cs="Arial"/>
          <w:b/>
          <w:bCs/>
          <w:sz w:val="20"/>
          <w:szCs w:val="20"/>
        </w:rPr>
        <w:t>Chloroform test:</w:t>
      </w:r>
      <w:r w:rsidR="005018A8" w:rsidRPr="00213F66">
        <w:rPr>
          <w:rFonts w:ascii="Arial" w:hAnsi="Arial" w:cs="Arial"/>
          <w:b/>
          <w:bCs/>
          <w:sz w:val="20"/>
          <w:szCs w:val="20"/>
        </w:rPr>
        <w:t xml:space="preserve"> </w:t>
      </w:r>
      <w:r w:rsidR="005018A8" w:rsidRPr="00213F66">
        <w:rPr>
          <w:rFonts w:ascii="Arial" w:hAnsi="Arial" w:cs="Arial"/>
          <w:bCs/>
          <w:sz w:val="20"/>
          <w:szCs w:val="20"/>
        </w:rPr>
        <w:t>C</w:t>
      </w:r>
      <w:r w:rsidR="005018A8" w:rsidRPr="00213F66">
        <w:rPr>
          <w:rFonts w:ascii="Arial" w:hAnsi="Arial" w:cs="Arial"/>
          <w:sz w:val="20"/>
          <w:szCs w:val="20"/>
        </w:rPr>
        <w:t>hloroform (2.0 mL)</w:t>
      </w:r>
      <w:r w:rsidR="005018A8" w:rsidRPr="00213F66">
        <w:rPr>
          <w:rFonts w:ascii="Arial" w:hAnsi="Arial" w:cs="Arial"/>
          <w:bCs/>
          <w:sz w:val="20"/>
          <w:szCs w:val="20"/>
        </w:rPr>
        <w:t xml:space="preserve"> was added to the plant e</w:t>
      </w:r>
      <w:r w:rsidR="005018A8" w:rsidRPr="00213F66">
        <w:rPr>
          <w:rFonts w:ascii="Arial" w:hAnsi="Arial" w:cs="Arial"/>
          <w:sz w:val="20"/>
          <w:szCs w:val="20"/>
        </w:rPr>
        <w:t>xtract. Formation of three layers indicates the presence of triterpenoid.</w:t>
      </w:r>
    </w:p>
    <w:p w14:paraId="70D1A8BA" w14:textId="77777777" w:rsidR="00F41AA2" w:rsidRPr="00213F66" w:rsidRDefault="00F41AA2" w:rsidP="005018A8">
      <w:pPr>
        <w:pStyle w:val="ListParagraph"/>
        <w:numPr>
          <w:ilvl w:val="0"/>
          <w:numId w:val="13"/>
        </w:numPr>
        <w:jc w:val="both"/>
        <w:rPr>
          <w:rFonts w:ascii="Arial" w:hAnsi="Arial" w:cs="Arial"/>
          <w:sz w:val="20"/>
          <w:szCs w:val="20"/>
        </w:rPr>
      </w:pPr>
      <w:r w:rsidRPr="00213F66">
        <w:rPr>
          <w:rFonts w:ascii="Arial" w:hAnsi="Arial" w:cs="Arial"/>
          <w:b/>
          <w:bCs/>
          <w:sz w:val="20"/>
          <w:szCs w:val="20"/>
        </w:rPr>
        <w:t>Salkowski test:</w:t>
      </w:r>
      <w:r w:rsidRPr="00213F66">
        <w:rPr>
          <w:rFonts w:ascii="Arial" w:hAnsi="Arial" w:cs="Arial"/>
          <w:sz w:val="20"/>
          <w:szCs w:val="20"/>
        </w:rPr>
        <w:t xml:space="preserve"> The extract (5.0 mL) was treated with chloroform (2.0 mL) and 3.0 mL of conc. H</w:t>
      </w:r>
      <w:r w:rsidRPr="00213F66">
        <w:rPr>
          <w:rFonts w:ascii="Arial" w:hAnsi="Arial" w:cs="Arial"/>
          <w:sz w:val="20"/>
          <w:szCs w:val="20"/>
          <w:vertAlign w:val="subscript"/>
        </w:rPr>
        <w:t>2</w:t>
      </w:r>
      <w:r w:rsidRPr="00213F66">
        <w:rPr>
          <w:rFonts w:ascii="Arial" w:hAnsi="Arial" w:cs="Arial"/>
          <w:sz w:val="20"/>
          <w:szCs w:val="20"/>
        </w:rPr>
        <w:t>SO</w:t>
      </w:r>
      <w:r w:rsidRPr="00213F66">
        <w:rPr>
          <w:rFonts w:ascii="Arial" w:hAnsi="Arial" w:cs="Arial"/>
          <w:sz w:val="20"/>
          <w:szCs w:val="20"/>
          <w:vertAlign w:val="subscript"/>
        </w:rPr>
        <w:t>4</w:t>
      </w:r>
      <w:r w:rsidRPr="00213F66">
        <w:rPr>
          <w:rFonts w:ascii="Arial" w:hAnsi="Arial" w:cs="Arial"/>
          <w:sz w:val="20"/>
          <w:szCs w:val="20"/>
        </w:rPr>
        <w:t xml:space="preserve"> was carefully added to form this layer. A reddish-brown </w:t>
      </w:r>
      <w:proofErr w:type="spellStart"/>
      <w:r w:rsidRPr="00213F66">
        <w:rPr>
          <w:rFonts w:ascii="Arial" w:hAnsi="Arial" w:cs="Arial"/>
          <w:sz w:val="20"/>
          <w:szCs w:val="20"/>
        </w:rPr>
        <w:t>colouration</w:t>
      </w:r>
      <w:proofErr w:type="spellEnd"/>
      <w:r w:rsidRPr="00213F66">
        <w:rPr>
          <w:rFonts w:ascii="Arial" w:hAnsi="Arial" w:cs="Arial"/>
          <w:sz w:val="20"/>
          <w:szCs w:val="20"/>
        </w:rPr>
        <w:t xml:space="preserve"> of the inner face indicate</w:t>
      </w:r>
      <w:r w:rsidR="005018A8" w:rsidRPr="00213F66">
        <w:rPr>
          <w:rFonts w:ascii="Arial" w:hAnsi="Arial" w:cs="Arial"/>
          <w:sz w:val="20"/>
          <w:szCs w:val="20"/>
        </w:rPr>
        <w:t>d</w:t>
      </w:r>
      <w:r w:rsidRPr="00213F66">
        <w:rPr>
          <w:rFonts w:ascii="Arial" w:hAnsi="Arial" w:cs="Arial"/>
          <w:sz w:val="20"/>
          <w:szCs w:val="20"/>
        </w:rPr>
        <w:t xml:space="preserve"> a positive result for the presence of terpenoids.</w:t>
      </w:r>
    </w:p>
    <w:p w14:paraId="3642ED8B" w14:textId="77777777" w:rsidR="005018A8" w:rsidRPr="00213F66" w:rsidRDefault="004C3D0E" w:rsidP="005018A8">
      <w:pPr>
        <w:jc w:val="both"/>
        <w:rPr>
          <w:rFonts w:ascii="Arial" w:hAnsi="Arial" w:cs="Arial"/>
          <w:b/>
          <w:bCs/>
          <w:i/>
          <w:sz w:val="20"/>
          <w:szCs w:val="20"/>
        </w:rPr>
      </w:pPr>
      <w:r w:rsidRPr="00213F66">
        <w:rPr>
          <w:rFonts w:ascii="Arial" w:hAnsi="Arial" w:cs="Arial"/>
          <w:b/>
          <w:bCs/>
          <w:i/>
          <w:sz w:val="20"/>
          <w:szCs w:val="20"/>
        </w:rPr>
        <w:t xml:space="preserve">2.4.2.2 </w:t>
      </w:r>
      <w:r w:rsidR="005018A8" w:rsidRPr="00213F66">
        <w:rPr>
          <w:rFonts w:ascii="Arial" w:hAnsi="Arial" w:cs="Arial"/>
          <w:b/>
          <w:bCs/>
          <w:i/>
          <w:sz w:val="20"/>
          <w:szCs w:val="20"/>
        </w:rPr>
        <w:t>Protein</w:t>
      </w:r>
    </w:p>
    <w:p w14:paraId="409FBEA5" w14:textId="77777777" w:rsidR="005018A8" w:rsidRPr="00213F66" w:rsidRDefault="005018A8" w:rsidP="005018A8">
      <w:pPr>
        <w:pStyle w:val="ListParagraph"/>
        <w:numPr>
          <w:ilvl w:val="0"/>
          <w:numId w:val="16"/>
        </w:numPr>
        <w:jc w:val="both"/>
        <w:rPr>
          <w:rFonts w:ascii="Arial" w:hAnsi="Arial" w:cs="Arial"/>
          <w:sz w:val="20"/>
          <w:szCs w:val="20"/>
        </w:rPr>
      </w:pPr>
      <w:r w:rsidRPr="00213F66">
        <w:rPr>
          <w:rFonts w:ascii="Arial" w:hAnsi="Arial" w:cs="Arial"/>
          <w:b/>
          <w:bCs/>
          <w:sz w:val="20"/>
          <w:szCs w:val="20"/>
        </w:rPr>
        <w:t xml:space="preserve">Biuret test: </w:t>
      </w:r>
      <w:r w:rsidRPr="00213F66">
        <w:rPr>
          <w:rFonts w:ascii="Arial" w:hAnsi="Arial" w:cs="Arial"/>
          <w:sz w:val="20"/>
          <w:szCs w:val="20"/>
        </w:rPr>
        <w:t>Biuret reagent was added to the extract. Purple or violet colour indicated the presence of protein.</w:t>
      </w:r>
    </w:p>
    <w:p w14:paraId="4B618EEA" w14:textId="77777777" w:rsidR="005018A8" w:rsidRPr="00213F66" w:rsidRDefault="005018A8" w:rsidP="005018A8">
      <w:pPr>
        <w:pStyle w:val="ListParagraph"/>
        <w:numPr>
          <w:ilvl w:val="0"/>
          <w:numId w:val="16"/>
        </w:numPr>
        <w:jc w:val="both"/>
        <w:rPr>
          <w:rFonts w:ascii="Arial" w:hAnsi="Arial" w:cs="Arial"/>
          <w:sz w:val="20"/>
          <w:szCs w:val="20"/>
        </w:rPr>
      </w:pPr>
      <w:r w:rsidRPr="00213F66">
        <w:rPr>
          <w:rFonts w:ascii="Arial" w:hAnsi="Arial" w:cs="Arial"/>
          <w:b/>
          <w:bCs/>
          <w:sz w:val="20"/>
          <w:szCs w:val="20"/>
        </w:rPr>
        <w:lastRenderedPageBreak/>
        <w:t xml:space="preserve">Xanthoproteic test: </w:t>
      </w:r>
      <w:r w:rsidRPr="00213F66">
        <w:rPr>
          <w:rFonts w:ascii="Arial" w:hAnsi="Arial" w:cs="Arial"/>
          <w:sz w:val="20"/>
          <w:szCs w:val="20"/>
        </w:rPr>
        <w:t xml:space="preserve">Nitric acid was added to the extract followed by sodium hydroxide solution. Yellow or orange </w:t>
      </w:r>
      <w:proofErr w:type="spellStart"/>
      <w:r w:rsidRPr="00213F66">
        <w:rPr>
          <w:rFonts w:ascii="Arial" w:hAnsi="Arial" w:cs="Arial"/>
          <w:sz w:val="20"/>
          <w:szCs w:val="20"/>
        </w:rPr>
        <w:t>colouration</w:t>
      </w:r>
      <w:proofErr w:type="spellEnd"/>
      <w:r w:rsidRPr="00213F66">
        <w:rPr>
          <w:rFonts w:ascii="Arial" w:hAnsi="Arial" w:cs="Arial"/>
          <w:sz w:val="20"/>
          <w:szCs w:val="20"/>
        </w:rPr>
        <w:t xml:space="preserve"> indicated the presence of protein.</w:t>
      </w:r>
    </w:p>
    <w:p w14:paraId="78B49214" w14:textId="77777777" w:rsidR="00F41AA2" w:rsidRPr="00213F66" w:rsidRDefault="00F41AA2" w:rsidP="007374DA">
      <w:pPr>
        <w:spacing w:after="0" w:line="240" w:lineRule="auto"/>
        <w:jc w:val="both"/>
        <w:rPr>
          <w:rFonts w:ascii="Arial" w:hAnsi="Arial" w:cs="Arial"/>
          <w:b/>
          <w:bCs/>
          <w:sz w:val="20"/>
          <w:szCs w:val="20"/>
        </w:rPr>
      </w:pPr>
    </w:p>
    <w:p w14:paraId="4254F8C2" w14:textId="77777777" w:rsidR="007374DA" w:rsidRPr="00213F66" w:rsidRDefault="004C3D0E" w:rsidP="007374DA">
      <w:pPr>
        <w:spacing w:after="0" w:line="240" w:lineRule="auto"/>
        <w:jc w:val="both"/>
        <w:rPr>
          <w:rFonts w:ascii="Arial" w:hAnsi="Arial" w:cs="Arial"/>
          <w:b/>
          <w:bCs/>
          <w:sz w:val="20"/>
          <w:szCs w:val="20"/>
          <w:u w:val="single"/>
        </w:rPr>
      </w:pPr>
      <w:r w:rsidRPr="00213F66">
        <w:rPr>
          <w:rFonts w:ascii="Arial" w:hAnsi="Arial" w:cs="Arial"/>
          <w:b/>
          <w:bCs/>
          <w:sz w:val="20"/>
          <w:szCs w:val="20"/>
          <w:u w:val="single"/>
        </w:rPr>
        <w:t xml:space="preserve">2.4.3 </w:t>
      </w:r>
      <w:r w:rsidR="001C0933" w:rsidRPr="00213F66">
        <w:rPr>
          <w:rFonts w:ascii="Arial" w:hAnsi="Arial" w:cs="Arial"/>
          <w:b/>
          <w:bCs/>
          <w:sz w:val="20"/>
          <w:szCs w:val="20"/>
          <w:u w:val="single"/>
        </w:rPr>
        <w:t xml:space="preserve">Quantitative </w:t>
      </w:r>
      <w:r w:rsidR="00B41CA3" w:rsidRPr="00213F66">
        <w:rPr>
          <w:rFonts w:ascii="Arial" w:hAnsi="Arial" w:cs="Arial"/>
          <w:b/>
          <w:bCs/>
          <w:sz w:val="20"/>
          <w:szCs w:val="20"/>
          <w:u w:val="single"/>
        </w:rPr>
        <w:t>Determination of Phytochemicals</w:t>
      </w:r>
    </w:p>
    <w:p w14:paraId="50D80F1B" w14:textId="77777777" w:rsidR="007374DA" w:rsidRPr="00213F66" w:rsidRDefault="007374DA" w:rsidP="007374DA">
      <w:pPr>
        <w:spacing w:after="0" w:line="240" w:lineRule="auto"/>
        <w:jc w:val="both"/>
        <w:rPr>
          <w:rFonts w:ascii="Arial" w:hAnsi="Arial" w:cs="Arial"/>
          <w:sz w:val="20"/>
          <w:szCs w:val="20"/>
        </w:rPr>
      </w:pPr>
    </w:p>
    <w:p w14:paraId="0BC8567A" w14:textId="77777777" w:rsidR="00F80A73" w:rsidRPr="00213F66" w:rsidRDefault="00B41CA3" w:rsidP="00F80A73">
      <w:pPr>
        <w:spacing w:line="240" w:lineRule="auto"/>
        <w:ind w:right="1"/>
        <w:jc w:val="both"/>
        <w:rPr>
          <w:rFonts w:ascii="Arial" w:hAnsi="Arial" w:cs="Arial"/>
          <w:sz w:val="20"/>
          <w:szCs w:val="20"/>
        </w:rPr>
      </w:pPr>
      <w:r w:rsidRPr="00213F66">
        <w:rPr>
          <w:rFonts w:ascii="Arial" w:hAnsi="Arial" w:cs="Arial"/>
          <w:sz w:val="20"/>
          <w:szCs w:val="20"/>
        </w:rPr>
        <w:t xml:space="preserve">The methods employed for the quantitative determination of phytochemicals were those previously described by Edeoga </w:t>
      </w:r>
      <w:r w:rsidRPr="00213F66">
        <w:rPr>
          <w:rFonts w:ascii="Arial" w:hAnsi="Arial" w:cs="Arial"/>
          <w:i/>
          <w:color w:val="FF0000"/>
          <w:sz w:val="20"/>
          <w:szCs w:val="20"/>
        </w:rPr>
        <w:t>et al.</w:t>
      </w:r>
      <w:r w:rsidRPr="00213F66">
        <w:rPr>
          <w:rFonts w:ascii="Arial" w:hAnsi="Arial" w:cs="Arial"/>
          <w:color w:val="FF0000"/>
          <w:sz w:val="20"/>
          <w:szCs w:val="20"/>
        </w:rPr>
        <w:t xml:space="preserve"> </w:t>
      </w:r>
      <w:r w:rsidRPr="00213F66">
        <w:rPr>
          <w:rFonts w:ascii="Arial" w:hAnsi="Arial" w:cs="Arial"/>
          <w:sz w:val="20"/>
          <w:szCs w:val="20"/>
        </w:rPr>
        <w:t xml:space="preserve">(2005). </w:t>
      </w:r>
    </w:p>
    <w:p w14:paraId="1FAA4DBB" w14:textId="77777777" w:rsidR="00A950BB" w:rsidRPr="00213F66" w:rsidRDefault="004C3D0E" w:rsidP="00A950BB">
      <w:pPr>
        <w:pStyle w:val="ListParagraph"/>
        <w:spacing w:line="240" w:lineRule="auto"/>
        <w:ind w:left="0"/>
        <w:jc w:val="both"/>
        <w:rPr>
          <w:rFonts w:ascii="Arial" w:hAnsi="Arial" w:cs="Arial"/>
          <w:b/>
          <w:bCs/>
          <w:color w:val="000000"/>
          <w:sz w:val="20"/>
          <w:szCs w:val="20"/>
          <w:u w:val="single"/>
        </w:rPr>
      </w:pPr>
      <w:r w:rsidRPr="00213F66">
        <w:rPr>
          <w:rFonts w:ascii="Arial" w:hAnsi="Arial" w:cs="Arial"/>
          <w:b/>
          <w:sz w:val="20"/>
          <w:szCs w:val="20"/>
          <w:u w:val="single"/>
          <w:lang w:eastAsia="en-GB"/>
        </w:rPr>
        <w:t xml:space="preserve">2.4.3.1 </w:t>
      </w:r>
      <w:r w:rsidR="00A950BB" w:rsidRPr="00213F66">
        <w:rPr>
          <w:rFonts w:ascii="Arial" w:hAnsi="Arial" w:cs="Arial"/>
          <w:b/>
          <w:sz w:val="20"/>
          <w:szCs w:val="20"/>
          <w:u w:val="single"/>
          <w:lang w:eastAsia="en-GB"/>
        </w:rPr>
        <w:t>Preparation of alkaloids</w:t>
      </w:r>
    </w:p>
    <w:p w14:paraId="6374B661" w14:textId="77777777" w:rsidR="00A950BB" w:rsidRPr="00213F66" w:rsidRDefault="00A950BB" w:rsidP="00594A47">
      <w:pPr>
        <w:spacing w:line="240" w:lineRule="auto"/>
        <w:jc w:val="both"/>
        <w:rPr>
          <w:rFonts w:ascii="Arial" w:hAnsi="Arial" w:cs="Arial"/>
          <w:sz w:val="20"/>
          <w:szCs w:val="20"/>
        </w:rPr>
      </w:pPr>
      <w:r w:rsidRPr="00213F66">
        <w:t>The sample (5 g) was weighed into a 250 mL beaker and 200 mL of 10 % acetic acid in ethanol was added, covered and allowed to stand for 4 hours. This was filtered and the extract was concentrated on a water bath to one quarter of the original volume. Concentrated ammonium hydroxide was added dropwise to the extract until the precipitation was complete. The whole solution was allowed to settle, and the precipitate was collected and washed with dilute ammonium hydroxide and then filtered. The residue was the crude alkaloid, which was dried and weighed. The collected alkaloids were used for antimicrobial testing and characterised using Agilent Cary 630 FTIR Spectrometer in the range of 650 - 4000 cm⁻¹.</w:t>
      </w:r>
    </w:p>
    <w:p w14:paraId="0F8590F7" w14:textId="77777777" w:rsidR="00A950BB" w:rsidRPr="00213F66" w:rsidRDefault="00E06D10" w:rsidP="00A950BB">
      <w:pPr>
        <w:autoSpaceDE w:val="0"/>
        <w:autoSpaceDN w:val="0"/>
        <w:adjustRightInd w:val="0"/>
        <w:spacing w:after="0" w:line="240" w:lineRule="auto"/>
        <w:jc w:val="both"/>
        <w:rPr>
          <w:rFonts w:ascii="Arial" w:hAnsi="Arial" w:cs="Arial"/>
          <w:b/>
          <w:bCs/>
          <w:sz w:val="20"/>
          <w:szCs w:val="20"/>
          <w:u w:val="single"/>
        </w:rPr>
      </w:pPr>
      <w:r w:rsidRPr="00213F66">
        <w:rPr>
          <w:rFonts w:ascii="Arial" w:hAnsi="Arial" w:cs="Arial"/>
          <w:b/>
          <w:bCs/>
          <w:sz w:val="20"/>
          <w:szCs w:val="20"/>
          <w:u w:val="single"/>
          <w:lang w:eastAsia="en-GB"/>
        </w:rPr>
        <w:t xml:space="preserve">2.4.3.2 </w:t>
      </w:r>
      <w:r w:rsidR="00A950BB" w:rsidRPr="00213F66">
        <w:rPr>
          <w:rFonts w:ascii="Arial" w:hAnsi="Arial" w:cs="Arial"/>
          <w:b/>
          <w:bCs/>
          <w:sz w:val="20"/>
          <w:szCs w:val="20"/>
          <w:u w:val="single"/>
          <w:lang w:eastAsia="en-GB"/>
        </w:rPr>
        <w:t>Preparation of flavonoids</w:t>
      </w:r>
    </w:p>
    <w:p w14:paraId="12171286" w14:textId="77777777" w:rsidR="00A950BB" w:rsidRPr="00213F66" w:rsidRDefault="00A950BB" w:rsidP="00594A47">
      <w:pPr>
        <w:spacing w:line="240" w:lineRule="auto"/>
        <w:jc w:val="both"/>
        <w:rPr>
          <w:rFonts w:ascii="Arial" w:hAnsi="Arial" w:cs="Arial"/>
          <w:sz w:val="20"/>
          <w:szCs w:val="20"/>
        </w:rPr>
      </w:pPr>
      <w:r w:rsidRPr="00213F66">
        <w:t>About 20 g of the sample was weighed into a 250 mL beaker and 200 mL of 80 % aqueous ethanol was added at room temperature, covered and allowed to stand for 1 day. The whole solution was filtered through Whatman filter paper No 42 (125 mm). The filtrate was subsequently transferred into a beaker and evaporated to dryness over a water bath at 50 °C and was weighed to a constant weight. The filtrate was the crude flavonoid fraction, which was used for antimicrobial testing and characterised using Agilent Cary 630 FTIR Spectrometer in the range of 650 - 4000 cm⁻¹.</w:t>
      </w:r>
    </w:p>
    <w:p w14:paraId="1A2E5A66" w14:textId="77777777" w:rsidR="00A950BB" w:rsidRPr="00213F66" w:rsidRDefault="00E06D10" w:rsidP="00A950BB">
      <w:pPr>
        <w:pStyle w:val="Pa8"/>
        <w:spacing w:line="240" w:lineRule="auto"/>
        <w:jc w:val="both"/>
        <w:rPr>
          <w:b/>
          <w:bCs/>
          <w:color w:val="000000"/>
          <w:sz w:val="20"/>
          <w:szCs w:val="20"/>
          <w:u w:val="single"/>
        </w:rPr>
      </w:pPr>
      <w:r w:rsidRPr="00213F66">
        <w:rPr>
          <w:rStyle w:val="A1"/>
          <w:b/>
          <w:bCs/>
          <w:sz w:val="20"/>
          <w:szCs w:val="20"/>
          <w:u w:val="single"/>
        </w:rPr>
        <w:t xml:space="preserve">2.4.3.3 </w:t>
      </w:r>
      <w:r w:rsidR="00A950BB" w:rsidRPr="00213F66">
        <w:rPr>
          <w:rStyle w:val="A1"/>
          <w:b/>
          <w:bCs/>
          <w:sz w:val="20"/>
          <w:szCs w:val="20"/>
          <w:u w:val="single"/>
        </w:rPr>
        <w:t xml:space="preserve">Preparation of cardiac glycosides </w:t>
      </w:r>
    </w:p>
    <w:p w14:paraId="7F4ECBF9" w14:textId="77777777" w:rsidR="00A950BB" w:rsidRPr="00213F66" w:rsidRDefault="00A950BB" w:rsidP="00594A47">
      <w:pPr>
        <w:spacing w:line="240" w:lineRule="auto"/>
        <w:jc w:val="both"/>
        <w:rPr>
          <w:rFonts w:ascii="Arial" w:hAnsi="Arial" w:cs="Arial"/>
          <w:sz w:val="20"/>
          <w:szCs w:val="20"/>
        </w:rPr>
      </w:pPr>
      <w:r w:rsidRPr="00213F66">
        <w:t>The powdered sample (5 g of each) was boiled in 20 mL of distilled water in a water bath and filtered. Then, 10 mL of the filtrate was mixed with 5 mL of distilled water and shaken vigorously and filtered. The filtrate was placed in a water bath and allowed to dry (Edeoga et al., 2005). This dried filtrate was considered the crude cardiac glycoside fraction, which was used for antimicrobial testing and characterised using Agilent Cary 630 FTIR Spectrometer in the range of 650 - 4000 cm⁻¹.</w:t>
      </w:r>
    </w:p>
    <w:p w14:paraId="0CF41642" w14:textId="77777777" w:rsidR="007B7B23" w:rsidRPr="00213F66" w:rsidRDefault="00E06D10" w:rsidP="007B7B23">
      <w:pPr>
        <w:jc w:val="both"/>
        <w:rPr>
          <w:rFonts w:ascii="Arial" w:eastAsia="Times New Roman" w:hAnsi="Arial" w:cs="Arial"/>
          <w:b/>
        </w:rPr>
      </w:pPr>
      <w:r w:rsidRPr="00213F66">
        <w:rPr>
          <w:rFonts w:ascii="Arial" w:hAnsi="Arial" w:cs="Arial"/>
          <w:b/>
        </w:rPr>
        <w:t xml:space="preserve">2.5 </w:t>
      </w:r>
      <w:r w:rsidR="007B7B23" w:rsidRPr="00213F66">
        <w:rPr>
          <w:rFonts w:ascii="Arial" w:hAnsi="Arial" w:cs="Arial"/>
          <w:b/>
        </w:rPr>
        <w:t xml:space="preserve">Antimicrobial assay of </w:t>
      </w:r>
      <w:r w:rsidR="007B7B23" w:rsidRPr="00213F66">
        <w:rPr>
          <w:rFonts w:ascii="Arial" w:eastAsia="Times New Roman" w:hAnsi="Arial" w:cs="Arial"/>
          <w:b/>
        </w:rPr>
        <w:t xml:space="preserve">ethanol extract of </w:t>
      </w:r>
      <w:r w:rsidR="007B7B23" w:rsidRPr="00213F66">
        <w:rPr>
          <w:rFonts w:ascii="Arial" w:hAnsi="Arial" w:cs="Arial"/>
          <w:b/>
          <w:i/>
          <w:iCs/>
        </w:rPr>
        <w:t>Mentha piperita</w:t>
      </w:r>
      <w:r w:rsidR="007B7B23" w:rsidRPr="00213F66">
        <w:rPr>
          <w:rFonts w:ascii="Arial" w:hAnsi="Arial" w:cs="Arial"/>
          <w:b/>
        </w:rPr>
        <w:t xml:space="preserve"> plant</w:t>
      </w:r>
      <w:r w:rsidR="007B7B23" w:rsidRPr="00213F66">
        <w:rPr>
          <w:rFonts w:ascii="Arial" w:eastAsia="Times New Roman" w:hAnsi="Arial" w:cs="Arial"/>
          <w:b/>
        </w:rPr>
        <w:t>.</w:t>
      </w:r>
      <w:r w:rsidR="00C5695E" w:rsidRPr="00213F66">
        <w:rPr>
          <w:rFonts w:ascii="Arial" w:eastAsia="Times New Roman" w:hAnsi="Arial" w:cs="Arial"/>
          <w:b/>
        </w:rPr>
        <w:t xml:space="preserve"> </w:t>
      </w:r>
    </w:p>
    <w:p w14:paraId="0B068CC4" w14:textId="77777777" w:rsidR="000E774F" w:rsidRPr="00213F66" w:rsidRDefault="000E774F" w:rsidP="007B7B23">
      <w:pPr>
        <w:jc w:val="both"/>
        <w:rPr>
          <w:rFonts w:ascii="Arial" w:eastAsia="Times New Roman" w:hAnsi="Arial" w:cs="Arial"/>
          <w:b/>
          <w:sz w:val="20"/>
          <w:szCs w:val="20"/>
        </w:rPr>
      </w:pPr>
      <w:r w:rsidRPr="00213F66">
        <w:rPr>
          <w:rFonts w:ascii="Arial" w:eastAsia="Times New Roman" w:hAnsi="Arial" w:cs="Arial"/>
          <w:sz w:val="20"/>
          <w:szCs w:val="20"/>
        </w:rPr>
        <w:t>Methods described by</w:t>
      </w:r>
      <w:r w:rsidRPr="00213F66">
        <w:rPr>
          <w:rFonts w:ascii="Arial" w:eastAsia="Times New Roman" w:hAnsi="Arial" w:cs="Arial"/>
          <w:b/>
          <w:sz w:val="20"/>
          <w:szCs w:val="20"/>
        </w:rPr>
        <w:t xml:space="preserve"> </w:t>
      </w:r>
      <w:r w:rsidR="00525524" w:rsidRPr="00213F66">
        <w:rPr>
          <w:rFonts w:ascii="Arial" w:hAnsi="Arial" w:cs="Arial"/>
          <w:sz w:val="20"/>
          <w:szCs w:val="20"/>
        </w:rPr>
        <w:t xml:space="preserve">Okeke </w:t>
      </w:r>
      <w:r w:rsidR="00525524" w:rsidRPr="00213F66">
        <w:rPr>
          <w:rFonts w:ascii="Arial" w:hAnsi="Arial" w:cs="Arial"/>
          <w:i/>
          <w:color w:val="FF0000"/>
          <w:sz w:val="20"/>
          <w:szCs w:val="20"/>
        </w:rPr>
        <w:t>et al</w:t>
      </w:r>
      <w:r w:rsidR="00525524" w:rsidRPr="00213F66">
        <w:rPr>
          <w:rFonts w:ascii="Arial" w:hAnsi="Arial" w:cs="Arial"/>
          <w:sz w:val="20"/>
          <w:szCs w:val="20"/>
        </w:rPr>
        <w:t xml:space="preserve">. (2001), Ekong </w:t>
      </w:r>
      <w:r w:rsidR="00525524" w:rsidRPr="00213F66">
        <w:rPr>
          <w:rFonts w:ascii="Arial" w:hAnsi="Arial" w:cs="Arial"/>
          <w:i/>
          <w:color w:val="FF0000"/>
          <w:sz w:val="20"/>
          <w:szCs w:val="20"/>
        </w:rPr>
        <w:t>et al</w:t>
      </w:r>
      <w:r w:rsidR="00525524" w:rsidRPr="00213F66">
        <w:rPr>
          <w:rFonts w:ascii="Arial" w:hAnsi="Arial" w:cs="Arial"/>
          <w:sz w:val="20"/>
          <w:szCs w:val="20"/>
        </w:rPr>
        <w:t xml:space="preserve">. (2004) and </w:t>
      </w:r>
      <w:r w:rsidRPr="00213F66">
        <w:rPr>
          <w:rFonts w:ascii="Arial" w:hAnsi="Arial" w:cs="Arial"/>
          <w:sz w:val="20"/>
          <w:szCs w:val="20"/>
        </w:rPr>
        <w:t xml:space="preserve">Akpan </w:t>
      </w:r>
      <w:r w:rsidRPr="00213F66">
        <w:rPr>
          <w:rFonts w:ascii="Arial" w:hAnsi="Arial" w:cs="Arial"/>
          <w:i/>
          <w:color w:val="FF0000"/>
          <w:sz w:val="20"/>
          <w:szCs w:val="20"/>
        </w:rPr>
        <w:t>et al.</w:t>
      </w:r>
      <w:r w:rsidRPr="00213F66">
        <w:rPr>
          <w:rFonts w:ascii="Arial" w:hAnsi="Arial" w:cs="Arial"/>
          <w:sz w:val="20"/>
          <w:szCs w:val="20"/>
        </w:rPr>
        <w:t xml:space="preserve"> (2021)</w:t>
      </w:r>
      <w:r w:rsidR="00525524" w:rsidRPr="00213F66">
        <w:rPr>
          <w:rFonts w:ascii="Arial" w:hAnsi="Arial" w:cs="Arial"/>
          <w:sz w:val="20"/>
          <w:szCs w:val="20"/>
        </w:rPr>
        <w:t xml:space="preserve"> were adopted for antimicrobial assay</w:t>
      </w:r>
      <w:r w:rsidR="00D94E70" w:rsidRPr="00213F66">
        <w:rPr>
          <w:rFonts w:ascii="Arial" w:hAnsi="Arial" w:cs="Arial"/>
          <w:sz w:val="20"/>
          <w:szCs w:val="20"/>
        </w:rPr>
        <w:t xml:space="preserve"> as </w:t>
      </w:r>
      <w:r w:rsidR="00D94E70" w:rsidRPr="00213F66">
        <w:rPr>
          <w:rFonts w:ascii="Arial" w:hAnsi="Arial" w:cs="Arial"/>
          <w:color w:val="FF0000"/>
          <w:sz w:val="20"/>
          <w:szCs w:val="20"/>
        </w:rPr>
        <w:t>fo</w:t>
      </w:r>
      <w:r w:rsidR="005760A3" w:rsidRPr="00213F66">
        <w:rPr>
          <w:rFonts w:ascii="Arial" w:hAnsi="Arial" w:cs="Arial"/>
          <w:color w:val="FF0000"/>
          <w:sz w:val="20"/>
          <w:szCs w:val="20"/>
        </w:rPr>
        <w:t>l</w:t>
      </w:r>
      <w:r w:rsidR="00D94E70" w:rsidRPr="00213F66">
        <w:rPr>
          <w:rFonts w:ascii="Arial" w:hAnsi="Arial" w:cs="Arial"/>
          <w:color w:val="FF0000"/>
          <w:sz w:val="20"/>
          <w:szCs w:val="20"/>
        </w:rPr>
        <w:t>lows</w:t>
      </w:r>
      <w:r w:rsidR="00D94E70" w:rsidRPr="00213F66">
        <w:rPr>
          <w:rFonts w:ascii="Arial" w:hAnsi="Arial" w:cs="Arial"/>
          <w:sz w:val="20"/>
          <w:szCs w:val="20"/>
        </w:rPr>
        <w:t>.</w:t>
      </w:r>
    </w:p>
    <w:p w14:paraId="1552E3D1" w14:textId="77777777" w:rsidR="007B7B23" w:rsidRPr="00213F66" w:rsidRDefault="00E06D10" w:rsidP="00E06D10">
      <w:pPr>
        <w:contextualSpacing/>
        <w:jc w:val="both"/>
        <w:rPr>
          <w:rFonts w:ascii="Arial" w:hAnsi="Arial" w:cs="Arial"/>
          <w:b/>
          <w:sz w:val="20"/>
          <w:szCs w:val="20"/>
          <w:u w:val="single"/>
        </w:rPr>
      </w:pPr>
      <w:r w:rsidRPr="00213F66">
        <w:rPr>
          <w:rFonts w:ascii="Arial" w:hAnsi="Arial" w:cs="Arial"/>
          <w:b/>
          <w:sz w:val="20"/>
          <w:szCs w:val="20"/>
          <w:u w:val="single"/>
        </w:rPr>
        <w:t xml:space="preserve">2.5.1 </w:t>
      </w:r>
      <w:r w:rsidR="007B7B23" w:rsidRPr="00213F66">
        <w:rPr>
          <w:rFonts w:ascii="Arial" w:hAnsi="Arial" w:cs="Arial"/>
          <w:b/>
          <w:sz w:val="20"/>
          <w:szCs w:val="20"/>
          <w:u w:val="single"/>
        </w:rPr>
        <w:t>Collection of microbial test organisms</w:t>
      </w:r>
    </w:p>
    <w:p w14:paraId="27FA8DA3" w14:textId="77777777" w:rsidR="007B7B23" w:rsidRPr="00213F66" w:rsidRDefault="007B7B23" w:rsidP="00E06D10">
      <w:pPr>
        <w:jc w:val="both"/>
        <w:rPr>
          <w:rFonts w:ascii="Arial" w:hAnsi="Arial" w:cs="Arial"/>
          <w:sz w:val="20"/>
          <w:szCs w:val="20"/>
        </w:rPr>
      </w:pPr>
      <w:r w:rsidRPr="00213F66">
        <w:rPr>
          <w:rFonts w:ascii="Arial" w:hAnsi="Arial" w:cs="Arial"/>
          <w:bCs/>
          <w:sz w:val="20"/>
          <w:szCs w:val="20"/>
        </w:rPr>
        <w:t>I</w:t>
      </w:r>
      <w:r w:rsidRPr="00213F66">
        <w:rPr>
          <w:rFonts w:ascii="Arial" w:hAnsi="Arial" w:cs="Arial"/>
          <w:sz w:val="20"/>
          <w:szCs w:val="20"/>
        </w:rPr>
        <w:t xml:space="preserve">solates were obtained from the Microbiology Laboratories of University of Uyo, as well as the University Health Centre and University of Uyo Teaching Hospital, all in Uyo, Nigeria. The organisms included: </w:t>
      </w:r>
      <w:r w:rsidRPr="00213F66">
        <w:rPr>
          <w:rFonts w:ascii="Arial" w:hAnsi="Arial" w:cs="Arial"/>
          <w:i/>
          <w:iCs/>
          <w:sz w:val="20"/>
          <w:szCs w:val="20"/>
        </w:rPr>
        <w:t xml:space="preserve">Staphylococcus aureus, Salmonella spp., Shigella spp., Escherichia coli, Pseudomonas aeruginosa, </w:t>
      </w:r>
      <w:r w:rsidRPr="00213F66">
        <w:rPr>
          <w:rFonts w:ascii="Arial" w:hAnsi="Arial" w:cs="Arial"/>
          <w:i/>
          <w:color w:val="FF0000"/>
          <w:sz w:val="20"/>
          <w:szCs w:val="20"/>
        </w:rPr>
        <w:t>Vibrio</w:t>
      </w:r>
      <w:r w:rsidRPr="00213F66">
        <w:rPr>
          <w:rFonts w:ascii="Arial" w:hAnsi="Arial" w:cs="Arial"/>
          <w:i/>
          <w:sz w:val="20"/>
          <w:szCs w:val="20"/>
        </w:rPr>
        <w:t xml:space="preserve"> cholerae</w:t>
      </w:r>
      <w:r w:rsidRPr="00213F66">
        <w:rPr>
          <w:rFonts w:ascii="Arial" w:hAnsi="Arial" w:cs="Arial"/>
          <w:i/>
          <w:iCs/>
          <w:sz w:val="20"/>
          <w:szCs w:val="20"/>
        </w:rPr>
        <w:t xml:space="preserve">, Candida </w:t>
      </w:r>
      <w:r w:rsidRPr="00213F66">
        <w:rPr>
          <w:rFonts w:ascii="Arial" w:hAnsi="Arial" w:cs="Arial"/>
          <w:sz w:val="20"/>
          <w:szCs w:val="20"/>
        </w:rPr>
        <w:t>albicans,</w:t>
      </w:r>
      <w:r w:rsidRPr="00213F66">
        <w:rPr>
          <w:rFonts w:ascii="Arial" w:hAnsi="Arial" w:cs="Arial"/>
          <w:i/>
          <w:iCs/>
          <w:sz w:val="20"/>
          <w:szCs w:val="20"/>
        </w:rPr>
        <w:t xml:space="preserve"> Saccharomyces cerevisiae, Aspergillus niger, Aspergillus flavus. </w:t>
      </w:r>
      <w:r w:rsidRPr="00213F66">
        <w:rPr>
          <w:rFonts w:ascii="Arial" w:hAnsi="Arial" w:cs="Arial"/>
          <w:sz w:val="20"/>
          <w:szCs w:val="20"/>
        </w:rPr>
        <w:t>These organisms were subcultured and preserved as pure cultures on Nutrient agar and Sabouraud Dextrose agar slants and stored at low temperatures until required.</w:t>
      </w:r>
    </w:p>
    <w:p w14:paraId="52186F58" w14:textId="77777777" w:rsidR="007B7B23" w:rsidRPr="00213F66" w:rsidRDefault="007B7B23" w:rsidP="007B7B23">
      <w:pPr>
        <w:pStyle w:val="ListParagraph"/>
        <w:ind w:left="1080"/>
        <w:jc w:val="both"/>
        <w:rPr>
          <w:rFonts w:ascii="Arial" w:hAnsi="Arial" w:cs="Arial"/>
          <w:sz w:val="20"/>
          <w:szCs w:val="20"/>
        </w:rPr>
      </w:pPr>
    </w:p>
    <w:p w14:paraId="0E74679A" w14:textId="77777777" w:rsidR="007B7B23" w:rsidRPr="00213F66" w:rsidRDefault="00E06D10" w:rsidP="00E06D10">
      <w:pPr>
        <w:contextualSpacing/>
        <w:jc w:val="both"/>
        <w:rPr>
          <w:rFonts w:ascii="Arial" w:hAnsi="Arial" w:cs="Arial"/>
          <w:b/>
          <w:bCs/>
          <w:sz w:val="20"/>
          <w:szCs w:val="20"/>
          <w:u w:val="single"/>
        </w:rPr>
      </w:pPr>
      <w:r w:rsidRPr="00213F66">
        <w:rPr>
          <w:rFonts w:ascii="Arial" w:hAnsi="Arial" w:cs="Arial"/>
          <w:b/>
          <w:bCs/>
          <w:sz w:val="20"/>
          <w:szCs w:val="20"/>
          <w:u w:val="single"/>
        </w:rPr>
        <w:t xml:space="preserve">2.5.2 Preparation of test organisms used in the study.  </w:t>
      </w:r>
    </w:p>
    <w:p w14:paraId="22B73040" w14:textId="77777777" w:rsidR="00FF3D3D" w:rsidRPr="00213F66" w:rsidRDefault="00FF3D3D" w:rsidP="00FF3D3D">
      <w:pPr>
        <w:jc w:val="both"/>
        <w:rPr>
          <w:rFonts w:ascii="Arial" w:hAnsi="Arial" w:cs="Arial"/>
          <w:color w:val="FF0000"/>
          <w:sz w:val="20"/>
          <w:szCs w:val="20"/>
        </w:rPr>
      </w:pPr>
      <w:r w:rsidRPr="00213F66">
        <w:rPr>
          <w:rFonts w:ascii="Arial" w:hAnsi="Arial" w:cs="Arial"/>
          <w:color w:val="FF0000"/>
          <w:sz w:val="20"/>
          <w:szCs w:val="20"/>
        </w:rPr>
        <w:t xml:space="preserve">Fresh colonies of each test organism were aseptically transferred into sterile nutrient broth (for bacteria) or potato dextrose broth (for fungi) and incubated at </w:t>
      </w:r>
      <w:r w:rsidRPr="00213F66">
        <w:rPr>
          <w:rStyle w:val="Strong"/>
          <w:rFonts w:ascii="Arial" w:hAnsi="Arial" w:cs="Arial"/>
          <w:b w:val="0"/>
          <w:color w:val="FF0000"/>
          <w:sz w:val="20"/>
          <w:szCs w:val="20"/>
        </w:rPr>
        <w:t>37 °C for 24 h</w:t>
      </w:r>
      <w:r w:rsidRPr="00213F66">
        <w:rPr>
          <w:rFonts w:ascii="Arial" w:hAnsi="Arial" w:cs="Arial"/>
          <w:color w:val="FF0000"/>
          <w:sz w:val="20"/>
          <w:szCs w:val="20"/>
        </w:rPr>
        <w:t xml:space="preserve"> for bacterial isolates and </w:t>
      </w:r>
      <w:r w:rsidRPr="00213F66">
        <w:rPr>
          <w:rStyle w:val="Strong"/>
          <w:rFonts w:ascii="Arial" w:hAnsi="Arial" w:cs="Arial"/>
          <w:b w:val="0"/>
          <w:color w:val="FF0000"/>
          <w:sz w:val="20"/>
          <w:szCs w:val="20"/>
        </w:rPr>
        <w:t>28 °C for 72 h</w:t>
      </w:r>
      <w:r w:rsidRPr="00213F66">
        <w:rPr>
          <w:rFonts w:ascii="Arial" w:hAnsi="Arial" w:cs="Arial"/>
          <w:color w:val="FF0000"/>
          <w:sz w:val="20"/>
          <w:szCs w:val="20"/>
        </w:rPr>
        <w:t xml:space="preserve"> for fungal isolates. After incubation, the cultures were serially diluted using the ten-fold dilution method. Briefly, </w:t>
      </w:r>
      <w:r w:rsidRPr="00213F66">
        <w:rPr>
          <w:rStyle w:val="Strong"/>
          <w:rFonts w:ascii="Arial" w:hAnsi="Arial" w:cs="Arial"/>
          <w:b w:val="0"/>
          <w:color w:val="FF0000"/>
          <w:sz w:val="20"/>
          <w:szCs w:val="20"/>
        </w:rPr>
        <w:t>1.0 mL</w:t>
      </w:r>
      <w:r w:rsidRPr="00213F66">
        <w:rPr>
          <w:rFonts w:ascii="Arial" w:hAnsi="Arial" w:cs="Arial"/>
          <w:color w:val="FF0000"/>
          <w:sz w:val="20"/>
          <w:szCs w:val="20"/>
        </w:rPr>
        <w:t xml:space="preserve"> of each broth culture was transferred into a test tube containing </w:t>
      </w:r>
      <w:r w:rsidRPr="00213F66">
        <w:rPr>
          <w:rStyle w:val="Strong"/>
          <w:rFonts w:ascii="Arial" w:hAnsi="Arial" w:cs="Arial"/>
          <w:b w:val="0"/>
          <w:color w:val="FF0000"/>
          <w:sz w:val="20"/>
          <w:szCs w:val="20"/>
        </w:rPr>
        <w:t>9.0 mL</w:t>
      </w:r>
      <w:r w:rsidRPr="00213F66">
        <w:rPr>
          <w:rFonts w:ascii="Arial" w:hAnsi="Arial" w:cs="Arial"/>
          <w:color w:val="FF0000"/>
          <w:sz w:val="20"/>
          <w:szCs w:val="20"/>
        </w:rPr>
        <w:t xml:space="preserve"> of </w:t>
      </w:r>
      <w:r w:rsidRPr="00213F66">
        <w:rPr>
          <w:rFonts w:ascii="Arial" w:hAnsi="Arial" w:cs="Arial"/>
          <w:color w:val="FF0000"/>
        </w:rPr>
        <w:t>sterile distilled water</w:t>
      </w:r>
      <w:r w:rsidRPr="00213F66">
        <w:rPr>
          <w:rFonts w:ascii="Arial" w:hAnsi="Arial" w:cs="Arial"/>
          <w:color w:val="FF0000"/>
          <w:sz w:val="20"/>
          <w:szCs w:val="20"/>
        </w:rPr>
        <w:t xml:space="preserve"> to obtain a </w:t>
      </w:r>
      <w:r w:rsidRPr="00213F66">
        <w:rPr>
          <w:rStyle w:val="Strong"/>
          <w:rFonts w:ascii="Arial" w:hAnsi="Arial" w:cs="Arial"/>
          <w:b w:val="0"/>
          <w:color w:val="FF0000"/>
          <w:sz w:val="20"/>
          <w:szCs w:val="20"/>
        </w:rPr>
        <w:t>10</w:t>
      </w:r>
      <w:r w:rsidRPr="00213F66">
        <w:rPr>
          <w:rStyle w:val="Strong"/>
          <w:rFonts w:ascii="Cambria Math" w:hAnsi="Cambria Math" w:cs="Cambria Math"/>
          <w:b w:val="0"/>
          <w:color w:val="FF0000"/>
          <w:sz w:val="20"/>
          <w:szCs w:val="20"/>
        </w:rPr>
        <w:t>⁻</w:t>
      </w:r>
      <w:r w:rsidRPr="00213F66">
        <w:rPr>
          <w:rStyle w:val="Strong"/>
          <w:rFonts w:ascii="Arial" w:hAnsi="Arial" w:cs="Arial"/>
          <w:b w:val="0"/>
          <w:color w:val="FF0000"/>
          <w:sz w:val="20"/>
          <w:szCs w:val="20"/>
        </w:rPr>
        <w:t>¹ dilution</w:t>
      </w:r>
      <w:r w:rsidRPr="00213F66">
        <w:rPr>
          <w:rFonts w:ascii="Arial" w:hAnsi="Arial" w:cs="Arial"/>
          <w:color w:val="FF0000"/>
          <w:sz w:val="20"/>
          <w:szCs w:val="20"/>
        </w:rPr>
        <w:t>. This process was repeated sequentially to prepare further dilutions. Gram-</w:t>
      </w:r>
      <w:r w:rsidRPr="00213F66">
        <w:rPr>
          <w:rFonts w:ascii="Arial" w:hAnsi="Arial" w:cs="Arial"/>
          <w:color w:val="FF0000"/>
          <w:sz w:val="20"/>
          <w:szCs w:val="20"/>
        </w:rPr>
        <w:lastRenderedPageBreak/>
        <w:t xml:space="preserve">positive bacterial and fungal cultures were diluted to </w:t>
      </w:r>
      <w:r w:rsidRPr="00213F66">
        <w:rPr>
          <w:rStyle w:val="Strong"/>
          <w:rFonts w:ascii="Arial" w:hAnsi="Arial" w:cs="Arial"/>
          <w:b w:val="0"/>
          <w:color w:val="FF0000"/>
          <w:sz w:val="20"/>
          <w:szCs w:val="20"/>
        </w:rPr>
        <w:t>10</w:t>
      </w:r>
      <w:r w:rsidRPr="00213F66">
        <w:rPr>
          <w:rStyle w:val="Strong"/>
          <w:rFonts w:ascii="Cambria Math" w:hAnsi="Cambria Math" w:cs="Cambria Math"/>
          <w:b w:val="0"/>
          <w:color w:val="FF0000"/>
          <w:sz w:val="20"/>
          <w:szCs w:val="20"/>
        </w:rPr>
        <w:t>⁻</w:t>
      </w:r>
      <w:r w:rsidRPr="00213F66">
        <w:rPr>
          <w:rStyle w:val="Strong"/>
          <w:rFonts w:ascii="Arial" w:hAnsi="Arial" w:cs="Arial"/>
          <w:b w:val="0"/>
          <w:color w:val="FF0000"/>
          <w:sz w:val="20"/>
          <w:szCs w:val="20"/>
        </w:rPr>
        <w:t>³</w:t>
      </w:r>
      <w:r w:rsidRPr="00213F66">
        <w:rPr>
          <w:rFonts w:ascii="Arial" w:hAnsi="Arial" w:cs="Arial"/>
          <w:color w:val="FF0000"/>
          <w:sz w:val="20"/>
          <w:szCs w:val="20"/>
        </w:rPr>
        <w:t xml:space="preserve">, while Gram-negative bacterial cultures were diluted to </w:t>
      </w:r>
      <w:r w:rsidRPr="00213F66">
        <w:rPr>
          <w:rStyle w:val="Strong"/>
          <w:rFonts w:ascii="Arial" w:hAnsi="Arial" w:cs="Arial"/>
          <w:b w:val="0"/>
          <w:color w:val="FF0000"/>
          <w:sz w:val="20"/>
          <w:szCs w:val="20"/>
        </w:rPr>
        <w:t>10</w:t>
      </w:r>
      <w:r w:rsidRPr="00213F66">
        <w:rPr>
          <w:rStyle w:val="Strong"/>
          <w:rFonts w:ascii="Cambria Math" w:hAnsi="Cambria Math" w:cs="Cambria Math"/>
          <w:b w:val="0"/>
          <w:color w:val="FF0000"/>
          <w:sz w:val="20"/>
          <w:szCs w:val="20"/>
        </w:rPr>
        <w:t>⁻</w:t>
      </w:r>
      <w:r w:rsidRPr="00213F66">
        <w:rPr>
          <w:rStyle w:val="Strong"/>
          <w:rFonts w:ascii="Arial" w:hAnsi="Arial" w:cs="Arial"/>
          <w:b w:val="0"/>
          <w:color w:val="FF0000"/>
          <w:sz w:val="20"/>
          <w:szCs w:val="20"/>
        </w:rPr>
        <w:t>⁵</w:t>
      </w:r>
      <w:r w:rsidRPr="00213F66">
        <w:rPr>
          <w:rFonts w:ascii="Arial" w:hAnsi="Arial" w:cs="Arial"/>
          <w:b/>
          <w:color w:val="FF0000"/>
          <w:sz w:val="20"/>
          <w:szCs w:val="20"/>
        </w:rPr>
        <w:t xml:space="preserve"> (Ekong et al., 2004; Clinical and Laboratory Standards Institute, 2024; European Committee on Antimicrobial Susceptibility Testing, 2024)</w:t>
      </w:r>
    </w:p>
    <w:p w14:paraId="68C2CEA8" w14:textId="77777777" w:rsidR="007B7B23" w:rsidRPr="00213F66" w:rsidRDefault="00FF3D3D" w:rsidP="00FF3D3D">
      <w:pPr>
        <w:jc w:val="both"/>
        <w:rPr>
          <w:rFonts w:ascii="Arial" w:hAnsi="Arial" w:cs="Arial"/>
          <w:color w:val="FF0000"/>
          <w:sz w:val="20"/>
          <w:szCs w:val="20"/>
        </w:rPr>
      </w:pPr>
      <w:r w:rsidRPr="00213F66">
        <w:rPr>
          <w:rFonts w:ascii="Arial" w:hAnsi="Arial" w:cs="Arial"/>
          <w:color w:val="FF0000"/>
          <w:sz w:val="20"/>
          <w:szCs w:val="20"/>
        </w:rPr>
        <w:t xml:space="preserve">The turbidity of the resulting suspensions was standardised against a </w:t>
      </w:r>
      <w:r w:rsidRPr="00213F66">
        <w:rPr>
          <w:rStyle w:val="Strong"/>
          <w:rFonts w:ascii="Arial" w:hAnsi="Arial" w:cs="Arial"/>
          <w:b w:val="0"/>
          <w:color w:val="FF0000"/>
          <w:sz w:val="20"/>
          <w:szCs w:val="20"/>
        </w:rPr>
        <w:t>0.5 McFarland standard</w:t>
      </w:r>
      <w:r w:rsidRPr="00213F66">
        <w:rPr>
          <w:rFonts w:ascii="Arial" w:hAnsi="Arial" w:cs="Arial"/>
          <w:color w:val="FF0000"/>
          <w:sz w:val="20"/>
          <w:szCs w:val="20"/>
        </w:rPr>
        <w:t xml:space="preserve">, prepared from </w:t>
      </w:r>
      <w:r w:rsidRPr="00213F66">
        <w:rPr>
          <w:rStyle w:val="Strong"/>
          <w:rFonts w:ascii="Arial" w:hAnsi="Arial" w:cs="Arial"/>
          <w:b w:val="0"/>
          <w:color w:val="FF0000"/>
          <w:sz w:val="20"/>
          <w:szCs w:val="20"/>
        </w:rPr>
        <w:t>0.05 mL of 1.175% (w/v) barium chloride dihydrate (BaCl</w:t>
      </w:r>
      <w:r w:rsidRPr="00213F66">
        <w:rPr>
          <w:rStyle w:val="Strong"/>
          <w:rFonts w:ascii="Cambria Math" w:hAnsi="Cambria Math" w:cs="Cambria Math"/>
          <w:b w:val="0"/>
          <w:color w:val="FF0000"/>
          <w:sz w:val="20"/>
          <w:szCs w:val="20"/>
        </w:rPr>
        <w:t>₂</w:t>
      </w:r>
      <w:r w:rsidRPr="00213F66">
        <w:rPr>
          <w:rStyle w:val="Strong"/>
          <w:rFonts w:ascii="Arial" w:hAnsi="Arial" w:cs="Arial"/>
          <w:b w:val="0"/>
          <w:color w:val="FF0000"/>
          <w:sz w:val="20"/>
          <w:szCs w:val="20"/>
        </w:rPr>
        <w:t>·2H</w:t>
      </w:r>
      <w:r w:rsidRPr="00213F66">
        <w:rPr>
          <w:rStyle w:val="Strong"/>
          <w:rFonts w:ascii="Cambria Math" w:hAnsi="Cambria Math" w:cs="Cambria Math"/>
          <w:b w:val="0"/>
          <w:color w:val="FF0000"/>
          <w:sz w:val="20"/>
          <w:szCs w:val="20"/>
        </w:rPr>
        <w:t>₂</w:t>
      </w:r>
      <w:r w:rsidRPr="00213F66">
        <w:rPr>
          <w:rStyle w:val="Strong"/>
          <w:rFonts w:ascii="Arial" w:hAnsi="Arial" w:cs="Arial"/>
          <w:b w:val="0"/>
          <w:color w:val="FF0000"/>
          <w:sz w:val="20"/>
          <w:szCs w:val="20"/>
        </w:rPr>
        <w:t>O)</w:t>
      </w:r>
      <w:r w:rsidRPr="00213F66">
        <w:rPr>
          <w:rFonts w:ascii="Arial" w:hAnsi="Arial" w:cs="Arial"/>
          <w:b/>
          <w:color w:val="FF0000"/>
          <w:sz w:val="20"/>
          <w:szCs w:val="20"/>
        </w:rPr>
        <w:t xml:space="preserve"> </w:t>
      </w:r>
      <w:r w:rsidRPr="00213F66">
        <w:rPr>
          <w:rFonts w:ascii="Arial" w:hAnsi="Arial" w:cs="Arial"/>
          <w:color w:val="FF0000"/>
          <w:sz w:val="20"/>
          <w:szCs w:val="20"/>
        </w:rPr>
        <w:t>and</w:t>
      </w:r>
      <w:r w:rsidRPr="00213F66">
        <w:rPr>
          <w:rFonts w:ascii="Arial" w:hAnsi="Arial" w:cs="Arial"/>
          <w:b/>
          <w:color w:val="FF0000"/>
          <w:sz w:val="20"/>
          <w:szCs w:val="20"/>
        </w:rPr>
        <w:t xml:space="preserve"> </w:t>
      </w:r>
      <w:r w:rsidRPr="00213F66">
        <w:rPr>
          <w:rStyle w:val="Strong"/>
          <w:rFonts w:ascii="Arial" w:hAnsi="Arial" w:cs="Arial"/>
          <w:b w:val="0"/>
          <w:color w:val="FF0000"/>
          <w:sz w:val="20"/>
          <w:szCs w:val="20"/>
        </w:rPr>
        <w:t>9.95 mL of 1% (v/v) sulfuric acid (H</w:t>
      </w:r>
      <w:r w:rsidRPr="00213F66">
        <w:rPr>
          <w:rStyle w:val="Strong"/>
          <w:rFonts w:ascii="Cambria Math" w:hAnsi="Cambria Math" w:cs="Cambria Math"/>
          <w:b w:val="0"/>
          <w:color w:val="FF0000"/>
          <w:sz w:val="20"/>
          <w:szCs w:val="20"/>
        </w:rPr>
        <w:t>₂</w:t>
      </w:r>
      <w:r w:rsidRPr="00213F66">
        <w:rPr>
          <w:rStyle w:val="Strong"/>
          <w:rFonts w:ascii="Arial" w:hAnsi="Arial" w:cs="Arial"/>
          <w:b w:val="0"/>
          <w:color w:val="FF0000"/>
          <w:sz w:val="20"/>
          <w:szCs w:val="20"/>
        </w:rPr>
        <w:t>SO</w:t>
      </w:r>
      <w:r w:rsidRPr="00213F66">
        <w:rPr>
          <w:rStyle w:val="Strong"/>
          <w:rFonts w:ascii="Cambria Math" w:hAnsi="Cambria Math" w:cs="Cambria Math"/>
          <w:b w:val="0"/>
          <w:color w:val="FF0000"/>
          <w:sz w:val="20"/>
          <w:szCs w:val="20"/>
        </w:rPr>
        <w:t>₄</w:t>
      </w:r>
      <w:r w:rsidRPr="00213F66">
        <w:rPr>
          <w:rStyle w:val="Strong"/>
          <w:rFonts w:ascii="Arial" w:hAnsi="Arial" w:cs="Arial"/>
          <w:b w:val="0"/>
          <w:color w:val="FF0000"/>
          <w:sz w:val="20"/>
          <w:szCs w:val="20"/>
        </w:rPr>
        <w:t>)</w:t>
      </w:r>
      <w:r w:rsidRPr="00213F66">
        <w:rPr>
          <w:rFonts w:ascii="Arial" w:hAnsi="Arial" w:cs="Arial"/>
          <w:b/>
          <w:color w:val="FF0000"/>
          <w:sz w:val="20"/>
          <w:szCs w:val="20"/>
        </w:rPr>
        <w:t>,</w:t>
      </w:r>
      <w:r w:rsidRPr="00213F66">
        <w:rPr>
          <w:rFonts w:ascii="Arial" w:hAnsi="Arial" w:cs="Arial"/>
          <w:color w:val="FF0000"/>
          <w:sz w:val="20"/>
          <w:szCs w:val="20"/>
        </w:rPr>
        <w:t xml:space="preserve"> which produces a suspension with turbidity equivalent to approximately </w:t>
      </w:r>
      <w:r w:rsidRPr="00213F66">
        <w:rPr>
          <w:rStyle w:val="Strong"/>
          <w:rFonts w:ascii="Arial" w:hAnsi="Arial" w:cs="Arial"/>
          <w:b w:val="0"/>
          <w:color w:val="FF0000"/>
          <w:sz w:val="20"/>
          <w:szCs w:val="20"/>
        </w:rPr>
        <w:t>1.5 × 10⁸ colony-forming units (CFU)/mL</w:t>
      </w:r>
      <w:r w:rsidRPr="00213F66">
        <w:rPr>
          <w:rFonts w:ascii="Arial" w:hAnsi="Arial" w:cs="Arial"/>
          <w:color w:val="FF0000"/>
          <w:sz w:val="20"/>
          <w:szCs w:val="20"/>
        </w:rPr>
        <w:t>. The microbial suspensions were adjusted by adding sterile saline when excessively turbid or additional culture when less turbid until a visual match with the McFarland standard was achieved. The standardised inocula were thoroughly mixed and used immediately for inoculating Mueller–Hinton agar plates (for bacteria) and Potato Dextrose Agar plates (for fungi) during antimicrobial susceptibility testing (Ekong et al., 2004; Clinical and Laboratory Standards Institute, 2024; European Committee on Antimicrobial Susceptibility Testing, 2024).</w:t>
      </w:r>
    </w:p>
    <w:p w14:paraId="147EE0D8" w14:textId="77777777" w:rsidR="007B7B23" w:rsidRPr="00213F66" w:rsidRDefault="007B7B23" w:rsidP="007B7B23">
      <w:pPr>
        <w:pStyle w:val="ListParagraph"/>
        <w:ind w:left="1080"/>
        <w:jc w:val="both"/>
        <w:rPr>
          <w:rFonts w:ascii="Arial" w:hAnsi="Arial" w:cs="Arial"/>
          <w:sz w:val="20"/>
          <w:szCs w:val="20"/>
        </w:rPr>
      </w:pPr>
    </w:p>
    <w:p w14:paraId="628481D4" w14:textId="77777777" w:rsidR="007B7B23" w:rsidRPr="00213F66" w:rsidRDefault="00282E92" w:rsidP="00E06D10">
      <w:pPr>
        <w:contextualSpacing/>
        <w:jc w:val="both"/>
        <w:rPr>
          <w:rFonts w:ascii="Arial" w:hAnsi="Arial" w:cs="Arial"/>
          <w:b/>
          <w:bCs/>
          <w:sz w:val="20"/>
          <w:szCs w:val="20"/>
          <w:u w:val="single"/>
        </w:rPr>
      </w:pPr>
      <w:r w:rsidRPr="00213F66">
        <w:rPr>
          <w:rFonts w:ascii="Arial" w:hAnsi="Arial" w:cs="Arial"/>
          <w:b/>
          <w:bCs/>
          <w:sz w:val="20"/>
          <w:szCs w:val="20"/>
          <w:u w:val="single"/>
        </w:rPr>
        <w:t xml:space="preserve">2.5.3 </w:t>
      </w:r>
      <w:r w:rsidR="007B7B23" w:rsidRPr="00213F66">
        <w:rPr>
          <w:rFonts w:ascii="Arial" w:hAnsi="Arial" w:cs="Arial"/>
          <w:b/>
          <w:bCs/>
          <w:sz w:val="20"/>
          <w:szCs w:val="20"/>
          <w:u w:val="single"/>
        </w:rPr>
        <w:t>Determination of extract concentrations</w:t>
      </w:r>
    </w:p>
    <w:p w14:paraId="1075872C" w14:textId="77777777" w:rsidR="007B7B23" w:rsidRPr="00213F66" w:rsidRDefault="007B7B23" w:rsidP="00E06D10">
      <w:pPr>
        <w:jc w:val="both"/>
        <w:rPr>
          <w:rFonts w:ascii="Arial" w:hAnsi="Arial" w:cs="Arial"/>
          <w:sz w:val="20"/>
          <w:szCs w:val="20"/>
        </w:rPr>
      </w:pPr>
      <w:r w:rsidRPr="00213F66">
        <w:rPr>
          <w:rFonts w:ascii="Arial" w:hAnsi="Arial" w:cs="Arial"/>
          <w:sz w:val="20"/>
          <w:szCs w:val="20"/>
        </w:rPr>
        <w:t xml:space="preserve">The extracts were dissolved using sterile water to constitute different concentrations of 500 mg/mL, </w:t>
      </w:r>
      <w:r w:rsidRPr="00213F66">
        <w:rPr>
          <w:rFonts w:ascii="Arial" w:hAnsi="Arial" w:cs="Arial"/>
          <w:color w:val="FF0000"/>
          <w:sz w:val="20"/>
          <w:szCs w:val="20"/>
        </w:rPr>
        <w:t>400</w:t>
      </w:r>
      <w:r w:rsidR="005760A3" w:rsidRPr="00213F66">
        <w:rPr>
          <w:rFonts w:ascii="Arial" w:hAnsi="Arial" w:cs="Arial"/>
          <w:color w:val="FF0000"/>
          <w:sz w:val="20"/>
          <w:szCs w:val="20"/>
        </w:rPr>
        <w:t xml:space="preserve"> </w:t>
      </w:r>
      <w:r w:rsidRPr="00213F66">
        <w:rPr>
          <w:rFonts w:ascii="Arial" w:hAnsi="Arial" w:cs="Arial"/>
          <w:color w:val="FF0000"/>
          <w:sz w:val="20"/>
          <w:szCs w:val="20"/>
        </w:rPr>
        <w:t>mg/mL, 300</w:t>
      </w:r>
      <w:r w:rsidR="005760A3" w:rsidRPr="00213F66">
        <w:rPr>
          <w:rFonts w:ascii="Arial" w:hAnsi="Arial" w:cs="Arial"/>
          <w:color w:val="FF0000"/>
          <w:sz w:val="20"/>
          <w:szCs w:val="20"/>
        </w:rPr>
        <w:t xml:space="preserve"> </w:t>
      </w:r>
      <w:r w:rsidRPr="00213F66">
        <w:rPr>
          <w:rFonts w:ascii="Arial" w:hAnsi="Arial" w:cs="Arial"/>
          <w:color w:val="FF0000"/>
          <w:sz w:val="20"/>
          <w:szCs w:val="20"/>
        </w:rPr>
        <w:t>mg/mL, 200</w:t>
      </w:r>
      <w:r w:rsidR="005760A3" w:rsidRPr="00213F66">
        <w:rPr>
          <w:rFonts w:ascii="Arial" w:hAnsi="Arial" w:cs="Arial"/>
          <w:color w:val="FF0000"/>
          <w:sz w:val="20"/>
          <w:szCs w:val="20"/>
        </w:rPr>
        <w:t xml:space="preserve"> </w:t>
      </w:r>
      <w:r w:rsidRPr="00213F66">
        <w:rPr>
          <w:rFonts w:ascii="Arial" w:hAnsi="Arial" w:cs="Arial"/>
          <w:color w:val="FF0000"/>
          <w:sz w:val="20"/>
          <w:szCs w:val="20"/>
        </w:rPr>
        <w:t>mg/mL and 100</w:t>
      </w:r>
      <w:r w:rsidR="005760A3" w:rsidRPr="00213F66">
        <w:rPr>
          <w:rFonts w:ascii="Arial" w:hAnsi="Arial" w:cs="Arial"/>
          <w:color w:val="FF0000"/>
          <w:sz w:val="20"/>
          <w:szCs w:val="20"/>
        </w:rPr>
        <w:t xml:space="preserve"> </w:t>
      </w:r>
      <w:r w:rsidRPr="00213F66">
        <w:rPr>
          <w:rFonts w:ascii="Arial" w:hAnsi="Arial" w:cs="Arial"/>
          <w:color w:val="FF0000"/>
          <w:sz w:val="20"/>
          <w:szCs w:val="20"/>
        </w:rPr>
        <w:t>mg/</w:t>
      </w:r>
      <w:proofErr w:type="spellStart"/>
      <w:r w:rsidRPr="00213F66">
        <w:rPr>
          <w:rFonts w:ascii="Arial" w:hAnsi="Arial" w:cs="Arial"/>
          <w:color w:val="FF0000"/>
          <w:sz w:val="20"/>
          <w:szCs w:val="20"/>
        </w:rPr>
        <w:t>mL.</w:t>
      </w:r>
      <w:proofErr w:type="spellEnd"/>
    </w:p>
    <w:p w14:paraId="07CF5EB5" w14:textId="77777777" w:rsidR="007B7B23" w:rsidRPr="00213F66" w:rsidRDefault="007B7B23" w:rsidP="007B7B23">
      <w:pPr>
        <w:pStyle w:val="ListParagraph"/>
        <w:ind w:left="1080"/>
        <w:jc w:val="both"/>
        <w:rPr>
          <w:rFonts w:ascii="Arial" w:hAnsi="Arial" w:cs="Arial"/>
          <w:sz w:val="20"/>
          <w:szCs w:val="20"/>
        </w:rPr>
      </w:pPr>
    </w:p>
    <w:p w14:paraId="3970F050" w14:textId="77777777" w:rsidR="007B7B23" w:rsidRPr="00213F66" w:rsidRDefault="00282E92" w:rsidP="00E06D10">
      <w:pPr>
        <w:contextualSpacing/>
        <w:jc w:val="both"/>
        <w:rPr>
          <w:rFonts w:ascii="Arial" w:hAnsi="Arial" w:cs="Arial"/>
          <w:b/>
          <w:bCs/>
          <w:sz w:val="20"/>
          <w:szCs w:val="20"/>
          <w:u w:val="single"/>
        </w:rPr>
      </w:pPr>
      <w:r w:rsidRPr="00213F66">
        <w:rPr>
          <w:rFonts w:ascii="Arial" w:hAnsi="Arial" w:cs="Arial"/>
          <w:b/>
          <w:bCs/>
          <w:sz w:val="20"/>
          <w:szCs w:val="20"/>
          <w:u w:val="single"/>
        </w:rPr>
        <w:t xml:space="preserve">2.5.4 </w:t>
      </w:r>
      <w:r w:rsidR="007B7B23" w:rsidRPr="00213F66">
        <w:rPr>
          <w:rFonts w:ascii="Arial" w:hAnsi="Arial" w:cs="Arial"/>
          <w:b/>
          <w:bCs/>
          <w:sz w:val="20"/>
          <w:szCs w:val="20"/>
          <w:u w:val="single"/>
        </w:rPr>
        <w:t>Determination of antimicrobial assay of extract on selected test organisms</w:t>
      </w:r>
    </w:p>
    <w:p w14:paraId="3CC00D7F" w14:textId="77777777" w:rsidR="007B7B23" w:rsidRPr="00213F66" w:rsidRDefault="007B7B23" w:rsidP="00E06D10">
      <w:pPr>
        <w:jc w:val="both"/>
        <w:rPr>
          <w:rFonts w:ascii="Arial" w:hAnsi="Arial" w:cs="Arial"/>
          <w:sz w:val="20"/>
          <w:szCs w:val="20"/>
        </w:rPr>
      </w:pPr>
      <w:r w:rsidRPr="00213F66">
        <w:rPr>
          <w:rFonts w:ascii="Arial" w:hAnsi="Arial" w:cs="Arial"/>
          <w:sz w:val="20"/>
          <w:szCs w:val="20"/>
        </w:rPr>
        <w:t>Antimicrobial activity of the extracts was evaluated using the well-in-agar diffusion technique. The diluted test organisms in nutrient broth and malt extract broth for bacterial and fungal isolates, respectively, were further subcultured in peptone water, and the cells were adjusted to the McFarland turbidity standard. Then, 0.1 mL of each diluted test organism was aseptically transferred and spread on the surface of Mueller-Hinton agar (MHA). Sterile swab sticks were used to spread the inocula on the surface of the medium, which was then allowed to dry on the bench. A sterile cork borer of 5.0 mm was used to bore holes on the surface of the medium seeded with the test organisms. In each of the wells previously seeded with the test organisms, 100 mg of extract dilution at different concentrations was introduced. Control experiments were set up alongside the extracts using commercial antibacterial and antifungal drugs (Gentamycin and Nystatin), at 20 mg and 50 mg for bacterial and fungal isolates, respectively. All plates were left on the bench for 1 h before incubation at 37 °C for 24 h for bacterial isolates and 72 h for fungal isolates. After incubation, antimicrobial activities were determined by measuring the zone-of-inhibition diameter (ZID) in all the extracts.</w:t>
      </w:r>
    </w:p>
    <w:p w14:paraId="2ED29236" w14:textId="77777777" w:rsidR="007B7B23" w:rsidRPr="00213F66" w:rsidRDefault="007B7B23" w:rsidP="007B7B23">
      <w:pPr>
        <w:pStyle w:val="ListParagraph"/>
        <w:ind w:left="1080"/>
        <w:jc w:val="both"/>
        <w:rPr>
          <w:rFonts w:ascii="Arial" w:hAnsi="Arial" w:cs="Arial"/>
          <w:sz w:val="20"/>
          <w:szCs w:val="20"/>
        </w:rPr>
      </w:pPr>
    </w:p>
    <w:p w14:paraId="5F3FE99F" w14:textId="77777777" w:rsidR="007B7B23" w:rsidRPr="00213F66" w:rsidRDefault="00282E92" w:rsidP="00E06D10">
      <w:pPr>
        <w:contextualSpacing/>
        <w:jc w:val="both"/>
        <w:rPr>
          <w:rFonts w:ascii="Arial" w:hAnsi="Arial" w:cs="Arial"/>
          <w:b/>
          <w:bCs/>
          <w:sz w:val="20"/>
          <w:szCs w:val="20"/>
          <w:u w:val="single"/>
        </w:rPr>
      </w:pPr>
      <w:r w:rsidRPr="00213F66">
        <w:rPr>
          <w:rFonts w:ascii="Arial" w:hAnsi="Arial" w:cs="Arial"/>
          <w:b/>
          <w:bCs/>
          <w:sz w:val="20"/>
          <w:szCs w:val="20"/>
          <w:u w:val="single"/>
        </w:rPr>
        <w:t xml:space="preserve">2.5.5 </w:t>
      </w:r>
      <w:r w:rsidR="007B7B23" w:rsidRPr="00213F66">
        <w:rPr>
          <w:rFonts w:ascii="Arial" w:hAnsi="Arial" w:cs="Arial"/>
          <w:b/>
          <w:bCs/>
          <w:sz w:val="20"/>
          <w:szCs w:val="20"/>
          <w:u w:val="single"/>
        </w:rPr>
        <w:t>Determination of Minimum Inhibitory Concentration (MIC)</w:t>
      </w:r>
    </w:p>
    <w:p w14:paraId="31F267F5" w14:textId="77777777" w:rsidR="007B7B23" w:rsidRPr="00213F66" w:rsidRDefault="007B7B23" w:rsidP="00E06D10">
      <w:pPr>
        <w:jc w:val="both"/>
        <w:rPr>
          <w:rFonts w:ascii="Arial" w:hAnsi="Arial" w:cs="Arial"/>
          <w:sz w:val="20"/>
          <w:szCs w:val="20"/>
        </w:rPr>
      </w:pPr>
      <w:r w:rsidRPr="00213F66">
        <w:rPr>
          <w:rFonts w:ascii="Arial" w:hAnsi="Arial" w:cs="Arial"/>
          <w:sz w:val="20"/>
          <w:szCs w:val="20"/>
        </w:rPr>
        <w:t>The minimum inhibitory concentration of the extract was determined using the agar-plate method. To obtain this, 1.0 mL from the last concentration of the extract that showed activity against an organism was further diluted. Then, 1.0 mL from each diluted extract was introduced into sterile plates. Nutrient agar (NA) and Sabouraud Dextrose agar (SDA) were poured into the plates, swirled and left on the bench to set; these were used for bacterial and fungal isolates, respectively. The plates were dried at a low temperature, and organisms susceptible to the extracts were inoculated on the plates using the streaking method and incubated for 24 h to 48 h for bacteria and fungi. The concentration that inhibited the growth of any test organism was noted as the MIC for the extract against that test organism (Ekong et al., 2004).</w:t>
      </w:r>
    </w:p>
    <w:p w14:paraId="3B8AEAC3" w14:textId="77777777" w:rsidR="007B7B23" w:rsidRPr="00213F66" w:rsidRDefault="007B7B23" w:rsidP="00F80A73">
      <w:pPr>
        <w:spacing w:line="240" w:lineRule="auto"/>
        <w:ind w:right="1"/>
        <w:jc w:val="both"/>
        <w:rPr>
          <w:rFonts w:ascii="Arial" w:hAnsi="Arial" w:cs="Arial"/>
          <w:sz w:val="20"/>
          <w:szCs w:val="20"/>
        </w:rPr>
      </w:pPr>
    </w:p>
    <w:p w14:paraId="5B5CFCA0" w14:textId="77777777" w:rsidR="00D94E70" w:rsidRPr="00213F66" w:rsidRDefault="00282E92" w:rsidP="00D94E70">
      <w:pPr>
        <w:jc w:val="both"/>
        <w:rPr>
          <w:rFonts w:ascii="Arial" w:hAnsi="Arial" w:cs="Arial"/>
          <w:b/>
        </w:rPr>
      </w:pPr>
      <w:r w:rsidRPr="00213F66">
        <w:rPr>
          <w:rFonts w:ascii="Arial" w:hAnsi="Arial" w:cs="Arial"/>
          <w:b/>
        </w:rPr>
        <w:t xml:space="preserve">3. </w:t>
      </w:r>
      <w:r w:rsidR="00D94E70" w:rsidRPr="00213F66">
        <w:rPr>
          <w:rFonts w:ascii="Arial" w:hAnsi="Arial" w:cs="Arial"/>
          <w:b/>
        </w:rPr>
        <w:t>RESULTS AND DISCUSSION</w:t>
      </w:r>
    </w:p>
    <w:p w14:paraId="19547266" w14:textId="77777777" w:rsidR="00D94E70" w:rsidRPr="00213F66" w:rsidRDefault="00D94E70" w:rsidP="00D94E70">
      <w:pPr>
        <w:spacing w:line="480" w:lineRule="auto"/>
        <w:jc w:val="both"/>
        <w:rPr>
          <w:rFonts w:ascii="Arial" w:hAnsi="Arial" w:cs="Arial"/>
          <w:b/>
          <w:bCs/>
          <w:i/>
          <w:iCs/>
          <w:sz w:val="20"/>
          <w:szCs w:val="20"/>
        </w:rPr>
      </w:pPr>
      <w:r w:rsidRPr="00213F66">
        <w:rPr>
          <w:rFonts w:ascii="Arial" w:hAnsi="Arial" w:cs="Arial"/>
          <w:b/>
          <w:bCs/>
          <w:sz w:val="20"/>
          <w:szCs w:val="20"/>
        </w:rPr>
        <w:t xml:space="preserve">Table </w:t>
      </w:r>
      <w:r w:rsidR="0094173F" w:rsidRPr="00213F66">
        <w:rPr>
          <w:rFonts w:ascii="Arial" w:hAnsi="Arial" w:cs="Arial"/>
          <w:b/>
          <w:bCs/>
          <w:sz w:val="20"/>
          <w:szCs w:val="20"/>
        </w:rPr>
        <w:t>1</w:t>
      </w:r>
      <w:r w:rsidRPr="00213F66">
        <w:rPr>
          <w:rFonts w:ascii="Arial" w:hAnsi="Arial" w:cs="Arial"/>
          <w:sz w:val="20"/>
          <w:szCs w:val="20"/>
        </w:rPr>
        <w:t xml:space="preserve">: </w:t>
      </w:r>
      <w:r w:rsidRPr="00213F66">
        <w:rPr>
          <w:rFonts w:ascii="Arial" w:hAnsi="Arial" w:cs="Arial"/>
          <w:b/>
          <w:sz w:val="20"/>
          <w:szCs w:val="20"/>
        </w:rPr>
        <w:t xml:space="preserve">Phytochemical investigation for ethanol extracts of </w:t>
      </w:r>
      <w:r w:rsidRPr="00213F66">
        <w:rPr>
          <w:rFonts w:ascii="Arial" w:hAnsi="Arial" w:cs="Arial"/>
          <w:b/>
          <w:bCs/>
          <w:i/>
          <w:iCs/>
          <w:sz w:val="20"/>
          <w:szCs w:val="20"/>
        </w:rPr>
        <w:t>Mentha piperita</w:t>
      </w:r>
    </w:p>
    <w:tbl>
      <w:tblPr>
        <w:tblStyle w:val="PlainTable21"/>
        <w:tblW w:w="9705" w:type="dxa"/>
        <w:tblLayout w:type="fixed"/>
        <w:tblLook w:val="04A0" w:firstRow="1" w:lastRow="0" w:firstColumn="1" w:lastColumn="0" w:noHBand="0" w:noVBand="1"/>
      </w:tblPr>
      <w:tblGrid>
        <w:gridCol w:w="3526"/>
        <w:gridCol w:w="1259"/>
        <w:gridCol w:w="1619"/>
        <w:gridCol w:w="1619"/>
        <w:gridCol w:w="1682"/>
      </w:tblGrid>
      <w:tr w:rsidR="00D94E70" w:rsidRPr="00213F66" w14:paraId="41C1FD20" w14:textId="77777777" w:rsidTr="006C59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526" w:type="dxa"/>
            <w:vMerge w:val="restart"/>
            <w:hideMark/>
          </w:tcPr>
          <w:p w14:paraId="57B57896" w14:textId="77777777" w:rsidR="00D94E70" w:rsidRPr="00213F66" w:rsidRDefault="00D94E70" w:rsidP="00391EF9">
            <w:pPr>
              <w:jc w:val="both"/>
              <w:rPr>
                <w:rFonts w:ascii="Arial" w:hAnsi="Arial" w:cs="Arial"/>
                <w:b w:val="0"/>
                <w:bCs w:val="0"/>
                <w:sz w:val="20"/>
                <w:szCs w:val="20"/>
              </w:rPr>
            </w:pPr>
            <w:r w:rsidRPr="00213F66">
              <w:rPr>
                <w:rFonts w:ascii="Arial" w:hAnsi="Arial" w:cs="Arial"/>
                <w:b w:val="0"/>
                <w:bCs w:val="0"/>
                <w:sz w:val="20"/>
                <w:szCs w:val="20"/>
              </w:rPr>
              <w:t>Chemical group</w:t>
            </w:r>
          </w:p>
          <w:p w14:paraId="67E001E9" w14:textId="77777777" w:rsidR="00D94E70" w:rsidRPr="00213F66" w:rsidRDefault="00D94E70" w:rsidP="00391EF9">
            <w:pPr>
              <w:jc w:val="both"/>
              <w:rPr>
                <w:rFonts w:ascii="Arial" w:hAnsi="Arial" w:cs="Arial"/>
                <w:b w:val="0"/>
                <w:bCs w:val="0"/>
                <w:sz w:val="20"/>
                <w:szCs w:val="20"/>
              </w:rPr>
            </w:pPr>
            <w:r w:rsidRPr="00213F66">
              <w:rPr>
                <w:rFonts w:ascii="Arial" w:hAnsi="Arial" w:cs="Arial"/>
                <w:b w:val="0"/>
                <w:bCs w:val="0"/>
                <w:sz w:val="20"/>
                <w:szCs w:val="20"/>
              </w:rPr>
              <w:lastRenderedPageBreak/>
              <w:t xml:space="preserve">                                                                                                         </w:t>
            </w:r>
          </w:p>
        </w:tc>
        <w:tc>
          <w:tcPr>
            <w:tcW w:w="6179" w:type="dxa"/>
            <w:gridSpan w:val="4"/>
            <w:hideMark/>
          </w:tcPr>
          <w:p w14:paraId="17B6254F"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lastRenderedPageBreak/>
              <w:t xml:space="preserve">                            Ethanol extracts</w:t>
            </w:r>
          </w:p>
        </w:tc>
      </w:tr>
      <w:tr w:rsidR="00D94E70" w:rsidRPr="00213F66" w14:paraId="3C375908" w14:textId="77777777" w:rsidTr="006C59F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526" w:type="dxa"/>
            <w:vMerge/>
            <w:hideMark/>
          </w:tcPr>
          <w:p w14:paraId="4A187BA8" w14:textId="77777777" w:rsidR="00D94E70" w:rsidRPr="00213F66" w:rsidRDefault="00D94E70" w:rsidP="00391EF9">
            <w:pPr>
              <w:jc w:val="both"/>
              <w:rPr>
                <w:rFonts w:ascii="Arial" w:hAnsi="Arial" w:cs="Arial"/>
                <w:b w:val="0"/>
                <w:bCs w:val="0"/>
                <w:sz w:val="20"/>
                <w:szCs w:val="20"/>
              </w:rPr>
            </w:pPr>
          </w:p>
        </w:tc>
        <w:tc>
          <w:tcPr>
            <w:tcW w:w="2878" w:type="dxa"/>
            <w:gridSpan w:val="2"/>
            <w:hideMark/>
          </w:tcPr>
          <w:p w14:paraId="284CBD5D"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Leaf</w:t>
            </w:r>
          </w:p>
        </w:tc>
        <w:tc>
          <w:tcPr>
            <w:tcW w:w="3301" w:type="dxa"/>
            <w:gridSpan w:val="2"/>
            <w:hideMark/>
          </w:tcPr>
          <w:p w14:paraId="230970C1" w14:textId="77777777" w:rsidR="00D94E70" w:rsidRPr="00213F66" w:rsidRDefault="00D94E70" w:rsidP="00391EF9">
            <w:pPr>
              <w:ind w:left="124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Stem</w:t>
            </w:r>
          </w:p>
        </w:tc>
      </w:tr>
      <w:tr w:rsidR="00D94E70" w:rsidRPr="00213F66" w14:paraId="3F8E1174" w14:textId="77777777" w:rsidTr="006C59F9">
        <w:trPr>
          <w:trHeight w:val="323"/>
        </w:trPr>
        <w:tc>
          <w:tcPr>
            <w:cnfStyle w:val="001000000000" w:firstRow="0" w:lastRow="0" w:firstColumn="1" w:lastColumn="0" w:oddVBand="0" w:evenVBand="0" w:oddHBand="0" w:evenHBand="0" w:firstRowFirstColumn="0" w:firstRowLastColumn="0" w:lastRowFirstColumn="0" w:lastRowLastColumn="0"/>
            <w:tcW w:w="3526" w:type="dxa"/>
          </w:tcPr>
          <w:p w14:paraId="325F553C" w14:textId="77777777" w:rsidR="00D94E70" w:rsidRPr="00213F66" w:rsidRDefault="00D94E70" w:rsidP="00391EF9">
            <w:pPr>
              <w:jc w:val="both"/>
              <w:rPr>
                <w:rFonts w:ascii="Arial" w:hAnsi="Arial" w:cs="Arial"/>
                <w:b w:val="0"/>
                <w:bCs w:val="0"/>
                <w:sz w:val="20"/>
                <w:szCs w:val="20"/>
              </w:rPr>
            </w:pPr>
          </w:p>
        </w:tc>
        <w:tc>
          <w:tcPr>
            <w:tcW w:w="1259" w:type="dxa"/>
            <w:hideMark/>
          </w:tcPr>
          <w:p w14:paraId="0E55A3A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Fresh</w:t>
            </w:r>
          </w:p>
        </w:tc>
        <w:tc>
          <w:tcPr>
            <w:tcW w:w="1619" w:type="dxa"/>
            <w:hideMark/>
          </w:tcPr>
          <w:p w14:paraId="06743B1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Dry</w:t>
            </w:r>
          </w:p>
        </w:tc>
        <w:tc>
          <w:tcPr>
            <w:tcW w:w="1619" w:type="dxa"/>
            <w:hideMark/>
          </w:tcPr>
          <w:p w14:paraId="340C0A7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Fresh</w:t>
            </w:r>
          </w:p>
        </w:tc>
        <w:tc>
          <w:tcPr>
            <w:tcW w:w="1682" w:type="dxa"/>
            <w:hideMark/>
          </w:tcPr>
          <w:p w14:paraId="4CFA760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Dry</w:t>
            </w:r>
          </w:p>
        </w:tc>
      </w:tr>
      <w:tr w:rsidR="00D94E70" w:rsidRPr="00213F66" w14:paraId="239E2271" w14:textId="77777777" w:rsidTr="006C59F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526" w:type="dxa"/>
            <w:hideMark/>
          </w:tcPr>
          <w:p w14:paraId="48406A1A"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Alkaloid</w:t>
            </w:r>
          </w:p>
          <w:p w14:paraId="6A3354EA"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xml:space="preserve">- </w:t>
            </w:r>
            <w:proofErr w:type="spellStart"/>
            <w:proofErr w:type="gramStart"/>
            <w:r w:rsidRPr="00213F66">
              <w:rPr>
                <w:rFonts w:ascii="Arial" w:hAnsi="Arial" w:cs="Arial"/>
                <w:sz w:val="20"/>
                <w:szCs w:val="20"/>
              </w:rPr>
              <w:t>Dragendroff”s</w:t>
            </w:r>
            <w:proofErr w:type="spellEnd"/>
            <w:proofErr w:type="gramEnd"/>
            <w:r w:rsidRPr="00213F66">
              <w:rPr>
                <w:rFonts w:ascii="Arial" w:hAnsi="Arial" w:cs="Arial"/>
                <w:sz w:val="20"/>
                <w:szCs w:val="20"/>
              </w:rPr>
              <w:t xml:space="preserve"> test </w:t>
            </w:r>
          </w:p>
          <w:p w14:paraId="4E4D7D4F"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Wagner test</w:t>
            </w:r>
          </w:p>
          <w:p w14:paraId="0DCD138C"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Mayer test</w:t>
            </w:r>
            <w:r w:rsidRPr="00213F66">
              <w:rPr>
                <w:rFonts w:ascii="Arial" w:hAnsi="Arial" w:cs="Arial"/>
                <w:b w:val="0"/>
                <w:bCs w:val="0"/>
                <w:sz w:val="20"/>
                <w:szCs w:val="20"/>
              </w:rPr>
              <w:t xml:space="preserve">      </w:t>
            </w:r>
          </w:p>
        </w:tc>
        <w:tc>
          <w:tcPr>
            <w:tcW w:w="1259" w:type="dxa"/>
            <w:hideMark/>
          </w:tcPr>
          <w:p w14:paraId="0F739F2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61AD64F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54077B13"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3E0960D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08D5094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D09A5D"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30BED1E1"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386746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782BD70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4E4F1F2"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1E22B8F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351FA73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1A5EB2A3"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DF7DFE5"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6955355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4ED6DE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r>
      <w:tr w:rsidR="00D94E70" w:rsidRPr="00213F66" w14:paraId="0690D7D9" w14:textId="77777777" w:rsidTr="006C59F9">
        <w:trPr>
          <w:trHeight w:val="845"/>
        </w:trPr>
        <w:tc>
          <w:tcPr>
            <w:cnfStyle w:val="001000000000" w:firstRow="0" w:lastRow="0" w:firstColumn="1" w:lastColumn="0" w:oddVBand="0" w:evenVBand="0" w:oddHBand="0" w:evenHBand="0" w:firstRowFirstColumn="0" w:firstRowLastColumn="0" w:lastRowFirstColumn="0" w:lastRowLastColumn="0"/>
            <w:tcW w:w="3526" w:type="dxa"/>
            <w:hideMark/>
          </w:tcPr>
          <w:p w14:paraId="049C15A2"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Carbohydrate</w:t>
            </w:r>
          </w:p>
          <w:p w14:paraId="72F68D63"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Molisch test</w:t>
            </w:r>
          </w:p>
          <w:p w14:paraId="779B0F3D"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Fehling test</w:t>
            </w:r>
          </w:p>
        </w:tc>
        <w:tc>
          <w:tcPr>
            <w:tcW w:w="1259" w:type="dxa"/>
          </w:tcPr>
          <w:p w14:paraId="12A4962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F219E9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57CE4F8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20CD3F1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19" w:type="dxa"/>
          </w:tcPr>
          <w:p w14:paraId="7CF926E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D570AF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F4CA0D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09C31C5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19" w:type="dxa"/>
          </w:tcPr>
          <w:p w14:paraId="1D2407D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A4D4D6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p w14:paraId="529E0AE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1416290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82" w:type="dxa"/>
          </w:tcPr>
          <w:p w14:paraId="312FA4FD"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BD95C6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CBA6A6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51BE8D31" w14:textId="77777777" w:rsidTr="006C59F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526" w:type="dxa"/>
            <w:hideMark/>
          </w:tcPr>
          <w:p w14:paraId="7DB55EEB"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Tannins</w:t>
            </w:r>
          </w:p>
          <w:p w14:paraId="32075B54"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Ferric chloride</w:t>
            </w:r>
          </w:p>
        </w:tc>
        <w:tc>
          <w:tcPr>
            <w:tcW w:w="1259" w:type="dxa"/>
          </w:tcPr>
          <w:p w14:paraId="5F47660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1220371"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tc>
        <w:tc>
          <w:tcPr>
            <w:tcW w:w="1619" w:type="dxa"/>
          </w:tcPr>
          <w:p w14:paraId="20EAEB4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50EBD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tc>
        <w:tc>
          <w:tcPr>
            <w:tcW w:w="1619" w:type="dxa"/>
          </w:tcPr>
          <w:p w14:paraId="0E748A4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7E959F3"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82" w:type="dxa"/>
          </w:tcPr>
          <w:p w14:paraId="3E2C93CC"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F2ECEC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r>
      <w:tr w:rsidR="00D94E70" w:rsidRPr="00213F66" w14:paraId="789B331D" w14:textId="77777777" w:rsidTr="006C59F9">
        <w:trPr>
          <w:trHeight w:val="530"/>
        </w:trPr>
        <w:tc>
          <w:tcPr>
            <w:cnfStyle w:val="001000000000" w:firstRow="0" w:lastRow="0" w:firstColumn="1" w:lastColumn="0" w:oddVBand="0" w:evenVBand="0" w:oddHBand="0" w:evenHBand="0" w:firstRowFirstColumn="0" w:firstRowLastColumn="0" w:lastRowFirstColumn="0" w:lastRowLastColumn="0"/>
            <w:tcW w:w="3526" w:type="dxa"/>
            <w:hideMark/>
          </w:tcPr>
          <w:p w14:paraId="163B6ACB" w14:textId="77777777" w:rsidR="00D94E70" w:rsidRPr="00213F66" w:rsidRDefault="00D94E70" w:rsidP="00D94E70">
            <w:pPr>
              <w:numPr>
                <w:ilvl w:val="0"/>
                <w:numId w:val="18"/>
              </w:numPr>
              <w:jc w:val="both"/>
              <w:rPr>
                <w:rFonts w:ascii="Arial" w:hAnsi="Arial" w:cs="Arial"/>
                <w:b w:val="0"/>
                <w:bCs w:val="0"/>
                <w:sz w:val="20"/>
                <w:szCs w:val="20"/>
              </w:rPr>
            </w:pPr>
            <w:proofErr w:type="spellStart"/>
            <w:r w:rsidRPr="00213F66">
              <w:rPr>
                <w:rFonts w:ascii="Arial" w:hAnsi="Arial" w:cs="Arial"/>
                <w:b w:val="0"/>
                <w:bCs w:val="0"/>
                <w:sz w:val="20"/>
                <w:szCs w:val="20"/>
              </w:rPr>
              <w:t>Phlobotannins</w:t>
            </w:r>
            <w:proofErr w:type="spellEnd"/>
          </w:p>
          <w:p w14:paraId="007CA6FF"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xml:space="preserve">- Lead Acetate test </w:t>
            </w:r>
          </w:p>
          <w:p w14:paraId="491F2F6C"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Acid Test</w:t>
            </w:r>
          </w:p>
        </w:tc>
        <w:tc>
          <w:tcPr>
            <w:tcW w:w="1259" w:type="dxa"/>
          </w:tcPr>
          <w:p w14:paraId="4C6B113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28014C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p w14:paraId="46AA70D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13B87BD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773D1B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2141B89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71545C6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693DB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p w14:paraId="7C72A4E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552DD81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AC7A2A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37B6BDC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r>
      <w:tr w:rsidR="00D94E70" w:rsidRPr="00213F66" w14:paraId="5B283755" w14:textId="77777777" w:rsidTr="006C59F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526" w:type="dxa"/>
            <w:hideMark/>
          </w:tcPr>
          <w:p w14:paraId="7504C5BC"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Saponin</w:t>
            </w:r>
          </w:p>
          <w:p w14:paraId="5322B435" w14:textId="77777777" w:rsidR="00D94E70" w:rsidRPr="00213F66" w:rsidRDefault="00D94E70" w:rsidP="00D94E70">
            <w:pPr>
              <w:numPr>
                <w:ilvl w:val="0"/>
                <w:numId w:val="19"/>
              </w:numPr>
              <w:jc w:val="both"/>
              <w:rPr>
                <w:rFonts w:ascii="Arial" w:hAnsi="Arial" w:cs="Arial"/>
                <w:sz w:val="20"/>
                <w:szCs w:val="20"/>
              </w:rPr>
            </w:pPr>
            <w:r w:rsidRPr="00213F66">
              <w:rPr>
                <w:rFonts w:ascii="Arial" w:hAnsi="Arial" w:cs="Arial"/>
                <w:sz w:val="20"/>
                <w:szCs w:val="20"/>
              </w:rPr>
              <w:t>Foam test</w:t>
            </w:r>
          </w:p>
        </w:tc>
        <w:tc>
          <w:tcPr>
            <w:tcW w:w="1259" w:type="dxa"/>
          </w:tcPr>
          <w:p w14:paraId="7568394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A6A6BC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1FB6800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7594263"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7654A741"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8A159E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5102E555"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724D5BA"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4000DF4E" w14:textId="77777777" w:rsidTr="006C59F9">
        <w:trPr>
          <w:trHeight w:val="872"/>
        </w:trPr>
        <w:tc>
          <w:tcPr>
            <w:cnfStyle w:val="001000000000" w:firstRow="0" w:lastRow="0" w:firstColumn="1" w:lastColumn="0" w:oddVBand="0" w:evenVBand="0" w:oddHBand="0" w:evenHBand="0" w:firstRowFirstColumn="0" w:firstRowLastColumn="0" w:lastRowFirstColumn="0" w:lastRowLastColumn="0"/>
            <w:tcW w:w="3526" w:type="dxa"/>
            <w:hideMark/>
          </w:tcPr>
          <w:p w14:paraId="30DF8DF9"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Flavonoids</w:t>
            </w:r>
          </w:p>
          <w:p w14:paraId="0B5657FC"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Shinoda test</w:t>
            </w:r>
          </w:p>
          <w:p w14:paraId="0A7A1FD0"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Alkali test</w:t>
            </w:r>
          </w:p>
          <w:p w14:paraId="0A232A0F"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Zinc dust test</w:t>
            </w:r>
          </w:p>
          <w:p w14:paraId="02113D79" w14:textId="77777777" w:rsidR="00D94E70" w:rsidRPr="00213F66" w:rsidRDefault="00D94E70" w:rsidP="00391EF9">
            <w:pPr>
              <w:jc w:val="both"/>
              <w:rPr>
                <w:rFonts w:ascii="Arial" w:hAnsi="Arial" w:cs="Arial"/>
                <w:b w:val="0"/>
                <w:bCs w:val="0"/>
                <w:sz w:val="20"/>
                <w:szCs w:val="20"/>
              </w:rPr>
            </w:pPr>
            <w:r w:rsidRPr="00213F66">
              <w:rPr>
                <w:rFonts w:ascii="Arial" w:hAnsi="Arial" w:cs="Arial"/>
                <w:sz w:val="20"/>
                <w:szCs w:val="20"/>
              </w:rPr>
              <w:t xml:space="preserve">            - Ammonia test</w:t>
            </w:r>
          </w:p>
        </w:tc>
        <w:tc>
          <w:tcPr>
            <w:tcW w:w="1259" w:type="dxa"/>
          </w:tcPr>
          <w:p w14:paraId="6A6FEB0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2983B7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52F3A5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7FDE3F8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C38C83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7964835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00ECF3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733100B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39F671F5"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3E7EA47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1B772DC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62359D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553AA2A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457F1C8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3875B5B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tc>
        <w:tc>
          <w:tcPr>
            <w:tcW w:w="1682" w:type="dxa"/>
          </w:tcPr>
          <w:p w14:paraId="16C9FFE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E6C395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78E1477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757FF0F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484CA91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4A8A7B27" w14:textId="77777777" w:rsidTr="006C59F9">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3526" w:type="dxa"/>
            <w:hideMark/>
          </w:tcPr>
          <w:p w14:paraId="7C839364"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Cardiac glycoside</w:t>
            </w:r>
          </w:p>
          <w:p w14:paraId="5EBA5E49"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Liebermann’s test</w:t>
            </w:r>
          </w:p>
          <w:p w14:paraId="2EBFF335"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Kellers </w:t>
            </w:r>
            <w:proofErr w:type="spellStart"/>
            <w:r w:rsidRPr="00213F66">
              <w:rPr>
                <w:rFonts w:ascii="Arial" w:hAnsi="Arial" w:cs="Arial"/>
                <w:sz w:val="20"/>
                <w:szCs w:val="20"/>
              </w:rPr>
              <w:t>Killiani</w:t>
            </w:r>
            <w:proofErr w:type="spellEnd"/>
            <w:r w:rsidRPr="00213F66">
              <w:rPr>
                <w:rFonts w:ascii="Arial" w:hAnsi="Arial" w:cs="Arial"/>
                <w:sz w:val="20"/>
                <w:szCs w:val="20"/>
              </w:rPr>
              <w:t xml:space="preserve"> test</w:t>
            </w:r>
          </w:p>
          <w:p w14:paraId="14E2062F"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-Liebermann’s Burchard test</w:t>
            </w:r>
          </w:p>
          <w:p w14:paraId="3E13E8F4" w14:textId="77777777" w:rsidR="00D94E70" w:rsidRPr="00213F66" w:rsidRDefault="00D94E70" w:rsidP="00391EF9">
            <w:pPr>
              <w:jc w:val="both"/>
              <w:rPr>
                <w:rFonts w:ascii="Arial" w:hAnsi="Arial" w:cs="Arial"/>
                <w:b w:val="0"/>
                <w:bCs w:val="0"/>
                <w:sz w:val="20"/>
                <w:szCs w:val="20"/>
              </w:rPr>
            </w:pPr>
            <w:r w:rsidRPr="00213F66">
              <w:rPr>
                <w:rFonts w:ascii="Arial" w:hAnsi="Arial" w:cs="Arial"/>
                <w:sz w:val="20"/>
                <w:szCs w:val="20"/>
              </w:rPr>
              <w:t xml:space="preserve">       - Salkowski test</w:t>
            </w:r>
          </w:p>
        </w:tc>
        <w:tc>
          <w:tcPr>
            <w:tcW w:w="1259" w:type="dxa"/>
          </w:tcPr>
          <w:p w14:paraId="1CDCB51B"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A1C85D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346F8A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p w14:paraId="24BCC71A"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792EF40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1954AA9B"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619" w:type="dxa"/>
          </w:tcPr>
          <w:p w14:paraId="6021ABBD"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6C64AA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02BA099"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24BCC79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794142D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57AF3F8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924E1B3"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6F3910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91097D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C9DA6BD"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37126AC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896AD5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7845E5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C23D58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5C325B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5579AFF8" w14:textId="77777777" w:rsidTr="006C59F9">
        <w:trPr>
          <w:trHeight w:val="872"/>
        </w:trPr>
        <w:tc>
          <w:tcPr>
            <w:cnfStyle w:val="001000000000" w:firstRow="0" w:lastRow="0" w:firstColumn="1" w:lastColumn="0" w:oddVBand="0" w:evenVBand="0" w:oddHBand="0" w:evenHBand="0" w:firstRowFirstColumn="0" w:firstRowLastColumn="0" w:lastRowFirstColumn="0" w:lastRowLastColumn="0"/>
            <w:tcW w:w="3526" w:type="dxa"/>
            <w:hideMark/>
          </w:tcPr>
          <w:p w14:paraId="3DA35E4F" w14:textId="77777777" w:rsidR="00D94E70" w:rsidRPr="00213F66" w:rsidRDefault="00D94E70" w:rsidP="00D94E70">
            <w:pPr>
              <w:numPr>
                <w:ilvl w:val="0"/>
                <w:numId w:val="18"/>
              </w:numPr>
              <w:jc w:val="both"/>
              <w:rPr>
                <w:rFonts w:ascii="Arial" w:hAnsi="Arial" w:cs="Arial"/>
                <w:b w:val="0"/>
                <w:bCs w:val="0"/>
                <w:sz w:val="20"/>
                <w:szCs w:val="20"/>
              </w:rPr>
            </w:pPr>
            <w:proofErr w:type="spellStart"/>
            <w:r w:rsidRPr="00213F66">
              <w:rPr>
                <w:rFonts w:ascii="Arial" w:hAnsi="Arial" w:cs="Arial"/>
                <w:b w:val="0"/>
                <w:bCs w:val="0"/>
                <w:sz w:val="20"/>
                <w:szCs w:val="20"/>
              </w:rPr>
              <w:t>Steriod</w:t>
            </w:r>
            <w:proofErr w:type="spellEnd"/>
          </w:p>
          <w:p w14:paraId="3F65E00E" w14:textId="77777777" w:rsidR="00D94E70" w:rsidRPr="00213F66" w:rsidRDefault="00D94E70" w:rsidP="00391EF9">
            <w:pPr>
              <w:jc w:val="both"/>
              <w:rPr>
                <w:rFonts w:ascii="Arial" w:hAnsi="Arial" w:cs="Arial"/>
                <w:sz w:val="20"/>
                <w:szCs w:val="20"/>
              </w:rPr>
            </w:pPr>
            <w:r w:rsidRPr="00213F66">
              <w:rPr>
                <w:rFonts w:ascii="Arial" w:hAnsi="Arial" w:cs="Arial"/>
                <w:sz w:val="20"/>
                <w:szCs w:val="20"/>
              </w:rPr>
              <w:t xml:space="preserve">      - Liebermann’s Burchard test</w:t>
            </w:r>
          </w:p>
          <w:p w14:paraId="42514D61" w14:textId="77777777" w:rsidR="00D94E70" w:rsidRPr="00213F66" w:rsidRDefault="00D94E70" w:rsidP="00391EF9">
            <w:pPr>
              <w:jc w:val="both"/>
              <w:rPr>
                <w:rFonts w:ascii="Arial" w:hAnsi="Arial" w:cs="Arial"/>
                <w:b w:val="0"/>
                <w:bCs w:val="0"/>
                <w:sz w:val="20"/>
                <w:szCs w:val="20"/>
              </w:rPr>
            </w:pPr>
            <w:r w:rsidRPr="00213F66">
              <w:rPr>
                <w:rFonts w:ascii="Arial" w:hAnsi="Arial" w:cs="Arial"/>
                <w:sz w:val="20"/>
                <w:szCs w:val="20"/>
              </w:rPr>
              <w:t xml:space="preserve">       -Salkowski test</w:t>
            </w:r>
          </w:p>
        </w:tc>
        <w:tc>
          <w:tcPr>
            <w:tcW w:w="1259" w:type="dxa"/>
          </w:tcPr>
          <w:p w14:paraId="4412695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160060D"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2BD4D33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1EB81BE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8126F5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164625F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1C2B218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DB27670"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2766F3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14958A9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7F2952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404FEE6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701D8D2B" w14:textId="77777777" w:rsidTr="006C59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6" w:type="dxa"/>
            <w:hideMark/>
          </w:tcPr>
          <w:p w14:paraId="3860B308"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Anthraquinone</w:t>
            </w:r>
          </w:p>
          <w:p w14:paraId="70C10FFF"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Ammonia test</w:t>
            </w:r>
          </w:p>
          <w:p w14:paraId="398F9E87"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Borntrager test</w:t>
            </w:r>
          </w:p>
        </w:tc>
        <w:tc>
          <w:tcPr>
            <w:tcW w:w="1259" w:type="dxa"/>
          </w:tcPr>
          <w:p w14:paraId="55C1624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6E52C3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50DD362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51746F95"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AE97E0B"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6A9560C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7FAFC5E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5492869"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329FFBD1"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3E8C5931"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946859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17FD51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2A14CC46" w14:textId="77777777" w:rsidTr="006C59F9">
        <w:trPr>
          <w:trHeight w:val="755"/>
        </w:trPr>
        <w:tc>
          <w:tcPr>
            <w:cnfStyle w:val="001000000000" w:firstRow="0" w:lastRow="0" w:firstColumn="1" w:lastColumn="0" w:oddVBand="0" w:evenVBand="0" w:oddHBand="0" w:evenHBand="0" w:firstRowFirstColumn="0" w:firstRowLastColumn="0" w:lastRowFirstColumn="0" w:lastRowLastColumn="0"/>
            <w:tcW w:w="3526" w:type="dxa"/>
            <w:hideMark/>
          </w:tcPr>
          <w:p w14:paraId="38BD99F7"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Polyphenol</w:t>
            </w:r>
          </w:p>
          <w:p w14:paraId="5CC86F92"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Nitric acid test</w:t>
            </w:r>
          </w:p>
          <w:p w14:paraId="106D21E3"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Acetic acid test</w:t>
            </w:r>
          </w:p>
        </w:tc>
        <w:tc>
          <w:tcPr>
            <w:tcW w:w="1259" w:type="dxa"/>
          </w:tcPr>
          <w:p w14:paraId="45B9BFE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203005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4830EF2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19" w:type="dxa"/>
          </w:tcPr>
          <w:p w14:paraId="1852C9E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B18E95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45BC14C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5B7516C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19" w:type="dxa"/>
          </w:tcPr>
          <w:p w14:paraId="35F7313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7273CC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p w14:paraId="6752A00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c>
          <w:tcPr>
            <w:tcW w:w="1682" w:type="dxa"/>
          </w:tcPr>
          <w:p w14:paraId="67D276F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02C0CE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4F79B7D"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tc>
      </w:tr>
      <w:tr w:rsidR="00D94E70" w:rsidRPr="00213F66" w14:paraId="213D9EA2" w14:textId="77777777" w:rsidTr="006C59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6" w:type="dxa"/>
            <w:hideMark/>
          </w:tcPr>
          <w:p w14:paraId="7AED664E"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 xml:space="preserve">Triterpenoid </w:t>
            </w:r>
          </w:p>
          <w:p w14:paraId="007AA61E" w14:textId="77777777" w:rsidR="00D94E70" w:rsidRPr="00213F66" w:rsidRDefault="00D94E70" w:rsidP="00391EF9">
            <w:pPr>
              <w:ind w:left="720"/>
              <w:jc w:val="both"/>
              <w:rPr>
                <w:rFonts w:ascii="Arial" w:hAnsi="Arial" w:cs="Arial"/>
                <w:sz w:val="20"/>
                <w:szCs w:val="20"/>
              </w:rPr>
            </w:pPr>
            <w:r w:rsidRPr="00213F66">
              <w:rPr>
                <w:rFonts w:ascii="Arial" w:hAnsi="Arial" w:cs="Arial"/>
                <w:sz w:val="20"/>
                <w:szCs w:val="20"/>
              </w:rPr>
              <w:t>- Chloroform test</w:t>
            </w:r>
          </w:p>
          <w:p w14:paraId="7C437009" w14:textId="77777777" w:rsidR="00D94E70" w:rsidRPr="00213F66" w:rsidRDefault="00D94E70" w:rsidP="00391EF9">
            <w:pPr>
              <w:ind w:left="720"/>
              <w:jc w:val="both"/>
              <w:rPr>
                <w:rFonts w:ascii="Arial" w:hAnsi="Arial" w:cs="Arial"/>
                <w:b w:val="0"/>
                <w:bCs w:val="0"/>
                <w:sz w:val="20"/>
                <w:szCs w:val="20"/>
              </w:rPr>
            </w:pPr>
            <w:r w:rsidRPr="00213F66">
              <w:rPr>
                <w:rFonts w:ascii="Arial" w:hAnsi="Arial" w:cs="Arial"/>
                <w:sz w:val="20"/>
                <w:szCs w:val="20"/>
              </w:rPr>
              <w:t>- Salkowski test</w:t>
            </w:r>
          </w:p>
        </w:tc>
        <w:tc>
          <w:tcPr>
            <w:tcW w:w="1259" w:type="dxa"/>
          </w:tcPr>
          <w:p w14:paraId="422E10B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C45179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1A81D5C"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tc>
        <w:tc>
          <w:tcPr>
            <w:tcW w:w="1619" w:type="dxa"/>
          </w:tcPr>
          <w:p w14:paraId="297B09CC"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033938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05AE8A4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 +</w:t>
            </w:r>
          </w:p>
        </w:tc>
        <w:tc>
          <w:tcPr>
            <w:tcW w:w="1619" w:type="dxa"/>
          </w:tcPr>
          <w:p w14:paraId="13FB8FE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4CC36A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95AA00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82" w:type="dxa"/>
          </w:tcPr>
          <w:p w14:paraId="44BA1F2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34B2478"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64C2D3A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r>
      <w:tr w:rsidR="00D94E70" w:rsidRPr="00213F66" w14:paraId="3A84C56B" w14:textId="77777777" w:rsidTr="006C59F9">
        <w:trPr>
          <w:trHeight w:val="872"/>
        </w:trPr>
        <w:tc>
          <w:tcPr>
            <w:cnfStyle w:val="001000000000" w:firstRow="0" w:lastRow="0" w:firstColumn="1" w:lastColumn="0" w:oddVBand="0" w:evenVBand="0" w:oddHBand="0" w:evenHBand="0" w:firstRowFirstColumn="0" w:firstRowLastColumn="0" w:lastRowFirstColumn="0" w:lastRowLastColumn="0"/>
            <w:tcW w:w="3526" w:type="dxa"/>
            <w:hideMark/>
          </w:tcPr>
          <w:p w14:paraId="53FB69D8" w14:textId="77777777" w:rsidR="00D94E70" w:rsidRPr="00213F66" w:rsidRDefault="00D94E70" w:rsidP="00D94E70">
            <w:pPr>
              <w:numPr>
                <w:ilvl w:val="0"/>
                <w:numId w:val="18"/>
              </w:numPr>
              <w:jc w:val="both"/>
              <w:rPr>
                <w:rFonts w:ascii="Arial" w:hAnsi="Arial" w:cs="Arial"/>
                <w:b w:val="0"/>
                <w:bCs w:val="0"/>
                <w:sz w:val="20"/>
                <w:szCs w:val="20"/>
              </w:rPr>
            </w:pPr>
            <w:r w:rsidRPr="00213F66">
              <w:rPr>
                <w:rFonts w:ascii="Arial" w:hAnsi="Arial" w:cs="Arial"/>
                <w:b w:val="0"/>
                <w:bCs w:val="0"/>
                <w:sz w:val="20"/>
                <w:szCs w:val="20"/>
              </w:rPr>
              <w:t xml:space="preserve"> Protein </w:t>
            </w:r>
          </w:p>
          <w:p w14:paraId="6F1857C3" w14:textId="77777777" w:rsidR="00D94E70" w:rsidRPr="00213F66" w:rsidRDefault="00D94E70" w:rsidP="00D94E70">
            <w:pPr>
              <w:numPr>
                <w:ilvl w:val="0"/>
                <w:numId w:val="19"/>
              </w:numPr>
              <w:jc w:val="both"/>
              <w:rPr>
                <w:rFonts w:ascii="Arial" w:hAnsi="Arial" w:cs="Arial"/>
                <w:sz w:val="20"/>
                <w:szCs w:val="20"/>
              </w:rPr>
            </w:pPr>
            <w:r w:rsidRPr="00213F66">
              <w:rPr>
                <w:rFonts w:ascii="Arial" w:hAnsi="Arial" w:cs="Arial"/>
                <w:sz w:val="20"/>
                <w:szCs w:val="20"/>
              </w:rPr>
              <w:t>Biuret test</w:t>
            </w:r>
          </w:p>
          <w:p w14:paraId="13EBBAF2" w14:textId="77777777" w:rsidR="00D94E70" w:rsidRPr="00213F66" w:rsidRDefault="00D94E70" w:rsidP="00D94E70">
            <w:pPr>
              <w:numPr>
                <w:ilvl w:val="0"/>
                <w:numId w:val="19"/>
              </w:numPr>
              <w:jc w:val="both"/>
              <w:rPr>
                <w:rFonts w:ascii="Arial" w:hAnsi="Arial" w:cs="Arial"/>
                <w:b w:val="0"/>
                <w:bCs w:val="0"/>
                <w:sz w:val="20"/>
                <w:szCs w:val="20"/>
              </w:rPr>
            </w:pPr>
            <w:r w:rsidRPr="00213F66">
              <w:rPr>
                <w:rFonts w:ascii="Arial" w:hAnsi="Arial" w:cs="Arial"/>
                <w:sz w:val="20"/>
                <w:szCs w:val="20"/>
              </w:rPr>
              <w:t>Xanthoproteic test</w:t>
            </w:r>
            <w:r w:rsidRPr="00213F66">
              <w:rPr>
                <w:rFonts w:ascii="Arial" w:hAnsi="Arial" w:cs="Arial"/>
                <w:b w:val="0"/>
                <w:bCs w:val="0"/>
                <w:sz w:val="20"/>
                <w:szCs w:val="20"/>
              </w:rPr>
              <w:t xml:space="preserve"> </w:t>
            </w:r>
          </w:p>
        </w:tc>
        <w:tc>
          <w:tcPr>
            <w:tcW w:w="1259" w:type="dxa"/>
          </w:tcPr>
          <w:p w14:paraId="556F86FE"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29A972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6FA503E3"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2893041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B0FC988"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7B3399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19" w:type="dxa"/>
          </w:tcPr>
          <w:p w14:paraId="51B4AE11"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B86B11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1943D2C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c>
          <w:tcPr>
            <w:tcW w:w="1682" w:type="dxa"/>
          </w:tcPr>
          <w:p w14:paraId="59FA3B4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FC170A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w:t>
            </w:r>
          </w:p>
          <w:p w14:paraId="6B0BB0A6"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13F66">
              <w:rPr>
                <w:rFonts w:ascii="Arial" w:hAnsi="Arial" w:cs="Arial"/>
                <w:b/>
                <w:bCs/>
                <w:sz w:val="20"/>
                <w:szCs w:val="20"/>
              </w:rPr>
              <w:t xml:space="preserve">         + </w:t>
            </w:r>
          </w:p>
        </w:tc>
      </w:tr>
    </w:tbl>
    <w:p w14:paraId="1296701E" w14:textId="77777777" w:rsidR="00D94E70" w:rsidRPr="00213F66" w:rsidRDefault="006C59F9" w:rsidP="00D94E70">
      <w:pPr>
        <w:spacing w:line="480" w:lineRule="auto"/>
        <w:jc w:val="both"/>
        <w:rPr>
          <w:rFonts w:ascii="Arial" w:hAnsi="Arial" w:cs="Arial"/>
          <w:b/>
          <w:bCs/>
          <w:sz w:val="20"/>
          <w:szCs w:val="20"/>
        </w:rPr>
      </w:pPr>
      <w:r w:rsidRPr="00213F66">
        <w:rPr>
          <w:rFonts w:ascii="Arial" w:hAnsi="Arial" w:cs="Arial"/>
          <w:b/>
          <w:sz w:val="20"/>
          <w:szCs w:val="20"/>
        </w:rPr>
        <w:t>KEY</w:t>
      </w:r>
      <w:r w:rsidRPr="00213F66">
        <w:rPr>
          <w:rFonts w:ascii="Arial" w:hAnsi="Arial" w:cs="Arial"/>
          <w:b/>
          <w:bCs/>
          <w:sz w:val="20"/>
          <w:szCs w:val="20"/>
        </w:rPr>
        <w:t xml:space="preserve">: </w:t>
      </w:r>
      <w:r w:rsidR="00D94E70" w:rsidRPr="00213F66">
        <w:rPr>
          <w:rFonts w:ascii="Arial" w:hAnsi="Arial" w:cs="Arial"/>
          <w:b/>
          <w:bCs/>
          <w:sz w:val="20"/>
          <w:szCs w:val="20"/>
        </w:rPr>
        <w:t xml:space="preserve"> +++ = very high    ++ = high, + = low, ± = negligible and - = not detected</w:t>
      </w:r>
    </w:p>
    <w:p w14:paraId="3057E4FF" w14:textId="77777777" w:rsidR="00282E92" w:rsidRPr="00213F66" w:rsidRDefault="00282E92" w:rsidP="003069BE">
      <w:pPr>
        <w:jc w:val="both"/>
        <w:rPr>
          <w:rFonts w:ascii="Arial" w:hAnsi="Arial" w:cs="Arial"/>
        </w:rPr>
      </w:pPr>
      <w:r w:rsidRPr="00213F66">
        <w:rPr>
          <w:rFonts w:ascii="Arial" w:hAnsi="Arial" w:cs="Arial"/>
          <w:b/>
        </w:rPr>
        <w:t xml:space="preserve">3.1 Phytochemical Composition of </w:t>
      </w:r>
      <w:r w:rsidRPr="00213F66">
        <w:rPr>
          <w:rFonts w:ascii="Arial" w:hAnsi="Arial" w:cs="Arial"/>
          <w:b/>
          <w:i/>
          <w:iCs/>
        </w:rPr>
        <w:t>Mentha piperita</w:t>
      </w:r>
      <w:r w:rsidRPr="00213F66">
        <w:rPr>
          <w:rFonts w:ascii="Arial" w:hAnsi="Arial" w:cs="Arial"/>
          <w:b/>
        </w:rPr>
        <w:t xml:space="preserve"> Ethanol Extracts</w:t>
      </w:r>
    </w:p>
    <w:p w14:paraId="36F8EA05"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 xml:space="preserve">The qualitative phytochemical screening of the ethanol extracts of fresh and dried leaves and stems of </w:t>
      </w:r>
      <w:r w:rsidRPr="00213F66">
        <w:rPr>
          <w:rFonts w:ascii="Arial" w:hAnsi="Arial" w:cs="Arial"/>
          <w:i/>
          <w:iCs/>
          <w:sz w:val="20"/>
          <w:szCs w:val="20"/>
        </w:rPr>
        <w:t>Mentha piperita</w:t>
      </w:r>
      <w:r w:rsidRPr="00213F66">
        <w:rPr>
          <w:rFonts w:ascii="Arial" w:hAnsi="Arial" w:cs="Arial"/>
          <w:sz w:val="20"/>
          <w:szCs w:val="20"/>
        </w:rPr>
        <w:t xml:space="preserve"> (Table </w:t>
      </w:r>
      <w:r w:rsidR="0094173F" w:rsidRPr="00213F66">
        <w:rPr>
          <w:rFonts w:ascii="Arial" w:hAnsi="Arial" w:cs="Arial"/>
          <w:sz w:val="20"/>
          <w:szCs w:val="20"/>
        </w:rPr>
        <w:t>1</w:t>
      </w:r>
      <w:r w:rsidRPr="00213F66">
        <w:rPr>
          <w:rFonts w:ascii="Arial" w:hAnsi="Arial" w:cs="Arial"/>
          <w:sz w:val="20"/>
          <w:szCs w:val="20"/>
        </w:rPr>
        <w:t xml:space="preserve">) revealed the presence of a wide spectrum of bioactive secondary metabolites, </w:t>
      </w:r>
      <w:r w:rsidRPr="00213F66">
        <w:rPr>
          <w:rFonts w:ascii="Arial" w:hAnsi="Arial" w:cs="Arial"/>
          <w:sz w:val="20"/>
          <w:szCs w:val="20"/>
        </w:rPr>
        <w:lastRenderedPageBreak/>
        <w:t xml:space="preserve">including alkaloids, carbohydrates, tannins, </w:t>
      </w:r>
      <w:proofErr w:type="spellStart"/>
      <w:r w:rsidRPr="00213F66">
        <w:rPr>
          <w:rFonts w:ascii="Arial" w:hAnsi="Arial" w:cs="Arial"/>
          <w:sz w:val="20"/>
          <w:szCs w:val="20"/>
        </w:rPr>
        <w:t>phlobatannins</w:t>
      </w:r>
      <w:proofErr w:type="spellEnd"/>
      <w:r w:rsidRPr="00213F66">
        <w:rPr>
          <w:rFonts w:ascii="Arial" w:hAnsi="Arial" w:cs="Arial"/>
          <w:sz w:val="20"/>
          <w:szCs w:val="20"/>
        </w:rPr>
        <w:t xml:space="preserve">, flavonoids, cardiac glycosides, steroids, anthraquinones, polyphenols, triterpenoids and proteins, whereas saponins were either absent or detected only in trace amounts. The occurrence of these metabolites demonstrates the remarkable phytochemical richness of </w:t>
      </w:r>
      <w:r w:rsidRPr="00213F66">
        <w:rPr>
          <w:rFonts w:ascii="Arial" w:hAnsi="Arial" w:cs="Arial"/>
          <w:i/>
          <w:iCs/>
          <w:sz w:val="20"/>
          <w:szCs w:val="20"/>
        </w:rPr>
        <w:t>M. piperita</w:t>
      </w:r>
      <w:r w:rsidRPr="00213F66">
        <w:rPr>
          <w:rFonts w:ascii="Arial" w:hAnsi="Arial" w:cs="Arial"/>
          <w:sz w:val="20"/>
          <w:szCs w:val="20"/>
        </w:rPr>
        <w:t xml:space="preserve"> and provides a scientific basis for its longstanding use in traditional medicine for the management of infectious and inflammatory diseases. Similar phytochemical profiles have previously been reported for </w:t>
      </w:r>
      <w:r w:rsidRPr="00213F66">
        <w:rPr>
          <w:rFonts w:ascii="Arial" w:hAnsi="Arial" w:cs="Arial"/>
          <w:i/>
          <w:iCs/>
          <w:sz w:val="20"/>
          <w:szCs w:val="20"/>
        </w:rPr>
        <w:t>Mentha piperita</w:t>
      </w:r>
      <w:r w:rsidRPr="00213F66">
        <w:rPr>
          <w:rFonts w:ascii="Arial" w:hAnsi="Arial" w:cs="Arial"/>
          <w:sz w:val="20"/>
          <w:szCs w:val="20"/>
        </w:rPr>
        <w:t xml:space="preserve"> and several other medicinal plants, confirming that members of the </w:t>
      </w:r>
      <w:proofErr w:type="spellStart"/>
      <w:r w:rsidRPr="00213F66">
        <w:rPr>
          <w:rFonts w:ascii="Arial" w:hAnsi="Arial" w:cs="Arial"/>
          <w:sz w:val="20"/>
          <w:szCs w:val="20"/>
        </w:rPr>
        <w:t>Lamiaceae</w:t>
      </w:r>
      <w:proofErr w:type="spellEnd"/>
      <w:r w:rsidRPr="00213F66">
        <w:rPr>
          <w:rFonts w:ascii="Arial" w:hAnsi="Arial" w:cs="Arial"/>
          <w:sz w:val="20"/>
          <w:szCs w:val="20"/>
        </w:rPr>
        <w:t xml:space="preserve"> are important reservoirs of pharmacologically active natural products (</w:t>
      </w:r>
      <w:proofErr w:type="spellStart"/>
      <w:r w:rsidR="00C87467" w:rsidRPr="00213F66">
        <w:rPr>
          <w:rFonts w:ascii="Arial" w:hAnsi="Arial" w:cs="Arial"/>
          <w:color w:val="FF0000"/>
          <w:sz w:val="20"/>
          <w:szCs w:val="20"/>
        </w:rPr>
        <w:t>Edeoga</w:t>
      </w:r>
      <w:proofErr w:type="spellEnd"/>
      <w:r w:rsidR="00C87467" w:rsidRPr="00213F66">
        <w:rPr>
          <w:rFonts w:ascii="Arial" w:hAnsi="Arial" w:cs="Arial"/>
          <w:color w:val="FF0000"/>
          <w:sz w:val="20"/>
          <w:szCs w:val="20"/>
        </w:rPr>
        <w:t xml:space="preserve"> </w:t>
      </w:r>
      <w:r w:rsidR="00C87467" w:rsidRPr="00213F66">
        <w:rPr>
          <w:rFonts w:ascii="Arial" w:hAnsi="Arial" w:cs="Arial"/>
          <w:i/>
          <w:color w:val="FF0000"/>
          <w:sz w:val="20"/>
          <w:szCs w:val="20"/>
        </w:rPr>
        <w:t>et al</w:t>
      </w:r>
      <w:r w:rsidR="00C87467" w:rsidRPr="00213F66">
        <w:rPr>
          <w:rFonts w:ascii="Arial" w:hAnsi="Arial" w:cs="Arial"/>
          <w:color w:val="FF0000"/>
          <w:sz w:val="20"/>
          <w:szCs w:val="20"/>
        </w:rPr>
        <w:t xml:space="preserve">., 2005; </w:t>
      </w:r>
      <w:proofErr w:type="spellStart"/>
      <w:r w:rsidR="00C87467" w:rsidRPr="00213F66">
        <w:rPr>
          <w:rFonts w:ascii="Arial" w:hAnsi="Arial" w:cs="Arial"/>
          <w:color w:val="FF0000"/>
          <w:sz w:val="20"/>
          <w:szCs w:val="20"/>
        </w:rPr>
        <w:t>Rangari</w:t>
      </w:r>
      <w:proofErr w:type="spellEnd"/>
      <w:r w:rsidR="00C87467" w:rsidRPr="00213F66">
        <w:rPr>
          <w:rFonts w:ascii="Arial" w:hAnsi="Arial" w:cs="Arial"/>
          <w:color w:val="FF0000"/>
          <w:sz w:val="20"/>
          <w:szCs w:val="20"/>
        </w:rPr>
        <w:t xml:space="preserve">, 2012; </w:t>
      </w:r>
      <w:r w:rsidRPr="00213F66">
        <w:rPr>
          <w:rFonts w:ascii="Arial" w:hAnsi="Arial" w:cs="Arial"/>
          <w:color w:val="FF0000"/>
          <w:sz w:val="20"/>
          <w:szCs w:val="20"/>
        </w:rPr>
        <w:t xml:space="preserve">Trevisan </w:t>
      </w:r>
      <w:r w:rsidRPr="00213F66">
        <w:rPr>
          <w:rFonts w:ascii="Arial" w:hAnsi="Arial" w:cs="Arial"/>
          <w:i/>
          <w:color w:val="FF0000"/>
          <w:sz w:val="20"/>
          <w:szCs w:val="20"/>
        </w:rPr>
        <w:t>et al</w:t>
      </w:r>
      <w:r w:rsidRPr="00213F66">
        <w:rPr>
          <w:rFonts w:ascii="Arial" w:hAnsi="Arial" w:cs="Arial"/>
          <w:color w:val="FF0000"/>
          <w:sz w:val="20"/>
          <w:szCs w:val="20"/>
        </w:rPr>
        <w:t xml:space="preserve">., 2017; Akpan </w:t>
      </w:r>
      <w:r w:rsidRPr="00213F66">
        <w:rPr>
          <w:rFonts w:ascii="Arial" w:hAnsi="Arial" w:cs="Arial"/>
          <w:i/>
          <w:color w:val="FF0000"/>
          <w:sz w:val="20"/>
          <w:szCs w:val="20"/>
        </w:rPr>
        <w:t>et al</w:t>
      </w:r>
      <w:r w:rsidRPr="00213F66">
        <w:rPr>
          <w:rFonts w:ascii="Arial" w:hAnsi="Arial" w:cs="Arial"/>
          <w:color w:val="FF0000"/>
          <w:sz w:val="20"/>
          <w:szCs w:val="20"/>
        </w:rPr>
        <w:t>., 2021</w:t>
      </w:r>
      <w:r w:rsidRPr="00213F66">
        <w:rPr>
          <w:rFonts w:ascii="Arial" w:hAnsi="Arial" w:cs="Arial"/>
          <w:sz w:val="20"/>
          <w:szCs w:val="20"/>
        </w:rPr>
        <w:t>).</w:t>
      </w:r>
    </w:p>
    <w:p w14:paraId="0636A46D"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 xml:space="preserve">One of the most striking observations from Table </w:t>
      </w:r>
      <w:r w:rsidR="0094173F" w:rsidRPr="00213F66">
        <w:rPr>
          <w:rFonts w:ascii="Arial" w:hAnsi="Arial" w:cs="Arial"/>
          <w:sz w:val="20"/>
          <w:szCs w:val="20"/>
        </w:rPr>
        <w:t>1</w:t>
      </w:r>
      <w:r w:rsidRPr="00213F66">
        <w:rPr>
          <w:rFonts w:ascii="Arial" w:hAnsi="Arial" w:cs="Arial"/>
          <w:sz w:val="20"/>
          <w:szCs w:val="20"/>
        </w:rPr>
        <w:t xml:space="preserve"> is the widespread occurrence of alkaloids in almost all the extracts, as confirmed by Dragendorff's, Wagner's and Mayer's tests. Alkaloids represent one of the largest classes of nitrogen-containing secondary metabolites and are renowned for their diverse pharmacological properties, including antibacterial, antifungal, analgesic, antimalarial and anticancer activities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2016;</w:t>
      </w:r>
      <w:r w:rsidR="00C87467" w:rsidRPr="00213F66">
        <w:rPr>
          <w:rFonts w:ascii="Arial" w:hAnsi="Arial" w:cs="Arial"/>
          <w:color w:val="FF0000"/>
          <w:sz w:val="20"/>
          <w:szCs w:val="20"/>
        </w:rPr>
        <w:t xml:space="preserve"> Li </w:t>
      </w:r>
      <w:r w:rsidR="00C87467" w:rsidRPr="00213F66">
        <w:rPr>
          <w:rFonts w:ascii="Arial" w:hAnsi="Arial" w:cs="Arial"/>
          <w:i/>
          <w:color w:val="FF0000"/>
          <w:sz w:val="20"/>
          <w:szCs w:val="20"/>
        </w:rPr>
        <w:t>et al</w:t>
      </w:r>
      <w:r w:rsidR="00C87467" w:rsidRPr="00213F66">
        <w:rPr>
          <w:rFonts w:ascii="Arial" w:hAnsi="Arial" w:cs="Arial"/>
          <w:color w:val="FF0000"/>
          <w:sz w:val="20"/>
          <w:szCs w:val="20"/>
        </w:rPr>
        <w:t>., 2016;</w:t>
      </w:r>
      <w:r w:rsidRPr="00213F66">
        <w:rPr>
          <w:rFonts w:ascii="Arial" w:hAnsi="Arial" w:cs="Arial"/>
          <w:color w:val="FF0000"/>
          <w:sz w:val="20"/>
          <w:szCs w:val="20"/>
        </w:rPr>
        <w:t xml:space="preserve"> </w:t>
      </w:r>
      <w:r w:rsidR="006B1F70" w:rsidRPr="00213F66">
        <w:rPr>
          <w:rFonts w:ascii="Arial" w:hAnsi="Arial" w:cs="Arial"/>
          <w:color w:val="FF0000"/>
          <w:sz w:val="20"/>
          <w:szCs w:val="20"/>
        </w:rPr>
        <w:t>Silva-Beltrán</w:t>
      </w:r>
      <w:r w:rsidR="00C87467" w:rsidRPr="00213F66">
        <w:rPr>
          <w:rFonts w:ascii="Arial" w:hAnsi="Arial" w:cs="Arial"/>
          <w:color w:val="FF0000"/>
          <w:sz w:val="20"/>
          <w:szCs w:val="20"/>
        </w:rPr>
        <w:t xml:space="preserve"> </w:t>
      </w:r>
      <w:r w:rsidR="00C87467" w:rsidRPr="00213F66">
        <w:rPr>
          <w:rFonts w:ascii="Arial" w:hAnsi="Arial" w:cs="Arial"/>
          <w:i/>
          <w:color w:val="FF0000"/>
          <w:sz w:val="20"/>
          <w:szCs w:val="20"/>
        </w:rPr>
        <w:t>et al</w:t>
      </w:r>
      <w:r w:rsidR="00C87467" w:rsidRPr="00213F66">
        <w:rPr>
          <w:rFonts w:ascii="Arial" w:hAnsi="Arial" w:cs="Arial"/>
          <w:color w:val="FF0000"/>
          <w:sz w:val="20"/>
          <w:szCs w:val="20"/>
        </w:rPr>
        <w:t>., 202</w:t>
      </w:r>
      <w:r w:rsidR="006B1F70" w:rsidRPr="00213F66">
        <w:rPr>
          <w:rFonts w:ascii="Arial" w:hAnsi="Arial" w:cs="Arial"/>
          <w:color w:val="FF0000"/>
          <w:sz w:val="20"/>
          <w:szCs w:val="20"/>
        </w:rPr>
        <w:t>3</w:t>
      </w:r>
      <w:r w:rsidR="00C87467" w:rsidRPr="00213F66">
        <w:rPr>
          <w:rFonts w:ascii="Arial" w:hAnsi="Arial" w:cs="Arial"/>
          <w:color w:val="FF0000"/>
          <w:sz w:val="20"/>
          <w:szCs w:val="20"/>
        </w:rPr>
        <w:t xml:space="preserve">;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2021</w:t>
      </w:r>
      <w:r w:rsidRPr="00213F66">
        <w:rPr>
          <w:rFonts w:ascii="Arial" w:hAnsi="Arial" w:cs="Arial"/>
          <w:sz w:val="20"/>
          <w:szCs w:val="20"/>
        </w:rPr>
        <w:t>). Their antimicrobial activity has been attributed to multiple mechanisms, including inhibition of DNA replication, interference with protein biosynthesis, disruption of bacterial cell membranes and inhibition of essential metabolic enzymes (</w:t>
      </w:r>
      <w:r w:rsidRPr="00213F66">
        <w:rPr>
          <w:rFonts w:ascii="Arial" w:hAnsi="Arial" w:cs="Arial"/>
          <w:color w:val="FF0000"/>
          <w:sz w:val="20"/>
          <w:szCs w:val="20"/>
        </w:rPr>
        <w:t xml:space="preserve">Taylor </w:t>
      </w:r>
      <w:r w:rsidRPr="00213F66">
        <w:rPr>
          <w:rFonts w:ascii="Arial" w:hAnsi="Arial" w:cs="Arial"/>
          <w:i/>
          <w:color w:val="FF0000"/>
          <w:sz w:val="20"/>
          <w:szCs w:val="20"/>
        </w:rPr>
        <w:t>et al</w:t>
      </w:r>
      <w:r w:rsidRPr="00213F66">
        <w:rPr>
          <w:rFonts w:ascii="Arial" w:hAnsi="Arial" w:cs="Arial"/>
          <w:color w:val="FF0000"/>
          <w:sz w:val="20"/>
          <w:szCs w:val="20"/>
        </w:rPr>
        <w:t>., 20</w:t>
      </w:r>
      <w:r w:rsidR="006B1F70" w:rsidRPr="00213F66">
        <w:rPr>
          <w:rFonts w:ascii="Arial" w:hAnsi="Arial" w:cs="Arial"/>
          <w:color w:val="FF0000"/>
          <w:sz w:val="20"/>
          <w:szCs w:val="20"/>
        </w:rPr>
        <w:t>05</w:t>
      </w:r>
      <w:r w:rsidRPr="00213F66">
        <w:rPr>
          <w:rFonts w:ascii="Arial" w:hAnsi="Arial" w:cs="Arial"/>
          <w:color w:val="FF0000"/>
          <w:sz w:val="20"/>
          <w:szCs w:val="20"/>
        </w:rPr>
        <w:t xml:space="preserve">; </w:t>
      </w:r>
      <w:r w:rsidR="006B1F70" w:rsidRPr="00213F66">
        <w:rPr>
          <w:rFonts w:ascii="Arial" w:hAnsi="Arial" w:cs="Arial"/>
          <w:color w:val="FF0000"/>
          <w:sz w:val="20"/>
          <w:szCs w:val="20"/>
        </w:rPr>
        <w:t>Silva-Beltrán</w:t>
      </w:r>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202</w:t>
      </w:r>
      <w:r w:rsidR="006B1F70" w:rsidRPr="00213F66">
        <w:rPr>
          <w:rFonts w:ascii="Arial" w:hAnsi="Arial" w:cs="Arial"/>
          <w:color w:val="FF0000"/>
          <w:sz w:val="20"/>
          <w:szCs w:val="20"/>
        </w:rPr>
        <w:t>3</w:t>
      </w:r>
      <w:r w:rsidRPr="00213F66">
        <w:rPr>
          <w:rFonts w:ascii="Arial" w:hAnsi="Arial" w:cs="Arial"/>
          <w:sz w:val="20"/>
          <w:szCs w:val="20"/>
        </w:rPr>
        <w:t xml:space="preserve">). The appreciable antibacterial and antifungal activities observed later in this study are therefore likely associated, at least in part, with the alkaloid content of the extracts. Comparable findings have been reported in </w:t>
      </w:r>
      <w:proofErr w:type="spellStart"/>
      <w:r w:rsidRPr="00213F66">
        <w:rPr>
          <w:rFonts w:ascii="Arial" w:hAnsi="Arial" w:cs="Arial"/>
          <w:i/>
          <w:iCs/>
          <w:sz w:val="20"/>
          <w:szCs w:val="20"/>
        </w:rPr>
        <w:t>Azadirachta</w:t>
      </w:r>
      <w:proofErr w:type="spellEnd"/>
      <w:r w:rsidRPr="00213F66">
        <w:rPr>
          <w:rFonts w:ascii="Arial" w:hAnsi="Arial" w:cs="Arial"/>
          <w:i/>
          <w:iCs/>
          <w:sz w:val="20"/>
          <w:szCs w:val="20"/>
        </w:rPr>
        <w:t xml:space="preserve"> indica</w:t>
      </w:r>
      <w:r w:rsidRPr="00213F66">
        <w:rPr>
          <w:rFonts w:ascii="Arial" w:hAnsi="Arial" w:cs="Arial"/>
          <w:sz w:val="20"/>
          <w:szCs w:val="20"/>
        </w:rPr>
        <w:t xml:space="preserve">, </w:t>
      </w:r>
      <w:proofErr w:type="spellStart"/>
      <w:r w:rsidRPr="00213F66">
        <w:rPr>
          <w:rFonts w:ascii="Arial" w:hAnsi="Arial" w:cs="Arial"/>
          <w:i/>
          <w:iCs/>
          <w:sz w:val="20"/>
          <w:szCs w:val="20"/>
        </w:rPr>
        <w:t>Enantia</w:t>
      </w:r>
      <w:proofErr w:type="spellEnd"/>
      <w:r w:rsidRPr="00213F66">
        <w:rPr>
          <w:rFonts w:ascii="Arial" w:hAnsi="Arial" w:cs="Arial"/>
          <w:i/>
          <w:iCs/>
          <w:sz w:val="20"/>
          <w:szCs w:val="20"/>
        </w:rPr>
        <w:t xml:space="preserve"> </w:t>
      </w:r>
      <w:proofErr w:type="spellStart"/>
      <w:r w:rsidRPr="00213F66">
        <w:rPr>
          <w:rFonts w:ascii="Arial" w:hAnsi="Arial" w:cs="Arial"/>
          <w:i/>
          <w:iCs/>
          <w:sz w:val="20"/>
          <w:szCs w:val="20"/>
        </w:rPr>
        <w:t>chlorantha</w:t>
      </w:r>
      <w:proofErr w:type="spellEnd"/>
      <w:r w:rsidRPr="00213F66">
        <w:rPr>
          <w:rFonts w:ascii="Arial" w:hAnsi="Arial" w:cs="Arial"/>
          <w:sz w:val="20"/>
          <w:szCs w:val="20"/>
        </w:rPr>
        <w:t xml:space="preserve"> and </w:t>
      </w:r>
      <w:proofErr w:type="spellStart"/>
      <w:r w:rsidRPr="00213F66">
        <w:rPr>
          <w:rFonts w:ascii="Arial" w:hAnsi="Arial" w:cs="Arial"/>
          <w:i/>
          <w:iCs/>
          <w:sz w:val="20"/>
          <w:szCs w:val="20"/>
        </w:rPr>
        <w:t>Dacryodes</w:t>
      </w:r>
      <w:proofErr w:type="spellEnd"/>
      <w:r w:rsidRPr="00213F66">
        <w:rPr>
          <w:rFonts w:ascii="Arial" w:hAnsi="Arial" w:cs="Arial"/>
          <w:i/>
          <w:iCs/>
          <w:sz w:val="20"/>
          <w:szCs w:val="20"/>
        </w:rPr>
        <w:t xml:space="preserve"> edulis</w:t>
      </w:r>
      <w:r w:rsidRPr="00213F66">
        <w:rPr>
          <w:rFonts w:ascii="Arial" w:hAnsi="Arial" w:cs="Arial"/>
          <w:sz w:val="20"/>
          <w:szCs w:val="20"/>
        </w:rPr>
        <w:t xml:space="preserve">, where alkaloid-rich fractions exhibited superior antimicrobial activities following bioassay-guided purification (Akpan </w:t>
      </w:r>
      <w:r w:rsidRPr="00213F66">
        <w:rPr>
          <w:rFonts w:ascii="Arial" w:hAnsi="Arial" w:cs="Arial"/>
          <w:i/>
          <w:color w:val="FF0000"/>
          <w:sz w:val="20"/>
          <w:szCs w:val="20"/>
        </w:rPr>
        <w:t>et al</w:t>
      </w:r>
      <w:r w:rsidRPr="00213F66">
        <w:rPr>
          <w:rFonts w:ascii="Arial" w:hAnsi="Arial" w:cs="Arial"/>
          <w:sz w:val="20"/>
          <w:szCs w:val="20"/>
        </w:rPr>
        <w:t xml:space="preserve">., 2016; Akpan </w:t>
      </w:r>
      <w:r w:rsidRPr="00213F66">
        <w:rPr>
          <w:rFonts w:ascii="Arial" w:hAnsi="Arial" w:cs="Arial"/>
          <w:i/>
          <w:color w:val="FF0000"/>
          <w:sz w:val="20"/>
          <w:szCs w:val="20"/>
        </w:rPr>
        <w:t>et al</w:t>
      </w:r>
      <w:r w:rsidRPr="00213F66">
        <w:rPr>
          <w:rFonts w:ascii="Arial" w:hAnsi="Arial" w:cs="Arial"/>
          <w:sz w:val="20"/>
          <w:szCs w:val="20"/>
        </w:rPr>
        <w:t xml:space="preserve">., 2017; </w:t>
      </w:r>
      <w:proofErr w:type="spellStart"/>
      <w:r w:rsidRPr="00213F66">
        <w:rPr>
          <w:rFonts w:ascii="Arial" w:hAnsi="Arial" w:cs="Arial"/>
          <w:sz w:val="20"/>
          <w:szCs w:val="20"/>
        </w:rPr>
        <w:t>Oladejobi</w:t>
      </w:r>
      <w:proofErr w:type="spellEnd"/>
      <w:r w:rsidRPr="00213F66">
        <w:rPr>
          <w:rFonts w:ascii="Arial" w:hAnsi="Arial" w:cs="Arial"/>
          <w:sz w:val="20"/>
          <w:szCs w:val="20"/>
        </w:rPr>
        <w:t xml:space="preserve"> </w:t>
      </w:r>
      <w:r w:rsidRPr="00213F66">
        <w:rPr>
          <w:rFonts w:ascii="Arial" w:hAnsi="Arial" w:cs="Arial"/>
          <w:i/>
          <w:color w:val="FF0000"/>
          <w:sz w:val="20"/>
          <w:szCs w:val="20"/>
        </w:rPr>
        <w:t>et al</w:t>
      </w:r>
      <w:r w:rsidRPr="00213F66">
        <w:rPr>
          <w:rFonts w:ascii="Arial" w:hAnsi="Arial" w:cs="Arial"/>
          <w:sz w:val="20"/>
          <w:szCs w:val="20"/>
        </w:rPr>
        <w:t>., 2022).</w:t>
      </w:r>
    </w:p>
    <w:p w14:paraId="794E9E92"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The detection of flavonoids in most of the extracts is equally noteworthy because flavonoids constitute one of the most biologically active groups of plant polyphenols. Flavonoids possess broad-spectrum antibacterial, antifungal, antiviral, antioxidant and anti-inflammatory activities, making them attractive candidates for pharmaceutical development (</w:t>
      </w:r>
      <w:r w:rsidR="00BF1A38" w:rsidRPr="00213F66">
        <w:rPr>
          <w:rFonts w:ascii="Arial" w:hAnsi="Arial" w:cs="Arial"/>
          <w:color w:val="FF0000"/>
          <w:sz w:val="20"/>
          <w:szCs w:val="20"/>
        </w:rPr>
        <w:t xml:space="preserve">Sharma </w:t>
      </w:r>
      <w:r w:rsidR="00BF1A38" w:rsidRPr="00213F66">
        <w:rPr>
          <w:rFonts w:ascii="Arial" w:hAnsi="Arial" w:cs="Arial"/>
          <w:i/>
          <w:color w:val="FF0000"/>
          <w:sz w:val="20"/>
          <w:szCs w:val="20"/>
        </w:rPr>
        <w:t>et al</w:t>
      </w:r>
      <w:r w:rsidR="00BF1A38" w:rsidRPr="00213F66">
        <w:rPr>
          <w:rFonts w:ascii="Arial" w:hAnsi="Arial" w:cs="Arial"/>
          <w:color w:val="FF0000"/>
          <w:sz w:val="20"/>
          <w:szCs w:val="20"/>
        </w:rPr>
        <w:t xml:space="preserve">., 2013; Singh </w:t>
      </w:r>
      <w:r w:rsidR="00BF1A38" w:rsidRPr="00213F66">
        <w:rPr>
          <w:rFonts w:ascii="Arial" w:hAnsi="Arial" w:cs="Arial"/>
          <w:i/>
          <w:color w:val="FF0000"/>
          <w:sz w:val="20"/>
          <w:szCs w:val="20"/>
        </w:rPr>
        <w:t>et al.</w:t>
      </w:r>
      <w:r w:rsidR="00BF1A38" w:rsidRPr="00213F66">
        <w:rPr>
          <w:rFonts w:ascii="Arial" w:hAnsi="Arial" w:cs="Arial"/>
          <w:color w:val="FF0000"/>
          <w:sz w:val="20"/>
          <w:szCs w:val="20"/>
        </w:rPr>
        <w:t>, 201</w:t>
      </w:r>
      <w:r w:rsidR="006B1F70" w:rsidRPr="00213F66">
        <w:rPr>
          <w:rFonts w:ascii="Arial" w:hAnsi="Arial" w:cs="Arial"/>
          <w:color w:val="FF0000"/>
          <w:sz w:val="20"/>
          <w:szCs w:val="20"/>
        </w:rPr>
        <w:t>5</w:t>
      </w:r>
      <w:r w:rsidR="00BF1A38" w:rsidRPr="00213F66">
        <w:rPr>
          <w:rFonts w:ascii="Arial" w:hAnsi="Arial" w:cs="Arial"/>
          <w:color w:val="FF0000"/>
          <w:sz w:val="20"/>
          <w:szCs w:val="20"/>
        </w:rPr>
        <w:t xml:space="preserve">; </w:t>
      </w:r>
      <w:proofErr w:type="spellStart"/>
      <w:r w:rsidRPr="00213F66">
        <w:rPr>
          <w:rFonts w:ascii="Arial" w:hAnsi="Arial" w:cs="Arial"/>
          <w:color w:val="FF0000"/>
          <w:sz w:val="20"/>
          <w:szCs w:val="20"/>
        </w:rPr>
        <w:t>Górniak</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2019</w:t>
      </w:r>
      <w:r w:rsidRPr="00213F66">
        <w:rPr>
          <w:rFonts w:ascii="Arial" w:hAnsi="Arial" w:cs="Arial"/>
          <w:sz w:val="20"/>
          <w:szCs w:val="20"/>
        </w:rPr>
        <w:t>). Their antimicrobial effects are mediated through disruption of microbial membranes, inhibition of nucleic acid synthesis, alteration of membrane permeability and suppression of microbial enzyme systems (Taylor</w:t>
      </w:r>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sz w:val="20"/>
          <w:szCs w:val="20"/>
        </w:rPr>
        <w:t>., 20</w:t>
      </w:r>
      <w:r w:rsidR="006B1F70" w:rsidRPr="00213F66">
        <w:rPr>
          <w:rFonts w:ascii="Arial" w:hAnsi="Arial" w:cs="Arial"/>
          <w:sz w:val="20"/>
          <w:szCs w:val="20"/>
        </w:rPr>
        <w:t>05</w:t>
      </w:r>
      <w:r w:rsidRPr="00213F66">
        <w:rPr>
          <w:rFonts w:ascii="Arial" w:hAnsi="Arial" w:cs="Arial"/>
          <w:sz w:val="20"/>
          <w:szCs w:val="20"/>
        </w:rPr>
        <w:t xml:space="preserve">; Xu </w:t>
      </w:r>
      <w:r w:rsidRPr="00213F66">
        <w:rPr>
          <w:rFonts w:ascii="Arial" w:hAnsi="Arial" w:cs="Arial"/>
          <w:i/>
          <w:color w:val="FF0000"/>
          <w:sz w:val="20"/>
          <w:szCs w:val="20"/>
        </w:rPr>
        <w:t>et al</w:t>
      </w:r>
      <w:r w:rsidRPr="00213F66">
        <w:rPr>
          <w:rFonts w:ascii="Arial" w:hAnsi="Arial" w:cs="Arial"/>
          <w:sz w:val="20"/>
          <w:szCs w:val="20"/>
        </w:rPr>
        <w:t>., 2018). Furthermore, flavonoids are potent antioxidants capable of scavenging reactive oxygen species generated during microbial infections, thereby protecting host tissues against oxidative damage (</w:t>
      </w:r>
      <w:r w:rsidR="006B1F70" w:rsidRPr="00213F66">
        <w:rPr>
          <w:rFonts w:ascii="Arial" w:hAnsi="Arial" w:cs="Arial"/>
          <w:sz w:val="20"/>
          <w:szCs w:val="20"/>
        </w:rPr>
        <w:t>Reddy</w:t>
      </w:r>
      <w:r w:rsidRPr="00213F66">
        <w:rPr>
          <w:rFonts w:ascii="Arial" w:hAnsi="Arial" w:cs="Arial"/>
          <w:sz w:val="20"/>
          <w:szCs w:val="20"/>
        </w:rPr>
        <w:t>, 20</w:t>
      </w:r>
      <w:r w:rsidR="006B1F70" w:rsidRPr="00213F66">
        <w:rPr>
          <w:rFonts w:ascii="Arial" w:hAnsi="Arial" w:cs="Arial"/>
          <w:sz w:val="20"/>
          <w:szCs w:val="20"/>
        </w:rPr>
        <w:t>04</w:t>
      </w:r>
      <w:r w:rsidRPr="00213F66">
        <w:rPr>
          <w:rFonts w:ascii="Arial" w:hAnsi="Arial" w:cs="Arial"/>
          <w:sz w:val="20"/>
          <w:szCs w:val="20"/>
        </w:rPr>
        <w:t xml:space="preserve">). The presence of abundant flavonoids therefore enhances both the antimicrobial and antioxidant potential of </w:t>
      </w:r>
      <w:r w:rsidRPr="00213F66">
        <w:rPr>
          <w:rFonts w:ascii="Arial" w:hAnsi="Arial" w:cs="Arial"/>
          <w:i/>
          <w:iCs/>
          <w:sz w:val="20"/>
          <w:szCs w:val="20"/>
        </w:rPr>
        <w:t>M. piperita</w:t>
      </w:r>
      <w:r w:rsidRPr="00213F66">
        <w:rPr>
          <w:rFonts w:ascii="Arial" w:hAnsi="Arial" w:cs="Arial"/>
          <w:sz w:val="20"/>
          <w:szCs w:val="20"/>
        </w:rPr>
        <w:t>.</w:t>
      </w:r>
    </w:p>
    <w:p w14:paraId="582630FD"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The occurrence of tannins and polyphenols in almost all the extracts further contributes to the medicinal significance of the plant. Tannins possess strong protein-precipitating properties and exert antimicrobial activity by complexing with microbial cell wall proteins, inactivating extracellular enzymes and disrupting membrane integrity (</w:t>
      </w:r>
      <w:proofErr w:type="spellStart"/>
      <w:r w:rsidRPr="00213F66">
        <w:rPr>
          <w:rFonts w:ascii="Arial" w:hAnsi="Arial" w:cs="Arial"/>
          <w:sz w:val="20"/>
          <w:szCs w:val="20"/>
        </w:rPr>
        <w:t>Edeoga</w:t>
      </w:r>
      <w:proofErr w:type="spellEnd"/>
      <w:r w:rsidRPr="00213F66">
        <w:rPr>
          <w:rFonts w:ascii="Arial" w:hAnsi="Arial" w:cs="Arial"/>
          <w:sz w:val="20"/>
          <w:szCs w:val="20"/>
        </w:rPr>
        <w:t xml:space="preserve"> </w:t>
      </w:r>
      <w:r w:rsidRPr="00213F66">
        <w:rPr>
          <w:rFonts w:ascii="Arial" w:hAnsi="Arial" w:cs="Arial"/>
          <w:i/>
          <w:color w:val="FF0000"/>
          <w:sz w:val="20"/>
          <w:szCs w:val="20"/>
        </w:rPr>
        <w:t>et al</w:t>
      </w:r>
      <w:r w:rsidRPr="00213F66">
        <w:rPr>
          <w:rFonts w:ascii="Arial" w:hAnsi="Arial" w:cs="Arial"/>
          <w:sz w:val="20"/>
          <w:szCs w:val="20"/>
        </w:rPr>
        <w:t xml:space="preserve">., 2005; </w:t>
      </w:r>
      <w:proofErr w:type="spellStart"/>
      <w:r w:rsidRPr="00213F66">
        <w:rPr>
          <w:rFonts w:ascii="Arial" w:hAnsi="Arial" w:cs="Arial"/>
          <w:sz w:val="20"/>
          <w:szCs w:val="20"/>
        </w:rPr>
        <w:t>Rangari</w:t>
      </w:r>
      <w:proofErr w:type="spellEnd"/>
      <w:r w:rsidRPr="00213F66">
        <w:rPr>
          <w:rFonts w:ascii="Arial" w:hAnsi="Arial" w:cs="Arial"/>
          <w:sz w:val="20"/>
          <w:szCs w:val="20"/>
        </w:rPr>
        <w:t>, 2012). Polyphenolic compounds similarly inhibit microbial growth through oxidation-reduction reactions, enzyme inhibition and membrane destabilization while simultaneously providing antioxidant protection (</w:t>
      </w:r>
      <w:r w:rsidR="006B1F70" w:rsidRPr="00213F66">
        <w:rPr>
          <w:rFonts w:ascii="Arial" w:hAnsi="Arial" w:cs="Arial"/>
          <w:color w:val="FF0000"/>
          <w:sz w:val="20"/>
          <w:szCs w:val="20"/>
        </w:rPr>
        <w:t>Reddy</w:t>
      </w:r>
      <w:r w:rsidR="00BF1A38" w:rsidRPr="00213F66">
        <w:rPr>
          <w:rFonts w:ascii="Arial" w:hAnsi="Arial" w:cs="Arial"/>
          <w:color w:val="FF0000"/>
          <w:sz w:val="20"/>
          <w:szCs w:val="20"/>
        </w:rPr>
        <w:t>, 20</w:t>
      </w:r>
      <w:r w:rsidR="006B1F70" w:rsidRPr="00213F66">
        <w:rPr>
          <w:rFonts w:ascii="Arial" w:hAnsi="Arial" w:cs="Arial"/>
          <w:color w:val="FF0000"/>
          <w:sz w:val="20"/>
          <w:szCs w:val="20"/>
        </w:rPr>
        <w:t>04</w:t>
      </w:r>
      <w:r w:rsidR="00BF1A38" w:rsidRPr="00213F66">
        <w:rPr>
          <w:rFonts w:ascii="Arial" w:hAnsi="Arial" w:cs="Arial"/>
          <w:color w:val="FF0000"/>
          <w:sz w:val="20"/>
          <w:szCs w:val="20"/>
        </w:rPr>
        <w:t xml:space="preserve">;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2021</w:t>
      </w:r>
      <w:r w:rsidRPr="00213F66">
        <w:rPr>
          <w:rFonts w:ascii="Arial" w:hAnsi="Arial" w:cs="Arial"/>
          <w:sz w:val="20"/>
          <w:szCs w:val="20"/>
        </w:rPr>
        <w:t xml:space="preserve">). Previous studies on </w:t>
      </w:r>
      <w:proofErr w:type="spellStart"/>
      <w:r w:rsidRPr="00213F66">
        <w:rPr>
          <w:rFonts w:ascii="Arial" w:hAnsi="Arial" w:cs="Arial"/>
          <w:i/>
          <w:iCs/>
          <w:sz w:val="20"/>
          <w:szCs w:val="20"/>
        </w:rPr>
        <w:t>Tragia</w:t>
      </w:r>
      <w:proofErr w:type="spellEnd"/>
      <w:r w:rsidRPr="00213F66">
        <w:rPr>
          <w:rFonts w:ascii="Arial" w:hAnsi="Arial" w:cs="Arial"/>
          <w:i/>
          <w:iCs/>
          <w:sz w:val="20"/>
          <w:szCs w:val="20"/>
        </w:rPr>
        <w:t xml:space="preserve"> </w:t>
      </w:r>
      <w:proofErr w:type="spellStart"/>
      <w:r w:rsidRPr="00213F66">
        <w:rPr>
          <w:rFonts w:ascii="Arial" w:hAnsi="Arial" w:cs="Arial"/>
          <w:i/>
          <w:iCs/>
          <w:sz w:val="20"/>
          <w:szCs w:val="20"/>
        </w:rPr>
        <w:t>involucrata</w:t>
      </w:r>
      <w:proofErr w:type="spellEnd"/>
      <w:r w:rsidRPr="00213F66">
        <w:rPr>
          <w:rFonts w:ascii="Arial" w:hAnsi="Arial" w:cs="Arial"/>
          <w:sz w:val="20"/>
          <w:szCs w:val="20"/>
        </w:rPr>
        <w:t xml:space="preserve">, </w:t>
      </w:r>
      <w:r w:rsidRPr="00213F66">
        <w:rPr>
          <w:rFonts w:ascii="Arial" w:hAnsi="Arial" w:cs="Arial"/>
          <w:i/>
          <w:iCs/>
          <w:sz w:val="20"/>
          <w:szCs w:val="20"/>
        </w:rPr>
        <w:t>Juglans regia</w:t>
      </w:r>
      <w:r w:rsidRPr="00213F66">
        <w:rPr>
          <w:rFonts w:ascii="Arial" w:hAnsi="Arial" w:cs="Arial"/>
          <w:sz w:val="20"/>
          <w:szCs w:val="20"/>
        </w:rPr>
        <w:t xml:space="preserve"> and </w:t>
      </w:r>
      <w:r w:rsidRPr="00213F66">
        <w:rPr>
          <w:rFonts w:ascii="Arial" w:hAnsi="Arial" w:cs="Arial"/>
          <w:i/>
          <w:iCs/>
          <w:sz w:val="20"/>
          <w:szCs w:val="20"/>
        </w:rPr>
        <w:t>Larrea tridentata</w:t>
      </w:r>
      <w:r w:rsidRPr="00213F66">
        <w:rPr>
          <w:rFonts w:ascii="Arial" w:hAnsi="Arial" w:cs="Arial"/>
          <w:sz w:val="20"/>
          <w:szCs w:val="20"/>
        </w:rPr>
        <w:t xml:space="preserve"> likewise reported that phenolic-rich extracts exhibited remarkable antibacterial activities against both Gram-positive and Gram-negative bacteria (</w:t>
      </w:r>
      <w:r w:rsidR="00BF1A38" w:rsidRPr="00213F66">
        <w:rPr>
          <w:rFonts w:ascii="Arial" w:hAnsi="Arial" w:cs="Arial"/>
          <w:color w:val="FF0000"/>
          <w:sz w:val="20"/>
          <w:szCs w:val="20"/>
        </w:rPr>
        <w:t xml:space="preserve">López </w:t>
      </w:r>
      <w:r w:rsidR="00BF1A38" w:rsidRPr="00213F66">
        <w:rPr>
          <w:rFonts w:ascii="Arial" w:hAnsi="Arial" w:cs="Arial"/>
          <w:i/>
          <w:color w:val="FF0000"/>
          <w:sz w:val="20"/>
          <w:szCs w:val="20"/>
        </w:rPr>
        <w:t>et al</w:t>
      </w:r>
      <w:r w:rsidR="00BF1A38" w:rsidRPr="00213F66">
        <w:rPr>
          <w:rFonts w:ascii="Arial" w:hAnsi="Arial" w:cs="Arial"/>
          <w:color w:val="FF0000"/>
          <w:sz w:val="20"/>
          <w:szCs w:val="20"/>
        </w:rPr>
        <w:t xml:space="preserve">., 2008; </w:t>
      </w:r>
      <w:proofErr w:type="spellStart"/>
      <w:r w:rsidRPr="00213F66">
        <w:rPr>
          <w:rFonts w:ascii="Arial" w:hAnsi="Arial" w:cs="Arial"/>
          <w:color w:val="FF0000"/>
          <w:sz w:val="20"/>
          <w:szCs w:val="20"/>
        </w:rPr>
        <w:t>Gobalakrishnan</w:t>
      </w:r>
      <w:proofErr w:type="spellEnd"/>
      <w:r w:rsidRPr="00213F66">
        <w:rPr>
          <w:rFonts w:ascii="Arial" w:hAnsi="Arial" w:cs="Arial"/>
          <w:color w:val="FF0000"/>
          <w:sz w:val="20"/>
          <w:szCs w:val="20"/>
        </w:rPr>
        <w:t xml:space="preserve"> et al., 2013; Sharma </w:t>
      </w:r>
      <w:r w:rsidRPr="00213F66">
        <w:rPr>
          <w:rFonts w:ascii="Arial" w:hAnsi="Arial" w:cs="Arial"/>
          <w:i/>
          <w:color w:val="FF0000"/>
          <w:sz w:val="20"/>
          <w:szCs w:val="20"/>
        </w:rPr>
        <w:t>et al</w:t>
      </w:r>
      <w:r w:rsidRPr="00213F66">
        <w:rPr>
          <w:rFonts w:ascii="Arial" w:hAnsi="Arial" w:cs="Arial"/>
          <w:color w:val="FF0000"/>
          <w:sz w:val="20"/>
          <w:szCs w:val="20"/>
        </w:rPr>
        <w:t>., 2013</w:t>
      </w:r>
      <w:r w:rsidRPr="00213F66">
        <w:rPr>
          <w:rFonts w:ascii="Arial" w:hAnsi="Arial" w:cs="Arial"/>
          <w:sz w:val="20"/>
          <w:szCs w:val="20"/>
        </w:rPr>
        <w:t xml:space="preserve">). The abundance of these compounds in </w:t>
      </w:r>
      <w:r w:rsidRPr="00213F66">
        <w:rPr>
          <w:rFonts w:ascii="Arial" w:hAnsi="Arial" w:cs="Arial"/>
          <w:i/>
          <w:iCs/>
          <w:sz w:val="20"/>
          <w:szCs w:val="20"/>
        </w:rPr>
        <w:t>M. piperita</w:t>
      </w:r>
      <w:r w:rsidRPr="00213F66">
        <w:rPr>
          <w:rFonts w:ascii="Arial" w:hAnsi="Arial" w:cs="Arial"/>
          <w:sz w:val="20"/>
          <w:szCs w:val="20"/>
        </w:rPr>
        <w:t xml:space="preserve"> therefore provides a plausible explanation for its broad antimicrobial spectrum.</w:t>
      </w:r>
    </w:p>
    <w:p w14:paraId="4C322DC1"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Cardiac glycosides, detected in several extracts, have traditionally been recognised for their cardiotonic properties; however, increasing evidence indicates that these compounds also possess antibacterial, antifungal, antiviral and anticancer activities (Gupta &amp; Varma, 2019). Their antimicrobial action has been associated with disruption of membrane ion transport and interference with essential cellular metabolic pathways. The occurrence of cardiac glycosides alongside alkaloids and flavonoids may therefore enhance the overall biological activity of the extracts through complementary mechanisms of action.</w:t>
      </w:r>
    </w:p>
    <w:p w14:paraId="3C1228C5"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 xml:space="preserve">The presence of triterpenoids and steroids further strengthens the therapeutic profile of </w:t>
      </w:r>
      <w:r w:rsidRPr="00213F66">
        <w:rPr>
          <w:rFonts w:ascii="Arial" w:hAnsi="Arial" w:cs="Arial"/>
          <w:i/>
          <w:iCs/>
          <w:sz w:val="20"/>
          <w:szCs w:val="20"/>
        </w:rPr>
        <w:t>M. piperita</w:t>
      </w:r>
      <w:r w:rsidRPr="00213F66">
        <w:rPr>
          <w:rFonts w:ascii="Arial" w:hAnsi="Arial" w:cs="Arial"/>
          <w:sz w:val="20"/>
          <w:szCs w:val="20"/>
        </w:rPr>
        <w:t xml:space="preserve">. Terpenoids are widely recognised for their antimicrobial, anti-inflammatory and antioxidant properties and exert their antimicrobial effects primarily through disruption of microbial membrane integrity and inhibition </w:t>
      </w:r>
      <w:r w:rsidRPr="00213F66">
        <w:rPr>
          <w:rFonts w:ascii="Arial" w:hAnsi="Arial" w:cs="Arial"/>
          <w:sz w:val="20"/>
          <w:szCs w:val="20"/>
        </w:rPr>
        <w:lastRenderedPageBreak/>
        <w:t>of respiratory enzymes (</w:t>
      </w:r>
      <w:r w:rsidRPr="00213F66">
        <w:rPr>
          <w:rFonts w:ascii="Arial" w:hAnsi="Arial" w:cs="Arial"/>
          <w:color w:val="FF0000"/>
          <w:sz w:val="20"/>
          <w:szCs w:val="20"/>
        </w:rPr>
        <w:t>Rangari, 2012; Akpan et al., 2021)</w:t>
      </w:r>
      <w:r w:rsidRPr="00213F66">
        <w:rPr>
          <w:rFonts w:ascii="Arial" w:hAnsi="Arial" w:cs="Arial"/>
          <w:sz w:val="20"/>
          <w:szCs w:val="20"/>
        </w:rPr>
        <w:t xml:space="preserve">. Steroidal compounds also contribute to membrane stabilization and have been reported to exhibit antibacterial and anti-inflammatory activities that may complement those of other phytochemicals (Trevisan </w:t>
      </w:r>
      <w:r w:rsidRPr="00213F66">
        <w:rPr>
          <w:rFonts w:ascii="Arial" w:hAnsi="Arial" w:cs="Arial"/>
          <w:i/>
          <w:color w:val="FF0000"/>
          <w:sz w:val="20"/>
          <w:szCs w:val="20"/>
        </w:rPr>
        <w:t>et al</w:t>
      </w:r>
      <w:r w:rsidRPr="00213F66">
        <w:rPr>
          <w:rFonts w:ascii="Arial" w:hAnsi="Arial" w:cs="Arial"/>
          <w:sz w:val="20"/>
          <w:szCs w:val="20"/>
        </w:rPr>
        <w:t xml:space="preserve">., 2017). The simultaneous occurrence of these metabolites suggests that </w:t>
      </w:r>
      <w:r w:rsidRPr="00213F66">
        <w:rPr>
          <w:rFonts w:ascii="Arial" w:hAnsi="Arial" w:cs="Arial"/>
          <w:i/>
          <w:iCs/>
          <w:sz w:val="20"/>
          <w:szCs w:val="20"/>
        </w:rPr>
        <w:t>M. piperita</w:t>
      </w:r>
      <w:r w:rsidRPr="00213F66">
        <w:rPr>
          <w:rFonts w:ascii="Arial" w:hAnsi="Arial" w:cs="Arial"/>
          <w:sz w:val="20"/>
          <w:szCs w:val="20"/>
        </w:rPr>
        <w:t xml:space="preserve"> possesses multiple classes of bioactive compounds capable of acting on different microbial targets.</w:t>
      </w:r>
    </w:p>
    <w:p w14:paraId="1FB2D760"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 xml:space="preserve">Interestingly, saponins were absent or only weakly detected in most of the extracts (Table 1). Although saponins are generally recognised for their ability to increase membrane permeability through interactions with membrane sterols (Zablotowicz </w:t>
      </w:r>
      <w:r w:rsidRPr="00213F66">
        <w:rPr>
          <w:rFonts w:ascii="Arial" w:hAnsi="Arial" w:cs="Arial"/>
          <w:i/>
          <w:color w:val="FF0000"/>
          <w:sz w:val="20"/>
          <w:szCs w:val="20"/>
        </w:rPr>
        <w:t>et al</w:t>
      </w:r>
      <w:r w:rsidRPr="00213F66">
        <w:rPr>
          <w:rFonts w:ascii="Arial" w:hAnsi="Arial" w:cs="Arial"/>
          <w:sz w:val="20"/>
          <w:szCs w:val="20"/>
        </w:rPr>
        <w:t xml:space="preserve">., 1996), their low abundance in the present study suggests that they may not be the principal contributors to the antimicrobial activity of </w:t>
      </w:r>
      <w:r w:rsidRPr="00213F66">
        <w:rPr>
          <w:rFonts w:ascii="Arial" w:hAnsi="Arial" w:cs="Arial"/>
          <w:i/>
          <w:iCs/>
          <w:sz w:val="20"/>
          <w:szCs w:val="20"/>
        </w:rPr>
        <w:t>M. piperita</w:t>
      </w:r>
      <w:r w:rsidRPr="00213F66">
        <w:rPr>
          <w:rFonts w:ascii="Arial" w:hAnsi="Arial" w:cs="Arial"/>
          <w:sz w:val="20"/>
          <w:szCs w:val="20"/>
        </w:rPr>
        <w:t xml:space="preserve">. Similar variability in saponin content has been reported in medicinal plants and is often influenced by plant age, environmental conditions, extraction solvent and geographical origin (Edeoga </w:t>
      </w:r>
      <w:r w:rsidRPr="00213F66">
        <w:rPr>
          <w:rFonts w:ascii="Arial" w:hAnsi="Arial" w:cs="Arial"/>
          <w:i/>
          <w:color w:val="FF0000"/>
          <w:sz w:val="20"/>
          <w:szCs w:val="20"/>
        </w:rPr>
        <w:t>et al</w:t>
      </w:r>
      <w:r w:rsidRPr="00213F66">
        <w:rPr>
          <w:rFonts w:ascii="Arial" w:hAnsi="Arial" w:cs="Arial"/>
          <w:sz w:val="20"/>
          <w:szCs w:val="20"/>
        </w:rPr>
        <w:t>., 2005; Rangari, 2012).</w:t>
      </w:r>
    </w:p>
    <w:p w14:paraId="2AFD2E21" w14:textId="77777777" w:rsidR="003069BE" w:rsidRPr="00213F66" w:rsidRDefault="003069BE" w:rsidP="003069BE">
      <w:pPr>
        <w:jc w:val="both"/>
        <w:rPr>
          <w:rFonts w:ascii="Arial" w:hAnsi="Arial" w:cs="Arial"/>
          <w:sz w:val="20"/>
          <w:szCs w:val="20"/>
        </w:rPr>
      </w:pPr>
      <w:r w:rsidRPr="00213F66">
        <w:rPr>
          <w:rFonts w:ascii="Arial" w:hAnsi="Arial" w:cs="Arial"/>
          <w:sz w:val="20"/>
          <w:szCs w:val="20"/>
        </w:rPr>
        <w:t>Differences observed between fresh and dried leaves and stems further indicate that plant part and processing conditions influence phytochemical composition. Drying may enhance the concentration of certain metabolites through moisture removal while simultaneously reducing thermolabile constituents susceptible to enzymatic degradation. Likewise, leaves generally accumulate higher concentrations of secondary metabolites because they are the primary sites of photosynthesis and biosynthesis, whereas stems mainly serve structural and transport functions (</w:t>
      </w:r>
      <w:r w:rsidR="00BF1A38" w:rsidRPr="00213F66">
        <w:rPr>
          <w:rFonts w:ascii="Arial" w:hAnsi="Arial" w:cs="Arial"/>
          <w:sz w:val="20"/>
          <w:szCs w:val="20"/>
        </w:rPr>
        <w:t xml:space="preserve">Trevisan </w:t>
      </w:r>
      <w:r w:rsidR="00BF1A38" w:rsidRPr="00213F66">
        <w:rPr>
          <w:rFonts w:ascii="Arial" w:hAnsi="Arial" w:cs="Arial"/>
          <w:i/>
          <w:color w:val="FF0000"/>
          <w:sz w:val="20"/>
          <w:szCs w:val="20"/>
        </w:rPr>
        <w:t>et al</w:t>
      </w:r>
      <w:r w:rsidR="00BF1A38" w:rsidRPr="00213F66">
        <w:rPr>
          <w:rFonts w:ascii="Arial" w:hAnsi="Arial" w:cs="Arial"/>
          <w:sz w:val="20"/>
          <w:szCs w:val="20"/>
        </w:rPr>
        <w:t xml:space="preserve">., 2017; </w:t>
      </w:r>
      <w:r w:rsidRPr="00213F66">
        <w:rPr>
          <w:rFonts w:ascii="Arial" w:hAnsi="Arial" w:cs="Arial"/>
          <w:sz w:val="20"/>
          <w:szCs w:val="20"/>
        </w:rPr>
        <w:t xml:space="preserve">Akpan </w:t>
      </w:r>
      <w:r w:rsidRPr="00213F66">
        <w:rPr>
          <w:rFonts w:ascii="Arial" w:hAnsi="Arial" w:cs="Arial"/>
          <w:i/>
          <w:color w:val="FF0000"/>
          <w:sz w:val="20"/>
          <w:szCs w:val="20"/>
        </w:rPr>
        <w:t>et al</w:t>
      </w:r>
      <w:r w:rsidRPr="00213F66">
        <w:rPr>
          <w:rFonts w:ascii="Arial" w:hAnsi="Arial" w:cs="Arial"/>
          <w:sz w:val="20"/>
          <w:szCs w:val="20"/>
        </w:rPr>
        <w:t>., 2021). Such variations emphasize the importance of selecting appropriate plant materials during the development of herbal medicines.</w:t>
      </w:r>
    </w:p>
    <w:p w14:paraId="4DDF80ED" w14:textId="77777777" w:rsidR="003069BE" w:rsidRPr="00213F66" w:rsidRDefault="004D3F41" w:rsidP="00A64E90">
      <w:pPr>
        <w:jc w:val="both"/>
        <w:rPr>
          <w:rFonts w:ascii="Arial" w:hAnsi="Arial" w:cs="Arial"/>
          <w:color w:val="FF0000"/>
          <w:sz w:val="20"/>
          <w:szCs w:val="20"/>
        </w:rPr>
      </w:pPr>
      <w:r w:rsidRPr="00213F66">
        <w:rPr>
          <w:rFonts w:ascii="Arial" w:hAnsi="Arial" w:cs="Arial"/>
          <w:sz w:val="20"/>
          <w:szCs w:val="20"/>
        </w:rPr>
        <w:t>T</w:t>
      </w:r>
      <w:r w:rsidR="003069BE" w:rsidRPr="00213F66">
        <w:rPr>
          <w:rFonts w:ascii="Arial" w:hAnsi="Arial" w:cs="Arial"/>
          <w:sz w:val="20"/>
          <w:szCs w:val="20"/>
        </w:rPr>
        <w:t xml:space="preserve">he phytochemical profile of </w:t>
      </w:r>
      <w:r w:rsidR="003069BE" w:rsidRPr="00213F66">
        <w:rPr>
          <w:rFonts w:ascii="Arial" w:hAnsi="Arial" w:cs="Arial"/>
          <w:i/>
          <w:iCs/>
          <w:sz w:val="20"/>
          <w:szCs w:val="20"/>
        </w:rPr>
        <w:t>Mentha piperita</w:t>
      </w:r>
      <w:r w:rsidR="003069BE" w:rsidRPr="00213F66">
        <w:rPr>
          <w:rFonts w:ascii="Arial" w:hAnsi="Arial" w:cs="Arial"/>
          <w:sz w:val="20"/>
          <w:szCs w:val="20"/>
        </w:rPr>
        <w:t xml:space="preserve"> demonstrates the coexistence of numerous bioactive constituents capable of acting synergistically against pathogenic microorganisms. Increasing evidence suggests that crude plant extracts frequently exhibit greater biological activity than isolated compounds because multiple metabolites simultaneously target different biochemical pathways, thereby enhancing efficacy and reducing the likelihood of resistance development (</w:t>
      </w:r>
      <w:proofErr w:type="spellStart"/>
      <w:r w:rsidR="00FC6F8F" w:rsidRPr="00213F66">
        <w:rPr>
          <w:rFonts w:ascii="Arial" w:hAnsi="Arial" w:cs="Arial"/>
          <w:color w:val="FF0000"/>
          <w:sz w:val="20"/>
          <w:szCs w:val="20"/>
        </w:rPr>
        <w:t>Ejele</w:t>
      </w:r>
      <w:proofErr w:type="spellEnd"/>
      <w:r w:rsidR="00FC6F8F" w:rsidRPr="00213F66">
        <w:rPr>
          <w:rFonts w:ascii="Arial" w:hAnsi="Arial" w:cs="Arial"/>
          <w:color w:val="FF0000"/>
          <w:sz w:val="20"/>
          <w:szCs w:val="20"/>
        </w:rPr>
        <w:t xml:space="preserve"> </w:t>
      </w:r>
      <w:r w:rsidR="00FC6F8F" w:rsidRPr="00213F66">
        <w:rPr>
          <w:rFonts w:ascii="Arial" w:hAnsi="Arial" w:cs="Arial"/>
          <w:i/>
          <w:color w:val="FF0000"/>
          <w:sz w:val="20"/>
          <w:szCs w:val="20"/>
        </w:rPr>
        <w:t>et al</w:t>
      </w:r>
      <w:r w:rsidR="00FC6F8F" w:rsidRPr="00213F66">
        <w:rPr>
          <w:rFonts w:ascii="Arial" w:hAnsi="Arial" w:cs="Arial"/>
          <w:color w:val="FF0000"/>
          <w:sz w:val="20"/>
          <w:szCs w:val="20"/>
        </w:rPr>
        <w:t xml:space="preserve">., 2012; </w:t>
      </w:r>
      <w:r w:rsidR="003069BE" w:rsidRPr="00213F66">
        <w:rPr>
          <w:rFonts w:ascii="Arial" w:hAnsi="Arial" w:cs="Arial"/>
          <w:color w:val="FF0000"/>
          <w:sz w:val="20"/>
          <w:szCs w:val="20"/>
        </w:rPr>
        <w:t xml:space="preserve">Akpan </w:t>
      </w:r>
      <w:r w:rsidR="003069BE" w:rsidRPr="00213F66">
        <w:rPr>
          <w:rFonts w:ascii="Arial" w:hAnsi="Arial" w:cs="Arial"/>
          <w:i/>
          <w:color w:val="FF0000"/>
          <w:sz w:val="20"/>
          <w:szCs w:val="20"/>
        </w:rPr>
        <w:t>et al</w:t>
      </w:r>
      <w:r w:rsidR="003069BE" w:rsidRPr="00213F66">
        <w:rPr>
          <w:rFonts w:ascii="Arial" w:hAnsi="Arial" w:cs="Arial"/>
          <w:color w:val="FF0000"/>
          <w:sz w:val="20"/>
          <w:szCs w:val="20"/>
        </w:rPr>
        <w:t xml:space="preserve">., 2016; </w:t>
      </w:r>
      <w:proofErr w:type="spellStart"/>
      <w:r w:rsidR="003069BE" w:rsidRPr="00213F66">
        <w:rPr>
          <w:rFonts w:ascii="Arial" w:hAnsi="Arial" w:cs="Arial"/>
          <w:color w:val="FF0000"/>
          <w:sz w:val="20"/>
          <w:szCs w:val="20"/>
        </w:rPr>
        <w:t>Malczak</w:t>
      </w:r>
      <w:proofErr w:type="spellEnd"/>
      <w:r w:rsidR="003069BE" w:rsidRPr="00213F66">
        <w:rPr>
          <w:rFonts w:ascii="Arial" w:hAnsi="Arial" w:cs="Arial"/>
          <w:color w:val="FF0000"/>
          <w:sz w:val="20"/>
          <w:szCs w:val="20"/>
        </w:rPr>
        <w:t xml:space="preserve"> &amp; Gajda, 2023</w:t>
      </w:r>
      <w:r w:rsidR="003069BE" w:rsidRPr="00213F66">
        <w:rPr>
          <w:rFonts w:ascii="Arial" w:hAnsi="Arial" w:cs="Arial"/>
          <w:sz w:val="20"/>
          <w:szCs w:val="20"/>
        </w:rPr>
        <w:t xml:space="preserve">). This phytochemical diversity therefore provides a strong scientific explanation for the antimicrobial activities observed in the present study and supports the continued investigation of </w:t>
      </w:r>
      <w:r w:rsidR="003069BE" w:rsidRPr="00213F66">
        <w:rPr>
          <w:rFonts w:ascii="Arial" w:hAnsi="Arial" w:cs="Arial"/>
          <w:i/>
          <w:iCs/>
          <w:sz w:val="20"/>
          <w:szCs w:val="20"/>
        </w:rPr>
        <w:t>M. piperita</w:t>
      </w:r>
      <w:r w:rsidR="003069BE" w:rsidRPr="00213F66">
        <w:rPr>
          <w:rFonts w:ascii="Arial" w:hAnsi="Arial" w:cs="Arial"/>
          <w:sz w:val="20"/>
          <w:szCs w:val="20"/>
        </w:rPr>
        <w:t xml:space="preserve"> as a valuable source of novel plant-derived antimicrobial agents. </w:t>
      </w:r>
    </w:p>
    <w:p w14:paraId="1261F53E" w14:textId="77777777" w:rsidR="00D94E70" w:rsidRPr="00213F66" w:rsidRDefault="00D94E70" w:rsidP="00D94E70">
      <w:pPr>
        <w:spacing w:before="240" w:line="360" w:lineRule="auto"/>
        <w:jc w:val="both"/>
        <w:rPr>
          <w:rFonts w:ascii="Arial" w:hAnsi="Arial" w:cs="Arial"/>
          <w:b/>
          <w:bCs/>
          <w:sz w:val="20"/>
          <w:szCs w:val="20"/>
        </w:rPr>
      </w:pPr>
      <w:r w:rsidRPr="00213F66">
        <w:rPr>
          <w:rFonts w:ascii="Arial" w:hAnsi="Arial" w:cs="Arial"/>
          <w:b/>
          <w:bCs/>
          <w:sz w:val="20"/>
          <w:szCs w:val="20"/>
        </w:rPr>
        <w:t xml:space="preserve">Table </w:t>
      </w:r>
      <w:r w:rsidR="0094173F" w:rsidRPr="00213F66">
        <w:rPr>
          <w:rFonts w:ascii="Arial" w:hAnsi="Arial" w:cs="Arial"/>
          <w:b/>
          <w:bCs/>
          <w:sz w:val="20"/>
          <w:szCs w:val="20"/>
        </w:rPr>
        <w:t>2</w:t>
      </w:r>
      <w:r w:rsidRPr="00213F66">
        <w:rPr>
          <w:rFonts w:ascii="Arial" w:hAnsi="Arial" w:cs="Arial"/>
          <w:b/>
          <w:bCs/>
          <w:sz w:val="20"/>
          <w:szCs w:val="20"/>
        </w:rPr>
        <w:t>: Percentage of crude cardiac glycosides, alkaloids and flavonoids</w:t>
      </w:r>
    </w:p>
    <w:tbl>
      <w:tblPr>
        <w:tblStyle w:val="LightShading1"/>
        <w:tblW w:w="0" w:type="auto"/>
        <w:shd w:val="clear" w:color="auto" w:fill="FFFFFF" w:themeFill="background1"/>
        <w:tblLook w:val="04A0" w:firstRow="1" w:lastRow="0" w:firstColumn="1" w:lastColumn="0" w:noHBand="0" w:noVBand="1"/>
      </w:tblPr>
      <w:tblGrid>
        <w:gridCol w:w="4712"/>
        <w:gridCol w:w="4126"/>
      </w:tblGrid>
      <w:tr w:rsidR="00D94E70" w:rsidRPr="00213F66" w14:paraId="55FF8059" w14:textId="77777777" w:rsidTr="00391EF9">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530A09A3" w14:textId="77777777" w:rsidR="00D94E70" w:rsidRPr="00213F66" w:rsidRDefault="00D94E70" w:rsidP="00391EF9">
            <w:pPr>
              <w:spacing w:before="240"/>
              <w:jc w:val="both"/>
              <w:rPr>
                <w:rFonts w:ascii="Arial" w:hAnsi="Arial" w:cs="Arial"/>
                <w:bCs w:val="0"/>
                <w:sz w:val="20"/>
                <w:szCs w:val="20"/>
              </w:rPr>
            </w:pPr>
            <w:r w:rsidRPr="00213F66">
              <w:rPr>
                <w:rFonts w:ascii="Arial" w:hAnsi="Arial" w:cs="Arial"/>
                <w:bCs w:val="0"/>
                <w:sz w:val="20"/>
                <w:szCs w:val="20"/>
              </w:rPr>
              <w:t>Phytochemicals</w:t>
            </w:r>
          </w:p>
        </w:tc>
        <w:tc>
          <w:tcPr>
            <w:tcW w:w="4126" w:type="dxa"/>
            <w:shd w:val="clear" w:color="auto" w:fill="FFFFFF" w:themeFill="background1"/>
            <w:hideMark/>
          </w:tcPr>
          <w:p w14:paraId="4320A24F" w14:textId="77777777" w:rsidR="00D94E70" w:rsidRPr="00213F66" w:rsidRDefault="00D94E70" w:rsidP="00391EF9">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213F66">
              <w:rPr>
                <w:rFonts w:ascii="Arial" w:hAnsi="Arial" w:cs="Arial"/>
                <w:bCs w:val="0"/>
                <w:sz w:val="20"/>
                <w:szCs w:val="20"/>
              </w:rPr>
              <w:t>Quantity (%)</w:t>
            </w:r>
          </w:p>
        </w:tc>
      </w:tr>
      <w:tr w:rsidR="00D94E70" w:rsidRPr="00213F66" w14:paraId="0F9A24B9" w14:textId="77777777" w:rsidTr="00391EF9">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45EBB365" w14:textId="77777777" w:rsidR="00D94E70" w:rsidRPr="00213F66" w:rsidRDefault="00D94E70" w:rsidP="00391EF9">
            <w:pPr>
              <w:spacing w:before="240"/>
              <w:jc w:val="both"/>
              <w:rPr>
                <w:rFonts w:ascii="Arial" w:hAnsi="Arial" w:cs="Arial"/>
                <w:b w:val="0"/>
                <w:sz w:val="20"/>
                <w:szCs w:val="20"/>
              </w:rPr>
            </w:pPr>
            <w:r w:rsidRPr="00213F66">
              <w:rPr>
                <w:rFonts w:ascii="Arial" w:hAnsi="Arial" w:cs="Arial"/>
                <w:b w:val="0"/>
                <w:sz w:val="20"/>
                <w:szCs w:val="20"/>
              </w:rPr>
              <w:t>Cardiac glycosides</w:t>
            </w:r>
          </w:p>
        </w:tc>
        <w:tc>
          <w:tcPr>
            <w:tcW w:w="4126" w:type="dxa"/>
            <w:shd w:val="clear" w:color="auto" w:fill="FFFFFF" w:themeFill="background1"/>
            <w:hideMark/>
          </w:tcPr>
          <w:p w14:paraId="7E4DF417" w14:textId="77777777" w:rsidR="00D94E70" w:rsidRPr="00213F66"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3" w:name="_Hlk133245025"/>
            <w:r w:rsidRPr="00213F66">
              <w:rPr>
                <w:rFonts w:ascii="Arial" w:hAnsi="Arial" w:cs="Arial"/>
                <w:sz w:val="20"/>
                <w:szCs w:val="20"/>
              </w:rPr>
              <w:t>9.33 ± 1.71</w:t>
            </w:r>
            <w:bookmarkEnd w:id="3"/>
          </w:p>
        </w:tc>
      </w:tr>
      <w:tr w:rsidR="00D94E70" w:rsidRPr="00213F66" w14:paraId="41039AB7" w14:textId="77777777" w:rsidTr="00391EF9">
        <w:trPr>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277F852E" w14:textId="77777777" w:rsidR="00D94E70" w:rsidRPr="00213F66" w:rsidRDefault="00D94E70" w:rsidP="00391EF9">
            <w:pPr>
              <w:spacing w:before="240"/>
              <w:jc w:val="both"/>
              <w:rPr>
                <w:rFonts w:ascii="Arial" w:hAnsi="Arial" w:cs="Arial"/>
                <w:b w:val="0"/>
                <w:sz w:val="20"/>
                <w:szCs w:val="20"/>
              </w:rPr>
            </w:pPr>
            <w:r w:rsidRPr="00213F66">
              <w:rPr>
                <w:rFonts w:ascii="Arial" w:hAnsi="Arial" w:cs="Arial"/>
                <w:b w:val="0"/>
                <w:sz w:val="20"/>
                <w:szCs w:val="20"/>
              </w:rPr>
              <w:t>Alkaloids</w:t>
            </w:r>
          </w:p>
        </w:tc>
        <w:tc>
          <w:tcPr>
            <w:tcW w:w="4126" w:type="dxa"/>
            <w:shd w:val="clear" w:color="auto" w:fill="FFFFFF" w:themeFill="background1"/>
            <w:hideMark/>
          </w:tcPr>
          <w:p w14:paraId="6225037C" w14:textId="77777777" w:rsidR="00D94E70" w:rsidRPr="00213F66" w:rsidRDefault="00D94E70" w:rsidP="00391EF9">
            <w:pPr>
              <w:spacing w:before="2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4" w:name="_Hlk133244848"/>
            <w:r w:rsidRPr="00213F66">
              <w:rPr>
                <w:rFonts w:ascii="Arial" w:hAnsi="Arial" w:cs="Arial"/>
                <w:sz w:val="20"/>
                <w:szCs w:val="20"/>
              </w:rPr>
              <w:t>4.47 ± 0.25</w:t>
            </w:r>
            <w:bookmarkEnd w:id="4"/>
          </w:p>
        </w:tc>
      </w:tr>
      <w:tr w:rsidR="00D94E70" w:rsidRPr="00213F66" w14:paraId="6ED04966" w14:textId="77777777" w:rsidTr="00391EF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tcPr>
          <w:p w14:paraId="4253432F" w14:textId="77777777" w:rsidR="00D94E70" w:rsidRPr="00213F66" w:rsidRDefault="00D94E70" w:rsidP="00391EF9">
            <w:pPr>
              <w:spacing w:before="240"/>
              <w:jc w:val="both"/>
              <w:rPr>
                <w:rFonts w:ascii="Arial" w:hAnsi="Arial" w:cs="Arial"/>
                <w:b w:val="0"/>
                <w:sz w:val="20"/>
                <w:szCs w:val="20"/>
              </w:rPr>
            </w:pPr>
            <w:r w:rsidRPr="00213F66">
              <w:rPr>
                <w:rFonts w:ascii="Arial" w:hAnsi="Arial" w:cs="Arial"/>
                <w:b w:val="0"/>
                <w:sz w:val="20"/>
                <w:szCs w:val="20"/>
              </w:rPr>
              <w:t>Flavonoids</w:t>
            </w:r>
          </w:p>
        </w:tc>
        <w:tc>
          <w:tcPr>
            <w:tcW w:w="4126" w:type="dxa"/>
            <w:shd w:val="clear" w:color="auto" w:fill="FFFFFF" w:themeFill="background1"/>
          </w:tcPr>
          <w:p w14:paraId="0F4540B6" w14:textId="77777777" w:rsidR="00D94E70" w:rsidRPr="00213F66"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21.80 ± 2.40</w:t>
            </w:r>
          </w:p>
        </w:tc>
      </w:tr>
    </w:tbl>
    <w:p w14:paraId="479CD29A" w14:textId="77777777" w:rsidR="00A24957" w:rsidRPr="00213F66" w:rsidRDefault="00A24957" w:rsidP="00D94E70">
      <w:pPr>
        <w:spacing w:line="480" w:lineRule="auto"/>
        <w:jc w:val="both"/>
        <w:rPr>
          <w:rFonts w:ascii="Arial" w:hAnsi="Arial" w:cs="Arial"/>
          <w:b/>
          <w:bCs/>
          <w:sz w:val="20"/>
          <w:szCs w:val="20"/>
        </w:rPr>
      </w:pPr>
    </w:p>
    <w:p w14:paraId="66484438" w14:textId="77777777" w:rsidR="00A24957" w:rsidRPr="00213F66" w:rsidRDefault="00282E92" w:rsidP="00A24957">
      <w:pPr>
        <w:jc w:val="both"/>
        <w:rPr>
          <w:rFonts w:ascii="Arial" w:hAnsi="Arial" w:cs="Arial"/>
          <w:b/>
        </w:rPr>
      </w:pPr>
      <w:r w:rsidRPr="00213F66">
        <w:rPr>
          <w:rFonts w:ascii="Arial" w:hAnsi="Arial" w:cs="Arial"/>
          <w:b/>
        </w:rPr>
        <w:t xml:space="preserve">3.2 Fourier transform infrared (FTIR) Spectroscopic Characterisation of the Antimicrobial Components of </w:t>
      </w:r>
      <w:r w:rsidRPr="00213F66">
        <w:rPr>
          <w:rStyle w:val="Emphasis"/>
          <w:rFonts w:ascii="Arial" w:hAnsi="Arial" w:cs="Arial"/>
          <w:b/>
        </w:rPr>
        <w:t>Mentha piperita</w:t>
      </w:r>
    </w:p>
    <w:p w14:paraId="7D6E1638" w14:textId="77777777" w:rsidR="00A24957" w:rsidRPr="00213F66" w:rsidRDefault="00A24957" w:rsidP="00A24957">
      <w:pPr>
        <w:jc w:val="both"/>
        <w:rPr>
          <w:rFonts w:ascii="Arial" w:hAnsi="Arial" w:cs="Arial"/>
          <w:sz w:val="20"/>
          <w:szCs w:val="20"/>
        </w:rPr>
      </w:pPr>
      <w:r w:rsidRPr="00213F66">
        <w:rPr>
          <w:rFonts w:ascii="Arial" w:hAnsi="Arial" w:cs="Arial"/>
          <w:sz w:val="20"/>
          <w:szCs w:val="20"/>
        </w:rPr>
        <w:t xml:space="preserve">The Fourier transform infrared (FTIR) spectroscopic analysis of the </w:t>
      </w:r>
      <w:r w:rsidRPr="00213F66">
        <w:rPr>
          <w:rFonts w:ascii="Arial" w:hAnsi="Arial" w:cs="Arial"/>
          <w:color w:val="FF0000"/>
          <w:sz w:val="20"/>
          <w:szCs w:val="20"/>
        </w:rPr>
        <w:t>prepared crude</w:t>
      </w:r>
      <w:r w:rsidRPr="00213F66">
        <w:rPr>
          <w:rFonts w:ascii="Arial" w:hAnsi="Arial" w:cs="Arial"/>
          <w:sz w:val="20"/>
          <w:szCs w:val="20"/>
        </w:rPr>
        <w:t xml:space="preserve"> phytochemical fractions from </w:t>
      </w:r>
      <w:r w:rsidRPr="00213F66">
        <w:rPr>
          <w:rStyle w:val="Emphasis"/>
          <w:rFonts w:ascii="Arial" w:hAnsi="Arial" w:cs="Arial"/>
          <w:sz w:val="20"/>
          <w:szCs w:val="20"/>
        </w:rPr>
        <w:t>Mentha piperita</w:t>
      </w:r>
      <w:r w:rsidRPr="00213F66">
        <w:rPr>
          <w:rFonts w:ascii="Arial" w:hAnsi="Arial" w:cs="Arial"/>
          <w:sz w:val="20"/>
          <w:szCs w:val="20"/>
        </w:rPr>
        <w:t xml:space="preserve"> revealed the presence of several characteristic functional groups associated with biologically active secondary metabolites. The spectra obtained provide valuable structural information on the chemical composition of the isolated antimicrobial constituents and further support their potential therapeutic significance.</w:t>
      </w:r>
    </w:p>
    <w:p w14:paraId="0357688B" w14:textId="77777777" w:rsidR="00F55B65" w:rsidRPr="00213F66" w:rsidRDefault="000955F6" w:rsidP="00A24957">
      <w:pPr>
        <w:jc w:val="both"/>
        <w:rPr>
          <w:rFonts w:ascii="Arial" w:hAnsi="Arial" w:cs="Arial"/>
          <w:sz w:val="20"/>
          <w:szCs w:val="20"/>
        </w:rPr>
      </w:pPr>
      <w:r w:rsidRPr="00213F66">
        <w:rPr>
          <w:rFonts w:ascii="Arial" w:hAnsi="Arial" w:cs="Arial"/>
          <w:b/>
          <w:bCs/>
          <w:noProof/>
          <w:sz w:val="20"/>
          <w:szCs w:val="20"/>
        </w:rPr>
        <w:lastRenderedPageBreak/>
        <w:drawing>
          <wp:anchor distT="0" distB="0" distL="114300" distR="114300" simplePos="0" relativeHeight="251658240" behindDoc="0" locked="0" layoutInCell="1" allowOverlap="1" wp14:anchorId="1DB71EB2" wp14:editId="291631D0">
            <wp:simplePos x="0" y="0"/>
            <wp:positionH relativeFrom="margin">
              <wp:posOffset>-38100</wp:posOffset>
            </wp:positionH>
            <wp:positionV relativeFrom="paragraph">
              <wp:posOffset>1770380</wp:posOffset>
            </wp:positionV>
            <wp:extent cx="5654675" cy="1543050"/>
            <wp:effectExtent l="0" t="0" r="3175" b="0"/>
            <wp:wrapNone/>
            <wp:docPr id="3" name="Picture 3" descr="Screenshot 2023-04-04 22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2023-04-04 222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46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957" w:rsidRPr="00213F66">
        <w:rPr>
          <w:rFonts w:ascii="Arial" w:hAnsi="Arial" w:cs="Arial"/>
          <w:sz w:val="20"/>
          <w:szCs w:val="20"/>
        </w:rPr>
        <w:t xml:space="preserve">The FTIR spectrum of the </w:t>
      </w:r>
      <w:r w:rsidR="00A24957" w:rsidRPr="00213F66">
        <w:rPr>
          <w:rStyle w:val="Strong"/>
          <w:rFonts w:ascii="Arial" w:hAnsi="Arial" w:cs="Arial"/>
          <w:b w:val="0"/>
          <w:sz w:val="20"/>
          <w:szCs w:val="20"/>
        </w:rPr>
        <w:t>cardiac glycoside isolate</w:t>
      </w:r>
      <w:r w:rsidR="00A24957" w:rsidRPr="00213F66">
        <w:rPr>
          <w:rFonts w:ascii="Arial" w:hAnsi="Arial" w:cs="Arial"/>
          <w:b/>
          <w:sz w:val="20"/>
          <w:szCs w:val="20"/>
        </w:rPr>
        <w:t xml:space="preserve"> (</w:t>
      </w:r>
      <w:r w:rsidR="00A24957" w:rsidRPr="00213F66">
        <w:rPr>
          <w:rStyle w:val="Strong"/>
          <w:rFonts w:ascii="Arial" w:hAnsi="Arial" w:cs="Arial"/>
          <w:b w:val="0"/>
          <w:sz w:val="20"/>
          <w:szCs w:val="20"/>
        </w:rPr>
        <w:t>Fig. 1</w:t>
      </w:r>
      <w:r w:rsidR="00A24957" w:rsidRPr="00213F66">
        <w:rPr>
          <w:rFonts w:ascii="Arial" w:hAnsi="Arial" w:cs="Arial"/>
          <w:sz w:val="20"/>
          <w:szCs w:val="20"/>
        </w:rPr>
        <w:t xml:space="preserve">) exhibited several characteristic absorption bands indicative of oxygenated organic compounds. A broad absorption peak at </w:t>
      </w:r>
      <w:r w:rsidR="00A24957" w:rsidRPr="00213F66">
        <w:rPr>
          <w:rStyle w:val="Strong"/>
          <w:rFonts w:ascii="Arial" w:hAnsi="Arial" w:cs="Arial"/>
          <w:b w:val="0"/>
          <w:sz w:val="20"/>
          <w:szCs w:val="20"/>
        </w:rPr>
        <w:t>3256.20 cm</w:t>
      </w:r>
      <w:r w:rsidR="00A24957" w:rsidRPr="00213F66">
        <w:rPr>
          <w:rStyle w:val="Strong"/>
          <w:rFonts w:ascii="Cambria Math" w:hAnsi="Cambria Math" w:cs="Cambria Math"/>
          <w:b w:val="0"/>
          <w:sz w:val="20"/>
          <w:szCs w:val="20"/>
        </w:rPr>
        <w:t>⁻</w:t>
      </w:r>
      <w:r w:rsidR="00A24957" w:rsidRPr="00213F66">
        <w:rPr>
          <w:rStyle w:val="Strong"/>
          <w:rFonts w:ascii="Arial" w:hAnsi="Arial" w:cs="Arial"/>
          <w:b w:val="0"/>
          <w:sz w:val="20"/>
          <w:szCs w:val="20"/>
        </w:rPr>
        <w:t>¹</w:t>
      </w:r>
      <w:r w:rsidR="00A24957" w:rsidRPr="00213F66">
        <w:rPr>
          <w:rFonts w:ascii="Arial" w:hAnsi="Arial" w:cs="Arial"/>
          <w:sz w:val="20"/>
          <w:szCs w:val="20"/>
        </w:rPr>
        <w:t xml:space="preserve"> was assigned to </w:t>
      </w:r>
      <w:r w:rsidR="00A24957" w:rsidRPr="00213F66">
        <w:rPr>
          <w:rStyle w:val="Strong"/>
          <w:rFonts w:ascii="Arial" w:hAnsi="Arial" w:cs="Arial"/>
          <w:b w:val="0"/>
          <w:sz w:val="20"/>
          <w:szCs w:val="20"/>
        </w:rPr>
        <w:t>O–H stretching vibrations</w:t>
      </w:r>
      <w:r w:rsidR="00A24957" w:rsidRPr="00213F66">
        <w:rPr>
          <w:rFonts w:ascii="Arial" w:hAnsi="Arial" w:cs="Arial"/>
          <w:sz w:val="20"/>
          <w:szCs w:val="20"/>
        </w:rPr>
        <w:t xml:space="preserve"> of alcohols and phenolic compounds, suggesting the presence of hydrogen-bonded hydroxyl groups commonly found in glycosidic molecules. The absorption band observed at </w:t>
      </w:r>
      <w:r w:rsidR="00A24957" w:rsidRPr="00213F66">
        <w:rPr>
          <w:rStyle w:val="Strong"/>
          <w:rFonts w:ascii="Arial" w:hAnsi="Arial" w:cs="Arial"/>
          <w:b w:val="0"/>
          <w:sz w:val="20"/>
          <w:szCs w:val="20"/>
        </w:rPr>
        <w:t>1580.51 cm</w:t>
      </w:r>
      <w:r w:rsidR="00A24957" w:rsidRPr="00213F66">
        <w:rPr>
          <w:rStyle w:val="Strong"/>
          <w:rFonts w:ascii="Cambria Math" w:hAnsi="Cambria Math" w:cs="Cambria Math"/>
          <w:b w:val="0"/>
          <w:sz w:val="20"/>
          <w:szCs w:val="20"/>
        </w:rPr>
        <w:t>⁻</w:t>
      </w:r>
      <w:r w:rsidR="00A24957" w:rsidRPr="00213F66">
        <w:rPr>
          <w:rStyle w:val="Strong"/>
          <w:rFonts w:ascii="Arial" w:hAnsi="Arial" w:cs="Arial"/>
          <w:b w:val="0"/>
          <w:sz w:val="20"/>
          <w:szCs w:val="20"/>
        </w:rPr>
        <w:t>¹</w:t>
      </w:r>
      <w:r w:rsidR="00A24957" w:rsidRPr="00213F66">
        <w:rPr>
          <w:rFonts w:ascii="Arial" w:hAnsi="Arial" w:cs="Arial"/>
          <w:sz w:val="20"/>
          <w:szCs w:val="20"/>
        </w:rPr>
        <w:t xml:space="preserve"> corresponded to </w:t>
      </w:r>
      <w:r w:rsidR="00A24957" w:rsidRPr="00213F66">
        <w:rPr>
          <w:rStyle w:val="Strong"/>
          <w:rFonts w:ascii="Arial" w:hAnsi="Arial" w:cs="Arial"/>
          <w:b w:val="0"/>
          <w:sz w:val="20"/>
          <w:szCs w:val="20"/>
        </w:rPr>
        <w:t>C–O stretching vibrations</w:t>
      </w:r>
      <w:r w:rsidR="00A24957" w:rsidRPr="00213F66">
        <w:rPr>
          <w:rFonts w:ascii="Arial" w:hAnsi="Arial" w:cs="Arial"/>
          <w:sz w:val="20"/>
          <w:szCs w:val="20"/>
        </w:rPr>
        <w:t xml:space="preserve"> associated with ketones, aldehydes, carboxylic acids, esters, lactones, anhydrides, amides and lactams. The peak at </w:t>
      </w:r>
      <w:r w:rsidR="00A24957" w:rsidRPr="00213F66">
        <w:rPr>
          <w:rStyle w:val="Strong"/>
          <w:rFonts w:ascii="Arial" w:hAnsi="Arial" w:cs="Arial"/>
          <w:b w:val="0"/>
          <w:sz w:val="20"/>
          <w:szCs w:val="20"/>
        </w:rPr>
        <w:t>1389.05 cm</w:t>
      </w:r>
      <w:r w:rsidR="00A24957" w:rsidRPr="00213F66">
        <w:rPr>
          <w:rStyle w:val="Strong"/>
          <w:rFonts w:ascii="Cambria Math" w:hAnsi="Cambria Math" w:cs="Cambria Math"/>
          <w:b w:val="0"/>
          <w:sz w:val="20"/>
          <w:szCs w:val="20"/>
        </w:rPr>
        <w:t>⁻</w:t>
      </w:r>
      <w:r w:rsidR="00A24957" w:rsidRPr="00213F66">
        <w:rPr>
          <w:rStyle w:val="Strong"/>
          <w:rFonts w:ascii="Arial" w:hAnsi="Arial" w:cs="Arial"/>
          <w:b w:val="0"/>
          <w:sz w:val="20"/>
          <w:szCs w:val="20"/>
        </w:rPr>
        <w:t>¹</w:t>
      </w:r>
      <w:r w:rsidR="00A24957" w:rsidRPr="00213F66">
        <w:rPr>
          <w:rFonts w:ascii="Arial" w:hAnsi="Arial" w:cs="Arial"/>
          <w:sz w:val="20"/>
          <w:szCs w:val="20"/>
        </w:rPr>
        <w:t xml:space="preserve"> was attributed to </w:t>
      </w:r>
      <w:r w:rsidR="00A24957" w:rsidRPr="00213F66">
        <w:rPr>
          <w:rStyle w:val="Strong"/>
          <w:rFonts w:ascii="Arial" w:hAnsi="Arial" w:cs="Arial"/>
          <w:b w:val="0"/>
          <w:sz w:val="20"/>
          <w:szCs w:val="20"/>
        </w:rPr>
        <w:t>alkyl C–H stretching vibrations</w:t>
      </w:r>
      <w:r w:rsidR="00A24957" w:rsidRPr="00213F66">
        <w:rPr>
          <w:rFonts w:ascii="Arial" w:hAnsi="Arial" w:cs="Arial"/>
          <w:sz w:val="20"/>
          <w:szCs w:val="20"/>
        </w:rPr>
        <w:t xml:space="preserve">, indicating aliphatic hydrocarbon chains, while the absorption band at </w:t>
      </w:r>
      <w:r w:rsidR="00A24957" w:rsidRPr="00213F66">
        <w:rPr>
          <w:rStyle w:val="Strong"/>
          <w:rFonts w:ascii="Arial" w:hAnsi="Arial" w:cs="Arial"/>
          <w:b w:val="0"/>
          <w:sz w:val="20"/>
          <w:szCs w:val="20"/>
        </w:rPr>
        <w:t>1067.15 cm</w:t>
      </w:r>
      <w:r w:rsidR="00A24957" w:rsidRPr="00213F66">
        <w:rPr>
          <w:rStyle w:val="Strong"/>
          <w:rFonts w:ascii="Cambria Math" w:hAnsi="Cambria Math" w:cs="Cambria Math"/>
          <w:b w:val="0"/>
          <w:sz w:val="20"/>
          <w:szCs w:val="20"/>
        </w:rPr>
        <w:t>⁻</w:t>
      </w:r>
      <w:r w:rsidR="00A24957" w:rsidRPr="00213F66">
        <w:rPr>
          <w:rStyle w:val="Strong"/>
          <w:rFonts w:ascii="Arial" w:hAnsi="Arial" w:cs="Arial"/>
          <w:b w:val="0"/>
          <w:sz w:val="20"/>
          <w:szCs w:val="20"/>
        </w:rPr>
        <w:t>¹</w:t>
      </w:r>
      <w:r w:rsidR="00A24957" w:rsidRPr="00213F66">
        <w:rPr>
          <w:rFonts w:ascii="Arial" w:hAnsi="Arial" w:cs="Arial"/>
          <w:sz w:val="20"/>
          <w:szCs w:val="20"/>
        </w:rPr>
        <w:t xml:space="preserve"> represented </w:t>
      </w:r>
      <w:r w:rsidR="00A24957" w:rsidRPr="00213F66">
        <w:rPr>
          <w:rStyle w:val="Strong"/>
          <w:rFonts w:ascii="Arial" w:hAnsi="Arial" w:cs="Arial"/>
          <w:b w:val="0"/>
          <w:sz w:val="20"/>
          <w:szCs w:val="20"/>
        </w:rPr>
        <w:t>C–O stretching vibrations</w:t>
      </w:r>
      <w:r w:rsidR="00A24957" w:rsidRPr="00213F66">
        <w:rPr>
          <w:rFonts w:ascii="Arial" w:hAnsi="Arial" w:cs="Arial"/>
          <w:sz w:val="20"/>
          <w:szCs w:val="20"/>
        </w:rPr>
        <w:t xml:space="preserve"> of secondary cyclic alcohols within five- or six-membered alicyclic rings. These characteristic absorption bands are consistent with the structural features of cardiac glycosides and support the presence of oxygenated bioactive metabolites with potential antimicrobial properties (Silverstein </w:t>
      </w:r>
      <w:r w:rsidR="00A24957" w:rsidRPr="00213F66">
        <w:rPr>
          <w:rFonts w:ascii="Arial" w:hAnsi="Arial" w:cs="Arial"/>
          <w:i/>
          <w:color w:val="FF0000"/>
          <w:sz w:val="20"/>
          <w:szCs w:val="20"/>
        </w:rPr>
        <w:t>et al</w:t>
      </w:r>
      <w:r w:rsidR="00A24957" w:rsidRPr="00213F66">
        <w:rPr>
          <w:rFonts w:ascii="Arial" w:hAnsi="Arial" w:cs="Arial"/>
          <w:sz w:val="20"/>
          <w:szCs w:val="20"/>
        </w:rPr>
        <w:t>., 2005).</w:t>
      </w:r>
    </w:p>
    <w:p w14:paraId="4B525C42" w14:textId="77777777" w:rsidR="00D94E70" w:rsidRPr="00213F66" w:rsidRDefault="00D94E70" w:rsidP="00D94E70">
      <w:pPr>
        <w:spacing w:line="480" w:lineRule="auto"/>
        <w:jc w:val="both"/>
        <w:rPr>
          <w:rFonts w:ascii="Arial" w:hAnsi="Arial" w:cs="Arial"/>
          <w:b/>
          <w:bCs/>
          <w:sz w:val="20"/>
          <w:szCs w:val="20"/>
        </w:rPr>
      </w:pPr>
    </w:p>
    <w:p w14:paraId="31AA3FEC" w14:textId="77777777" w:rsidR="00D94E70" w:rsidRPr="00213F66" w:rsidRDefault="00D94E70" w:rsidP="00D94E70">
      <w:pPr>
        <w:spacing w:line="480" w:lineRule="auto"/>
        <w:jc w:val="both"/>
        <w:rPr>
          <w:rFonts w:ascii="Arial" w:hAnsi="Arial" w:cs="Arial"/>
          <w:b/>
          <w:bCs/>
          <w:sz w:val="20"/>
          <w:szCs w:val="20"/>
        </w:rPr>
      </w:pPr>
    </w:p>
    <w:p w14:paraId="6B630272" w14:textId="77777777" w:rsidR="00D94E70" w:rsidRPr="00213F66" w:rsidRDefault="00D94E70" w:rsidP="00D94E70">
      <w:pPr>
        <w:spacing w:line="480" w:lineRule="auto"/>
        <w:jc w:val="both"/>
        <w:rPr>
          <w:rFonts w:ascii="Arial" w:hAnsi="Arial" w:cs="Arial"/>
          <w:b/>
          <w:bCs/>
          <w:sz w:val="20"/>
          <w:szCs w:val="20"/>
        </w:rPr>
      </w:pPr>
    </w:p>
    <w:p w14:paraId="5061B4B7" w14:textId="77777777" w:rsidR="000955F6" w:rsidRPr="00213F66" w:rsidRDefault="000955F6" w:rsidP="00D94E70">
      <w:pPr>
        <w:spacing w:line="480" w:lineRule="auto"/>
        <w:jc w:val="both"/>
        <w:rPr>
          <w:rFonts w:ascii="Arial" w:hAnsi="Arial" w:cs="Arial"/>
          <w:b/>
          <w:bCs/>
          <w:sz w:val="20"/>
          <w:szCs w:val="20"/>
        </w:rPr>
      </w:pPr>
    </w:p>
    <w:p w14:paraId="4F5EC07F" w14:textId="77777777" w:rsidR="00D94E70" w:rsidRPr="00213F66" w:rsidRDefault="00543EFB" w:rsidP="00D94E70">
      <w:pPr>
        <w:spacing w:line="480" w:lineRule="auto"/>
        <w:jc w:val="both"/>
        <w:rPr>
          <w:rFonts w:ascii="Arial" w:hAnsi="Arial" w:cs="Arial"/>
          <w:b/>
          <w:bCs/>
          <w:noProof/>
          <w:sz w:val="20"/>
          <w:szCs w:val="20"/>
        </w:rPr>
      </w:pPr>
      <w:r w:rsidRPr="00213F66">
        <w:rPr>
          <w:rFonts w:ascii="Times New Roman" w:hAnsi="Times New Roman" w:cs="Times New Roman"/>
          <w:b/>
          <w:bCs/>
          <w:noProof/>
        </w:rPr>
        <w:drawing>
          <wp:anchor distT="0" distB="0" distL="114300" distR="114300" simplePos="0" relativeHeight="251653120" behindDoc="0" locked="0" layoutInCell="1" allowOverlap="1" wp14:anchorId="54F8B954" wp14:editId="5381CCB5">
            <wp:simplePos x="0" y="0"/>
            <wp:positionH relativeFrom="margin">
              <wp:posOffset>0</wp:posOffset>
            </wp:positionH>
            <wp:positionV relativeFrom="paragraph">
              <wp:posOffset>393065</wp:posOffset>
            </wp:positionV>
            <wp:extent cx="5857875" cy="1743075"/>
            <wp:effectExtent l="0" t="0" r="9525" b="9525"/>
            <wp:wrapNone/>
            <wp:docPr id="10" name="Picture 10" descr="Screenshot 2023-04-04 22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23-04-04 2238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55F6" w:rsidRPr="00213F66">
        <w:rPr>
          <w:rFonts w:ascii="Arial" w:hAnsi="Arial" w:cs="Arial"/>
          <w:b/>
          <w:bCs/>
          <w:sz w:val="20"/>
          <w:szCs w:val="20"/>
        </w:rPr>
        <w:t>Fig. 1. FTIR spectrum of crude cardiac glycosides</w:t>
      </w:r>
      <w:r w:rsidR="000955F6" w:rsidRPr="00213F66">
        <w:rPr>
          <w:rFonts w:ascii="Arial" w:hAnsi="Arial" w:cs="Arial"/>
          <w:b/>
          <w:bCs/>
          <w:noProof/>
          <w:sz w:val="20"/>
          <w:szCs w:val="20"/>
        </w:rPr>
        <w:t xml:space="preserve"> </w:t>
      </w:r>
    </w:p>
    <w:p w14:paraId="010BB72F" w14:textId="77777777" w:rsidR="00543EFB" w:rsidRPr="00213F66" w:rsidRDefault="00543EFB" w:rsidP="00D94E70">
      <w:pPr>
        <w:spacing w:line="480" w:lineRule="auto"/>
        <w:jc w:val="both"/>
        <w:rPr>
          <w:rFonts w:ascii="Arial" w:hAnsi="Arial" w:cs="Arial"/>
          <w:b/>
          <w:bCs/>
          <w:sz w:val="20"/>
          <w:szCs w:val="20"/>
        </w:rPr>
      </w:pPr>
    </w:p>
    <w:p w14:paraId="397F40E5" w14:textId="77777777" w:rsidR="00543EFB" w:rsidRPr="00213F66" w:rsidRDefault="00543EFB" w:rsidP="00D94E70">
      <w:pPr>
        <w:spacing w:line="480" w:lineRule="auto"/>
        <w:jc w:val="both"/>
        <w:rPr>
          <w:rFonts w:ascii="Arial" w:hAnsi="Arial" w:cs="Arial"/>
          <w:b/>
          <w:bCs/>
          <w:sz w:val="20"/>
          <w:szCs w:val="20"/>
        </w:rPr>
      </w:pPr>
    </w:p>
    <w:p w14:paraId="61E95B38" w14:textId="77777777" w:rsidR="00543EFB" w:rsidRPr="00213F66" w:rsidRDefault="00543EFB" w:rsidP="00D94E70">
      <w:pPr>
        <w:spacing w:line="480" w:lineRule="auto"/>
        <w:jc w:val="both"/>
        <w:rPr>
          <w:rFonts w:ascii="Arial" w:hAnsi="Arial" w:cs="Arial"/>
          <w:b/>
          <w:bCs/>
          <w:sz w:val="20"/>
          <w:szCs w:val="20"/>
        </w:rPr>
      </w:pPr>
    </w:p>
    <w:p w14:paraId="505D6A54" w14:textId="77777777" w:rsidR="00543EFB" w:rsidRPr="00213F66" w:rsidRDefault="00543EFB" w:rsidP="00D94E70">
      <w:pPr>
        <w:spacing w:line="480" w:lineRule="auto"/>
        <w:jc w:val="both"/>
        <w:rPr>
          <w:rFonts w:ascii="Arial" w:hAnsi="Arial" w:cs="Arial"/>
          <w:b/>
          <w:bCs/>
          <w:sz w:val="20"/>
          <w:szCs w:val="20"/>
        </w:rPr>
      </w:pPr>
    </w:p>
    <w:p w14:paraId="2AC50371" w14:textId="77777777" w:rsidR="00543EFB" w:rsidRPr="00213F66" w:rsidRDefault="00543EFB" w:rsidP="00D94E70">
      <w:pPr>
        <w:spacing w:line="480" w:lineRule="auto"/>
        <w:jc w:val="both"/>
        <w:rPr>
          <w:rFonts w:ascii="Arial" w:hAnsi="Arial" w:cs="Arial"/>
          <w:b/>
          <w:bCs/>
          <w:sz w:val="20"/>
          <w:szCs w:val="20"/>
        </w:rPr>
      </w:pPr>
    </w:p>
    <w:p w14:paraId="6321C13E" w14:textId="77777777" w:rsidR="00D94E70" w:rsidRPr="00213F66" w:rsidRDefault="00A24957" w:rsidP="00D94E70">
      <w:pPr>
        <w:spacing w:line="480" w:lineRule="auto"/>
        <w:jc w:val="both"/>
        <w:rPr>
          <w:rFonts w:ascii="Arial" w:hAnsi="Arial" w:cs="Arial"/>
          <w:b/>
          <w:i/>
          <w:iCs/>
          <w:sz w:val="20"/>
          <w:szCs w:val="20"/>
        </w:rPr>
      </w:pPr>
      <w:r w:rsidRPr="00213F66">
        <w:rPr>
          <w:rFonts w:ascii="Arial" w:hAnsi="Arial" w:cs="Arial"/>
          <w:b/>
          <w:bCs/>
          <w:noProof/>
          <w:sz w:val="20"/>
          <w:szCs w:val="20"/>
        </w:rPr>
        <w:drawing>
          <wp:anchor distT="0" distB="0" distL="114300" distR="114300" simplePos="0" relativeHeight="251660288" behindDoc="0" locked="0" layoutInCell="1" allowOverlap="1" wp14:anchorId="29E1A12E" wp14:editId="359714EB">
            <wp:simplePos x="0" y="0"/>
            <wp:positionH relativeFrom="margin">
              <wp:align>right</wp:align>
            </wp:positionH>
            <wp:positionV relativeFrom="paragraph">
              <wp:posOffset>277495</wp:posOffset>
            </wp:positionV>
            <wp:extent cx="5942330" cy="1676400"/>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33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213F66">
        <w:rPr>
          <w:rFonts w:ascii="Arial" w:hAnsi="Arial" w:cs="Arial"/>
          <w:b/>
          <w:sz w:val="20"/>
          <w:szCs w:val="20"/>
        </w:rPr>
        <w:t xml:space="preserve">Fig. 2. FTIR spectrum of crude alkaloid </w:t>
      </w:r>
    </w:p>
    <w:p w14:paraId="20FF5465" w14:textId="77777777" w:rsidR="00D94E70" w:rsidRPr="00213F66" w:rsidRDefault="00D94E70" w:rsidP="00D94E70">
      <w:pPr>
        <w:spacing w:line="480" w:lineRule="auto"/>
        <w:jc w:val="both"/>
        <w:rPr>
          <w:rFonts w:ascii="Arial" w:hAnsi="Arial" w:cs="Arial"/>
          <w:b/>
          <w:i/>
          <w:iCs/>
          <w:sz w:val="20"/>
          <w:szCs w:val="20"/>
        </w:rPr>
      </w:pPr>
    </w:p>
    <w:p w14:paraId="7E557D9B" w14:textId="77777777" w:rsidR="00D94E70" w:rsidRPr="00213F66" w:rsidRDefault="00D94E70" w:rsidP="00D94E70">
      <w:pPr>
        <w:spacing w:line="480" w:lineRule="auto"/>
        <w:jc w:val="both"/>
        <w:rPr>
          <w:rFonts w:ascii="Arial" w:hAnsi="Arial" w:cs="Arial"/>
          <w:b/>
          <w:bCs/>
          <w:sz w:val="20"/>
          <w:szCs w:val="20"/>
        </w:rPr>
      </w:pPr>
    </w:p>
    <w:p w14:paraId="30C09820" w14:textId="77777777" w:rsidR="00D94E70" w:rsidRPr="00213F66" w:rsidRDefault="00D94E70" w:rsidP="00D94E70">
      <w:pPr>
        <w:spacing w:line="480" w:lineRule="auto"/>
        <w:jc w:val="both"/>
        <w:rPr>
          <w:rFonts w:ascii="Arial" w:hAnsi="Arial" w:cs="Arial"/>
          <w:b/>
          <w:bCs/>
          <w:sz w:val="20"/>
          <w:szCs w:val="20"/>
        </w:rPr>
      </w:pPr>
    </w:p>
    <w:p w14:paraId="6798BDFE" w14:textId="77777777" w:rsidR="00D94E70" w:rsidRPr="00213F66" w:rsidRDefault="00D94E70" w:rsidP="00D94E70">
      <w:pPr>
        <w:spacing w:line="480" w:lineRule="auto"/>
        <w:jc w:val="both"/>
        <w:rPr>
          <w:rFonts w:ascii="Arial" w:hAnsi="Arial" w:cs="Arial"/>
          <w:b/>
          <w:bCs/>
          <w:sz w:val="20"/>
          <w:szCs w:val="20"/>
        </w:rPr>
      </w:pPr>
    </w:p>
    <w:p w14:paraId="69BDA638" w14:textId="77777777" w:rsidR="00D94E70" w:rsidRPr="00213F66" w:rsidRDefault="00D94E70" w:rsidP="00D94E70">
      <w:pPr>
        <w:spacing w:line="480" w:lineRule="auto"/>
        <w:jc w:val="both"/>
        <w:rPr>
          <w:rFonts w:ascii="Arial" w:hAnsi="Arial" w:cs="Arial"/>
          <w:b/>
          <w:sz w:val="20"/>
          <w:szCs w:val="20"/>
        </w:rPr>
      </w:pPr>
      <w:r w:rsidRPr="00213F66">
        <w:rPr>
          <w:rFonts w:ascii="Arial" w:hAnsi="Arial" w:cs="Arial"/>
          <w:b/>
          <w:sz w:val="20"/>
          <w:szCs w:val="20"/>
        </w:rPr>
        <w:t xml:space="preserve">Fig. 3. FTIR spectrum of crude flavonoids </w:t>
      </w:r>
    </w:p>
    <w:p w14:paraId="2B9E903B" w14:textId="77777777" w:rsidR="003713E0" w:rsidRPr="00213F66" w:rsidRDefault="003713E0" w:rsidP="003713E0">
      <w:pPr>
        <w:jc w:val="both"/>
        <w:rPr>
          <w:rFonts w:ascii="Arial" w:hAnsi="Arial" w:cs="Arial"/>
          <w:sz w:val="20"/>
          <w:szCs w:val="20"/>
        </w:rPr>
      </w:pPr>
      <w:r w:rsidRPr="00213F66">
        <w:rPr>
          <w:rFonts w:ascii="Arial" w:hAnsi="Arial" w:cs="Arial"/>
          <w:sz w:val="20"/>
          <w:szCs w:val="20"/>
        </w:rPr>
        <w:lastRenderedPageBreak/>
        <w:t xml:space="preserve">The FTIR spectrum of the </w:t>
      </w:r>
      <w:r w:rsidRPr="00213F66">
        <w:rPr>
          <w:rStyle w:val="Strong"/>
          <w:rFonts w:ascii="Arial" w:hAnsi="Arial" w:cs="Arial"/>
          <w:b w:val="0"/>
          <w:sz w:val="20"/>
          <w:szCs w:val="20"/>
        </w:rPr>
        <w:t>crude alkaloid fraction</w:t>
      </w:r>
      <w:r w:rsidRPr="00213F66">
        <w:rPr>
          <w:rFonts w:ascii="Arial" w:hAnsi="Arial" w:cs="Arial"/>
          <w:b/>
          <w:sz w:val="20"/>
          <w:szCs w:val="20"/>
        </w:rPr>
        <w:t xml:space="preserve"> (</w:t>
      </w:r>
      <w:r w:rsidRPr="00213F66">
        <w:rPr>
          <w:rStyle w:val="Strong"/>
          <w:rFonts w:ascii="Arial" w:hAnsi="Arial" w:cs="Arial"/>
          <w:b w:val="0"/>
          <w:sz w:val="20"/>
          <w:szCs w:val="20"/>
        </w:rPr>
        <w:t>Fig. 2</w:t>
      </w:r>
      <w:r w:rsidRPr="00213F66">
        <w:rPr>
          <w:rFonts w:ascii="Arial" w:hAnsi="Arial" w:cs="Arial"/>
          <w:sz w:val="20"/>
          <w:szCs w:val="20"/>
        </w:rPr>
        <w:t xml:space="preserve">) revealed a complex chemical profile characteristic of nitrogen-containing secondary metabolites. Strong absorption bands </w:t>
      </w:r>
      <w:r w:rsidRPr="00213F66">
        <w:rPr>
          <w:rFonts w:ascii="Arial" w:hAnsi="Arial" w:cs="Arial"/>
          <w:b/>
          <w:sz w:val="20"/>
          <w:szCs w:val="20"/>
        </w:rPr>
        <w:t xml:space="preserve">at </w:t>
      </w:r>
      <w:r w:rsidRPr="00213F66">
        <w:rPr>
          <w:rStyle w:val="Strong"/>
          <w:rFonts w:ascii="Arial" w:hAnsi="Arial" w:cs="Arial"/>
          <w:b w:val="0"/>
          <w:sz w:val="20"/>
          <w:szCs w:val="20"/>
        </w:rPr>
        <w:t>2921.38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and </w:t>
      </w:r>
      <w:r w:rsidRPr="00213F66">
        <w:rPr>
          <w:rStyle w:val="Strong"/>
          <w:rFonts w:ascii="Arial" w:hAnsi="Arial" w:cs="Arial"/>
          <w:b w:val="0"/>
          <w:sz w:val="20"/>
          <w:szCs w:val="20"/>
        </w:rPr>
        <w:t>2851.56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were assigned to </w:t>
      </w:r>
      <w:r w:rsidRPr="00213F66">
        <w:rPr>
          <w:rStyle w:val="Strong"/>
          <w:rFonts w:ascii="Arial" w:hAnsi="Arial" w:cs="Arial"/>
          <w:b w:val="0"/>
          <w:sz w:val="20"/>
          <w:szCs w:val="20"/>
        </w:rPr>
        <w:t>sp³ C–H stretching vibrations</w:t>
      </w:r>
      <w:r w:rsidRPr="00213F66">
        <w:rPr>
          <w:rFonts w:ascii="Arial" w:hAnsi="Arial" w:cs="Arial"/>
          <w:sz w:val="20"/>
          <w:szCs w:val="20"/>
        </w:rPr>
        <w:t xml:space="preserve"> arising from methyl, methylene and methine groups. A distinct peak at </w:t>
      </w:r>
      <w:r w:rsidRPr="00213F66">
        <w:rPr>
          <w:rStyle w:val="Strong"/>
          <w:rFonts w:ascii="Arial" w:hAnsi="Arial" w:cs="Arial"/>
          <w:b w:val="0"/>
          <w:sz w:val="20"/>
          <w:szCs w:val="20"/>
        </w:rPr>
        <w:t>1711.36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corresponded to the </w:t>
      </w:r>
      <w:r w:rsidRPr="00213F66">
        <w:rPr>
          <w:rStyle w:val="Strong"/>
          <w:rFonts w:ascii="Arial" w:hAnsi="Arial" w:cs="Arial"/>
          <w:b w:val="0"/>
          <w:sz w:val="20"/>
          <w:szCs w:val="20"/>
        </w:rPr>
        <w:t>carbonyl (C=O) stretching vibration</w:t>
      </w:r>
      <w:r w:rsidRPr="00213F66">
        <w:rPr>
          <w:rFonts w:ascii="Arial" w:hAnsi="Arial" w:cs="Arial"/>
          <w:sz w:val="20"/>
          <w:szCs w:val="20"/>
        </w:rPr>
        <w:t xml:space="preserve"> of carboxylic acids or lactams. Additional absorption bands at </w:t>
      </w:r>
      <w:r w:rsidRPr="00213F66">
        <w:rPr>
          <w:rStyle w:val="Strong"/>
          <w:rFonts w:ascii="Arial" w:hAnsi="Arial" w:cs="Arial"/>
          <w:b w:val="0"/>
          <w:sz w:val="20"/>
          <w:szCs w:val="20"/>
        </w:rPr>
        <w:t>1654.00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and </w:t>
      </w:r>
      <w:r w:rsidRPr="00213F66">
        <w:rPr>
          <w:rStyle w:val="Strong"/>
          <w:rFonts w:ascii="Arial" w:hAnsi="Arial" w:cs="Arial"/>
          <w:b w:val="0"/>
          <w:sz w:val="20"/>
          <w:szCs w:val="20"/>
        </w:rPr>
        <w:t>1605.09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were attributed to </w:t>
      </w:r>
      <w:r w:rsidRPr="00213F66">
        <w:rPr>
          <w:rStyle w:val="Strong"/>
          <w:rFonts w:ascii="Arial" w:hAnsi="Arial" w:cs="Arial"/>
          <w:b w:val="0"/>
          <w:sz w:val="20"/>
          <w:szCs w:val="20"/>
        </w:rPr>
        <w:t>N–H bending vibrations</w:t>
      </w:r>
      <w:r w:rsidRPr="00213F66">
        <w:rPr>
          <w:rFonts w:ascii="Arial" w:hAnsi="Arial" w:cs="Arial"/>
          <w:sz w:val="20"/>
          <w:szCs w:val="20"/>
        </w:rPr>
        <w:t xml:space="preserve"> of primary amines and </w:t>
      </w:r>
      <w:r w:rsidRPr="00213F66">
        <w:rPr>
          <w:rStyle w:val="Strong"/>
          <w:rFonts w:ascii="Arial" w:hAnsi="Arial" w:cs="Arial"/>
          <w:b w:val="0"/>
          <w:sz w:val="20"/>
          <w:szCs w:val="20"/>
        </w:rPr>
        <w:t>amide carbonyl stretching</w:t>
      </w:r>
      <w:r w:rsidRPr="00213F66">
        <w:rPr>
          <w:rFonts w:ascii="Arial" w:hAnsi="Arial" w:cs="Arial"/>
          <w:sz w:val="20"/>
          <w:szCs w:val="20"/>
        </w:rPr>
        <w:t xml:space="preserve">, although the latter band may also indicate terminal </w:t>
      </w:r>
      <w:r w:rsidRPr="00213F66">
        <w:rPr>
          <w:rStyle w:val="Strong"/>
          <w:rFonts w:ascii="Arial" w:hAnsi="Arial" w:cs="Arial"/>
          <w:b w:val="0"/>
          <w:sz w:val="20"/>
          <w:szCs w:val="20"/>
        </w:rPr>
        <w:t>C=CH</w:t>
      </w:r>
      <w:r w:rsidRPr="00213F66">
        <w:rPr>
          <w:rStyle w:val="Strong"/>
          <w:rFonts w:ascii="Cambria Math" w:hAnsi="Cambria Math" w:cs="Cambria Math"/>
          <w:b w:val="0"/>
          <w:sz w:val="20"/>
          <w:szCs w:val="20"/>
        </w:rPr>
        <w:t>₂</w:t>
      </w:r>
      <w:r w:rsidRPr="00213F66">
        <w:rPr>
          <w:rStyle w:val="Strong"/>
          <w:rFonts w:ascii="Arial" w:hAnsi="Arial" w:cs="Arial"/>
          <w:b w:val="0"/>
          <w:sz w:val="20"/>
          <w:szCs w:val="20"/>
        </w:rPr>
        <w:t xml:space="preserve"> stretching</w:t>
      </w:r>
      <w:r w:rsidRPr="00213F66">
        <w:rPr>
          <w:rFonts w:ascii="Arial" w:hAnsi="Arial" w:cs="Arial"/>
          <w:sz w:val="20"/>
          <w:szCs w:val="20"/>
        </w:rPr>
        <w:t xml:space="preserve"> in substituted aromatic systems. The peak at </w:t>
      </w:r>
      <w:r w:rsidRPr="00213F66">
        <w:rPr>
          <w:rStyle w:val="Strong"/>
          <w:rFonts w:ascii="Arial" w:hAnsi="Arial" w:cs="Arial"/>
          <w:b w:val="0"/>
          <w:sz w:val="20"/>
          <w:szCs w:val="20"/>
        </w:rPr>
        <w:t>1243.05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was assigned to </w:t>
      </w:r>
      <w:r w:rsidRPr="00213F66">
        <w:rPr>
          <w:rStyle w:val="Strong"/>
          <w:rFonts w:ascii="Arial" w:hAnsi="Arial" w:cs="Arial"/>
          <w:b w:val="0"/>
          <w:sz w:val="20"/>
          <w:szCs w:val="20"/>
        </w:rPr>
        <w:t>C–N stretching vibrations</w:t>
      </w:r>
      <w:r w:rsidRPr="00213F66">
        <w:rPr>
          <w:rFonts w:ascii="Arial" w:hAnsi="Arial" w:cs="Arial"/>
          <w:sz w:val="20"/>
          <w:szCs w:val="20"/>
        </w:rPr>
        <w:t xml:space="preserve"> of primary, secondary and tertiary aliphatic amines, while the bands at </w:t>
      </w:r>
      <w:r w:rsidRPr="00213F66">
        <w:rPr>
          <w:rStyle w:val="Strong"/>
          <w:rFonts w:ascii="Arial" w:hAnsi="Arial" w:cs="Arial"/>
          <w:b w:val="0"/>
          <w:sz w:val="20"/>
          <w:szCs w:val="20"/>
        </w:rPr>
        <w:t>1158.00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b/>
          <w:sz w:val="20"/>
          <w:szCs w:val="20"/>
        </w:rPr>
        <w:t xml:space="preserve"> </w:t>
      </w:r>
      <w:r w:rsidRPr="00213F66">
        <w:rPr>
          <w:rFonts w:ascii="Arial" w:hAnsi="Arial" w:cs="Arial"/>
          <w:sz w:val="20"/>
          <w:szCs w:val="20"/>
        </w:rPr>
        <w:t>and</w:t>
      </w:r>
      <w:r w:rsidRPr="00213F66">
        <w:rPr>
          <w:rFonts w:ascii="Arial" w:hAnsi="Arial" w:cs="Arial"/>
          <w:b/>
          <w:sz w:val="20"/>
          <w:szCs w:val="20"/>
        </w:rPr>
        <w:t xml:space="preserve"> </w:t>
      </w:r>
      <w:r w:rsidRPr="00213F66">
        <w:rPr>
          <w:rStyle w:val="Strong"/>
          <w:rFonts w:ascii="Arial" w:hAnsi="Arial" w:cs="Arial"/>
          <w:b w:val="0"/>
          <w:sz w:val="20"/>
          <w:szCs w:val="20"/>
        </w:rPr>
        <w:t>1032.61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corresponded to </w:t>
      </w:r>
      <w:r w:rsidRPr="00213F66">
        <w:rPr>
          <w:rStyle w:val="Strong"/>
          <w:rFonts w:ascii="Arial" w:hAnsi="Arial" w:cs="Arial"/>
          <w:b w:val="0"/>
          <w:sz w:val="20"/>
          <w:szCs w:val="20"/>
        </w:rPr>
        <w:t>C–O stretching vibrations</w:t>
      </w:r>
      <w:r w:rsidRPr="00213F66">
        <w:rPr>
          <w:rFonts w:ascii="Arial" w:hAnsi="Arial" w:cs="Arial"/>
          <w:sz w:val="20"/>
          <w:szCs w:val="20"/>
        </w:rPr>
        <w:t xml:space="preserve"> of alcohols and phenols. Furthermore, the absorption at </w:t>
      </w:r>
      <w:r w:rsidRPr="00213F66">
        <w:rPr>
          <w:rStyle w:val="Strong"/>
          <w:rFonts w:ascii="Arial" w:hAnsi="Arial" w:cs="Arial"/>
          <w:b w:val="0"/>
          <w:sz w:val="20"/>
          <w:szCs w:val="20"/>
        </w:rPr>
        <w:t>1376.00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indicated </w:t>
      </w:r>
      <w:r w:rsidRPr="00213F66">
        <w:rPr>
          <w:rStyle w:val="Strong"/>
          <w:rFonts w:ascii="Arial" w:hAnsi="Arial" w:cs="Arial"/>
          <w:b w:val="0"/>
          <w:sz w:val="20"/>
          <w:szCs w:val="20"/>
        </w:rPr>
        <w:t>C–H bending vibrations</w:t>
      </w:r>
      <w:r w:rsidRPr="00213F66">
        <w:rPr>
          <w:rFonts w:ascii="Arial" w:hAnsi="Arial" w:cs="Arial"/>
          <w:sz w:val="20"/>
          <w:szCs w:val="20"/>
        </w:rPr>
        <w:t xml:space="preserve"> of tert-butyl and isopropyl groups, whereas the peaks at </w:t>
      </w:r>
      <w:r w:rsidRPr="00213F66">
        <w:rPr>
          <w:rStyle w:val="Strong"/>
          <w:rFonts w:ascii="Arial" w:hAnsi="Arial" w:cs="Arial"/>
          <w:b w:val="0"/>
          <w:sz w:val="20"/>
          <w:szCs w:val="20"/>
        </w:rPr>
        <w:t>839.54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and </w:t>
      </w:r>
      <w:r w:rsidRPr="00213F66">
        <w:rPr>
          <w:rStyle w:val="Strong"/>
          <w:rFonts w:ascii="Arial" w:hAnsi="Arial" w:cs="Arial"/>
          <w:b w:val="0"/>
          <w:sz w:val="20"/>
          <w:szCs w:val="20"/>
        </w:rPr>
        <w:t>719.95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were assigned to </w:t>
      </w:r>
      <w:r w:rsidRPr="00213F66">
        <w:rPr>
          <w:rStyle w:val="Strong"/>
          <w:rFonts w:ascii="Arial" w:hAnsi="Arial" w:cs="Arial"/>
          <w:b w:val="0"/>
          <w:sz w:val="20"/>
          <w:szCs w:val="20"/>
        </w:rPr>
        <w:t>N–H wagging</w:t>
      </w:r>
      <w:r w:rsidRPr="00213F66">
        <w:rPr>
          <w:rFonts w:ascii="Arial" w:hAnsi="Arial" w:cs="Arial"/>
          <w:sz w:val="20"/>
          <w:szCs w:val="20"/>
        </w:rPr>
        <w:t xml:space="preserve"> or aromatic </w:t>
      </w:r>
      <w:r w:rsidRPr="00213F66">
        <w:rPr>
          <w:rStyle w:val="Strong"/>
          <w:rFonts w:ascii="Arial" w:hAnsi="Arial" w:cs="Arial"/>
          <w:b w:val="0"/>
          <w:sz w:val="20"/>
          <w:szCs w:val="20"/>
        </w:rPr>
        <w:t>C–H out-of-plane</w:t>
      </w:r>
      <w:r w:rsidRPr="00213F66">
        <w:rPr>
          <w:rStyle w:val="Strong"/>
          <w:rFonts w:ascii="Arial" w:hAnsi="Arial" w:cs="Arial"/>
          <w:sz w:val="20"/>
          <w:szCs w:val="20"/>
        </w:rPr>
        <w:t xml:space="preserve"> </w:t>
      </w:r>
      <w:r w:rsidRPr="00213F66">
        <w:rPr>
          <w:rStyle w:val="Strong"/>
          <w:rFonts w:ascii="Arial" w:hAnsi="Arial" w:cs="Arial"/>
          <w:b w:val="0"/>
          <w:sz w:val="20"/>
          <w:szCs w:val="20"/>
        </w:rPr>
        <w:t>bending</w:t>
      </w:r>
      <w:r w:rsidRPr="00213F66">
        <w:rPr>
          <w:rFonts w:ascii="Arial" w:hAnsi="Arial" w:cs="Arial"/>
          <w:sz w:val="20"/>
          <w:szCs w:val="20"/>
        </w:rPr>
        <w:t xml:space="preserve"> vibrations. </w:t>
      </w:r>
      <w:r w:rsidR="007811F0" w:rsidRPr="00213F66">
        <w:rPr>
          <w:rFonts w:ascii="Arial" w:hAnsi="Arial" w:cs="Arial"/>
          <w:color w:val="FF0000"/>
          <w:sz w:val="20"/>
          <w:szCs w:val="20"/>
        </w:rPr>
        <w:t>The detected FTIR absorption bands demonstrate the presence of characteristic functional groups associated with alkaloidal constituents, supporting their chemical identification. These assignments agree with standard FTIR spectral data reported for nitrogen-containing phytochemicals</w:t>
      </w:r>
      <w:r w:rsidRPr="00213F66">
        <w:rPr>
          <w:rFonts w:ascii="Arial" w:hAnsi="Arial" w:cs="Arial"/>
          <w:sz w:val="20"/>
          <w:szCs w:val="20"/>
        </w:rPr>
        <w:t xml:space="preserve"> (Silverstein </w:t>
      </w:r>
      <w:r w:rsidRPr="00213F66">
        <w:rPr>
          <w:rFonts w:ascii="Arial" w:hAnsi="Arial" w:cs="Arial"/>
          <w:i/>
          <w:color w:val="FF0000"/>
          <w:sz w:val="20"/>
          <w:szCs w:val="20"/>
        </w:rPr>
        <w:t>et al</w:t>
      </w:r>
      <w:r w:rsidRPr="00213F66">
        <w:rPr>
          <w:rFonts w:ascii="Arial" w:hAnsi="Arial" w:cs="Arial"/>
          <w:sz w:val="20"/>
          <w:szCs w:val="20"/>
        </w:rPr>
        <w:t>., 2005).</w:t>
      </w:r>
    </w:p>
    <w:p w14:paraId="7D0FF1C2" w14:textId="77777777" w:rsidR="003713E0" w:rsidRPr="00213F66" w:rsidRDefault="003713E0" w:rsidP="003713E0">
      <w:pPr>
        <w:jc w:val="both"/>
        <w:rPr>
          <w:rFonts w:ascii="Arial" w:hAnsi="Arial" w:cs="Arial"/>
          <w:sz w:val="20"/>
          <w:szCs w:val="20"/>
        </w:rPr>
      </w:pPr>
      <w:r w:rsidRPr="00213F66">
        <w:rPr>
          <w:rFonts w:ascii="Arial" w:hAnsi="Arial" w:cs="Arial"/>
          <w:sz w:val="20"/>
          <w:szCs w:val="20"/>
        </w:rPr>
        <w:t xml:space="preserve">The FTIR spectrum of the </w:t>
      </w:r>
      <w:r w:rsidRPr="00213F66">
        <w:rPr>
          <w:rStyle w:val="Strong"/>
          <w:rFonts w:ascii="Arial" w:hAnsi="Arial" w:cs="Arial"/>
          <w:b w:val="0"/>
          <w:sz w:val="20"/>
          <w:szCs w:val="20"/>
        </w:rPr>
        <w:t>crude flavonoid fraction</w:t>
      </w:r>
      <w:r w:rsidRPr="00213F66">
        <w:rPr>
          <w:rFonts w:ascii="Arial" w:hAnsi="Arial" w:cs="Arial"/>
          <w:sz w:val="20"/>
          <w:szCs w:val="20"/>
        </w:rPr>
        <w:t xml:space="preserve"> (</w:t>
      </w:r>
      <w:r w:rsidRPr="00213F66">
        <w:rPr>
          <w:rStyle w:val="Strong"/>
          <w:rFonts w:ascii="Arial" w:hAnsi="Arial" w:cs="Arial"/>
          <w:b w:val="0"/>
          <w:sz w:val="20"/>
          <w:szCs w:val="20"/>
        </w:rPr>
        <w:t>Fig. 3</w:t>
      </w:r>
      <w:r w:rsidRPr="00213F66">
        <w:rPr>
          <w:rFonts w:ascii="Arial" w:hAnsi="Arial" w:cs="Arial"/>
          <w:sz w:val="20"/>
          <w:szCs w:val="20"/>
        </w:rPr>
        <w:t xml:space="preserve">) exhibited several prominent absorption bands typical of polyphenolic compounds. A broad peak at </w:t>
      </w:r>
      <w:r w:rsidRPr="00213F66">
        <w:rPr>
          <w:rStyle w:val="Strong"/>
          <w:rFonts w:ascii="Arial" w:hAnsi="Arial" w:cs="Arial"/>
          <w:b w:val="0"/>
          <w:sz w:val="20"/>
          <w:szCs w:val="20"/>
        </w:rPr>
        <w:t>3235.29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corresponded to </w:t>
      </w:r>
      <w:r w:rsidRPr="00213F66">
        <w:rPr>
          <w:rStyle w:val="Strong"/>
          <w:rFonts w:ascii="Arial" w:hAnsi="Arial" w:cs="Arial"/>
          <w:b w:val="0"/>
          <w:sz w:val="20"/>
          <w:szCs w:val="20"/>
        </w:rPr>
        <w:t>O–H stretching vibrations</w:t>
      </w:r>
      <w:r w:rsidRPr="00213F66">
        <w:rPr>
          <w:rFonts w:ascii="Arial" w:hAnsi="Arial" w:cs="Arial"/>
          <w:sz w:val="20"/>
          <w:szCs w:val="20"/>
        </w:rPr>
        <w:t xml:space="preserve"> of hydroxyl groups in alcohols and phenols, reflecting the highly hydroxylated nature of flavonoids. The absorption band at </w:t>
      </w:r>
      <w:r w:rsidRPr="00213F66">
        <w:rPr>
          <w:rStyle w:val="Strong"/>
          <w:rFonts w:ascii="Arial" w:hAnsi="Arial" w:cs="Arial"/>
          <w:b w:val="0"/>
          <w:sz w:val="20"/>
          <w:szCs w:val="20"/>
        </w:rPr>
        <w:t>2927.20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was assigned to </w:t>
      </w:r>
      <w:r w:rsidRPr="00213F66">
        <w:rPr>
          <w:rStyle w:val="Strong"/>
          <w:rFonts w:ascii="Arial" w:hAnsi="Arial" w:cs="Arial"/>
          <w:b w:val="0"/>
          <w:sz w:val="20"/>
          <w:szCs w:val="20"/>
        </w:rPr>
        <w:t>O–H stretching</w:t>
      </w:r>
      <w:r w:rsidRPr="00213F66">
        <w:rPr>
          <w:rFonts w:ascii="Arial" w:hAnsi="Arial" w:cs="Arial"/>
          <w:sz w:val="20"/>
          <w:szCs w:val="20"/>
        </w:rPr>
        <w:t xml:space="preserve"> associated with carboxylic acid groups. A strong band at </w:t>
      </w:r>
      <w:r w:rsidRPr="00213F66">
        <w:rPr>
          <w:rStyle w:val="Strong"/>
          <w:rFonts w:ascii="Arial" w:hAnsi="Arial" w:cs="Arial"/>
          <w:b w:val="0"/>
          <w:sz w:val="20"/>
          <w:szCs w:val="20"/>
        </w:rPr>
        <w:t>1584.07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represented </w:t>
      </w:r>
      <w:r w:rsidRPr="00213F66">
        <w:rPr>
          <w:rStyle w:val="Strong"/>
          <w:rFonts w:ascii="Arial" w:hAnsi="Arial" w:cs="Arial"/>
          <w:b w:val="0"/>
          <w:sz w:val="20"/>
          <w:szCs w:val="20"/>
        </w:rPr>
        <w:t>aromatic C=C stretching vibrations</w:t>
      </w:r>
      <w:r w:rsidRPr="00213F66">
        <w:rPr>
          <w:rFonts w:ascii="Arial" w:hAnsi="Arial" w:cs="Arial"/>
          <w:sz w:val="20"/>
          <w:szCs w:val="20"/>
        </w:rPr>
        <w:t xml:space="preserve">, confirming the benzene ring system characteristic of flavonoid structures. Additional absorption bands at </w:t>
      </w:r>
      <w:r w:rsidRPr="00213F66">
        <w:rPr>
          <w:rStyle w:val="Strong"/>
          <w:rFonts w:ascii="Arial" w:hAnsi="Arial" w:cs="Arial"/>
          <w:b w:val="0"/>
          <w:sz w:val="20"/>
          <w:szCs w:val="20"/>
        </w:rPr>
        <w:t>1257.20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b/>
          <w:sz w:val="20"/>
          <w:szCs w:val="20"/>
        </w:rPr>
        <w:t xml:space="preserve">, </w:t>
      </w:r>
      <w:r w:rsidRPr="00213F66">
        <w:rPr>
          <w:rStyle w:val="Strong"/>
          <w:rFonts w:ascii="Arial" w:hAnsi="Arial" w:cs="Arial"/>
          <w:b w:val="0"/>
          <w:sz w:val="20"/>
          <w:szCs w:val="20"/>
        </w:rPr>
        <w:t>1157.55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b/>
          <w:sz w:val="20"/>
          <w:szCs w:val="20"/>
        </w:rPr>
        <w:t xml:space="preserve"> </w:t>
      </w:r>
      <w:r w:rsidRPr="00213F66">
        <w:rPr>
          <w:rFonts w:ascii="Arial" w:hAnsi="Arial" w:cs="Arial"/>
          <w:sz w:val="20"/>
          <w:szCs w:val="20"/>
        </w:rPr>
        <w:t>and</w:t>
      </w:r>
      <w:r w:rsidRPr="00213F66">
        <w:rPr>
          <w:rFonts w:ascii="Arial" w:hAnsi="Arial" w:cs="Arial"/>
          <w:b/>
          <w:sz w:val="20"/>
          <w:szCs w:val="20"/>
        </w:rPr>
        <w:t xml:space="preserve"> </w:t>
      </w:r>
      <w:r w:rsidRPr="00213F66">
        <w:rPr>
          <w:rStyle w:val="Strong"/>
          <w:rFonts w:ascii="Arial" w:hAnsi="Arial" w:cs="Arial"/>
          <w:b w:val="0"/>
          <w:sz w:val="20"/>
          <w:szCs w:val="20"/>
        </w:rPr>
        <w:t>1074.68 cm</w:t>
      </w:r>
      <w:r w:rsidRPr="00213F66">
        <w:rPr>
          <w:rStyle w:val="Strong"/>
          <w:rFonts w:ascii="Cambria Math" w:hAnsi="Cambria Math" w:cs="Cambria Math"/>
          <w:b w:val="0"/>
          <w:sz w:val="20"/>
          <w:szCs w:val="20"/>
        </w:rPr>
        <w:t>⁻</w:t>
      </w:r>
      <w:r w:rsidRPr="00213F66">
        <w:rPr>
          <w:rStyle w:val="Strong"/>
          <w:rFonts w:ascii="Arial" w:hAnsi="Arial" w:cs="Arial"/>
          <w:b w:val="0"/>
          <w:sz w:val="20"/>
          <w:szCs w:val="20"/>
        </w:rPr>
        <w:t>¹</w:t>
      </w:r>
      <w:r w:rsidRPr="00213F66">
        <w:rPr>
          <w:rFonts w:ascii="Arial" w:hAnsi="Arial" w:cs="Arial"/>
          <w:sz w:val="20"/>
          <w:szCs w:val="20"/>
        </w:rPr>
        <w:t xml:space="preserve"> were attributed to </w:t>
      </w:r>
      <w:r w:rsidRPr="00213F66">
        <w:rPr>
          <w:rStyle w:val="Strong"/>
          <w:rFonts w:ascii="Arial" w:hAnsi="Arial" w:cs="Arial"/>
          <w:b w:val="0"/>
          <w:sz w:val="20"/>
          <w:szCs w:val="20"/>
        </w:rPr>
        <w:t>C–O stretching vibrations</w:t>
      </w:r>
      <w:r w:rsidRPr="00213F66">
        <w:rPr>
          <w:rFonts w:ascii="Arial" w:hAnsi="Arial" w:cs="Arial"/>
          <w:sz w:val="20"/>
          <w:szCs w:val="20"/>
        </w:rPr>
        <w:t xml:space="preserve"> of phenolic and alcoholic functional groups. These spectral characteristics are consistent with those commonly reported for flavonoids and other polyphenolic compounds (Silverstein </w:t>
      </w:r>
      <w:r w:rsidRPr="00213F66">
        <w:rPr>
          <w:rFonts w:ascii="Arial" w:hAnsi="Arial" w:cs="Arial"/>
          <w:i/>
          <w:color w:val="FF0000"/>
          <w:sz w:val="20"/>
          <w:szCs w:val="20"/>
        </w:rPr>
        <w:t>et al</w:t>
      </w:r>
      <w:r w:rsidRPr="00213F66">
        <w:rPr>
          <w:rFonts w:ascii="Arial" w:hAnsi="Arial" w:cs="Arial"/>
          <w:sz w:val="20"/>
          <w:szCs w:val="20"/>
        </w:rPr>
        <w:t>., 2005).</w:t>
      </w:r>
    </w:p>
    <w:p w14:paraId="67BAA6DF" w14:textId="77777777" w:rsidR="003713E0" w:rsidRPr="00213F66" w:rsidRDefault="003713E0" w:rsidP="00691A01">
      <w:pPr>
        <w:jc w:val="both"/>
        <w:rPr>
          <w:rFonts w:ascii="Arial" w:hAnsi="Arial" w:cs="Arial"/>
          <w:sz w:val="20"/>
          <w:szCs w:val="20"/>
        </w:rPr>
      </w:pPr>
      <w:r w:rsidRPr="00213F66">
        <w:rPr>
          <w:rFonts w:ascii="Arial" w:hAnsi="Arial" w:cs="Arial"/>
          <w:sz w:val="20"/>
          <w:szCs w:val="20"/>
        </w:rPr>
        <w:t xml:space="preserve">The FTIR spectra of the cardiac glycoside, alkaloid and flavonoid fractions confirmed the presence of diverse functional groups, including hydroxyl, carbonyl, amino, aromatic and ether linkages, all of which are characteristic of pharmacologically active phytochemicals. These functional groups are known to contribute to antimicrobial activity through mechanisms such as disruption of microbial cell membranes, inhibition of essential enzymes, interference with nucleic acid synthesis and modulation of oxidative stress. Consequently, the FTIR findings corroborate the phytochemical screening results and provide molecular evidence supporting the antimicrobial potential of </w:t>
      </w:r>
      <w:r w:rsidRPr="00213F66">
        <w:rPr>
          <w:rStyle w:val="Emphasis"/>
          <w:rFonts w:ascii="Arial" w:hAnsi="Arial" w:cs="Arial"/>
          <w:sz w:val="20"/>
          <w:szCs w:val="20"/>
        </w:rPr>
        <w:t>Mentha piperita</w:t>
      </w:r>
      <w:r w:rsidRPr="00213F66">
        <w:rPr>
          <w:rFonts w:ascii="Arial" w:hAnsi="Arial" w:cs="Arial"/>
          <w:sz w:val="20"/>
          <w:szCs w:val="20"/>
        </w:rPr>
        <w:t xml:space="preserve">. The observed spectral assignments are consistent with standard infrared spectroscopic interpretations reported by </w:t>
      </w:r>
      <w:r w:rsidRPr="00213F66">
        <w:rPr>
          <w:rStyle w:val="Strong"/>
          <w:rFonts w:ascii="Arial" w:hAnsi="Arial" w:cs="Arial"/>
          <w:b w:val="0"/>
          <w:sz w:val="20"/>
          <w:szCs w:val="20"/>
        </w:rPr>
        <w:t xml:space="preserve">Silverstein </w:t>
      </w:r>
      <w:r w:rsidRPr="00213F66">
        <w:rPr>
          <w:rStyle w:val="Strong"/>
          <w:rFonts w:ascii="Arial" w:hAnsi="Arial" w:cs="Arial"/>
          <w:b w:val="0"/>
          <w:i/>
          <w:color w:val="FF0000"/>
          <w:sz w:val="20"/>
          <w:szCs w:val="20"/>
        </w:rPr>
        <w:t>et al</w:t>
      </w:r>
      <w:r w:rsidRPr="00213F66">
        <w:rPr>
          <w:rStyle w:val="Strong"/>
          <w:rFonts w:ascii="Arial" w:hAnsi="Arial" w:cs="Arial"/>
          <w:b w:val="0"/>
          <w:sz w:val="20"/>
          <w:szCs w:val="20"/>
        </w:rPr>
        <w:t>. (2005)</w:t>
      </w:r>
      <w:r w:rsidRPr="00213F66">
        <w:rPr>
          <w:rFonts w:ascii="Arial" w:hAnsi="Arial" w:cs="Arial"/>
          <w:sz w:val="20"/>
          <w:szCs w:val="20"/>
        </w:rPr>
        <w:t>, thereby strengthening the reliability of the structural characterisation presented in this study.</w:t>
      </w:r>
    </w:p>
    <w:p w14:paraId="7EA09B8A" w14:textId="77777777" w:rsidR="004D7BD3" w:rsidRPr="00213F66" w:rsidRDefault="004D7BD3" w:rsidP="00D94E70">
      <w:pPr>
        <w:spacing w:line="240" w:lineRule="auto"/>
        <w:jc w:val="both"/>
        <w:rPr>
          <w:rFonts w:ascii="Arial" w:hAnsi="Arial" w:cs="Arial"/>
          <w:b/>
          <w:bCs/>
          <w:sz w:val="20"/>
          <w:szCs w:val="20"/>
        </w:rPr>
      </w:pPr>
    </w:p>
    <w:p w14:paraId="727BF7DD" w14:textId="77777777" w:rsidR="004D7BD3" w:rsidRPr="00213F66" w:rsidRDefault="004D7BD3" w:rsidP="00D94E70">
      <w:pPr>
        <w:spacing w:line="240" w:lineRule="auto"/>
        <w:jc w:val="both"/>
        <w:rPr>
          <w:rFonts w:ascii="Arial" w:hAnsi="Arial" w:cs="Arial"/>
          <w:b/>
          <w:bCs/>
          <w:sz w:val="20"/>
          <w:szCs w:val="20"/>
        </w:rPr>
      </w:pPr>
    </w:p>
    <w:p w14:paraId="18E0C782" w14:textId="77777777" w:rsidR="00D94E70" w:rsidRPr="00213F66" w:rsidRDefault="000955F6" w:rsidP="00D94E70">
      <w:pPr>
        <w:spacing w:line="240" w:lineRule="auto"/>
        <w:jc w:val="both"/>
        <w:rPr>
          <w:rFonts w:ascii="Arial" w:hAnsi="Arial" w:cs="Arial"/>
          <w:b/>
          <w:bCs/>
          <w:sz w:val="20"/>
          <w:szCs w:val="20"/>
        </w:rPr>
      </w:pPr>
      <w:r w:rsidRPr="00213F66">
        <w:rPr>
          <w:rFonts w:ascii="Arial" w:hAnsi="Arial" w:cs="Arial"/>
          <w:b/>
          <w:bCs/>
          <w:noProof/>
          <w:sz w:val="20"/>
          <w:szCs w:val="20"/>
        </w:rPr>
        <w:drawing>
          <wp:anchor distT="0" distB="0" distL="114300" distR="114300" simplePos="0" relativeHeight="251659264" behindDoc="0" locked="0" layoutInCell="1" allowOverlap="1" wp14:anchorId="380B4A92" wp14:editId="000A5B0F">
            <wp:simplePos x="0" y="0"/>
            <wp:positionH relativeFrom="margin">
              <wp:posOffset>-114300</wp:posOffset>
            </wp:positionH>
            <wp:positionV relativeFrom="paragraph">
              <wp:posOffset>-13582650</wp:posOffset>
            </wp:positionV>
            <wp:extent cx="5676900" cy="1447800"/>
            <wp:effectExtent l="0" t="0" r="0" b="0"/>
            <wp:wrapNone/>
            <wp:docPr id="12" name="Picture 12" descr="Screenshot 2023-04-04 22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23-04-04 2238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213F66">
        <w:rPr>
          <w:rFonts w:ascii="Arial" w:hAnsi="Arial" w:cs="Arial"/>
          <w:b/>
          <w:bCs/>
          <w:sz w:val="20"/>
          <w:szCs w:val="20"/>
        </w:rPr>
        <w:t xml:space="preserve">Table </w:t>
      </w:r>
      <w:r w:rsidR="0094173F" w:rsidRPr="00213F66">
        <w:rPr>
          <w:rFonts w:ascii="Arial" w:hAnsi="Arial" w:cs="Arial"/>
          <w:b/>
          <w:bCs/>
          <w:sz w:val="20"/>
          <w:szCs w:val="20"/>
        </w:rPr>
        <w:t>3</w:t>
      </w:r>
      <w:r w:rsidR="00D94E70" w:rsidRPr="00213F66">
        <w:rPr>
          <w:rFonts w:ascii="Arial" w:hAnsi="Arial" w:cs="Arial"/>
          <w:b/>
          <w:bCs/>
          <w:sz w:val="20"/>
          <w:szCs w:val="20"/>
        </w:rPr>
        <w:t>: Minimum inhibitory concentration (</w:t>
      </w:r>
      <w:r w:rsidR="00130E05" w:rsidRPr="00213F66">
        <w:rPr>
          <w:rFonts w:ascii="Arial" w:hAnsi="Arial" w:cs="Arial"/>
          <w:b/>
          <w:bCs/>
          <w:sz w:val="20"/>
          <w:szCs w:val="20"/>
        </w:rPr>
        <w:t>MIC</w:t>
      </w:r>
      <w:r w:rsidR="00D94E70" w:rsidRPr="00213F66">
        <w:rPr>
          <w:rFonts w:ascii="Arial" w:hAnsi="Arial" w:cs="Arial"/>
          <w:b/>
          <w:bCs/>
          <w:sz w:val="20"/>
          <w:szCs w:val="20"/>
        </w:rPr>
        <w:t>) of extracts on test organisms</w:t>
      </w:r>
    </w:p>
    <w:tbl>
      <w:tblPr>
        <w:tblStyle w:val="LightShading1"/>
        <w:tblW w:w="9175" w:type="dxa"/>
        <w:tblLayout w:type="fixed"/>
        <w:tblLook w:val="04A0" w:firstRow="1" w:lastRow="0" w:firstColumn="1" w:lastColumn="0" w:noHBand="0" w:noVBand="1"/>
      </w:tblPr>
      <w:tblGrid>
        <w:gridCol w:w="1818"/>
        <w:gridCol w:w="1242"/>
        <w:gridCol w:w="1975"/>
        <w:gridCol w:w="1980"/>
        <w:gridCol w:w="2160"/>
      </w:tblGrid>
      <w:tr w:rsidR="00ED576E" w:rsidRPr="00213F66" w14:paraId="0A2CD26A" w14:textId="77777777" w:rsidTr="00270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hideMark/>
          </w:tcPr>
          <w:p w14:paraId="02528133" w14:textId="77777777" w:rsidR="00D94E70" w:rsidRPr="00213F66" w:rsidRDefault="00D94E70" w:rsidP="00391EF9">
            <w:pPr>
              <w:jc w:val="both"/>
              <w:rPr>
                <w:rFonts w:ascii="Arial" w:hAnsi="Arial" w:cs="Arial"/>
                <w:b w:val="0"/>
                <w:sz w:val="20"/>
                <w:szCs w:val="20"/>
              </w:rPr>
            </w:pPr>
            <w:r w:rsidRPr="00213F66">
              <w:rPr>
                <w:rFonts w:ascii="Arial" w:hAnsi="Arial" w:cs="Arial"/>
                <w:b w:val="0"/>
                <w:sz w:val="20"/>
                <w:szCs w:val="20"/>
              </w:rPr>
              <w:t>Test organisms</w:t>
            </w:r>
          </w:p>
        </w:tc>
        <w:tc>
          <w:tcPr>
            <w:tcW w:w="1242" w:type="dxa"/>
            <w:hideMark/>
          </w:tcPr>
          <w:p w14:paraId="32333322"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t>Extract conc. (mg/mL) of alkaloids</w:t>
            </w:r>
          </w:p>
        </w:tc>
        <w:tc>
          <w:tcPr>
            <w:tcW w:w="1975" w:type="dxa"/>
            <w:hideMark/>
          </w:tcPr>
          <w:p w14:paraId="713D5C45"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t xml:space="preserve"> Extract conc.(mg/mL) of cardiac glycosides</w:t>
            </w:r>
          </w:p>
        </w:tc>
        <w:tc>
          <w:tcPr>
            <w:tcW w:w="1980" w:type="dxa"/>
          </w:tcPr>
          <w:p w14:paraId="5A09A765"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t>Extract conc. (mg/mL) of flavonoids</w:t>
            </w:r>
          </w:p>
        </w:tc>
        <w:tc>
          <w:tcPr>
            <w:tcW w:w="2160" w:type="dxa"/>
            <w:hideMark/>
          </w:tcPr>
          <w:p w14:paraId="3F67AFEC"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t xml:space="preserve"> Extract conc.(mg/mL)</w:t>
            </w:r>
          </w:p>
          <w:p w14:paraId="07D4CF99" w14:textId="77777777" w:rsidR="00D94E70" w:rsidRPr="00213F66"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13F66">
              <w:rPr>
                <w:rFonts w:ascii="Arial" w:hAnsi="Arial" w:cs="Arial"/>
                <w:b w:val="0"/>
                <w:bCs w:val="0"/>
                <w:sz w:val="20"/>
                <w:szCs w:val="20"/>
              </w:rPr>
              <w:t>(crude ethanol extracts)</w:t>
            </w:r>
          </w:p>
        </w:tc>
      </w:tr>
      <w:tr w:rsidR="00D94E70" w:rsidRPr="00213F66" w14:paraId="14152469" w14:textId="77777777" w:rsidTr="00270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hideMark/>
          </w:tcPr>
          <w:p w14:paraId="7490D7F7" w14:textId="77777777" w:rsidR="00D94E70" w:rsidRPr="00213F66" w:rsidRDefault="00D94E70" w:rsidP="00391EF9">
            <w:pPr>
              <w:jc w:val="both"/>
              <w:rPr>
                <w:rFonts w:ascii="Arial" w:hAnsi="Arial" w:cs="Arial"/>
                <w:i/>
                <w:iCs/>
                <w:sz w:val="20"/>
                <w:szCs w:val="20"/>
              </w:rPr>
            </w:pPr>
            <w:r w:rsidRPr="00213F66">
              <w:rPr>
                <w:rFonts w:ascii="Arial" w:hAnsi="Arial" w:cs="Arial"/>
                <w:i/>
                <w:iCs/>
                <w:color w:val="FF0000"/>
                <w:sz w:val="20"/>
                <w:szCs w:val="20"/>
              </w:rPr>
              <w:t>Stap</w:t>
            </w:r>
            <w:r w:rsidR="00130E05" w:rsidRPr="00213F66">
              <w:rPr>
                <w:rFonts w:ascii="Arial" w:hAnsi="Arial" w:cs="Arial"/>
                <w:i/>
                <w:iCs/>
                <w:color w:val="FF0000"/>
                <w:sz w:val="20"/>
                <w:szCs w:val="20"/>
              </w:rPr>
              <w:t>h</w:t>
            </w:r>
            <w:r w:rsidRPr="00213F66">
              <w:rPr>
                <w:rFonts w:ascii="Arial" w:hAnsi="Arial" w:cs="Arial"/>
                <w:i/>
                <w:iCs/>
                <w:color w:val="FF0000"/>
                <w:sz w:val="20"/>
                <w:szCs w:val="20"/>
              </w:rPr>
              <w:t>ylococcus aureus</w:t>
            </w:r>
          </w:p>
        </w:tc>
        <w:tc>
          <w:tcPr>
            <w:tcW w:w="1242" w:type="dxa"/>
            <w:shd w:val="clear" w:color="auto" w:fill="auto"/>
            <w:hideMark/>
          </w:tcPr>
          <w:p w14:paraId="73BA060E"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100</w:t>
            </w:r>
          </w:p>
        </w:tc>
        <w:tc>
          <w:tcPr>
            <w:tcW w:w="1975" w:type="dxa"/>
            <w:shd w:val="clear" w:color="auto" w:fill="auto"/>
            <w:hideMark/>
          </w:tcPr>
          <w:p w14:paraId="42873382"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shd w:val="clear" w:color="auto" w:fill="auto"/>
          </w:tcPr>
          <w:p w14:paraId="57CFD5C5"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250</w:t>
            </w:r>
          </w:p>
        </w:tc>
        <w:tc>
          <w:tcPr>
            <w:tcW w:w="2160" w:type="dxa"/>
            <w:shd w:val="clear" w:color="auto" w:fill="auto"/>
            <w:hideMark/>
          </w:tcPr>
          <w:p w14:paraId="5B48D4B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350</w:t>
            </w:r>
          </w:p>
        </w:tc>
      </w:tr>
      <w:tr w:rsidR="00ED576E" w:rsidRPr="00213F66" w14:paraId="1BE2FBF9" w14:textId="77777777" w:rsidTr="00270EF0">
        <w:tc>
          <w:tcPr>
            <w:cnfStyle w:val="001000000000" w:firstRow="0" w:lastRow="0" w:firstColumn="1" w:lastColumn="0" w:oddVBand="0" w:evenVBand="0" w:oddHBand="0" w:evenHBand="0" w:firstRowFirstColumn="0" w:firstRowLastColumn="0" w:lastRowFirstColumn="0" w:lastRowLastColumn="0"/>
            <w:tcW w:w="1818" w:type="dxa"/>
            <w:hideMark/>
          </w:tcPr>
          <w:p w14:paraId="0A227EE7"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Vibr</w:t>
            </w:r>
            <w:r w:rsidR="00270EF0" w:rsidRPr="00213F66">
              <w:rPr>
                <w:rFonts w:ascii="Arial" w:hAnsi="Arial" w:cs="Arial"/>
                <w:i/>
                <w:iCs/>
                <w:sz w:val="20"/>
                <w:szCs w:val="20"/>
              </w:rPr>
              <w:t>i</w:t>
            </w:r>
            <w:r w:rsidRPr="00213F66">
              <w:rPr>
                <w:rFonts w:ascii="Arial" w:hAnsi="Arial" w:cs="Arial"/>
                <w:i/>
                <w:iCs/>
                <w:sz w:val="20"/>
                <w:szCs w:val="20"/>
              </w:rPr>
              <w:t>o cholerae</w:t>
            </w:r>
          </w:p>
        </w:tc>
        <w:tc>
          <w:tcPr>
            <w:tcW w:w="1242" w:type="dxa"/>
            <w:hideMark/>
          </w:tcPr>
          <w:p w14:paraId="686B249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200</w:t>
            </w:r>
          </w:p>
        </w:tc>
        <w:tc>
          <w:tcPr>
            <w:tcW w:w="1975" w:type="dxa"/>
            <w:hideMark/>
          </w:tcPr>
          <w:p w14:paraId="7167389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tcPr>
          <w:p w14:paraId="1FF348E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200</w:t>
            </w:r>
          </w:p>
        </w:tc>
        <w:tc>
          <w:tcPr>
            <w:tcW w:w="2160" w:type="dxa"/>
            <w:hideMark/>
          </w:tcPr>
          <w:p w14:paraId="5341BC55"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r>
      <w:tr w:rsidR="00D94E70" w:rsidRPr="00213F66" w14:paraId="33B8006A" w14:textId="77777777" w:rsidTr="00270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hideMark/>
          </w:tcPr>
          <w:p w14:paraId="6DE932EE"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 xml:space="preserve">Salmonella </w:t>
            </w:r>
            <w:proofErr w:type="spellStart"/>
            <w:r w:rsidRPr="00213F66">
              <w:rPr>
                <w:rFonts w:ascii="Arial" w:hAnsi="Arial" w:cs="Arial"/>
                <w:i/>
                <w:iCs/>
                <w:sz w:val="20"/>
                <w:szCs w:val="20"/>
              </w:rPr>
              <w:t>sp</w:t>
            </w:r>
            <w:proofErr w:type="spellEnd"/>
          </w:p>
        </w:tc>
        <w:tc>
          <w:tcPr>
            <w:tcW w:w="1242" w:type="dxa"/>
            <w:shd w:val="clear" w:color="auto" w:fill="auto"/>
            <w:hideMark/>
          </w:tcPr>
          <w:p w14:paraId="2653CC7F"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50</w:t>
            </w:r>
          </w:p>
        </w:tc>
        <w:tc>
          <w:tcPr>
            <w:tcW w:w="1975" w:type="dxa"/>
            <w:shd w:val="clear" w:color="auto" w:fill="auto"/>
            <w:hideMark/>
          </w:tcPr>
          <w:p w14:paraId="77D8FDAC"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shd w:val="clear" w:color="auto" w:fill="auto"/>
          </w:tcPr>
          <w:p w14:paraId="5A88B202"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2160" w:type="dxa"/>
            <w:shd w:val="clear" w:color="auto" w:fill="auto"/>
            <w:hideMark/>
          </w:tcPr>
          <w:p w14:paraId="4921E0C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r>
      <w:tr w:rsidR="00ED576E" w:rsidRPr="00213F66" w14:paraId="1FD2AF6F" w14:textId="77777777" w:rsidTr="00270EF0">
        <w:tc>
          <w:tcPr>
            <w:cnfStyle w:val="001000000000" w:firstRow="0" w:lastRow="0" w:firstColumn="1" w:lastColumn="0" w:oddVBand="0" w:evenVBand="0" w:oddHBand="0" w:evenHBand="0" w:firstRowFirstColumn="0" w:firstRowLastColumn="0" w:lastRowFirstColumn="0" w:lastRowLastColumn="0"/>
            <w:tcW w:w="1818" w:type="dxa"/>
            <w:hideMark/>
          </w:tcPr>
          <w:p w14:paraId="34F4B41B"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 xml:space="preserve">Shigella </w:t>
            </w:r>
            <w:proofErr w:type="spellStart"/>
            <w:r w:rsidRPr="00213F66">
              <w:rPr>
                <w:rFonts w:ascii="Arial" w:hAnsi="Arial" w:cs="Arial"/>
                <w:i/>
                <w:iCs/>
                <w:sz w:val="20"/>
                <w:szCs w:val="20"/>
              </w:rPr>
              <w:t>sp</w:t>
            </w:r>
            <w:proofErr w:type="spellEnd"/>
          </w:p>
        </w:tc>
        <w:tc>
          <w:tcPr>
            <w:tcW w:w="1242" w:type="dxa"/>
            <w:hideMark/>
          </w:tcPr>
          <w:p w14:paraId="2AAE423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ND</w:t>
            </w:r>
          </w:p>
        </w:tc>
        <w:tc>
          <w:tcPr>
            <w:tcW w:w="1975" w:type="dxa"/>
            <w:hideMark/>
          </w:tcPr>
          <w:p w14:paraId="7A2FA3C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tcPr>
          <w:p w14:paraId="10AAFB0A"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200</w:t>
            </w:r>
          </w:p>
        </w:tc>
        <w:tc>
          <w:tcPr>
            <w:tcW w:w="2160" w:type="dxa"/>
          </w:tcPr>
          <w:p w14:paraId="0A6D57E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r>
      <w:tr w:rsidR="00D94E70" w:rsidRPr="00213F66" w14:paraId="0E226A0E" w14:textId="77777777" w:rsidTr="00270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hideMark/>
          </w:tcPr>
          <w:p w14:paraId="70A0FFBA"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Escherichia coli</w:t>
            </w:r>
          </w:p>
        </w:tc>
        <w:tc>
          <w:tcPr>
            <w:tcW w:w="1242" w:type="dxa"/>
            <w:shd w:val="clear" w:color="auto" w:fill="auto"/>
            <w:hideMark/>
          </w:tcPr>
          <w:p w14:paraId="6B7F6A92"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ND</w:t>
            </w:r>
          </w:p>
        </w:tc>
        <w:tc>
          <w:tcPr>
            <w:tcW w:w="1975" w:type="dxa"/>
            <w:shd w:val="clear" w:color="auto" w:fill="auto"/>
            <w:hideMark/>
          </w:tcPr>
          <w:p w14:paraId="1228416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shd w:val="clear" w:color="auto" w:fill="auto"/>
          </w:tcPr>
          <w:p w14:paraId="2D60CDBA"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c>
          <w:tcPr>
            <w:tcW w:w="2160" w:type="dxa"/>
            <w:shd w:val="clear" w:color="auto" w:fill="auto"/>
            <w:hideMark/>
          </w:tcPr>
          <w:p w14:paraId="75C127D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350</w:t>
            </w:r>
          </w:p>
        </w:tc>
      </w:tr>
      <w:tr w:rsidR="00ED576E" w:rsidRPr="00213F66" w14:paraId="179BBBC5" w14:textId="77777777" w:rsidTr="00270EF0">
        <w:tc>
          <w:tcPr>
            <w:cnfStyle w:val="001000000000" w:firstRow="0" w:lastRow="0" w:firstColumn="1" w:lastColumn="0" w:oddVBand="0" w:evenVBand="0" w:oddHBand="0" w:evenHBand="0" w:firstRowFirstColumn="0" w:firstRowLastColumn="0" w:lastRowFirstColumn="0" w:lastRowLastColumn="0"/>
            <w:tcW w:w="1818" w:type="dxa"/>
            <w:hideMark/>
          </w:tcPr>
          <w:p w14:paraId="594B53CE"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Pseudomonas aeruginosa</w:t>
            </w:r>
          </w:p>
        </w:tc>
        <w:tc>
          <w:tcPr>
            <w:tcW w:w="1242" w:type="dxa"/>
            <w:hideMark/>
          </w:tcPr>
          <w:p w14:paraId="39DAF2E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150</w:t>
            </w:r>
          </w:p>
        </w:tc>
        <w:tc>
          <w:tcPr>
            <w:tcW w:w="1975" w:type="dxa"/>
            <w:hideMark/>
          </w:tcPr>
          <w:p w14:paraId="1FA6804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c>
          <w:tcPr>
            <w:tcW w:w="1980" w:type="dxa"/>
          </w:tcPr>
          <w:p w14:paraId="5194329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300</w:t>
            </w:r>
          </w:p>
        </w:tc>
        <w:tc>
          <w:tcPr>
            <w:tcW w:w="2160" w:type="dxa"/>
            <w:hideMark/>
          </w:tcPr>
          <w:p w14:paraId="3D664617"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ND</w:t>
            </w:r>
          </w:p>
        </w:tc>
      </w:tr>
      <w:tr w:rsidR="00D94E70" w:rsidRPr="00213F66" w14:paraId="2DFE9A60" w14:textId="77777777" w:rsidTr="00270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hideMark/>
          </w:tcPr>
          <w:p w14:paraId="4C7F3F1F" w14:textId="77777777" w:rsidR="00D94E70" w:rsidRPr="00213F66" w:rsidRDefault="00D94E70" w:rsidP="00391EF9">
            <w:pPr>
              <w:jc w:val="both"/>
              <w:rPr>
                <w:rFonts w:ascii="Arial" w:hAnsi="Arial" w:cs="Arial"/>
                <w:i/>
                <w:sz w:val="20"/>
                <w:szCs w:val="20"/>
              </w:rPr>
            </w:pPr>
            <w:r w:rsidRPr="00213F66">
              <w:rPr>
                <w:rFonts w:ascii="Arial" w:hAnsi="Arial" w:cs="Arial"/>
                <w:i/>
                <w:sz w:val="20"/>
                <w:szCs w:val="20"/>
              </w:rPr>
              <w:t xml:space="preserve">Aspergillus </w:t>
            </w:r>
            <w:r w:rsidRPr="00213F66">
              <w:rPr>
                <w:rFonts w:ascii="Arial" w:hAnsi="Arial" w:cs="Arial"/>
                <w:i/>
                <w:sz w:val="20"/>
                <w:szCs w:val="20"/>
              </w:rPr>
              <w:lastRenderedPageBreak/>
              <w:t>flavus</w:t>
            </w:r>
          </w:p>
        </w:tc>
        <w:tc>
          <w:tcPr>
            <w:tcW w:w="1242" w:type="dxa"/>
            <w:shd w:val="clear" w:color="auto" w:fill="auto"/>
            <w:hideMark/>
          </w:tcPr>
          <w:p w14:paraId="48A557D6"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lastRenderedPageBreak/>
              <w:t xml:space="preserve"> 150</w:t>
            </w:r>
          </w:p>
        </w:tc>
        <w:tc>
          <w:tcPr>
            <w:tcW w:w="1975" w:type="dxa"/>
            <w:shd w:val="clear" w:color="auto" w:fill="auto"/>
            <w:hideMark/>
          </w:tcPr>
          <w:p w14:paraId="0A2782D7"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100</w:t>
            </w:r>
          </w:p>
        </w:tc>
        <w:tc>
          <w:tcPr>
            <w:tcW w:w="1980" w:type="dxa"/>
            <w:shd w:val="clear" w:color="auto" w:fill="auto"/>
          </w:tcPr>
          <w:p w14:paraId="28D31A45"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c>
          <w:tcPr>
            <w:tcW w:w="2160" w:type="dxa"/>
            <w:shd w:val="clear" w:color="auto" w:fill="auto"/>
            <w:hideMark/>
          </w:tcPr>
          <w:p w14:paraId="45A38A5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r>
      <w:tr w:rsidR="00ED576E" w:rsidRPr="00213F66" w14:paraId="6DD2FD8C" w14:textId="77777777" w:rsidTr="00270EF0">
        <w:tc>
          <w:tcPr>
            <w:cnfStyle w:val="001000000000" w:firstRow="0" w:lastRow="0" w:firstColumn="1" w:lastColumn="0" w:oddVBand="0" w:evenVBand="0" w:oddHBand="0" w:evenHBand="0" w:firstRowFirstColumn="0" w:firstRowLastColumn="0" w:lastRowFirstColumn="0" w:lastRowLastColumn="0"/>
            <w:tcW w:w="1818" w:type="dxa"/>
            <w:hideMark/>
          </w:tcPr>
          <w:p w14:paraId="1B7510E5"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Candida albicans</w:t>
            </w:r>
          </w:p>
        </w:tc>
        <w:tc>
          <w:tcPr>
            <w:tcW w:w="1242" w:type="dxa"/>
            <w:hideMark/>
          </w:tcPr>
          <w:p w14:paraId="7515E79F"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350</w:t>
            </w:r>
          </w:p>
        </w:tc>
        <w:tc>
          <w:tcPr>
            <w:tcW w:w="1975" w:type="dxa"/>
            <w:hideMark/>
          </w:tcPr>
          <w:p w14:paraId="6463B512"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50</w:t>
            </w:r>
          </w:p>
        </w:tc>
        <w:tc>
          <w:tcPr>
            <w:tcW w:w="1980" w:type="dxa"/>
          </w:tcPr>
          <w:p w14:paraId="60266C8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350</w:t>
            </w:r>
          </w:p>
        </w:tc>
        <w:tc>
          <w:tcPr>
            <w:tcW w:w="2160" w:type="dxa"/>
            <w:hideMark/>
          </w:tcPr>
          <w:p w14:paraId="3D1F1E1C"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r>
      <w:tr w:rsidR="00D94E70" w:rsidRPr="00213F66" w14:paraId="7419B252" w14:textId="77777777" w:rsidTr="00270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shd w:val="clear" w:color="auto" w:fill="auto"/>
            <w:hideMark/>
          </w:tcPr>
          <w:p w14:paraId="5255DAD8" w14:textId="77777777" w:rsidR="00D94E70" w:rsidRPr="00213F66" w:rsidRDefault="00D94E70" w:rsidP="00391EF9">
            <w:pPr>
              <w:jc w:val="both"/>
              <w:rPr>
                <w:rFonts w:ascii="Arial" w:hAnsi="Arial" w:cs="Arial"/>
                <w:i/>
                <w:iCs/>
                <w:sz w:val="20"/>
                <w:szCs w:val="20"/>
              </w:rPr>
            </w:pPr>
            <w:r w:rsidRPr="00213F66">
              <w:rPr>
                <w:rFonts w:ascii="Arial" w:hAnsi="Arial" w:cs="Arial"/>
                <w:i/>
                <w:iCs/>
                <w:sz w:val="20"/>
                <w:szCs w:val="20"/>
              </w:rPr>
              <w:t xml:space="preserve">Aspergillus </w:t>
            </w:r>
            <w:proofErr w:type="spellStart"/>
            <w:r w:rsidRPr="00213F66">
              <w:rPr>
                <w:rFonts w:ascii="Arial" w:hAnsi="Arial" w:cs="Arial"/>
                <w:i/>
                <w:iCs/>
                <w:sz w:val="20"/>
                <w:szCs w:val="20"/>
              </w:rPr>
              <w:t>niger</w:t>
            </w:r>
            <w:proofErr w:type="spellEnd"/>
          </w:p>
        </w:tc>
        <w:tc>
          <w:tcPr>
            <w:tcW w:w="1242" w:type="dxa"/>
            <w:shd w:val="clear" w:color="auto" w:fill="auto"/>
            <w:hideMark/>
          </w:tcPr>
          <w:p w14:paraId="42B97B64"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350</w:t>
            </w:r>
          </w:p>
        </w:tc>
        <w:tc>
          <w:tcPr>
            <w:tcW w:w="1975" w:type="dxa"/>
            <w:shd w:val="clear" w:color="auto" w:fill="auto"/>
            <w:hideMark/>
          </w:tcPr>
          <w:p w14:paraId="60BF8CE2"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100</w:t>
            </w:r>
          </w:p>
        </w:tc>
        <w:tc>
          <w:tcPr>
            <w:tcW w:w="1980" w:type="dxa"/>
            <w:shd w:val="clear" w:color="auto" w:fill="auto"/>
          </w:tcPr>
          <w:p w14:paraId="2F8CA6F9"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350</w:t>
            </w:r>
          </w:p>
        </w:tc>
        <w:tc>
          <w:tcPr>
            <w:tcW w:w="2160" w:type="dxa"/>
            <w:shd w:val="clear" w:color="auto" w:fill="auto"/>
            <w:hideMark/>
          </w:tcPr>
          <w:p w14:paraId="41EE7560" w14:textId="77777777" w:rsidR="00D94E70" w:rsidRPr="00213F66"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3F66">
              <w:rPr>
                <w:rFonts w:ascii="Arial" w:hAnsi="Arial" w:cs="Arial"/>
                <w:sz w:val="20"/>
                <w:szCs w:val="20"/>
              </w:rPr>
              <w:t>200</w:t>
            </w:r>
          </w:p>
        </w:tc>
      </w:tr>
      <w:tr w:rsidR="00ED576E" w:rsidRPr="00213F66" w14:paraId="497DD660" w14:textId="77777777" w:rsidTr="00270EF0">
        <w:tc>
          <w:tcPr>
            <w:cnfStyle w:val="001000000000" w:firstRow="0" w:lastRow="0" w:firstColumn="1" w:lastColumn="0" w:oddVBand="0" w:evenVBand="0" w:oddHBand="0" w:evenHBand="0" w:firstRowFirstColumn="0" w:firstRowLastColumn="0" w:lastRowFirstColumn="0" w:lastRowLastColumn="0"/>
            <w:tcW w:w="1818" w:type="dxa"/>
            <w:hideMark/>
          </w:tcPr>
          <w:p w14:paraId="18DAFAD0" w14:textId="77777777" w:rsidR="00D94E70" w:rsidRPr="00213F66" w:rsidRDefault="00D94E70" w:rsidP="00391EF9">
            <w:pPr>
              <w:jc w:val="both"/>
              <w:rPr>
                <w:rFonts w:ascii="Arial" w:hAnsi="Arial" w:cs="Arial"/>
                <w:i/>
                <w:iCs/>
                <w:sz w:val="20"/>
                <w:szCs w:val="20"/>
              </w:rPr>
            </w:pPr>
            <w:r w:rsidRPr="00213F66">
              <w:rPr>
                <w:rFonts w:ascii="Arial" w:hAnsi="Arial" w:cs="Arial"/>
                <w:i/>
                <w:iCs/>
                <w:color w:val="FF0000"/>
                <w:sz w:val="20"/>
                <w:szCs w:val="20"/>
              </w:rPr>
              <w:t>Sacc</w:t>
            </w:r>
            <w:r w:rsidR="00270EF0" w:rsidRPr="00213F66">
              <w:rPr>
                <w:rFonts w:ascii="Arial" w:hAnsi="Arial" w:cs="Arial"/>
                <w:i/>
                <w:iCs/>
                <w:color w:val="FF0000"/>
                <w:sz w:val="20"/>
                <w:szCs w:val="20"/>
              </w:rPr>
              <w:t>h</w:t>
            </w:r>
            <w:r w:rsidRPr="00213F66">
              <w:rPr>
                <w:rFonts w:ascii="Arial" w:hAnsi="Arial" w:cs="Arial"/>
                <w:i/>
                <w:iCs/>
                <w:color w:val="FF0000"/>
                <w:sz w:val="20"/>
                <w:szCs w:val="20"/>
              </w:rPr>
              <w:t xml:space="preserve">aromyces </w:t>
            </w:r>
            <w:r w:rsidR="00270EF0" w:rsidRPr="00213F66">
              <w:rPr>
                <w:rFonts w:ascii="Arial" w:hAnsi="Arial" w:cs="Arial"/>
                <w:i/>
                <w:iCs/>
                <w:color w:val="FF0000"/>
                <w:sz w:val="20"/>
                <w:szCs w:val="20"/>
              </w:rPr>
              <w:t>cerevisiae</w:t>
            </w:r>
          </w:p>
        </w:tc>
        <w:tc>
          <w:tcPr>
            <w:tcW w:w="1242" w:type="dxa"/>
            <w:hideMark/>
          </w:tcPr>
          <w:p w14:paraId="23D4BD54"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 xml:space="preserve"> ND</w:t>
            </w:r>
          </w:p>
        </w:tc>
        <w:tc>
          <w:tcPr>
            <w:tcW w:w="1975" w:type="dxa"/>
            <w:hideMark/>
          </w:tcPr>
          <w:p w14:paraId="33700919"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150</w:t>
            </w:r>
          </w:p>
        </w:tc>
        <w:tc>
          <w:tcPr>
            <w:tcW w:w="1980" w:type="dxa"/>
          </w:tcPr>
          <w:p w14:paraId="6C19C5CB"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100</w:t>
            </w:r>
          </w:p>
        </w:tc>
        <w:tc>
          <w:tcPr>
            <w:tcW w:w="2160" w:type="dxa"/>
            <w:hideMark/>
          </w:tcPr>
          <w:p w14:paraId="33C5E20D" w14:textId="77777777" w:rsidR="00D94E70" w:rsidRPr="00213F66"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13F66">
              <w:rPr>
                <w:rFonts w:ascii="Arial" w:hAnsi="Arial" w:cs="Arial"/>
                <w:sz w:val="20"/>
                <w:szCs w:val="20"/>
              </w:rPr>
              <w:t>100</w:t>
            </w:r>
          </w:p>
        </w:tc>
      </w:tr>
    </w:tbl>
    <w:p w14:paraId="7B960FEA" w14:textId="77777777" w:rsidR="001A123B" w:rsidRPr="00213F66" w:rsidRDefault="00D94E70" w:rsidP="00D94E70">
      <w:pPr>
        <w:spacing w:line="480" w:lineRule="auto"/>
        <w:jc w:val="both"/>
        <w:rPr>
          <w:rFonts w:ascii="Arial" w:hAnsi="Arial" w:cs="Arial"/>
          <w:b/>
          <w:sz w:val="20"/>
          <w:szCs w:val="20"/>
        </w:rPr>
      </w:pPr>
      <w:r w:rsidRPr="00213F66">
        <w:rPr>
          <w:rFonts w:ascii="Arial" w:hAnsi="Arial" w:cs="Arial"/>
          <w:b/>
          <w:sz w:val="20"/>
          <w:szCs w:val="20"/>
        </w:rPr>
        <w:t xml:space="preserve">KEY: ND – Not Determined. </w:t>
      </w:r>
    </w:p>
    <w:p w14:paraId="46ED8B8E" w14:textId="77777777" w:rsidR="000F3DCE" w:rsidRPr="00213F66" w:rsidRDefault="00282E92" w:rsidP="0044514E">
      <w:pPr>
        <w:jc w:val="both"/>
        <w:rPr>
          <w:rFonts w:ascii="Arial" w:hAnsi="Arial" w:cs="Arial"/>
        </w:rPr>
      </w:pPr>
      <w:r w:rsidRPr="00213F66">
        <w:rPr>
          <w:rFonts w:ascii="Arial" w:hAnsi="Arial" w:cs="Arial"/>
          <w:b/>
        </w:rPr>
        <w:t xml:space="preserve">3.3 </w:t>
      </w:r>
      <w:r w:rsidR="000F3DCE" w:rsidRPr="00213F66">
        <w:rPr>
          <w:rFonts w:ascii="Arial" w:hAnsi="Arial" w:cs="Arial"/>
          <w:b/>
        </w:rPr>
        <w:t>Minimum Inhibitory Concentration (MIC) of the Isolated Phytochemicals and Crude Ethanol Extract</w:t>
      </w:r>
    </w:p>
    <w:p w14:paraId="220F90B1"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The minimum inhibitory concentration (MIC) values presented in </w:t>
      </w:r>
      <w:r w:rsidRPr="00213F66">
        <w:rPr>
          <w:rStyle w:val="Strong"/>
          <w:rFonts w:ascii="Arial" w:hAnsi="Arial" w:cs="Arial"/>
          <w:b w:val="0"/>
          <w:sz w:val="20"/>
          <w:szCs w:val="20"/>
        </w:rPr>
        <w:t xml:space="preserve">Table </w:t>
      </w:r>
      <w:r w:rsidR="0094173F" w:rsidRPr="00213F66">
        <w:rPr>
          <w:rStyle w:val="Strong"/>
          <w:rFonts w:ascii="Arial" w:hAnsi="Arial" w:cs="Arial"/>
          <w:b w:val="0"/>
          <w:sz w:val="20"/>
          <w:szCs w:val="20"/>
        </w:rPr>
        <w:t>3</w:t>
      </w:r>
      <w:r w:rsidRPr="00213F66">
        <w:rPr>
          <w:rFonts w:ascii="Arial" w:hAnsi="Arial" w:cs="Arial"/>
          <w:sz w:val="20"/>
          <w:szCs w:val="20"/>
        </w:rPr>
        <w:t xml:space="preserve"> provide quantitative evidence of the antimicrobial potency of the crude ethanol extract and the isolated alkaloid, flavonoid and cardiac glycoside fractions of </w:t>
      </w:r>
      <w:r w:rsidRPr="00213F66">
        <w:rPr>
          <w:rStyle w:val="Emphasis"/>
          <w:rFonts w:ascii="Arial" w:hAnsi="Arial" w:cs="Arial"/>
          <w:sz w:val="20"/>
          <w:szCs w:val="20"/>
        </w:rPr>
        <w:t>Mentha piperita</w:t>
      </w:r>
      <w:r w:rsidRPr="00213F66">
        <w:rPr>
          <w:rFonts w:ascii="Arial" w:hAnsi="Arial" w:cs="Arial"/>
          <w:sz w:val="20"/>
          <w:szCs w:val="20"/>
        </w:rPr>
        <w:t xml:space="preserve">. The MIC represents the lowest concentration of an antimicrobial agent capable of preventing visible microbial growth and is widely regarded as one of the most reliable indicators of antimicrobial efficacy. Lower MIC values indicate greater antimicrobial potency because smaller quantities of the extract are required to inhibit microbial proliferation (Taylor </w:t>
      </w:r>
      <w:r w:rsidRPr="00213F66">
        <w:rPr>
          <w:rFonts w:ascii="Arial" w:hAnsi="Arial" w:cs="Arial"/>
          <w:i/>
          <w:color w:val="FF0000"/>
          <w:sz w:val="20"/>
          <w:szCs w:val="20"/>
        </w:rPr>
        <w:t>et al</w:t>
      </w:r>
      <w:r w:rsidRPr="00213F66">
        <w:rPr>
          <w:rFonts w:ascii="Arial" w:hAnsi="Arial" w:cs="Arial"/>
          <w:sz w:val="20"/>
          <w:szCs w:val="20"/>
        </w:rPr>
        <w:t>., 20</w:t>
      </w:r>
      <w:r w:rsidR="006B1F70" w:rsidRPr="00213F66">
        <w:rPr>
          <w:rFonts w:ascii="Arial" w:hAnsi="Arial" w:cs="Arial"/>
          <w:sz w:val="20"/>
          <w:szCs w:val="20"/>
        </w:rPr>
        <w:t>05</w:t>
      </w:r>
      <w:r w:rsidRPr="00213F66">
        <w:rPr>
          <w:rFonts w:ascii="Arial" w:hAnsi="Arial" w:cs="Arial"/>
          <w:sz w:val="20"/>
          <w:szCs w:val="20"/>
        </w:rPr>
        <w:t>).</w:t>
      </w:r>
    </w:p>
    <w:p w14:paraId="4A2EA26D"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The results demonstrate considerable differences in antimicrobial activity among the isolated phytochemical fractions. The </w:t>
      </w:r>
      <w:r w:rsidRPr="00213F66">
        <w:rPr>
          <w:rStyle w:val="Strong"/>
          <w:rFonts w:ascii="Arial" w:hAnsi="Arial" w:cs="Arial"/>
          <w:b w:val="0"/>
          <w:sz w:val="20"/>
          <w:szCs w:val="20"/>
        </w:rPr>
        <w:t>alkaloid fraction</w:t>
      </w:r>
      <w:r w:rsidRPr="00213F66">
        <w:rPr>
          <w:rFonts w:ascii="Arial" w:hAnsi="Arial" w:cs="Arial"/>
          <w:sz w:val="20"/>
          <w:szCs w:val="20"/>
        </w:rPr>
        <w:t xml:space="preserve"> exhibited the broadest antibacterial spectrum, with MIC values ranging from </w:t>
      </w:r>
      <w:r w:rsidRPr="00213F66">
        <w:rPr>
          <w:rStyle w:val="Strong"/>
          <w:rFonts w:ascii="Arial" w:hAnsi="Arial" w:cs="Arial"/>
          <w:b w:val="0"/>
          <w:sz w:val="20"/>
          <w:szCs w:val="20"/>
        </w:rPr>
        <w:t>50 to 350 mg/mL</w:t>
      </w:r>
      <w:r w:rsidRPr="00213F66">
        <w:rPr>
          <w:rFonts w:ascii="Arial" w:hAnsi="Arial" w:cs="Arial"/>
          <w:sz w:val="20"/>
          <w:szCs w:val="20"/>
        </w:rPr>
        <w:t xml:space="preserve"> depending on the test organism. Particularly noteworthy was its activity against </w:t>
      </w:r>
      <w:r w:rsidRPr="00213F66">
        <w:rPr>
          <w:rStyle w:val="Strong"/>
          <w:rFonts w:ascii="Arial" w:hAnsi="Arial" w:cs="Arial"/>
          <w:b w:val="0"/>
          <w:i/>
          <w:sz w:val="20"/>
          <w:szCs w:val="20"/>
        </w:rPr>
        <w:t>Salmonella</w:t>
      </w:r>
      <w:r w:rsidRPr="00213F66">
        <w:rPr>
          <w:rFonts w:ascii="Arial" w:hAnsi="Arial" w:cs="Arial"/>
          <w:i/>
          <w:sz w:val="20"/>
          <w:szCs w:val="20"/>
        </w:rPr>
        <w:t xml:space="preserve"> spp</w:t>
      </w:r>
      <w:r w:rsidRPr="00213F66">
        <w:rPr>
          <w:rFonts w:ascii="Arial" w:hAnsi="Arial" w:cs="Arial"/>
          <w:sz w:val="20"/>
          <w:szCs w:val="20"/>
        </w:rPr>
        <w:t>., which recorded the lowest MIC (</w:t>
      </w:r>
      <w:r w:rsidRPr="00213F66">
        <w:rPr>
          <w:rStyle w:val="Strong"/>
          <w:rFonts w:ascii="Arial" w:hAnsi="Arial" w:cs="Arial"/>
          <w:b w:val="0"/>
          <w:sz w:val="20"/>
          <w:szCs w:val="20"/>
        </w:rPr>
        <w:t>50 mg/mL</w:t>
      </w:r>
      <w:r w:rsidRPr="00213F66">
        <w:rPr>
          <w:rFonts w:ascii="Arial" w:hAnsi="Arial" w:cs="Arial"/>
          <w:sz w:val="20"/>
          <w:szCs w:val="20"/>
        </w:rPr>
        <w:t xml:space="preserve">), indicating that this pathogen was highly susceptible to the alkaloidal constituents of </w:t>
      </w:r>
      <w:r w:rsidRPr="00213F66">
        <w:rPr>
          <w:rStyle w:val="Emphasis"/>
          <w:rFonts w:ascii="Arial" w:hAnsi="Arial" w:cs="Arial"/>
          <w:sz w:val="20"/>
          <w:szCs w:val="20"/>
        </w:rPr>
        <w:t>M. piperita</w:t>
      </w:r>
      <w:r w:rsidRPr="00213F66">
        <w:rPr>
          <w:rFonts w:ascii="Arial" w:hAnsi="Arial" w:cs="Arial"/>
          <w:sz w:val="20"/>
          <w:szCs w:val="20"/>
        </w:rPr>
        <w:t xml:space="preserve">. Moderate inhibitory activity was also observed against </w:t>
      </w:r>
      <w:r w:rsidRPr="00213F66">
        <w:rPr>
          <w:rStyle w:val="Emphasis"/>
          <w:rFonts w:ascii="Arial" w:hAnsi="Arial" w:cs="Arial"/>
          <w:sz w:val="20"/>
          <w:szCs w:val="20"/>
        </w:rPr>
        <w:t>Staphylococcus aureus</w:t>
      </w:r>
      <w:r w:rsidRPr="00213F66">
        <w:rPr>
          <w:rFonts w:ascii="Arial" w:hAnsi="Arial" w:cs="Arial"/>
          <w:sz w:val="20"/>
          <w:szCs w:val="20"/>
        </w:rPr>
        <w:t xml:space="preserve"> (100 mg/mL), </w:t>
      </w:r>
      <w:r w:rsidRPr="00213F66">
        <w:rPr>
          <w:rStyle w:val="Emphasis"/>
          <w:rFonts w:ascii="Arial" w:hAnsi="Arial" w:cs="Arial"/>
          <w:sz w:val="20"/>
          <w:szCs w:val="20"/>
        </w:rPr>
        <w:t>Vibrio cholerae</w:t>
      </w:r>
      <w:r w:rsidRPr="00213F66">
        <w:rPr>
          <w:rFonts w:ascii="Arial" w:hAnsi="Arial" w:cs="Arial"/>
          <w:sz w:val="20"/>
          <w:szCs w:val="20"/>
        </w:rPr>
        <w:t xml:space="preserve"> (200 mg/mL), </w:t>
      </w:r>
      <w:r w:rsidRPr="00213F66">
        <w:rPr>
          <w:rStyle w:val="Emphasis"/>
          <w:rFonts w:ascii="Arial" w:hAnsi="Arial" w:cs="Arial"/>
          <w:sz w:val="20"/>
          <w:szCs w:val="20"/>
        </w:rPr>
        <w:t>Pseudomonas aeruginosa</w:t>
      </w:r>
      <w:r w:rsidRPr="00213F66">
        <w:rPr>
          <w:rFonts w:ascii="Arial" w:hAnsi="Arial" w:cs="Arial"/>
          <w:sz w:val="20"/>
          <w:szCs w:val="20"/>
        </w:rPr>
        <w:t xml:space="preserve"> (150 mg/mL) and </w:t>
      </w:r>
      <w:r w:rsidRPr="00213F66">
        <w:rPr>
          <w:rStyle w:val="Emphasis"/>
          <w:rFonts w:ascii="Arial" w:hAnsi="Arial" w:cs="Arial"/>
          <w:sz w:val="20"/>
          <w:szCs w:val="20"/>
        </w:rPr>
        <w:t>Escherichia coli</w:t>
      </w:r>
      <w:r w:rsidRPr="00213F66">
        <w:rPr>
          <w:rFonts w:ascii="Arial" w:hAnsi="Arial" w:cs="Arial"/>
          <w:sz w:val="20"/>
          <w:szCs w:val="20"/>
        </w:rPr>
        <w:t xml:space="preserve"> (150 mg/mL), whereas no inhibitory concentration was determined for </w:t>
      </w:r>
      <w:r w:rsidRPr="00213F66">
        <w:rPr>
          <w:rStyle w:val="Emphasis"/>
          <w:rFonts w:ascii="Arial" w:hAnsi="Arial" w:cs="Arial"/>
          <w:sz w:val="20"/>
          <w:szCs w:val="20"/>
        </w:rPr>
        <w:t>Shigella</w:t>
      </w:r>
      <w:r w:rsidRPr="00213F66">
        <w:rPr>
          <w:rFonts w:ascii="Arial" w:hAnsi="Arial" w:cs="Arial"/>
          <w:sz w:val="20"/>
          <w:szCs w:val="20"/>
        </w:rPr>
        <w:t xml:space="preserve"> spp. The high activity against </w:t>
      </w:r>
      <w:r w:rsidRPr="00213F66">
        <w:rPr>
          <w:rStyle w:val="Emphasis"/>
          <w:rFonts w:ascii="Arial" w:hAnsi="Arial" w:cs="Arial"/>
          <w:sz w:val="20"/>
          <w:szCs w:val="20"/>
        </w:rPr>
        <w:t>Salmonella</w:t>
      </w:r>
      <w:r w:rsidRPr="00213F66">
        <w:rPr>
          <w:rFonts w:ascii="Arial" w:hAnsi="Arial" w:cs="Arial"/>
          <w:sz w:val="20"/>
          <w:szCs w:val="20"/>
        </w:rPr>
        <w:t xml:space="preserve"> is particularly significant because this organism remains an important cause of food-borne and enteric infections worldwide. Similar antibacterial activities of alkaloid-rich plant extracts have been reported for </w:t>
      </w:r>
      <w:proofErr w:type="spellStart"/>
      <w:r w:rsidRPr="00213F66">
        <w:rPr>
          <w:rStyle w:val="Emphasis"/>
          <w:rFonts w:ascii="Arial" w:hAnsi="Arial" w:cs="Arial"/>
          <w:sz w:val="20"/>
          <w:szCs w:val="20"/>
        </w:rPr>
        <w:t>Azadirachta</w:t>
      </w:r>
      <w:proofErr w:type="spellEnd"/>
      <w:r w:rsidRPr="00213F66">
        <w:rPr>
          <w:rStyle w:val="Emphasis"/>
          <w:rFonts w:ascii="Arial" w:hAnsi="Arial" w:cs="Arial"/>
          <w:sz w:val="20"/>
          <w:szCs w:val="20"/>
        </w:rPr>
        <w:t xml:space="preserve"> indica</w:t>
      </w:r>
      <w:r w:rsidRPr="00213F66">
        <w:rPr>
          <w:rFonts w:ascii="Arial" w:hAnsi="Arial" w:cs="Arial"/>
          <w:sz w:val="20"/>
          <w:szCs w:val="20"/>
        </w:rPr>
        <w:t xml:space="preserve">, </w:t>
      </w:r>
      <w:proofErr w:type="spellStart"/>
      <w:r w:rsidRPr="00213F66">
        <w:rPr>
          <w:rStyle w:val="Emphasis"/>
          <w:rFonts w:ascii="Arial" w:hAnsi="Arial" w:cs="Arial"/>
          <w:sz w:val="20"/>
          <w:szCs w:val="20"/>
        </w:rPr>
        <w:t>Enantia</w:t>
      </w:r>
      <w:proofErr w:type="spellEnd"/>
      <w:r w:rsidRPr="00213F66">
        <w:rPr>
          <w:rStyle w:val="Emphasis"/>
          <w:rFonts w:ascii="Arial" w:hAnsi="Arial" w:cs="Arial"/>
          <w:sz w:val="20"/>
          <w:szCs w:val="20"/>
        </w:rPr>
        <w:t xml:space="preserve"> </w:t>
      </w:r>
      <w:proofErr w:type="spellStart"/>
      <w:r w:rsidRPr="00213F66">
        <w:rPr>
          <w:rStyle w:val="Emphasis"/>
          <w:rFonts w:ascii="Arial" w:hAnsi="Arial" w:cs="Arial"/>
          <w:sz w:val="20"/>
          <w:szCs w:val="20"/>
        </w:rPr>
        <w:t>chlorantha</w:t>
      </w:r>
      <w:proofErr w:type="spellEnd"/>
      <w:r w:rsidRPr="00213F66">
        <w:rPr>
          <w:rFonts w:ascii="Arial" w:hAnsi="Arial" w:cs="Arial"/>
          <w:sz w:val="20"/>
          <w:szCs w:val="20"/>
        </w:rPr>
        <w:t xml:space="preserve"> and </w:t>
      </w:r>
      <w:proofErr w:type="spellStart"/>
      <w:r w:rsidRPr="00213F66">
        <w:rPr>
          <w:rStyle w:val="Emphasis"/>
          <w:rFonts w:ascii="Arial" w:hAnsi="Arial" w:cs="Arial"/>
          <w:sz w:val="20"/>
          <w:szCs w:val="20"/>
        </w:rPr>
        <w:t>Landolphia</w:t>
      </w:r>
      <w:proofErr w:type="spellEnd"/>
      <w:r w:rsidRPr="00213F66">
        <w:rPr>
          <w:rStyle w:val="Emphasis"/>
          <w:rFonts w:ascii="Arial" w:hAnsi="Arial" w:cs="Arial"/>
          <w:sz w:val="20"/>
          <w:szCs w:val="20"/>
        </w:rPr>
        <w:t xml:space="preserve"> </w:t>
      </w:r>
      <w:proofErr w:type="spellStart"/>
      <w:r w:rsidRPr="00213F66">
        <w:rPr>
          <w:rStyle w:val="Emphasis"/>
          <w:rFonts w:ascii="Arial" w:hAnsi="Arial" w:cs="Arial"/>
          <w:sz w:val="20"/>
          <w:szCs w:val="20"/>
        </w:rPr>
        <w:t>owerrience</w:t>
      </w:r>
      <w:proofErr w:type="spellEnd"/>
      <w:r w:rsidRPr="00213F66">
        <w:rPr>
          <w:rFonts w:ascii="Arial" w:hAnsi="Arial" w:cs="Arial"/>
          <w:sz w:val="20"/>
          <w:szCs w:val="20"/>
        </w:rPr>
        <w:t>, where alkaloids interfered with bacterial DNA replication, protein synthesis and membrane integrity (</w:t>
      </w:r>
      <w:r w:rsidR="0084733E" w:rsidRPr="00213F66">
        <w:rPr>
          <w:rFonts w:ascii="Arial" w:hAnsi="Arial" w:cs="Arial"/>
          <w:color w:val="FF0000"/>
          <w:sz w:val="20"/>
          <w:szCs w:val="20"/>
        </w:rPr>
        <w:t xml:space="preserve">Okeke </w:t>
      </w:r>
      <w:r w:rsidR="0084733E" w:rsidRPr="00213F66">
        <w:rPr>
          <w:rFonts w:ascii="Arial" w:hAnsi="Arial" w:cs="Arial"/>
          <w:i/>
          <w:color w:val="FF0000"/>
          <w:sz w:val="20"/>
          <w:szCs w:val="20"/>
        </w:rPr>
        <w:t>et al</w:t>
      </w:r>
      <w:r w:rsidR="0084733E" w:rsidRPr="00213F66">
        <w:rPr>
          <w:rFonts w:ascii="Arial" w:hAnsi="Arial" w:cs="Arial"/>
          <w:color w:val="FF0000"/>
          <w:sz w:val="20"/>
          <w:szCs w:val="20"/>
        </w:rPr>
        <w:t xml:space="preserve">., 2001;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xml:space="preserve">., 2016; </w:t>
      </w:r>
      <w:r w:rsidR="0084733E" w:rsidRPr="00213F66">
        <w:rPr>
          <w:rFonts w:ascii="Arial" w:hAnsi="Arial" w:cs="Arial"/>
          <w:color w:val="FF0000"/>
          <w:sz w:val="20"/>
          <w:szCs w:val="20"/>
        </w:rPr>
        <w:t xml:space="preserve">Li </w:t>
      </w:r>
      <w:r w:rsidR="0084733E" w:rsidRPr="00213F66">
        <w:rPr>
          <w:rFonts w:ascii="Arial" w:hAnsi="Arial" w:cs="Arial"/>
          <w:i/>
          <w:color w:val="FF0000"/>
          <w:sz w:val="20"/>
          <w:szCs w:val="20"/>
        </w:rPr>
        <w:t>et al</w:t>
      </w:r>
      <w:r w:rsidR="0084733E" w:rsidRPr="00213F66">
        <w:rPr>
          <w:rFonts w:ascii="Arial" w:hAnsi="Arial" w:cs="Arial"/>
          <w:color w:val="FF0000"/>
          <w:sz w:val="20"/>
          <w:szCs w:val="20"/>
        </w:rPr>
        <w:t xml:space="preserve">., 2016; </w:t>
      </w:r>
      <w:r w:rsidR="006B1F70" w:rsidRPr="00213F66">
        <w:rPr>
          <w:rFonts w:ascii="Arial" w:hAnsi="Arial" w:cs="Arial"/>
          <w:color w:val="FF0000"/>
          <w:sz w:val="20"/>
          <w:szCs w:val="20"/>
        </w:rPr>
        <w:t>Silva-Beltrán</w:t>
      </w:r>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202</w:t>
      </w:r>
      <w:r w:rsidR="006B1F70" w:rsidRPr="00213F66">
        <w:rPr>
          <w:rFonts w:ascii="Arial" w:hAnsi="Arial" w:cs="Arial"/>
          <w:color w:val="FF0000"/>
          <w:sz w:val="20"/>
          <w:szCs w:val="20"/>
        </w:rPr>
        <w:t>3</w:t>
      </w:r>
      <w:r w:rsidRPr="00213F66">
        <w:rPr>
          <w:rFonts w:ascii="Arial" w:hAnsi="Arial" w:cs="Arial"/>
          <w:color w:val="FF0000"/>
          <w:sz w:val="20"/>
          <w:szCs w:val="20"/>
        </w:rPr>
        <w:t>).</w:t>
      </w:r>
    </w:p>
    <w:p w14:paraId="7A1A1E6A"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In contrast, the </w:t>
      </w:r>
      <w:r w:rsidRPr="00213F66">
        <w:rPr>
          <w:rStyle w:val="Strong"/>
          <w:rFonts w:ascii="Arial" w:hAnsi="Arial" w:cs="Arial"/>
          <w:b w:val="0"/>
          <w:sz w:val="20"/>
          <w:szCs w:val="20"/>
        </w:rPr>
        <w:t>cardiac glycoside fraction</w:t>
      </w:r>
      <w:r w:rsidRPr="00213F66">
        <w:rPr>
          <w:rFonts w:ascii="Arial" w:hAnsi="Arial" w:cs="Arial"/>
          <w:sz w:val="20"/>
          <w:szCs w:val="20"/>
        </w:rPr>
        <w:t xml:space="preserve"> exhibited comparatively limited antibacterial activity, with no measurable MIC recorded against most of the bacterial pathogens investigated. However, this fraction demonstrated remarkable antifungal potency, particularly against </w:t>
      </w:r>
      <w:r w:rsidRPr="00213F66">
        <w:rPr>
          <w:rStyle w:val="Emphasis"/>
          <w:rFonts w:ascii="Arial" w:hAnsi="Arial" w:cs="Arial"/>
          <w:sz w:val="20"/>
          <w:szCs w:val="20"/>
        </w:rPr>
        <w:t>Candida albicans</w:t>
      </w:r>
      <w:r w:rsidRPr="00213F66">
        <w:rPr>
          <w:rFonts w:ascii="Arial" w:hAnsi="Arial" w:cs="Arial"/>
          <w:sz w:val="20"/>
          <w:szCs w:val="20"/>
        </w:rPr>
        <w:t xml:space="preserve">, where the MIC was only </w:t>
      </w:r>
      <w:r w:rsidRPr="00213F66">
        <w:rPr>
          <w:rStyle w:val="Strong"/>
          <w:rFonts w:ascii="Arial" w:hAnsi="Arial" w:cs="Arial"/>
          <w:b w:val="0"/>
          <w:sz w:val="20"/>
          <w:szCs w:val="20"/>
        </w:rPr>
        <w:t>50 mg/mL</w:t>
      </w:r>
      <w:r w:rsidRPr="00213F66">
        <w:rPr>
          <w:rFonts w:ascii="Arial" w:hAnsi="Arial" w:cs="Arial"/>
          <w:sz w:val="20"/>
          <w:szCs w:val="20"/>
        </w:rPr>
        <w:t xml:space="preserve">, and against </w:t>
      </w:r>
      <w:r w:rsidRPr="00213F66">
        <w:rPr>
          <w:rStyle w:val="Emphasis"/>
          <w:rFonts w:ascii="Arial" w:hAnsi="Arial" w:cs="Arial"/>
          <w:sz w:val="20"/>
          <w:szCs w:val="20"/>
        </w:rPr>
        <w:t>Aspergillus flavus</w:t>
      </w:r>
      <w:r w:rsidRPr="00213F66">
        <w:rPr>
          <w:rFonts w:ascii="Arial" w:hAnsi="Arial" w:cs="Arial"/>
          <w:sz w:val="20"/>
          <w:szCs w:val="20"/>
        </w:rPr>
        <w:t xml:space="preserve"> and </w:t>
      </w:r>
      <w:r w:rsidRPr="00213F66">
        <w:rPr>
          <w:rStyle w:val="Emphasis"/>
          <w:rFonts w:ascii="Arial" w:hAnsi="Arial" w:cs="Arial"/>
          <w:sz w:val="20"/>
          <w:szCs w:val="20"/>
        </w:rPr>
        <w:t xml:space="preserve">Aspergillus </w:t>
      </w:r>
      <w:proofErr w:type="spellStart"/>
      <w:r w:rsidRPr="00213F66">
        <w:rPr>
          <w:rStyle w:val="Emphasis"/>
          <w:rFonts w:ascii="Arial" w:hAnsi="Arial" w:cs="Arial"/>
          <w:sz w:val="20"/>
          <w:szCs w:val="20"/>
        </w:rPr>
        <w:t>niger</w:t>
      </w:r>
      <w:proofErr w:type="spellEnd"/>
      <w:r w:rsidRPr="00213F66">
        <w:rPr>
          <w:rFonts w:ascii="Arial" w:hAnsi="Arial" w:cs="Arial"/>
          <w:sz w:val="20"/>
          <w:szCs w:val="20"/>
        </w:rPr>
        <w:t xml:space="preserve">, both inhibited at </w:t>
      </w:r>
      <w:r w:rsidRPr="00213F66">
        <w:rPr>
          <w:rStyle w:val="Strong"/>
          <w:rFonts w:ascii="Arial" w:hAnsi="Arial" w:cs="Arial"/>
          <w:b w:val="0"/>
          <w:sz w:val="20"/>
          <w:szCs w:val="20"/>
        </w:rPr>
        <w:t>100 mg/</w:t>
      </w:r>
      <w:proofErr w:type="spellStart"/>
      <w:r w:rsidRPr="00213F66">
        <w:rPr>
          <w:rStyle w:val="Strong"/>
          <w:rFonts w:ascii="Arial" w:hAnsi="Arial" w:cs="Arial"/>
          <w:b w:val="0"/>
          <w:sz w:val="20"/>
          <w:szCs w:val="20"/>
        </w:rPr>
        <w:t>mL</w:t>
      </w:r>
      <w:r w:rsidRPr="00213F66">
        <w:rPr>
          <w:rFonts w:ascii="Arial" w:hAnsi="Arial" w:cs="Arial"/>
          <w:sz w:val="20"/>
          <w:szCs w:val="20"/>
        </w:rPr>
        <w:t>.</w:t>
      </w:r>
      <w:proofErr w:type="spellEnd"/>
      <w:r w:rsidRPr="00213F66">
        <w:rPr>
          <w:rFonts w:ascii="Arial" w:hAnsi="Arial" w:cs="Arial"/>
          <w:sz w:val="20"/>
          <w:szCs w:val="20"/>
        </w:rPr>
        <w:t xml:space="preserve"> </w:t>
      </w:r>
      <w:r w:rsidRPr="00213F66">
        <w:rPr>
          <w:rStyle w:val="Emphasis"/>
          <w:rFonts w:ascii="Arial" w:hAnsi="Arial" w:cs="Arial"/>
          <w:sz w:val="20"/>
          <w:szCs w:val="20"/>
        </w:rPr>
        <w:t>Saccharomyces cerevisiae</w:t>
      </w:r>
      <w:r w:rsidRPr="00213F66">
        <w:rPr>
          <w:rFonts w:ascii="Arial" w:hAnsi="Arial" w:cs="Arial"/>
          <w:sz w:val="20"/>
          <w:szCs w:val="20"/>
        </w:rPr>
        <w:t xml:space="preserve"> exhibited a higher MIC (</w:t>
      </w:r>
      <w:r w:rsidRPr="00213F66">
        <w:rPr>
          <w:rStyle w:val="Strong"/>
          <w:rFonts w:ascii="Arial" w:hAnsi="Arial" w:cs="Arial"/>
          <w:b w:val="0"/>
          <w:sz w:val="20"/>
          <w:szCs w:val="20"/>
        </w:rPr>
        <w:t>150 mg/mL</w:t>
      </w:r>
      <w:r w:rsidRPr="00213F66">
        <w:rPr>
          <w:rFonts w:ascii="Arial" w:hAnsi="Arial" w:cs="Arial"/>
          <w:sz w:val="20"/>
          <w:szCs w:val="20"/>
        </w:rPr>
        <w:t xml:space="preserve">), suggesting relatively lower susceptibility. These observations indicate that cardiac glycosides may possess greater affinity for fungal rather than bacterial cellular targets. Previous studies have shown that cardiac glycosides interfere with membrane ion transport and intracellular </w:t>
      </w:r>
      <w:proofErr w:type="spellStart"/>
      <w:r w:rsidRPr="00213F66">
        <w:rPr>
          <w:rFonts w:ascii="Arial" w:hAnsi="Arial" w:cs="Arial"/>
          <w:sz w:val="20"/>
          <w:szCs w:val="20"/>
        </w:rPr>
        <w:t>signalling</w:t>
      </w:r>
      <w:proofErr w:type="spellEnd"/>
      <w:r w:rsidRPr="00213F66">
        <w:rPr>
          <w:rFonts w:ascii="Arial" w:hAnsi="Arial" w:cs="Arial"/>
          <w:sz w:val="20"/>
          <w:szCs w:val="20"/>
        </w:rPr>
        <w:t xml:space="preserve"> pathways while also exhibiting antifungal and anticancer activities (Gupta &amp; Varma, 2019). The pronounced activity against </w:t>
      </w:r>
      <w:r w:rsidRPr="00213F66">
        <w:rPr>
          <w:rStyle w:val="Emphasis"/>
          <w:rFonts w:ascii="Arial" w:hAnsi="Arial" w:cs="Arial"/>
          <w:sz w:val="20"/>
          <w:szCs w:val="20"/>
        </w:rPr>
        <w:t>Candida albicans</w:t>
      </w:r>
      <w:r w:rsidRPr="00213F66">
        <w:rPr>
          <w:rFonts w:ascii="Arial" w:hAnsi="Arial" w:cs="Arial"/>
          <w:sz w:val="20"/>
          <w:szCs w:val="20"/>
        </w:rPr>
        <w:t xml:space="preserve"> is particularly encouraging because candidiasis remains one of the most common opportunistic fungal infections, especially among immunocompromised patients.</w:t>
      </w:r>
    </w:p>
    <w:p w14:paraId="570DBB26"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The </w:t>
      </w:r>
      <w:r w:rsidRPr="00213F66">
        <w:rPr>
          <w:rStyle w:val="Strong"/>
          <w:rFonts w:ascii="Arial" w:hAnsi="Arial" w:cs="Arial"/>
          <w:b w:val="0"/>
          <w:sz w:val="20"/>
          <w:szCs w:val="20"/>
        </w:rPr>
        <w:t>flavonoid fraction</w:t>
      </w:r>
      <w:r w:rsidRPr="00213F66">
        <w:rPr>
          <w:rFonts w:ascii="Arial" w:hAnsi="Arial" w:cs="Arial"/>
          <w:sz w:val="20"/>
          <w:szCs w:val="20"/>
        </w:rPr>
        <w:t xml:space="preserve"> exhibited broad-spectrum activity against both bacteria and fungi. MIC values of </w:t>
      </w:r>
      <w:r w:rsidRPr="00213F66">
        <w:rPr>
          <w:rStyle w:val="Strong"/>
          <w:rFonts w:ascii="Arial" w:hAnsi="Arial" w:cs="Arial"/>
          <w:b w:val="0"/>
          <w:sz w:val="20"/>
          <w:szCs w:val="20"/>
        </w:rPr>
        <w:t>150–350 mg/mL</w:t>
      </w:r>
      <w:r w:rsidRPr="00213F66">
        <w:rPr>
          <w:rFonts w:ascii="Arial" w:hAnsi="Arial" w:cs="Arial"/>
          <w:sz w:val="20"/>
          <w:szCs w:val="20"/>
        </w:rPr>
        <w:t xml:space="preserve"> were recorded against bacterial pathogens, with the greatest antibacterial activity observed against </w:t>
      </w:r>
      <w:r w:rsidRPr="00213F66">
        <w:rPr>
          <w:rStyle w:val="Emphasis"/>
          <w:rFonts w:ascii="Arial" w:hAnsi="Arial" w:cs="Arial"/>
          <w:sz w:val="20"/>
          <w:szCs w:val="20"/>
        </w:rPr>
        <w:t>Escherichia coli</w:t>
      </w:r>
      <w:r w:rsidRPr="00213F66">
        <w:rPr>
          <w:rFonts w:ascii="Arial" w:hAnsi="Arial" w:cs="Arial"/>
          <w:sz w:val="20"/>
          <w:szCs w:val="20"/>
        </w:rPr>
        <w:t xml:space="preserve"> (</w:t>
      </w:r>
      <w:r w:rsidRPr="00213F66">
        <w:rPr>
          <w:rStyle w:val="Strong"/>
          <w:rFonts w:ascii="Arial" w:hAnsi="Arial" w:cs="Arial"/>
          <w:b w:val="0"/>
          <w:sz w:val="20"/>
          <w:szCs w:val="20"/>
        </w:rPr>
        <w:t>150 mg/mL</w:t>
      </w:r>
      <w:r w:rsidRPr="00213F66">
        <w:rPr>
          <w:rFonts w:ascii="Arial" w:hAnsi="Arial" w:cs="Arial"/>
          <w:sz w:val="20"/>
          <w:szCs w:val="20"/>
        </w:rPr>
        <w:t xml:space="preserve">) and </w:t>
      </w:r>
      <w:r w:rsidRPr="00213F66">
        <w:rPr>
          <w:rStyle w:val="Emphasis"/>
          <w:rFonts w:ascii="Arial" w:hAnsi="Arial" w:cs="Arial"/>
          <w:sz w:val="20"/>
          <w:szCs w:val="20"/>
        </w:rPr>
        <w:t>Vibrio cholerae</w:t>
      </w:r>
      <w:r w:rsidRPr="00213F66">
        <w:rPr>
          <w:rFonts w:ascii="Arial" w:hAnsi="Arial" w:cs="Arial"/>
          <w:sz w:val="20"/>
          <w:szCs w:val="20"/>
        </w:rPr>
        <w:t xml:space="preserve"> (</w:t>
      </w:r>
      <w:r w:rsidRPr="00213F66">
        <w:rPr>
          <w:rStyle w:val="Strong"/>
          <w:rFonts w:ascii="Arial" w:hAnsi="Arial" w:cs="Arial"/>
          <w:b w:val="0"/>
          <w:sz w:val="20"/>
          <w:szCs w:val="20"/>
        </w:rPr>
        <w:t>200 mg/mL</w:t>
      </w:r>
      <w:r w:rsidRPr="00213F66">
        <w:rPr>
          <w:rFonts w:ascii="Arial" w:hAnsi="Arial" w:cs="Arial"/>
          <w:sz w:val="20"/>
          <w:szCs w:val="20"/>
        </w:rPr>
        <w:t xml:space="preserve">), while higher concentrations were required to inhibit </w:t>
      </w:r>
      <w:r w:rsidRPr="00213F66">
        <w:rPr>
          <w:rStyle w:val="Emphasis"/>
          <w:rFonts w:ascii="Arial" w:hAnsi="Arial" w:cs="Arial"/>
          <w:sz w:val="20"/>
          <w:szCs w:val="20"/>
        </w:rPr>
        <w:t>Staphylococcus aureus</w:t>
      </w:r>
      <w:r w:rsidRPr="00213F66">
        <w:rPr>
          <w:rFonts w:ascii="Arial" w:hAnsi="Arial" w:cs="Arial"/>
          <w:sz w:val="20"/>
          <w:szCs w:val="20"/>
        </w:rPr>
        <w:t xml:space="preserve"> and </w:t>
      </w:r>
      <w:r w:rsidRPr="00213F66">
        <w:rPr>
          <w:rStyle w:val="Emphasis"/>
          <w:rFonts w:ascii="Arial" w:hAnsi="Arial" w:cs="Arial"/>
          <w:sz w:val="20"/>
          <w:szCs w:val="20"/>
        </w:rPr>
        <w:t>Pseudomonas aeruginosa</w:t>
      </w:r>
      <w:r w:rsidRPr="00213F66">
        <w:rPr>
          <w:rFonts w:ascii="Arial" w:hAnsi="Arial" w:cs="Arial"/>
          <w:sz w:val="20"/>
          <w:szCs w:val="20"/>
        </w:rPr>
        <w:t xml:space="preserve">. Among the fungal isolates, the flavonoid fraction demonstrated appreciable activity against </w:t>
      </w:r>
      <w:r w:rsidRPr="00213F66">
        <w:rPr>
          <w:rStyle w:val="Emphasis"/>
          <w:rFonts w:ascii="Arial" w:hAnsi="Arial" w:cs="Arial"/>
          <w:sz w:val="20"/>
          <w:szCs w:val="20"/>
        </w:rPr>
        <w:t>Saccharomyces cerevisiae</w:t>
      </w:r>
      <w:r w:rsidRPr="00213F66">
        <w:rPr>
          <w:rFonts w:ascii="Arial" w:hAnsi="Arial" w:cs="Arial"/>
          <w:sz w:val="20"/>
          <w:szCs w:val="20"/>
        </w:rPr>
        <w:t xml:space="preserve"> (</w:t>
      </w:r>
      <w:r w:rsidRPr="00213F66">
        <w:rPr>
          <w:rStyle w:val="Strong"/>
          <w:rFonts w:ascii="Arial" w:hAnsi="Arial" w:cs="Arial"/>
          <w:b w:val="0"/>
          <w:sz w:val="20"/>
          <w:szCs w:val="20"/>
        </w:rPr>
        <w:t>100 mg/mL</w:t>
      </w:r>
      <w:r w:rsidRPr="00213F66">
        <w:rPr>
          <w:rFonts w:ascii="Arial" w:hAnsi="Arial" w:cs="Arial"/>
          <w:sz w:val="20"/>
          <w:szCs w:val="20"/>
        </w:rPr>
        <w:t xml:space="preserve">) and </w:t>
      </w:r>
      <w:r w:rsidRPr="00213F66">
        <w:rPr>
          <w:rStyle w:val="Emphasis"/>
          <w:rFonts w:ascii="Arial" w:hAnsi="Arial" w:cs="Arial"/>
          <w:sz w:val="20"/>
          <w:szCs w:val="20"/>
        </w:rPr>
        <w:t>Aspergillus flavus</w:t>
      </w:r>
      <w:r w:rsidRPr="00213F66">
        <w:rPr>
          <w:rFonts w:ascii="Arial" w:hAnsi="Arial" w:cs="Arial"/>
          <w:sz w:val="20"/>
          <w:szCs w:val="20"/>
        </w:rPr>
        <w:t xml:space="preserve"> (</w:t>
      </w:r>
      <w:r w:rsidRPr="00213F66">
        <w:rPr>
          <w:rStyle w:val="Strong"/>
          <w:rFonts w:ascii="Arial" w:hAnsi="Arial" w:cs="Arial"/>
          <w:b w:val="0"/>
          <w:sz w:val="20"/>
          <w:szCs w:val="20"/>
        </w:rPr>
        <w:t>150 mg/mL</w:t>
      </w:r>
      <w:r w:rsidRPr="00213F66">
        <w:rPr>
          <w:rFonts w:ascii="Arial" w:hAnsi="Arial" w:cs="Arial"/>
          <w:sz w:val="20"/>
          <w:szCs w:val="20"/>
        </w:rPr>
        <w:t>). The broad antimicrobial spectrum of flavonoids agrees with previous reports that these polyphenolic compounds disrupt microbial membranes, inhibit nucleic acid synthesis, suppress energy metabolism and interfere with microbial enzyme systems (</w:t>
      </w:r>
      <w:r w:rsidRPr="00213F66">
        <w:rPr>
          <w:rFonts w:ascii="Arial" w:hAnsi="Arial" w:cs="Arial"/>
          <w:color w:val="FF0000"/>
          <w:sz w:val="20"/>
          <w:szCs w:val="20"/>
        </w:rPr>
        <w:t xml:space="preserve">Sharma </w:t>
      </w:r>
      <w:r w:rsidRPr="00213F66">
        <w:rPr>
          <w:rFonts w:ascii="Arial" w:hAnsi="Arial" w:cs="Arial"/>
          <w:i/>
          <w:color w:val="FF0000"/>
          <w:sz w:val="20"/>
          <w:szCs w:val="20"/>
        </w:rPr>
        <w:t>et al</w:t>
      </w:r>
      <w:r w:rsidRPr="00213F66">
        <w:rPr>
          <w:rFonts w:ascii="Arial" w:hAnsi="Arial" w:cs="Arial"/>
          <w:color w:val="FF0000"/>
          <w:sz w:val="20"/>
          <w:szCs w:val="20"/>
        </w:rPr>
        <w:t xml:space="preserve">., 2013; Taylor </w:t>
      </w:r>
      <w:r w:rsidRPr="00213F66">
        <w:rPr>
          <w:rFonts w:ascii="Arial" w:hAnsi="Arial" w:cs="Arial"/>
          <w:i/>
          <w:color w:val="FF0000"/>
          <w:sz w:val="20"/>
          <w:szCs w:val="20"/>
        </w:rPr>
        <w:t>et al</w:t>
      </w:r>
      <w:r w:rsidRPr="00213F66">
        <w:rPr>
          <w:rFonts w:ascii="Arial" w:hAnsi="Arial" w:cs="Arial"/>
          <w:color w:val="FF0000"/>
          <w:sz w:val="20"/>
          <w:szCs w:val="20"/>
        </w:rPr>
        <w:t>., 20</w:t>
      </w:r>
      <w:r w:rsidR="006B1F70" w:rsidRPr="00213F66">
        <w:rPr>
          <w:rFonts w:ascii="Arial" w:hAnsi="Arial" w:cs="Arial"/>
          <w:color w:val="FF0000"/>
          <w:sz w:val="20"/>
          <w:szCs w:val="20"/>
        </w:rPr>
        <w:t>05</w:t>
      </w:r>
      <w:r w:rsidRPr="00213F66">
        <w:rPr>
          <w:rFonts w:ascii="Arial" w:hAnsi="Arial" w:cs="Arial"/>
          <w:color w:val="FF0000"/>
          <w:sz w:val="20"/>
          <w:szCs w:val="20"/>
        </w:rPr>
        <w:t>;</w:t>
      </w:r>
      <w:r w:rsidR="00850658" w:rsidRPr="00213F66">
        <w:rPr>
          <w:rFonts w:ascii="Arial" w:hAnsi="Arial" w:cs="Arial"/>
          <w:color w:val="FF0000"/>
          <w:sz w:val="20"/>
          <w:szCs w:val="20"/>
        </w:rPr>
        <w:t xml:space="preserve"> Xu </w:t>
      </w:r>
      <w:r w:rsidR="00850658" w:rsidRPr="00213F66">
        <w:rPr>
          <w:rFonts w:ascii="Arial" w:hAnsi="Arial" w:cs="Arial"/>
          <w:i/>
          <w:color w:val="FF0000"/>
          <w:sz w:val="20"/>
          <w:szCs w:val="20"/>
        </w:rPr>
        <w:t>et al</w:t>
      </w:r>
      <w:r w:rsidR="00850658" w:rsidRPr="00213F66">
        <w:rPr>
          <w:rFonts w:ascii="Arial" w:hAnsi="Arial" w:cs="Arial"/>
          <w:color w:val="FF0000"/>
          <w:sz w:val="20"/>
          <w:szCs w:val="20"/>
        </w:rPr>
        <w:t>., 2018;</w:t>
      </w:r>
      <w:r w:rsidRPr="00213F66">
        <w:rPr>
          <w:rFonts w:ascii="Arial" w:hAnsi="Arial" w:cs="Arial"/>
          <w:color w:val="FF0000"/>
          <w:sz w:val="20"/>
          <w:szCs w:val="20"/>
        </w:rPr>
        <w:t xml:space="preserve"> </w:t>
      </w:r>
      <w:proofErr w:type="spellStart"/>
      <w:r w:rsidRPr="00213F66">
        <w:rPr>
          <w:rFonts w:ascii="Arial" w:hAnsi="Arial" w:cs="Arial"/>
          <w:color w:val="FF0000"/>
          <w:sz w:val="20"/>
          <w:szCs w:val="20"/>
        </w:rPr>
        <w:t>Górniak</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2019</w:t>
      </w:r>
      <w:r w:rsidRPr="00213F66">
        <w:rPr>
          <w:rFonts w:ascii="Arial" w:hAnsi="Arial" w:cs="Arial"/>
          <w:sz w:val="20"/>
          <w:szCs w:val="20"/>
        </w:rPr>
        <w:t xml:space="preserve">). Their well-established </w:t>
      </w:r>
      <w:r w:rsidRPr="00213F66">
        <w:rPr>
          <w:rFonts w:ascii="Arial" w:hAnsi="Arial" w:cs="Arial"/>
          <w:sz w:val="20"/>
          <w:szCs w:val="20"/>
        </w:rPr>
        <w:lastRenderedPageBreak/>
        <w:t>antioxidant activity may further enhance antimicrobial effectiveness by reducing oxidative stress associated with microbial infections (</w:t>
      </w:r>
      <w:r w:rsidR="006B1F70" w:rsidRPr="00213F66">
        <w:rPr>
          <w:rFonts w:ascii="Arial" w:hAnsi="Arial" w:cs="Arial"/>
          <w:sz w:val="20"/>
          <w:szCs w:val="20"/>
        </w:rPr>
        <w:t>Reddy</w:t>
      </w:r>
      <w:r w:rsidRPr="00213F66">
        <w:rPr>
          <w:rFonts w:ascii="Arial" w:hAnsi="Arial" w:cs="Arial"/>
          <w:sz w:val="20"/>
          <w:szCs w:val="20"/>
        </w:rPr>
        <w:t>, 20</w:t>
      </w:r>
      <w:r w:rsidR="006B1F70" w:rsidRPr="00213F66">
        <w:rPr>
          <w:rFonts w:ascii="Arial" w:hAnsi="Arial" w:cs="Arial"/>
          <w:sz w:val="20"/>
          <w:szCs w:val="20"/>
        </w:rPr>
        <w:t>04</w:t>
      </w:r>
      <w:r w:rsidRPr="00213F66">
        <w:rPr>
          <w:rFonts w:ascii="Arial" w:hAnsi="Arial" w:cs="Arial"/>
          <w:sz w:val="20"/>
          <w:szCs w:val="20"/>
        </w:rPr>
        <w:t>).</w:t>
      </w:r>
    </w:p>
    <w:p w14:paraId="44D17759"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The </w:t>
      </w:r>
      <w:r w:rsidRPr="00213F66">
        <w:rPr>
          <w:rStyle w:val="Strong"/>
          <w:rFonts w:ascii="Arial" w:hAnsi="Arial" w:cs="Arial"/>
          <w:b w:val="0"/>
          <w:sz w:val="20"/>
          <w:szCs w:val="20"/>
        </w:rPr>
        <w:t>crude ethanol extract</w:t>
      </w:r>
      <w:r w:rsidRPr="00213F66">
        <w:rPr>
          <w:rFonts w:ascii="Arial" w:hAnsi="Arial" w:cs="Arial"/>
          <w:sz w:val="20"/>
          <w:szCs w:val="20"/>
        </w:rPr>
        <w:t xml:space="preserve"> also exhibited broad-spectrum antimicrobial activity, with MIC values ranging from </w:t>
      </w:r>
      <w:r w:rsidRPr="00213F66">
        <w:rPr>
          <w:rStyle w:val="Strong"/>
          <w:rFonts w:ascii="Arial" w:hAnsi="Arial" w:cs="Arial"/>
          <w:b w:val="0"/>
          <w:sz w:val="20"/>
          <w:szCs w:val="20"/>
        </w:rPr>
        <w:t>100 to 350 mg/</w:t>
      </w:r>
      <w:proofErr w:type="spellStart"/>
      <w:r w:rsidRPr="00213F66">
        <w:rPr>
          <w:rStyle w:val="Strong"/>
          <w:rFonts w:ascii="Arial" w:hAnsi="Arial" w:cs="Arial"/>
          <w:b w:val="0"/>
          <w:sz w:val="20"/>
          <w:szCs w:val="20"/>
        </w:rPr>
        <w:t>mL</w:t>
      </w:r>
      <w:r w:rsidRPr="00213F66">
        <w:rPr>
          <w:rFonts w:ascii="Arial" w:hAnsi="Arial" w:cs="Arial"/>
          <w:sz w:val="20"/>
          <w:szCs w:val="20"/>
        </w:rPr>
        <w:t>.</w:t>
      </w:r>
      <w:proofErr w:type="spellEnd"/>
      <w:r w:rsidRPr="00213F66">
        <w:rPr>
          <w:rFonts w:ascii="Arial" w:hAnsi="Arial" w:cs="Arial"/>
          <w:sz w:val="20"/>
          <w:szCs w:val="20"/>
        </w:rPr>
        <w:t xml:space="preserve"> The lowest MIC values (</w:t>
      </w:r>
      <w:r w:rsidRPr="00213F66">
        <w:rPr>
          <w:rStyle w:val="Strong"/>
          <w:rFonts w:ascii="Arial" w:hAnsi="Arial" w:cs="Arial"/>
          <w:b w:val="0"/>
          <w:sz w:val="20"/>
          <w:szCs w:val="20"/>
        </w:rPr>
        <w:t>100 mg/mL</w:t>
      </w:r>
      <w:r w:rsidRPr="00213F66">
        <w:rPr>
          <w:rFonts w:ascii="Arial" w:hAnsi="Arial" w:cs="Arial"/>
          <w:sz w:val="20"/>
          <w:szCs w:val="20"/>
        </w:rPr>
        <w:t xml:space="preserve">) were recorded against </w:t>
      </w:r>
      <w:r w:rsidRPr="00213F66">
        <w:rPr>
          <w:rStyle w:val="Emphasis"/>
          <w:rFonts w:ascii="Arial" w:hAnsi="Arial" w:cs="Arial"/>
          <w:sz w:val="20"/>
          <w:szCs w:val="20"/>
        </w:rPr>
        <w:t>Saccharomyces cerevisiae</w:t>
      </w:r>
      <w:r w:rsidRPr="00213F66">
        <w:rPr>
          <w:rFonts w:ascii="Arial" w:hAnsi="Arial" w:cs="Arial"/>
          <w:sz w:val="20"/>
          <w:szCs w:val="20"/>
        </w:rPr>
        <w:t xml:space="preserve">, whereas values of </w:t>
      </w:r>
      <w:r w:rsidRPr="00213F66">
        <w:rPr>
          <w:rStyle w:val="Strong"/>
          <w:rFonts w:ascii="Arial" w:hAnsi="Arial" w:cs="Arial"/>
          <w:b w:val="0"/>
          <w:sz w:val="20"/>
          <w:szCs w:val="20"/>
        </w:rPr>
        <w:t>150 mg/mL</w:t>
      </w:r>
      <w:r w:rsidRPr="00213F66">
        <w:rPr>
          <w:rFonts w:ascii="Arial" w:hAnsi="Arial" w:cs="Arial"/>
          <w:sz w:val="20"/>
          <w:szCs w:val="20"/>
        </w:rPr>
        <w:t xml:space="preserve"> were observed for </w:t>
      </w:r>
      <w:r w:rsidRPr="00213F66">
        <w:rPr>
          <w:rStyle w:val="Emphasis"/>
          <w:rFonts w:ascii="Arial" w:hAnsi="Arial" w:cs="Arial"/>
          <w:sz w:val="20"/>
          <w:szCs w:val="20"/>
        </w:rPr>
        <w:t>Vibrio cholerae</w:t>
      </w:r>
      <w:r w:rsidRPr="00213F66">
        <w:rPr>
          <w:rFonts w:ascii="Arial" w:hAnsi="Arial" w:cs="Arial"/>
          <w:sz w:val="20"/>
          <w:szCs w:val="20"/>
        </w:rPr>
        <w:t xml:space="preserve">, </w:t>
      </w:r>
      <w:r w:rsidRPr="00213F66">
        <w:rPr>
          <w:rStyle w:val="Emphasis"/>
          <w:rFonts w:ascii="Arial" w:hAnsi="Arial" w:cs="Arial"/>
          <w:sz w:val="20"/>
          <w:szCs w:val="20"/>
        </w:rPr>
        <w:t>Shigella</w:t>
      </w:r>
      <w:r w:rsidRPr="00213F66">
        <w:rPr>
          <w:rFonts w:ascii="Arial" w:hAnsi="Arial" w:cs="Arial"/>
          <w:sz w:val="20"/>
          <w:szCs w:val="20"/>
        </w:rPr>
        <w:t xml:space="preserve"> spp., </w:t>
      </w:r>
      <w:r w:rsidRPr="00213F66">
        <w:rPr>
          <w:rStyle w:val="Emphasis"/>
          <w:rFonts w:ascii="Arial" w:hAnsi="Arial" w:cs="Arial"/>
          <w:sz w:val="20"/>
          <w:szCs w:val="20"/>
        </w:rPr>
        <w:t>Aspergillus flavus</w:t>
      </w:r>
      <w:r w:rsidRPr="00213F66">
        <w:rPr>
          <w:rFonts w:ascii="Arial" w:hAnsi="Arial" w:cs="Arial"/>
          <w:sz w:val="20"/>
          <w:szCs w:val="20"/>
        </w:rPr>
        <w:t xml:space="preserve"> and </w:t>
      </w:r>
      <w:r w:rsidRPr="00213F66">
        <w:rPr>
          <w:rStyle w:val="Emphasis"/>
          <w:rFonts w:ascii="Arial" w:hAnsi="Arial" w:cs="Arial"/>
          <w:sz w:val="20"/>
          <w:szCs w:val="20"/>
        </w:rPr>
        <w:t>Candida albicans</w:t>
      </w:r>
      <w:r w:rsidRPr="00213F66">
        <w:rPr>
          <w:rFonts w:ascii="Arial" w:hAnsi="Arial" w:cs="Arial"/>
          <w:sz w:val="20"/>
          <w:szCs w:val="20"/>
        </w:rPr>
        <w:t xml:space="preserve">. Higher concentrations were required to inhibit </w:t>
      </w:r>
      <w:r w:rsidRPr="00213F66">
        <w:rPr>
          <w:rStyle w:val="Emphasis"/>
          <w:rFonts w:ascii="Arial" w:hAnsi="Arial" w:cs="Arial"/>
          <w:sz w:val="20"/>
          <w:szCs w:val="20"/>
        </w:rPr>
        <w:t>Staphylococcus aureus</w:t>
      </w:r>
      <w:r w:rsidRPr="00213F66">
        <w:rPr>
          <w:rFonts w:ascii="Arial" w:hAnsi="Arial" w:cs="Arial"/>
          <w:sz w:val="20"/>
          <w:szCs w:val="20"/>
        </w:rPr>
        <w:t xml:space="preserve">, </w:t>
      </w:r>
      <w:r w:rsidRPr="00213F66">
        <w:rPr>
          <w:rStyle w:val="Emphasis"/>
          <w:rFonts w:ascii="Arial" w:hAnsi="Arial" w:cs="Arial"/>
          <w:sz w:val="20"/>
          <w:szCs w:val="20"/>
        </w:rPr>
        <w:t>Escherichia coli</w:t>
      </w:r>
      <w:r w:rsidRPr="00213F66">
        <w:rPr>
          <w:rFonts w:ascii="Arial" w:hAnsi="Arial" w:cs="Arial"/>
          <w:sz w:val="20"/>
          <w:szCs w:val="20"/>
        </w:rPr>
        <w:t xml:space="preserve"> and </w:t>
      </w:r>
      <w:r w:rsidRPr="00213F66">
        <w:rPr>
          <w:rStyle w:val="Emphasis"/>
          <w:rFonts w:ascii="Arial" w:hAnsi="Arial" w:cs="Arial"/>
          <w:sz w:val="20"/>
          <w:szCs w:val="20"/>
        </w:rPr>
        <w:t xml:space="preserve">Aspergillus </w:t>
      </w:r>
      <w:proofErr w:type="spellStart"/>
      <w:r w:rsidRPr="00213F66">
        <w:rPr>
          <w:rStyle w:val="Emphasis"/>
          <w:rFonts w:ascii="Arial" w:hAnsi="Arial" w:cs="Arial"/>
          <w:sz w:val="20"/>
          <w:szCs w:val="20"/>
        </w:rPr>
        <w:t>niger</w:t>
      </w:r>
      <w:proofErr w:type="spellEnd"/>
      <w:r w:rsidRPr="00213F66">
        <w:rPr>
          <w:rFonts w:ascii="Arial" w:hAnsi="Arial" w:cs="Arial"/>
          <w:sz w:val="20"/>
          <w:szCs w:val="20"/>
        </w:rPr>
        <w:t xml:space="preserve">. These findings indicate that the crude extract possesses appreciable antimicrobial activity despite containing numerous inactive constituents. Similar observations have been reported in </w:t>
      </w:r>
      <w:proofErr w:type="spellStart"/>
      <w:r w:rsidRPr="00213F66">
        <w:rPr>
          <w:rStyle w:val="Emphasis"/>
          <w:rFonts w:ascii="Arial" w:hAnsi="Arial" w:cs="Arial"/>
          <w:sz w:val="20"/>
          <w:szCs w:val="20"/>
        </w:rPr>
        <w:t>Dacryodes</w:t>
      </w:r>
      <w:proofErr w:type="spellEnd"/>
      <w:r w:rsidRPr="00213F66">
        <w:rPr>
          <w:rStyle w:val="Emphasis"/>
          <w:rFonts w:ascii="Arial" w:hAnsi="Arial" w:cs="Arial"/>
          <w:sz w:val="20"/>
          <w:szCs w:val="20"/>
        </w:rPr>
        <w:t xml:space="preserve"> edulis</w:t>
      </w:r>
      <w:r w:rsidRPr="00213F66">
        <w:rPr>
          <w:rFonts w:ascii="Arial" w:hAnsi="Arial" w:cs="Arial"/>
          <w:sz w:val="20"/>
          <w:szCs w:val="20"/>
        </w:rPr>
        <w:t xml:space="preserve">, </w:t>
      </w:r>
      <w:proofErr w:type="spellStart"/>
      <w:r w:rsidRPr="00213F66">
        <w:rPr>
          <w:rStyle w:val="Emphasis"/>
          <w:rFonts w:ascii="Arial" w:hAnsi="Arial" w:cs="Arial"/>
          <w:sz w:val="20"/>
          <w:szCs w:val="20"/>
        </w:rPr>
        <w:t>Enantia</w:t>
      </w:r>
      <w:proofErr w:type="spellEnd"/>
      <w:r w:rsidRPr="00213F66">
        <w:rPr>
          <w:rStyle w:val="Emphasis"/>
          <w:rFonts w:ascii="Arial" w:hAnsi="Arial" w:cs="Arial"/>
          <w:sz w:val="20"/>
          <w:szCs w:val="20"/>
        </w:rPr>
        <w:t xml:space="preserve"> </w:t>
      </w:r>
      <w:proofErr w:type="spellStart"/>
      <w:r w:rsidRPr="00213F66">
        <w:rPr>
          <w:rStyle w:val="Emphasis"/>
          <w:rFonts w:ascii="Arial" w:hAnsi="Arial" w:cs="Arial"/>
          <w:sz w:val="20"/>
          <w:szCs w:val="20"/>
        </w:rPr>
        <w:t>chlorantha</w:t>
      </w:r>
      <w:proofErr w:type="spellEnd"/>
      <w:r w:rsidRPr="00213F66">
        <w:rPr>
          <w:rFonts w:ascii="Arial" w:hAnsi="Arial" w:cs="Arial"/>
          <w:sz w:val="20"/>
          <w:szCs w:val="20"/>
        </w:rPr>
        <w:t xml:space="preserve"> and </w:t>
      </w:r>
      <w:r w:rsidRPr="00213F66">
        <w:rPr>
          <w:rStyle w:val="Emphasis"/>
          <w:rFonts w:ascii="Arial" w:hAnsi="Arial" w:cs="Arial"/>
          <w:sz w:val="20"/>
          <w:szCs w:val="20"/>
        </w:rPr>
        <w:t>Senna alata</w:t>
      </w:r>
      <w:r w:rsidRPr="00213F66">
        <w:rPr>
          <w:rFonts w:ascii="Arial" w:hAnsi="Arial" w:cs="Arial"/>
          <w:sz w:val="20"/>
          <w:szCs w:val="20"/>
        </w:rPr>
        <w:t>, where crude extracts exhibited lower potency than purified fractions because active metabolites remained diluted within complex phytochemical mixtures (</w:t>
      </w:r>
      <w:r w:rsidR="00880DA3" w:rsidRPr="00213F66">
        <w:rPr>
          <w:rFonts w:ascii="Arial" w:hAnsi="Arial" w:cs="Arial"/>
          <w:color w:val="FF0000"/>
          <w:sz w:val="20"/>
          <w:szCs w:val="20"/>
        </w:rPr>
        <w:t xml:space="preserve">Adedayo </w:t>
      </w:r>
      <w:r w:rsidR="00880DA3" w:rsidRPr="00213F66">
        <w:rPr>
          <w:rFonts w:ascii="Arial" w:hAnsi="Arial" w:cs="Arial"/>
          <w:i/>
          <w:color w:val="FF0000"/>
          <w:sz w:val="20"/>
          <w:szCs w:val="20"/>
        </w:rPr>
        <w:t>et al</w:t>
      </w:r>
      <w:r w:rsidR="00880DA3" w:rsidRPr="00213F66">
        <w:rPr>
          <w:rFonts w:ascii="Arial" w:hAnsi="Arial" w:cs="Arial"/>
          <w:color w:val="FF0000"/>
          <w:sz w:val="20"/>
          <w:szCs w:val="20"/>
        </w:rPr>
        <w:t xml:space="preserve">., 2001;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xml:space="preserve">., 2017; </w:t>
      </w:r>
      <w:proofErr w:type="spellStart"/>
      <w:r w:rsidRPr="00213F66">
        <w:rPr>
          <w:rFonts w:ascii="Arial" w:hAnsi="Arial" w:cs="Arial"/>
          <w:color w:val="FF0000"/>
          <w:sz w:val="20"/>
          <w:szCs w:val="20"/>
        </w:rPr>
        <w:t>Oladejobi</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2022</w:t>
      </w:r>
      <w:r w:rsidRPr="00213F66">
        <w:rPr>
          <w:rFonts w:ascii="Arial" w:hAnsi="Arial" w:cs="Arial"/>
          <w:sz w:val="20"/>
          <w:szCs w:val="20"/>
        </w:rPr>
        <w:t>).</w:t>
      </w:r>
    </w:p>
    <w:p w14:paraId="32DC634E"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Comparison of the isolated fractions with the crude ethanol extract suggests that purification enhances antimicrobial activity by concentrating the active phytochemicals. This observation agrees with the principles of </w:t>
      </w:r>
      <w:r w:rsidRPr="00213F66">
        <w:rPr>
          <w:rStyle w:val="Strong"/>
          <w:rFonts w:ascii="Arial" w:hAnsi="Arial" w:cs="Arial"/>
          <w:b w:val="0"/>
          <w:sz w:val="20"/>
          <w:szCs w:val="20"/>
        </w:rPr>
        <w:t>bioassay-guided fractionation</w:t>
      </w:r>
      <w:r w:rsidRPr="00213F66">
        <w:rPr>
          <w:rFonts w:ascii="Arial" w:hAnsi="Arial" w:cs="Arial"/>
          <w:sz w:val="20"/>
          <w:szCs w:val="20"/>
        </w:rPr>
        <w:t xml:space="preserve">, where chromatographic separation enriches biologically active constituents while eliminating inactive compounds (Ejele </w:t>
      </w:r>
      <w:r w:rsidRPr="00213F66">
        <w:rPr>
          <w:rFonts w:ascii="Arial" w:hAnsi="Arial" w:cs="Arial"/>
          <w:i/>
          <w:color w:val="FF0000"/>
          <w:sz w:val="20"/>
          <w:szCs w:val="20"/>
        </w:rPr>
        <w:t>et al.,</w:t>
      </w:r>
      <w:r w:rsidRPr="00213F66">
        <w:rPr>
          <w:rFonts w:ascii="Arial" w:hAnsi="Arial" w:cs="Arial"/>
          <w:color w:val="FF0000"/>
          <w:sz w:val="20"/>
          <w:szCs w:val="20"/>
        </w:rPr>
        <w:t xml:space="preserve"> </w:t>
      </w:r>
      <w:r w:rsidRPr="00213F66">
        <w:rPr>
          <w:rFonts w:ascii="Arial" w:hAnsi="Arial" w:cs="Arial"/>
          <w:sz w:val="20"/>
          <w:szCs w:val="20"/>
        </w:rPr>
        <w:t xml:space="preserve">2012; Akpan </w:t>
      </w:r>
      <w:r w:rsidRPr="00213F66">
        <w:rPr>
          <w:rFonts w:ascii="Arial" w:hAnsi="Arial" w:cs="Arial"/>
          <w:i/>
          <w:color w:val="FF0000"/>
          <w:sz w:val="20"/>
          <w:szCs w:val="20"/>
        </w:rPr>
        <w:t>et al</w:t>
      </w:r>
      <w:r w:rsidRPr="00213F66">
        <w:rPr>
          <w:rFonts w:ascii="Arial" w:hAnsi="Arial" w:cs="Arial"/>
          <w:sz w:val="20"/>
          <w:szCs w:val="20"/>
        </w:rPr>
        <w:t>., 2016). Nevertheless, the relatively good activity of the crude extract indicates that synergistic interactions among flavonoids, alkaloids, cardiac glycosides and other secondary metabolites also contribute significantly to the overall antimicrobial effect. Such synergism has become increasingly recognised as one of the major advantages of plant-derived medicines because multiple compounds simultaneously target different biochemical pathways, thereby reducing the probability of resistance development (</w:t>
      </w:r>
      <w:r w:rsidRPr="00213F66">
        <w:rPr>
          <w:rFonts w:ascii="Arial" w:hAnsi="Arial" w:cs="Arial"/>
          <w:color w:val="FF0000"/>
          <w:sz w:val="20"/>
          <w:szCs w:val="20"/>
        </w:rPr>
        <w:t>Strobel &amp; Daisy, 2003; Malczak &amp; Gajda, 2023</w:t>
      </w:r>
      <w:r w:rsidRPr="00213F66">
        <w:rPr>
          <w:rFonts w:ascii="Arial" w:hAnsi="Arial" w:cs="Arial"/>
          <w:sz w:val="20"/>
          <w:szCs w:val="20"/>
        </w:rPr>
        <w:t>).</w:t>
      </w:r>
    </w:p>
    <w:p w14:paraId="4BDA763C" w14:textId="77777777" w:rsidR="0044514E" w:rsidRPr="00213F66" w:rsidRDefault="0044514E" w:rsidP="0044514E">
      <w:pPr>
        <w:jc w:val="both"/>
        <w:rPr>
          <w:rFonts w:ascii="Arial" w:hAnsi="Arial" w:cs="Arial"/>
          <w:sz w:val="20"/>
          <w:szCs w:val="20"/>
        </w:rPr>
      </w:pPr>
      <w:r w:rsidRPr="00213F66">
        <w:rPr>
          <w:rFonts w:ascii="Arial" w:hAnsi="Arial" w:cs="Arial"/>
          <w:sz w:val="20"/>
          <w:szCs w:val="20"/>
        </w:rPr>
        <w:t xml:space="preserve">The broad-spectrum MIC profile observed in this study is particularly important in the context of the global increase in antimicrobial resistance. Resistant bacterial pathogens, including </w:t>
      </w:r>
      <w:r w:rsidRPr="00213F66">
        <w:rPr>
          <w:rStyle w:val="Emphasis"/>
          <w:rFonts w:ascii="Arial" w:hAnsi="Arial" w:cs="Arial"/>
          <w:sz w:val="20"/>
          <w:szCs w:val="20"/>
        </w:rPr>
        <w:t>Staphylococcus aureus</w:t>
      </w:r>
      <w:r w:rsidRPr="00213F66">
        <w:rPr>
          <w:rFonts w:ascii="Arial" w:hAnsi="Arial" w:cs="Arial"/>
          <w:sz w:val="20"/>
          <w:szCs w:val="20"/>
        </w:rPr>
        <w:t xml:space="preserve">, </w:t>
      </w:r>
      <w:r w:rsidRPr="00213F66">
        <w:rPr>
          <w:rStyle w:val="Emphasis"/>
          <w:rFonts w:ascii="Arial" w:hAnsi="Arial" w:cs="Arial"/>
          <w:sz w:val="20"/>
          <w:szCs w:val="20"/>
        </w:rPr>
        <w:t>Escherichia coli</w:t>
      </w:r>
      <w:r w:rsidRPr="00213F66">
        <w:rPr>
          <w:rFonts w:ascii="Arial" w:hAnsi="Arial" w:cs="Arial"/>
          <w:sz w:val="20"/>
          <w:szCs w:val="20"/>
        </w:rPr>
        <w:t xml:space="preserve">, </w:t>
      </w:r>
      <w:r w:rsidRPr="00213F66">
        <w:rPr>
          <w:rStyle w:val="Emphasis"/>
          <w:rFonts w:ascii="Arial" w:hAnsi="Arial" w:cs="Arial"/>
          <w:sz w:val="20"/>
          <w:szCs w:val="20"/>
        </w:rPr>
        <w:t>Pseudomonas aeruginosa</w:t>
      </w:r>
      <w:r w:rsidRPr="00213F66">
        <w:rPr>
          <w:rFonts w:ascii="Arial" w:hAnsi="Arial" w:cs="Arial"/>
          <w:sz w:val="20"/>
          <w:szCs w:val="20"/>
        </w:rPr>
        <w:t xml:space="preserve"> and </w:t>
      </w:r>
      <w:r w:rsidRPr="00213F66">
        <w:rPr>
          <w:rStyle w:val="Emphasis"/>
          <w:rFonts w:ascii="Arial" w:hAnsi="Arial" w:cs="Arial"/>
          <w:sz w:val="20"/>
          <w:szCs w:val="20"/>
        </w:rPr>
        <w:t>Salmonella</w:t>
      </w:r>
      <w:r w:rsidRPr="00213F66">
        <w:rPr>
          <w:rFonts w:ascii="Arial" w:hAnsi="Arial" w:cs="Arial"/>
          <w:sz w:val="20"/>
          <w:szCs w:val="20"/>
        </w:rPr>
        <w:t xml:space="preserve"> spp., continue to pose major therapeutic challenges worldwide (Williams, 2000; Aibinu </w:t>
      </w:r>
      <w:r w:rsidRPr="00213F66">
        <w:rPr>
          <w:rFonts w:ascii="Arial" w:hAnsi="Arial" w:cs="Arial"/>
          <w:i/>
          <w:color w:val="FF0000"/>
          <w:sz w:val="20"/>
          <w:szCs w:val="20"/>
        </w:rPr>
        <w:t>et al</w:t>
      </w:r>
      <w:r w:rsidRPr="00213F66">
        <w:rPr>
          <w:rFonts w:ascii="Arial" w:hAnsi="Arial" w:cs="Arial"/>
          <w:sz w:val="20"/>
          <w:szCs w:val="20"/>
        </w:rPr>
        <w:t xml:space="preserve">., 2003; Aibinu </w:t>
      </w:r>
      <w:r w:rsidRPr="00213F66">
        <w:rPr>
          <w:rFonts w:ascii="Arial" w:hAnsi="Arial" w:cs="Arial"/>
          <w:i/>
          <w:color w:val="FF0000"/>
          <w:sz w:val="20"/>
          <w:szCs w:val="20"/>
        </w:rPr>
        <w:t>et al</w:t>
      </w:r>
      <w:r w:rsidRPr="00213F66">
        <w:rPr>
          <w:rFonts w:ascii="Arial" w:hAnsi="Arial" w:cs="Arial"/>
          <w:sz w:val="20"/>
          <w:szCs w:val="20"/>
        </w:rPr>
        <w:t xml:space="preserve">., 2004; World Health Organization, 2014). Consequently, the relatively low MIC values obtained for several pathogens suggest that </w:t>
      </w:r>
      <w:r w:rsidRPr="00213F66">
        <w:rPr>
          <w:rStyle w:val="Emphasis"/>
          <w:rFonts w:ascii="Arial" w:hAnsi="Arial" w:cs="Arial"/>
          <w:sz w:val="20"/>
          <w:szCs w:val="20"/>
        </w:rPr>
        <w:t>Mentha piperita</w:t>
      </w:r>
      <w:r w:rsidRPr="00213F66">
        <w:rPr>
          <w:rFonts w:ascii="Arial" w:hAnsi="Arial" w:cs="Arial"/>
          <w:sz w:val="20"/>
          <w:szCs w:val="20"/>
        </w:rPr>
        <w:t xml:space="preserve"> contains potent bioactive metabolites worthy of further purification and structural characterisation. These findings reinforce the growing evidence that medicinal plants remain an invaluable source of novel antimicrobial lead compounds and support continued research aimed at developing safe, affordable and environmentally sustainable therapeutics. </w:t>
      </w:r>
    </w:p>
    <w:p w14:paraId="16F6BFE7" w14:textId="77777777" w:rsidR="004D7BD3" w:rsidRPr="00213F66" w:rsidRDefault="004D7BD3" w:rsidP="0044514E">
      <w:pPr>
        <w:jc w:val="both"/>
        <w:rPr>
          <w:rFonts w:ascii="Arial" w:hAnsi="Arial" w:cs="Arial"/>
          <w:sz w:val="20"/>
          <w:szCs w:val="20"/>
        </w:rPr>
      </w:pPr>
    </w:p>
    <w:p w14:paraId="132CCE2C" w14:textId="77777777" w:rsidR="00844153" w:rsidRPr="00213F66" w:rsidRDefault="00844153" w:rsidP="0044514E">
      <w:pPr>
        <w:jc w:val="both"/>
        <w:rPr>
          <w:rFonts w:ascii="Arial" w:hAnsi="Arial" w:cs="Arial"/>
          <w:sz w:val="20"/>
          <w:szCs w:val="20"/>
        </w:rPr>
      </w:pPr>
    </w:p>
    <w:p w14:paraId="38EE2BE0" w14:textId="77777777" w:rsidR="00C102C0" w:rsidRPr="00213F66" w:rsidRDefault="00C102C0" w:rsidP="00C102C0">
      <w:pPr>
        <w:jc w:val="both"/>
        <w:rPr>
          <w:rFonts w:ascii="Arial" w:hAnsi="Arial" w:cs="Arial"/>
          <w:sz w:val="20"/>
          <w:szCs w:val="20"/>
        </w:rPr>
      </w:pPr>
      <w:r w:rsidRPr="00213F66">
        <w:rPr>
          <w:rFonts w:ascii="Arial" w:hAnsi="Arial" w:cs="Arial"/>
          <w:sz w:val="20"/>
          <w:szCs w:val="20"/>
        </w:rPr>
        <w:t xml:space="preserve">                                                </w:t>
      </w:r>
    </w:p>
    <w:p w14:paraId="24160B91" w14:textId="77777777" w:rsidR="00C102C0" w:rsidRPr="00213F66" w:rsidRDefault="00C102C0" w:rsidP="00C102C0">
      <w:pPr>
        <w:jc w:val="both"/>
        <w:rPr>
          <w:rFonts w:ascii="Arial" w:hAnsi="Arial" w:cs="Arial"/>
          <w:sz w:val="20"/>
          <w:szCs w:val="20"/>
        </w:rPr>
      </w:pPr>
      <w:r w:rsidRPr="00213F66">
        <w:rPr>
          <w:noProof/>
        </w:rPr>
        <w:drawing>
          <wp:anchor distT="0" distB="0" distL="114300" distR="114300" simplePos="0" relativeHeight="251650560" behindDoc="0" locked="0" layoutInCell="1" allowOverlap="1" wp14:anchorId="6DB65DE8" wp14:editId="150A4A8E">
            <wp:simplePos x="0" y="0"/>
            <wp:positionH relativeFrom="column">
              <wp:posOffset>38100</wp:posOffset>
            </wp:positionH>
            <wp:positionV relativeFrom="paragraph">
              <wp:posOffset>45720</wp:posOffset>
            </wp:positionV>
            <wp:extent cx="5048250" cy="2686050"/>
            <wp:effectExtent l="0" t="0" r="0" b="0"/>
            <wp:wrapNone/>
            <wp:docPr id="11" name="Chart 11">
              <a:extLst xmlns:a="http://schemas.openxmlformats.org/drawingml/2006/main">
                <a:ext uri="{FF2B5EF4-FFF2-40B4-BE49-F238E27FC236}">
                  <a16:creationId xmlns:a16="http://schemas.microsoft.com/office/drawing/2014/main" id="{5C0EEE51-9370-4BAE-BA7D-79A6A7CD3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CC66F52" w14:textId="77777777" w:rsidR="00C102C0" w:rsidRPr="00213F66" w:rsidRDefault="00C102C0" w:rsidP="00C102C0">
      <w:pPr>
        <w:jc w:val="both"/>
        <w:rPr>
          <w:rFonts w:ascii="Arial" w:hAnsi="Arial" w:cs="Arial"/>
          <w:sz w:val="20"/>
          <w:szCs w:val="20"/>
        </w:rPr>
      </w:pPr>
    </w:p>
    <w:p w14:paraId="63A99F16" w14:textId="77777777" w:rsidR="00C102C0" w:rsidRPr="00213F66" w:rsidRDefault="00C102C0" w:rsidP="00C102C0">
      <w:pPr>
        <w:jc w:val="both"/>
        <w:rPr>
          <w:rFonts w:ascii="Arial" w:hAnsi="Arial" w:cs="Arial"/>
          <w:sz w:val="20"/>
          <w:szCs w:val="20"/>
        </w:rPr>
      </w:pPr>
    </w:p>
    <w:p w14:paraId="7D490A65" w14:textId="77777777" w:rsidR="00C102C0" w:rsidRPr="00213F66" w:rsidRDefault="00C102C0" w:rsidP="00C102C0">
      <w:pPr>
        <w:jc w:val="both"/>
        <w:rPr>
          <w:rFonts w:ascii="Arial" w:hAnsi="Arial" w:cs="Arial"/>
          <w:sz w:val="20"/>
          <w:szCs w:val="20"/>
        </w:rPr>
      </w:pPr>
    </w:p>
    <w:p w14:paraId="7620CB1C" w14:textId="77777777" w:rsidR="00C102C0" w:rsidRPr="00213F66" w:rsidRDefault="00C102C0" w:rsidP="00C102C0">
      <w:pPr>
        <w:jc w:val="both"/>
        <w:rPr>
          <w:rFonts w:ascii="Arial" w:hAnsi="Arial" w:cs="Arial"/>
          <w:sz w:val="20"/>
          <w:szCs w:val="20"/>
        </w:rPr>
      </w:pPr>
    </w:p>
    <w:p w14:paraId="631CEC47" w14:textId="77777777" w:rsidR="00C102C0" w:rsidRPr="00213F66" w:rsidRDefault="00C102C0" w:rsidP="00C102C0">
      <w:pPr>
        <w:jc w:val="both"/>
        <w:rPr>
          <w:rFonts w:ascii="Arial" w:hAnsi="Arial" w:cs="Arial"/>
          <w:sz w:val="20"/>
          <w:szCs w:val="20"/>
        </w:rPr>
      </w:pPr>
    </w:p>
    <w:p w14:paraId="67A14A6A" w14:textId="77777777" w:rsidR="00C102C0" w:rsidRPr="00213F66" w:rsidRDefault="00C102C0" w:rsidP="00C102C0">
      <w:pPr>
        <w:jc w:val="both"/>
        <w:rPr>
          <w:rFonts w:ascii="Arial" w:hAnsi="Arial" w:cs="Arial"/>
          <w:sz w:val="20"/>
          <w:szCs w:val="20"/>
        </w:rPr>
      </w:pPr>
    </w:p>
    <w:p w14:paraId="31B0B08E" w14:textId="77777777" w:rsidR="00C102C0" w:rsidRPr="00213F66" w:rsidRDefault="00C102C0" w:rsidP="00C102C0">
      <w:pPr>
        <w:jc w:val="both"/>
        <w:rPr>
          <w:rFonts w:ascii="Arial" w:hAnsi="Arial" w:cs="Arial"/>
          <w:sz w:val="20"/>
          <w:szCs w:val="20"/>
        </w:rPr>
      </w:pPr>
    </w:p>
    <w:p w14:paraId="62720E93" w14:textId="77777777" w:rsidR="00C102C0" w:rsidRPr="00213F66" w:rsidRDefault="00C102C0" w:rsidP="00C102C0">
      <w:pPr>
        <w:jc w:val="both"/>
        <w:rPr>
          <w:rFonts w:ascii="Arial" w:hAnsi="Arial" w:cs="Arial"/>
          <w:sz w:val="20"/>
          <w:szCs w:val="20"/>
        </w:rPr>
      </w:pPr>
    </w:p>
    <w:p w14:paraId="4CA6192F" w14:textId="77777777" w:rsidR="00C102C0" w:rsidRPr="00213F66" w:rsidRDefault="00C102C0" w:rsidP="00C102C0">
      <w:pPr>
        <w:jc w:val="both"/>
        <w:rPr>
          <w:rFonts w:ascii="Arial" w:hAnsi="Arial" w:cs="Arial"/>
          <w:sz w:val="20"/>
          <w:szCs w:val="20"/>
        </w:rPr>
      </w:pPr>
    </w:p>
    <w:p w14:paraId="1B20FC9D" w14:textId="77777777" w:rsidR="00C102C0" w:rsidRPr="00213F66" w:rsidRDefault="00C102C0" w:rsidP="00C102C0">
      <w:pPr>
        <w:jc w:val="both"/>
        <w:rPr>
          <w:rFonts w:ascii="Arial" w:hAnsi="Arial" w:cs="Arial"/>
          <w:sz w:val="20"/>
          <w:szCs w:val="20"/>
        </w:rPr>
      </w:pPr>
    </w:p>
    <w:p w14:paraId="5B87D306" w14:textId="77777777" w:rsidR="00D94E70" w:rsidRPr="00213F66" w:rsidRDefault="00C102C0" w:rsidP="00C102C0">
      <w:pPr>
        <w:jc w:val="both"/>
        <w:rPr>
          <w:rFonts w:ascii="Arial" w:hAnsi="Arial" w:cs="Arial"/>
          <w:b/>
          <w:kern w:val="2"/>
          <w:sz w:val="20"/>
          <w:szCs w:val="20"/>
        </w:rPr>
      </w:pPr>
      <w:r w:rsidRPr="00213F66">
        <w:rPr>
          <w:rFonts w:ascii="Arial" w:hAnsi="Arial" w:cs="Arial"/>
          <w:b/>
          <w:sz w:val="20"/>
          <w:szCs w:val="20"/>
        </w:rPr>
        <w:t xml:space="preserve">Fig. 4. Antibacterial activity of ethanol extract of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20 mg/mL of </w:t>
      </w:r>
      <w:r w:rsidRPr="00213F66">
        <w:rPr>
          <w:rFonts w:ascii="Arial" w:hAnsi="Arial" w:cs="Arial"/>
          <w:b/>
          <w:kern w:val="2"/>
          <w:sz w:val="20"/>
          <w:szCs w:val="20"/>
        </w:rPr>
        <w:t>Gentamycin</w:t>
      </w:r>
    </w:p>
    <w:p w14:paraId="04B76BAB" w14:textId="77777777" w:rsidR="00F55B65" w:rsidRPr="00213F66" w:rsidRDefault="00817060" w:rsidP="00D94E70">
      <w:pPr>
        <w:spacing w:after="0"/>
        <w:rPr>
          <w:rFonts w:ascii="Arial" w:hAnsi="Arial" w:cs="Arial"/>
          <w:b/>
          <w:sz w:val="20"/>
          <w:szCs w:val="20"/>
        </w:rPr>
      </w:pPr>
      <w:r w:rsidRPr="00213F66">
        <w:rPr>
          <w:noProof/>
        </w:rPr>
        <w:drawing>
          <wp:anchor distT="0" distB="0" distL="114300" distR="114300" simplePos="0" relativeHeight="251655680" behindDoc="0" locked="0" layoutInCell="1" allowOverlap="1" wp14:anchorId="2ED1722D" wp14:editId="43CF3CA2">
            <wp:simplePos x="0" y="0"/>
            <wp:positionH relativeFrom="margin">
              <wp:posOffset>0</wp:posOffset>
            </wp:positionH>
            <wp:positionV relativeFrom="paragraph">
              <wp:posOffset>6350</wp:posOffset>
            </wp:positionV>
            <wp:extent cx="4524375" cy="2552700"/>
            <wp:effectExtent l="0" t="0" r="9525" b="0"/>
            <wp:wrapNone/>
            <wp:docPr id="14" name="Chart 14">
              <a:extLst xmlns:a="http://schemas.openxmlformats.org/drawingml/2006/main">
                <a:ext uri="{FF2B5EF4-FFF2-40B4-BE49-F238E27FC236}">
                  <a16:creationId xmlns:a16="http://schemas.microsoft.com/office/drawing/2014/main" id="{9631273F-DC97-4104-BE52-C230E8B001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BAA3479" w14:textId="77777777" w:rsidR="00D94E70" w:rsidRPr="00213F66" w:rsidRDefault="00D94E70" w:rsidP="00D94E70">
      <w:pPr>
        <w:spacing w:after="0"/>
        <w:rPr>
          <w:rFonts w:ascii="Arial" w:hAnsi="Arial" w:cs="Arial"/>
          <w:b/>
          <w:sz w:val="20"/>
          <w:szCs w:val="20"/>
        </w:rPr>
      </w:pPr>
    </w:p>
    <w:p w14:paraId="1BABC606" w14:textId="77777777" w:rsidR="00D94E70" w:rsidRPr="00213F66" w:rsidRDefault="00D94E70" w:rsidP="00D94E70">
      <w:pPr>
        <w:spacing w:after="0"/>
        <w:rPr>
          <w:rFonts w:ascii="Arial" w:hAnsi="Arial" w:cs="Arial"/>
          <w:b/>
          <w:sz w:val="20"/>
          <w:szCs w:val="20"/>
        </w:rPr>
      </w:pPr>
    </w:p>
    <w:p w14:paraId="27D89345" w14:textId="77777777" w:rsidR="00D94E70" w:rsidRPr="00213F66" w:rsidRDefault="00D94E70" w:rsidP="00D94E70">
      <w:pPr>
        <w:spacing w:after="0"/>
        <w:rPr>
          <w:rFonts w:ascii="Arial" w:hAnsi="Arial" w:cs="Arial"/>
          <w:b/>
          <w:sz w:val="20"/>
          <w:szCs w:val="20"/>
        </w:rPr>
      </w:pPr>
    </w:p>
    <w:p w14:paraId="3A9695A9" w14:textId="77777777" w:rsidR="00D94E70" w:rsidRPr="00213F66" w:rsidRDefault="00D94E70" w:rsidP="00D94E70">
      <w:pPr>
        <w:spacing w:after="0"/>
        <w:rPr>
          <w:rFonts w:ascii="Arial" w:hAnsi="Arial" w:cs="Arial"/>
          <w:b/>
          <w:sz w:val="20"/>
          <w:szCs w:val="20"/>
        </w:rPr>
      </w:pPr>
    </w:p>
    <w:p w14:paraId="3DF834D5" w14:textId="77777777" w:rsidR="00D94E70" w:rsidRPr="00213F66" w:rsidRDefault="00D94E70" w:rsidP="00D94E70">
      <w:pPr>
        <w:spacing w:after="0"/>
        <w:rPr>
          <w:rFonts w:ascii="Arial" w:hAnsi="Arial" w:cs="Arial"/>
          <w:b/>
          <w:sz w:val="20"/>
          <w:szCs w:val="20"/>
        </w:rPr>
      </w:pPr>
    </w:p>
    <w:p w14:paraId="760FB14F" w14:textId="77777777" w:rsidR="00D94E70" w:rsidRPr="00213F66" w:rsidRDefault="00D94E70" w:rsidP="00D94E70">
      <w:pPr>
        <w:spacing w:after="0"/>
        <w:rPr>
          <w:rFonts w:ascii="Arial" w:hAnsi="Arial" w:cs="Arial"/>
          <w:b/>
          <w:sz w:val="20"/>
          <w:szCs w:val="20"/>
        </w:rPr>
      </w:pPr>
    </w:p>
    <w:p w14:paraId="53120D0C" w14:textId="77777777" w:rsidR="00D94E70" w:rsidRPr="00213F66" w:rsidRDefault="00D94E70" w:rsidP="00D94E70">
      <w:pPr>
        <w:spacing w:after="0"/>
        <w:rPr>
          <w:rFonts w:ascii="Arial" w:hAnsi="Arial" w:cs="Arial"/>
          <w:b/>
          <w:sz w:val="20"/>
          <w:szCs w:val="20"/>
        </w:rPr>
      </w:pPr>
    </w:p>
    <w:p w14:paraId="768B6E2E" w14:textId="77777777" w:rsidR="00D94E70" w:rsidRPr="00213F66" w:rsidRDefault="00D94E70" w:rsidP="00D94E70">
      <w:pPr>
        <w:spacing w:after="0"/>
        <w:rPr>
          <w:rFonts w:ascii="Arial" w:hAnsi="Arial" w:cs="Arial"/>
          <w:b/>
          <w:sz w:val="20"/>
          <w:szCs w:val="20"/>
        </w:rPr>
      </w:pPr>
    </w:p>
    <w:p w14:paraId="5E0EDF55" w14:textId="77777777" w:rsidR="00D94E70" w:rsidRPr="00213F66" w:rsidRDefault="00D94E70" w:rsidP="00D94E70">
      <w:pPr>
        <w:spacing w:after="0"/>
        <w:rPr>
          <w:rFonts w:ascii="Arial" w:hAnsi="Arial" w:cs="Arial"/>
          <w:b/>
          <w:sz w:val="20"/>
          <w:szCs w:val="20"/>
        </w:rPr>
      </w:pPr>
    </w:p>
    <w:p w14:paraId="7B9AAD32" w14:textId="77777777" w:rsidR="00D94E70" w:rsidRPr="00213F66" w:rsidRDefault="00D94E70" w:rsidP="00D94E70">
      <w:pPr>
        <w:spacing w:after="0"/>
        <w:rPr>
          <w:rFonts w:ascii="Arial" w:hAnsi="Arial" w:cs="Arial"/>
          <w:b/>
          <w:sz w:val="20"/>
          <w:szCs w:val="20"/>
        </w:rPr>
      </w:pPr>
    </w:p>
    <w:p w14:paraId="77F357E3" w14:textId="77777777" w:rsidR="00D94E70" w:rsidRPr="00213F66" w:rsidRDefault="00D94E70" w:rsidP="00D94E70">
      <w:pPr>
        <w:spacing w:after="0"/>
        <w:rPr>
          <w:rFonts w:ascii="Arial" w:hAnsi="Arial" w:cs="Arial"/>
          <w:b/>
          <w:sz w:val="20"/>
          <w:szCs w:val="20"/>
        </w:rPr>
      </w:pPr>
    </w:p>
    <w:p w14:paraId="4D7FA210" w14:textId="77777777" w:rsidR="00D94E70" w:rsidRPr="00213F66" w:rsidRDefault="00D94E70" w:rsidP="00D94E70">
      <w:pPr>
        <w:spacing w:after="0"/>
        <w:rPr>
          <w:rFonts w:ascii="Arial" w:hAnsi="Arial" w:cs="Arial"/>
          <w:b/>
          <w:sz w:val="20"/>
          <w:szCs w:val="20"/>
        </w:rPr>
      </w:pPr>
    </w:p>
    <w:p w14:paraId="347930BB" w14:textId="77777777" w:rsidR="00D94E70" w:rsidRPr="00213F66" w:rsidRDefault="00D94E70" w:rsidP="00D94E70">
      <w:pPr>
        <w:spacing w:after="0"/>
        <w:rPr>
          <w:rFonts w:ascii="Arial" w:hAnsi="Arial" w:cs="Arial"/>
          <w:b/>
          <w:sz w:val="20"/>
          <w:szCs w:val="20"/>
        </w:rPr>
      </w:pPr>
    </w:p>
    <w:p w14:paraId="284F4582" w14:textId="77777777" w:rsidR="00D94E70" w:rsidRPr="00213F66" w:rsidRDefault="00D94E70" w:rsidP="00D94E70">
      <w:pPr>
        <w:spacing w:after="0"/>
        <w:rPr>
          <w:rFonts w:ascii="Arial" w:hAnsi="Arial" w:cs="Arial"/>
          <w:b/>
          <w:sz w:val="20"/>
          <w:szCs w:val="20"/>
        </w:rPr>
      </w:pPr>
      <w:r w:rsidRPr="00213F66">
        <w:rPr>
          <w:rFonts w:ascii="Arial" w:hAnsi="Arial" w:cs="Arial"/>
          <w:b/>
          <w:sz w:val="20"/>
          <w:szCs w:val="20"/>
        </w:rPr>
        <w:t xml:space="preserve">         </w:t>
      </w:r>
    </w:p>
    <w:p w14:paraId="042A6253" w14:textId="77777777" w:rsidR="00817060" w:rsidRPr="00213F66" w:rsidRDefault="0003608E" w:rsidP="007014C9">
      <w:pPr>
        <w:jc w:val="both"/>
        <w:rPr>
          <w:rFonts w:ascii="Arial" w:hAnsi="Arial" w:cs="Arial"/>
          <w:b/>
          <w:sz w:val="20"/>
          <w:szCs w:val="20"/>
        </w:rPr>
      </w:pPr>
      <w:r w:rsidRPr="00213F66">
        <w:rPr>
          <w:rFonts w:ascii="Arial" w:hAnsi="Arial" w:cs="Arial"/>
          <w:b/>
          <w:sz w:val="20"/>
          <w:szCs w:val="20"/>
        </w:rPr>
        <w:t xml:space="preserve"> </w:t>
      </w:r>
    </w:p>
    <w:p w14:paraId="690AB250" w14:textId="77777777" w:rsidR="007014C9" w:rsidRPr="00213F66" w:rsidRDefault="007014C9" w:rsidP="007014C9">
      <w:pPr>
        <w:jc w:val="both"/>
        <w:rPr>
          <w:rFonts w:ascii="Arial" w:hAnsi="Arial" w:cs="Arial"/>
          <w:b/>
          <w:kern w:val="2"/>
          <w:sz w:val="20"/>
          <w:szCs w:val="20"/>
        </w:rPr>
      </w:pPr>
      <w:r w:rsidRPr="00213F66">
        <w:rPr>
          <w:rFonts w:ascii="Arial" w:hAnsi="Arial" w:cs="Arial"/>
          <w:b/>
          <w:sz w:val="20"/>
          <w:szCs w:val="20"/>
        </w:rPr>
        <w:t xml:space="preserve">Fig. 5. Antibacterial activity of crude alkaloids extracted from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20 mg/mL of </w:t>
      </w:r>
      <w:r w:rsidRPr="00213F66">
        <w:rPr>
          <w:rFonts w:ascii="Arial" w:hAnsi="Arial" w:cs="Arial"/>
          <w:b/>
          <w:kern w:val="2"/>
          <w:sz w:val="20"/>
          <w:szCs w:val="20"/>
        </w:rPr>
        <w:t xml:space="preserve">Gentamycin </w:t>
      </w:r>
    </w:p>
    <w:p w14:paraId="5A678EB0" w14:textId="77777777" w:rsidR="003C5742" w:rsidRPr="00213F66" w:rsidRDefault="003C5742" w:rsidP="00D94E70">
      <w:pPr>
        <w:spacing w:after="0"/>
        <w:rPr>
          <w:rFonts w:ascii="Arial" w:hAnsi="Arial" w:cs="Arial"/>
          <w:b/>
          <w:bCs/>
          <w:i/>
          <w:iCs/>
          <w:sz w:val="20"/>
          <w:szCs w:val="20"/>
        </w:rPr>
      </w:pPr>
    </w:p>
    <w:p w14:paraId="51D9D7CB" w14:textId="77777777" w:rsidR="00F55B65" w:rsidRPr="00213F66" w:rsidRDefault="00F55B65" w:rsidP="00D94E70">
      <w:pPr>
        <w:spacing w:after="0"/>
        <w:rPr>
          <w:rFonts w:ascii="Arial" w:hAnsi="Arial" w:cs="Arial"/>
          <w:b/>
          <w:bCs/>
          <w:i/>
          <w:iCs/>
          <w:sz w:val="20"/>
          <w:szCs w:val="20"/>
        </w:rPr>
      </w:pPr>
    </w:p>
    <w:p w14:paraId="2D386921" w14:textId="77777777" w:rsidR="007014C9" w:rsidRPr="00213F66" w:rsidRDefault="007014C9" w:rsidP="00D94E70">
      <w:pPr>
        <w:rPr>
          <w:rFonts w:ascii="Arial" w:hAnsi="Arial" w:cs="Arial"/>
          <w:b/>
          <w:bCs/>
          <w:i/>
          <w:iCs/>
          <w:sz w:val="20"/>
          <w:szCs w:val="20"/>
        </w:rPr>
      </w:pPr>
    </w:p>
    <w:p w14:paraId="6825DD6B" w14:textId="77777777" w:rsidR="007014C9" w:rsidRPr="00213F66" w:rsidRDefault="007014C9" w:rsidP="00D94E70">
      <w:pPr>
        <w:rPr>
          <w:rFonts w:ascii="Arial" w:hAnsi="Arial" w:cs="Arial"/>
          <w:b/>
          <w:bCs/>
          <w:i/>
          <w:iCs/>
          <w:sz w:val="20"/>
          <w:szCs w:val="20"/>
        </w:rPr>
      </w:pPr>
    </w:p>
    <w:p w14:paraId="0FAC4830" w14:textId="77777777" w:rsidR="007014C9" w:rsidRPr="00213F66" w:rsidRDefault="007014C9" w:rsidP="00D94E70">
      <w:pPr>
        <w:rPr>
          <w:rFonts w:ascii="Arial" w:hAnsi="Arial" w:cs="Arial"/>
          <w:b/>
          <w:bCs/>
          <w:i/>
          <w:iCs/>
          <w:sz w:val="20"/>
          <w:szCs w:val="20"/>
        </w:rPr>
      </w:pPr>
    </w:p>
    <w:p w14:paraId="5F5A05A5" w14:textId="77777777" w:rsidR="007014C9" w:rsidRPr="00213F66" w:rsidRDefault="007014C9" w:rsidP="00D94E70">
      <w:pPr>
        <w:rPr>
          <w:rFonts w:ascii="Arial" w:hAnsi="Arial" w:cs="Arial"/>
          <w:b/>
          <w:bCs/>
          <w:i/>
          <w:iCs/>
          <w:sz w:val="20"/>
          <w:szCs w:val="20"/>
        </w:rPr>
      </w:pPr>
    </w:p>
    <w:p w14:paraId="1B976B3A" w14:textId="77777777" w:rsidR="007014C9" w:rsidRPr="00213F66" w:rsidRDefault="007014C9" w:rsidP="00D94E70">
      <w:pPr>
        <w:rPr>
          <w:rFonts w:ascii="Arial" w:hAnsi="Arial" w:cs="Arial"/>
          <w:b/>
          <w:bCs/>
          <w:i/>
          <w:iCs/>
          <w:sz w:val="20"/>
          <w:szCs w:val="20"/>
        </w:rPr>
      </w:pPr>
    </w:p>
    <w:p w14:paraId="1AF95335" w14:textId="77777777" w:rsidR="007014C9" w:rsidRPr="00213F66" w:rsidRDefault="00A9454D" w:rsidP="00D94E70">
      <w:pPr>
        <w:rPr>
          <w:rFonts w:ascii="Arial" w:hAnsi="Arial" w:cs="Arial"/>
          <w:b/>
          <w:bCs/>
          <w:i/>
          <w:iCs/>
          <w:sz w:val="20"/>
          <w:szCs w:val="20"/>
        </w:rPr>
      </w:pPr>
      <w:r w:rsidRPr="00213F66">
        <w:rPr>
          <w:noProof/>
        </w:rPr>
        <w:drawing>
          <wp:anchor distT="0" distB="0" distL="114300" distR="114300" simplePos="0" relativeHeight="251657728" behindDoc="0" locked="0" layoutInCell="1" allowOverlap="1" wp14:anchorId="7FD8AFC3" wp14:editId="26EC1BB6">
            <wp:simplePos x="0" y="0"/>
            <wp:positionH relativeFrom="column">
              <wp:posOffset>400050</wp:posOffset>
            </wp:positionH>
            <wp:positionV relativeFrom="paragraph">
              <wp:posOffset>257175</wp:posOffset>
            </wp:positionV>
            <wp:extent cx="5029200" cy="2743200"/>
            <wp:effectExtent l="0" t="0" r="0" b="0"/>
            <wp:wrapNone/>
            <wp:docPr id="1" name="Chart 1">
              <a:extLst xmlns:a="http://schemas.openxmlformats.org/drawingml/2006/main">
                <a:ext uri="{FF2B5EF4-FFF2-40B4-BE49-F238E27FC236}">
                  <a16:creationId xmlns:a16="http://schemas.microsoft.com/office/drawing/2014/main" id="{B64FFF10-C60F-442A-BABA-400CE0658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9F9E880" w14:textId="77777777" w:rsidR="007014C9" w:rsidRPr="00213F66" w:rsidRDefault="007014C9" w:rsidP="00D94E70">
      <w:pPr>
        <w:rPr>
          <w:rFonts w:ascii="Arial" w:hAnsi="Arial" w:cs="Arial"/>
          <w:b/>
          <w:bCs/>
          <w:i/>
          <w:iCs/>
          <w:sz w:val="20"/>
          <w:szCs w:val="20"/>
        </w:rPr>
      </w:pPr>
    </w:p>
    <w:p w14:paraId="335964F2" w14:textId="77777777" w:rsidR="007014C9" w:rsidRPr="00213F66" w:rsidRDefault="007014C9" w:rsidP="00D94E70">
      <w:pPr>
        <w:rPr>
          <w:rFonts w:ascii="Arial" w:hAnsi="Arial" w:cs="Arial"/>
          <w:b/>
          <w:bCs/>
          <w:i/>
          <w:iCs/>
          <w:sz w:val="20"/>
          <w:szCs w:val="20"/>
        </w:rPr>
      </w:pPr>
    </w:p>
    <w:p w14:paraId="078267B7" w14:textId="77777777" w:rsidR="007014C9" w:rsidRPr="00213F66" w:rsidRDefault="007014C9" w:rsidP="00D94E70">
      <w:pPr>
        <w:rPr>
          <w:rFonts w:ascii="Arial" w:hAnsi="Arial" w:cs="Arial"/>
          <w:b/>
          <w:bCs/>
          <w:i/>
          <w:iCs/>
          <w:sz w:val="20"/>
          <w:szCs w:val="20"/>
        </w:rPr>
      </w:pPr>
    </w:p>
    <w:p w14:paraId="30D19C1E" w14:textId="77777777" w:rsidR="00D94E70" w:rsidRPr="00213F66" w:rsidRDefault="00D94E70" w:rsidP="00D94E70">
      <w:pPr>
        <w:rPr>
          <w:rFonts w:ascii="Arial" w:hAnsi="Arial" w:cs="Arial"/>
          <w:b/>
          <w:bCs/>
          <w:i/>
          <w:iCs/>
          <w:sz w:val="20"/>
          <w:szCs w:val="20"/>
        </w:rPr>
      </w:pPr>
    </w:p>
    <w:p w14:paraId="745EED0F" w14:textId="77777777" w:rsidR="00D94E70" w:rsidRPr="00213F66" w:rsidRDefault="00D94E70" w:rsidP="00D94E70">
      <w:pPr>
        <w:rPr>
          <w:rFonts w:ascii="Arial" w:hAnsi="Arial" w:cs="Arial"/>
          <w:sz w:val="20"/>
          <w:szCs w:val="20"/>
        </w:rPr>
      </w:pPr>
    </w:p>
    <w:p w14:paraId="78B94132" w14:textId="77777777" w:rsidR="00D94E70" w:rsidRPr="00213F66" w:rsidRDefault="00D94E70" w:rsidP="00D94E70">
      <w:pPr>
        <w:rPr>
          <w:rFonts w:ascii="Arial" w:hAnsi="Arial" w:cs="Arial"/>
          <w:sz w:val="20"/>
          <w:szCs w:val="20"/>
        </w:rPr>
      </w:pPr>
    </w:p>
    <w:p w14:paraId="760718F7" w14:textId="77777777" w:rsidR="00D94E70" w:rsidRPr="00213F66" w:rsidRDefault="00D94E70" w:rsidP="00D94E70">
      <w:pPr>
        <w:rPr>
          <w:rFonts w:ascii="Arial" w:hAnsi="Arial" w:cs="Arial"/>
          <w:sz w:val="20"/>
          <w:szCs w:val="20"/>
        </w:rPr>
      </w:pPr>
    </w:p>
    <w:p w14:paraId="0955BB0A" w14:textId="77777777" w:rsidR="00D94E70" w:rsidRPr="00213F66" w:rsidRDefault="00D94E70" w:rsidP="00D94E70">
      <w:pPr>
        <w:rPr>
          <w:rFonts w:ascii="Arial" w:hAnsi="Arial" w:cs="Arial"/>
          <w:sz w:val="20"/>
          <w:szCs w:val="20"/>
        </w:rPr>
      </w:pPr>
    </w:p>
    <w:p w14:paraId="38F51320" w14:textId="77777777" w:rsidR="00D94E70" w:rsidRPr="00213F66" w:rsidRDefault="00D94E70" w:rsidP="00D94E70">
      <w:pPr>
        <w:rPr>
          <w:rFonts w:ascii="Arial" w:hAnsi="Arial" w:cs="Arial"/>
          <w:sz w:val="20"/>
          <w:szCs w:val="20"/>
        </w:rPr>
      </w:pPr>
    </w:p>
    <w:p w14:paraId="2CEB77B6" w14:textId="77777777" w:rsidR="00D94E70" w:rsidRPr="00213F66" w:rsidRDefault="00D94E70" w:rsidP="00D94E70">
      <w:pPr>
        <w:rPr>
          <w:rFonts w:ascii="Arial" w:hAnsi="Arial" w:cs="Arial"/>
          <w:sz w:val="20"/>
          <w:szCs w:val="20"/>
        </w:rPr>
      </w:pPr>
    </w:p>
    <w:p w14:paraId="605C46B9" w14:textId="77777777" w:rsidR="003C5742" w:rsidRPr="00213F66" w:rsidRDefault="003C5742" w:rsidP="00D94E70">
      <w:pPr>
        <w:rPr>
          <w:rFonts w:ascii="Arial" w:hAnsi="Arial" w:cs="Arial"/>
          <w:sz w:val="20"/>
          <w:szCs w:val="20"/>
        </w:rPr>
      </w:pPr>
    </w:p>
    <w:p w14:paraId="4F121D98" w14:textId="77777777" w:rsidR="00817060" w:rsidRPr="00213F66" w:rsidRDefault="00D94E70" w:rsidP="00817060">
      <w:pPr>
        <w:jc w:val="both"/>
        <w:rPr>
          <w:rFonts w:ascii="Arial" w:hAnsi="Arial" w:cs="Arial"/>
          <w:b/>
          <w:kern w:val="2"/>
          <w:sz w:val="20"/>
          <w:szCs w:val="20"/>
        </w:rPr>
      </w:pPr>
      <w:r w:rsidRPr="00213F66">
        <w:rPr>
          <w:rFonts w:ascii="Arial" w:hAnsi="Arial" w:cs="Arial"/>
          <w:b/>
          <w:sz w:val="20"/>
          <w:szCs w:val="20"/>
        </w:rPr>
        <w:t xml:space="preserve"> </w:t>
      </w:r>
      <w:r w:rsidR="00817060" w:rsidRPr="00213F66">
        <w:rPr>
          <w:rFonts w:ascii="Arial" w:hAnsi="Arial" w:cs="Arial"/>
          <w:b/>
          <w:sz w:val="20"/>
          <w:szCs w:val="20"/>
        </w:rPr>
        <w:t xml:space="preserve">Fig. 6. Antibacterial activity of flavonoids extracted from </w:t>
      </w:r>
      <w:r w:rsidR="00817060" w:rsidRPr="00213F66">
        <w:rPr>
          <w:rFonts w:ascii="Arial" w:hAnsi="Arial" w:cs="Arial"/>
          <w:b/>
          <w:bCs/>
          <w:i/>
          <w:iCs/>
          <w:sz w:val="20"/>
          <w:szCs w:val="20"/>
        </w:rPr>
        <w:t xml:space="preserve">Mentha piperita </w:t>
      </w:r>
      <w:r w:rsidR="00817060" w:rsidRPr="00213F66">
        <w:rPr>
          <w:rFonts w:ascii="Arial" w:hAnsi="Arial" w:cs="Arial"/>
          <w:b/>
          <w:sz w:val="20"/>
          <w:szCs w:val="20"/>
        </w:rPr>
        <w:t xml:space="preserve">(in mg/mL) and 20 mg/mL of </w:t>
      </w:r>
      <w:r w:rsidR="00817060" w:rsidRPr="00213F66">
        <w:rPr>
          <w:rFonts w:ascii="Arial" w:hAnsi="Arial" w:cs="Arial"/>
          <w:b/>
          <w:kern w:val="2"/>
          <w:sz w:val="20"/>
          <w:szCs w:val="20"/>
        </w:rPr>
        <w:t xml:space="preserve">Gentamycin </w:t>
      </w:r>
    </w:p>
    <w:p w14:paraId="050629C3" w14:textId="77777777" w:rsidR="007E63A2" w:rsidRPr="00213F66" w:rsidRDefault="007E63A2" w:rsidP="00817060">
      <w:pPr>
        <w:jc w:val="both"/>
        <w:rPr>
          <w:rFonts w:ascii="Arial" w:hAnsi="Arial" w:cs="Arial"/>
          <w:b/>
          <w:kern w:val="2"/>
          <w:sz w:val="20"/>
          <w:szCs w:val="20"/>
        </w:rPr>
      </w:pPr>
      <w:r w:rsidRPr="00213F66">
        <w:rPr>
          <w:noProof/>
        </w:rPr>
        <w:drawing>
          <wp:anchor distT="0" distB="0" distL="114300" distR="114300" simplePos="0" relativeHeight="251664896" behindDoc="0" locked="0" layoutInCell="1" allowOverlap="1" wp14:anchorId="7F44614B" wp14:editId="579687AE">
            <wp:simplePos x="0" y="0"/>
            <wp:positionH relativeFrom="column">
              <wp:posOffset>409575</wp:posOffset>
            </wp:positionH>
            <wp:positionV relativeFrom="paragraph">
              <wp:posOffset>15875</wp:posOffset>
            </wp:positionV>
            <wp:extent cx="4410075" cy="2381250"/>
            <wp:effectExtent l="0" t="0" r="9525" b="0"/>
            <wp:wrapNone/>
            <wp:docPr id="4" name="Chart 4">
              <a:extLst xmlns:a="http://schemas.openxmlformats.org/drawingml/2006/main">
                <a:ext uri="{FF2B5EF4-FFF2-40B4-BE49-F238E27FC236}">
                  <a16:creationId xmlns:a16="http://schemas.microsoft.com/office/drawing/2014/main" id="{5189695E-9998-4E97-80EF-18BEEF0698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87CD3A3" w14:textId="77777777" w:rsidR="00D94E70" w:rsidRPr="00213F66" w:rsidRDefault="00D94E70" w:rsidP="00D94E70">
      <w:pPr>
        <w:rPr>
          <w:rFonts w:ascii="Arial" w:hAnsi="Arial" w:cs="Arial"/>
          <w:sz w:val="20"/>
          <w:szCs w:val="20"/>
        </w:rPr>
      </w:pPr>
      <w:r w:rsidRPr="00213F66">
        <w:rPr>
          <w:rFonts w:ascii="Arial" w:hAnsi="Arial" w:cs="Arial"/>
          <w:sz w:val="20"/>
          <w:szCs w:val="20"/>
        </w:rPr>
        <w:t xml:space="preserve">                                                                                                                                                                      </w:t>
      </w:r>
    </w:p>
    <w:p w14:paraId="47CFFE17" w14:textId="77777777" w:rsidR="00D94E70" w:rsidRPr="00213F66" w:rsidRDefault="00D94E70" w:rsidP="00D94E70">
      <w:pPr>
        <w:rPr>
          <w:rFonts w:ascii="Arial" w:hAnsi="Arial" w:cs="Arial"/>
          <w:sz w:val="20"/>
          <w:szCs w:val="20"/>
        </w:rPr>
      </w:pPr>
    </w:p>
    <w:p w14:paraId="11538516" w14:textId="77777777" w:rsidR="00D94E70" w:rsidRPr="00213F66" w:rsidRDefault="00D94E70" w:rsidP="00D94E70">
      <w:pPr>
        <w:rPr>
          <w:rFonts w:ascii="Arial" w:hAnsi="Arial" w:cs="Arial"/>
          <w:sz w:val="20"/>
          <w:szCs w:val="20"/>
        </w:rPr>
      </w:pPr>
    </w:p>
    <w:p w14:paraId="4C255078" w14:textId="77777777" w:rsidR="00D94E70" w:rsidRPr="00213F66" w:rsidRDefault="00D94E70" w:rsidP="00D94E70">
      <w:pPr>
        <w:rPr>
          <w:rFonts w:ascii="Arial" w:hAnsi="Arial" w:cs="Arial"/>
          <w:sz w:val="20"/>
          <w:szCs w:val="20"/>
        </w:rPr>
      </w:pPr>
    </w:p>
    <w:p w14:paraId="4E8CDD44" w14:textId="77777777" w:rsidR="00D94E70" w:rsidRPr="00213F66" w:rsidRDefault="00D94E70" w:rsidP="00D94E70">
      <w:pPr>
        <w:rPr>
          <w:rFonts w:ascii="Arial" w:hAnsi="Arial" w:cs="Arial"/>
          <w:sz w:val="20"/>
          <w:szCs w:val="20"/>
        </w:rPr>
      </w:pPr>
    </w:p>
    <w:p w14:paraId="0D115319" w14:textId="77777777" w:rsidR="00D94E70" w:rsidRPr="00213F66" w:rsidRDefault="00D94E70" w:rsidP="00D94E70">
      <w:pPr>
        <w:rPr>
          <w:rFonts w:ascii="Arial" w:hAnsi="Arial" w:cs="Arial"/>
          <w:sz w:val="20"/>
          <w:szCs w:val="20"/>
        </w:rPr>
      </w:pPr>
    </w:p>
    <w:p w14:paraId="6CAD8DF1" w14:textId="77777777" w:rsidR="00D94E70" w:rsidRPr="00213F66" w:rsidRDefault="00D94E70" w:rsidP="00D94E70">
      <w:pPr>
        <w:rPr>
          <w:rFonts w:ascii="Arial" w:hAnsi="Arial" w:cs="Arial"/>
          <w:sz w:val="20"/>
          <w:szCs w:val="20"/>
        </w:rPr>
      </w:pPr>
    </w:p>
    <w:p w14:paraId="592B48AA" w14:textId="77777777" w:rsidR="00D94E70" w:rsidRPr="00213F66" w:rsidRDefault="00D94E70" w:rsidP="00D94E70">
      <w:pPr>
        <w:rPr>
          <w:rFonts w:ascii="Arial" w:hAnsi="Arial" w:cs="Arial"/>
          <w:b/>
          <w:sz w:val="20"/>
          <w:szCs w:val="20"/>
        </w:rPr>
      </w:pPr>
      <w:r w:rsidRPr="00213F66">
        <w:rPr>
          <w:rFonts w:ascii="Arial" w:hAnsi="Arial" w:cs="Arial"/>
          <w:b/>
          <w:sz w:val="20"/>
          <w:szCs w:val="20"/>
        </w:rPr>
        <w:t xml:space="preserve">             </w:t>
      </w:r>
    </w:p>
    <w:p w14:paraId="6C8F942C" w14:textId="77777777" w:rsidR="00526251" w:rsidRPr="00213F66" w:rsidRDefault="00D94E70" w:rsidP="00D94E70">
      <w:pPr>
        <w:rPr>
          <w:rFonts w:ascii="Arial" w:hAnsi="Arial" w:cs="Arial"/>
          <w:b/>
          <w:sz w:val="20"/>
          <w:szCs w:val="20"/>
        </w:rPr>
      </w:pPr>
      <w:r w:rsidRPr="00213F66">
        <w:rPr>
          <w:rFonts w:ascii="Arial" w:hAnsi="Arial" w:cs="Arial"/>
          <w:b/>
          <w:sz w:val="20"/>
          <w:szCs w:val="20"/>
        </w:rPr>
        <w:t xml:space="preserve">                 </w:t>
      </w:r>
    </w:p>
    <w:p w14:paraId="5B3443D5" w14:textId="77777777" w:rsidR="007E63A2" w:rsidRPr="00213F66" w:rsidRDefault="00D94E70" w:rsidP="007E63A2">
      <w:pPr>
        <w:jc w:val="both"/>
        <w:rPr>
          <w:rFonts w:ascii="Arial" w:hAnsi="Arial" w:cs="Arial"/>
          <w:b/>
          <w:kern w:val="2"/>
          <w:sz w:val="20"/>
          <w:szCs w:val="20"/>
        </w:rPr>
      </w:pPr>
      <w:r w:rsidRPr="00213F66">
        <w:rPr>
          <w:rFonts w:ascii="Arial" w:hAnsi="Arial" w:cs="Arial"/>
          <w:b/>
          <w:sz w:val="20"/>
          <w:szCs w:val="20"/>
        </w:rPr>
        <w:t xml:space="preserve"> </w:t>
      </w:r>
      <w:r w:rsidR="007E63A2" w:rsidRPr="00213F66">
        <w:rPr>
          <w:rFonts w:ascii="Arial" w:hAnsi="Arial" w:cs="Arial"/>
          <w:b/>
          <w:sz w:val="20"/>
          <w:szCs w:val="20"/>
        </w:rPr>
        <w:t xml:space="preserve">Fig. 7. Antibacterial activity of crude cardiac glycosides extracted from </w:t>
      </w:r>
      <w:r w:rsidR="007E63A2" w:rsidRPr="00213F66">
        <w:rPr>
          <w:rFonts w:ascii="Arial" w:hAnsi="Arial" w:cs="Arial"/>
          <w:b/>
          <w:bCs/>
          <w:i/>
          <w:iCs/>
          <w:sz w:val="20"/>
          <w:szCs w:val="20"/>
        </w:rPr>
        <w:t xml:space="preserve">Mentha piperita </w:t>
      </w:r>
      <w:r w:rsidR="007E63A2" w:rsidRPr="00213F66">
        <w:rPr>
          <w:rFonts w:ascii="Arial" w:hAnsi="Arial" w:cs="Arial"/>
          <w:b/>
          <w:sz w:val="20"/>
          <w:szCs w:val="20"/>
        </w:rPr>
        <w:t xml:space="preserve">(in mg/mL) and 20 mg/mL of </w:t>
      </w:r>
      <w:r w:rsidR="007E63A2" w:rsidRPr="00213F66">
        <w:rPr>
          <w:rFonts w:ascii="Arial" w:hAnsi="Arial" w:cs="Arial"/>
          <w:b/>
          <w:kern w:val="2"/>
          <w:sz w:val="20"/>
          <w:szCs w:val="20"/>
        </w:rPr>
        <w:t xml:space="preserve">Gentamycin </w:t>
      </w:r>
    </w:p>
    <w:p w14:paraId="7F1B3949" w14:textId="77777777" w:rsidR="00A9454D" w:rsidRPr="00213F66" w:rsidRDefault="00A9454D" w:rsidP="007E63A2">
      <w:pPr>
        <w:jc w:val="both"/>
        <w:rPr>
          <w:rFonts w:ascii="Arial" w:hAnsi="Arial" w:cs="Arial"/>
          <w:b/>
          <w:kern w:val="2"/>
          <w:sz w:val="20"/>
          <w:szCs w:val="20"/>
        </w:rPr>
      </w:pPr>
    </w:p>
    <w:p w14:paraId="5271AFD6" w14:textId="77777777" w:rsidR="00A9454D" w:rsidRPr="00213F66" w:rsidRDefault="00A9454D" w:rsidP="007E63A2">
      <w:pPr>
        <w:jc w:val="both"/>
        <w:rPr>
          <w:rFonts w:ascii="Arial" w:hAnsi="Arial" w:cs="Arial"/>
          <w:b/>
          <w:kern w:val="2"/>
          <w:sz w:val="20"/>
          <w:szCs w:val="20"/>
        </w:rPr>
      </w:pPr>
    </w:p>
    <w:p w14:paraId="6E738A91" w14:textId="77777777" w:rsidR="00A9454D" w:rsidRPr="00213F66" w:rsidRDefault="00A9454D" w:rsidP="007E63A2">
      <w:pPr>
        <w:jc w:val="both"/>
        <w:rPr>
          <w:rFonts w:ascii="Arial" w:hAnsi="Arial" w:cs="Arial"/>
          <w:b/>
          <w:kern w:val="2"/>
          <w:sz w:val="20"/>
          <w:szCs w:val="20"/>
        </w:rPr>
      </w:pPr>
    </w:p>
    <w:p w14:paraId="6197D71B" w14:textId="77777777" w:rsidR="00A9454D" w:rsidRPr="00213F66" w:rsidRDefault="00A9454D" w:rsidP="007E63A2">
      <w:pPr>
        <w:jc w:val="both"/>
        <w:rPr>
          <w:rFonts w:ascii="Arial" w:hAnsi="Arial" w:cs="Arial"/>
          <w:b/>
          <w:kern w:val="2"/>
          <w:sz w:val="20"/>
          <w:szCs w:val="20"/>
        </w:rPr>
      </w:pPr>
    </w:p>
    <w:p w14:paraId="19241F85" w14:textId="77777777" w:rsidR="00A9454D" w:rsidRPr="00213F66" w:rsidRDefault="00A9454D" w:rsidP="007E63A2">
      <w:pPr>
        <w:jc w:val="both"/>
        <w:rPr>
          <w:rFonts w:ascii="Arial" w:hAnsi="Arial" w:cs="Arial"/>
          <w:b/>
          <w:kern w:val="2"/>
          <w:sz w:val="20"/>
          <w:szCs w:val="20"/>
        </w:rPr>
      </w:pPr>
    </w:p>
    <w:p w14:paraId="19D9FCB2" w14:textId="77777777" w:rsidR="00A9454D" w:rsidRPr="00213F66" w:rsidRDefault="00A9454D" w:rsidP="007E63A2">
      <w:pPr>
        <w:jc w:val="both"/>
        <w:rPr>
          <w:rFonts w:ascii="Arial" w:hAnsi="Arial" w:cs="Arial"/>
          <w:b/>
          <w:kern w:val="2"/>
          <w:sz w:val="20"/>
          <w:szCs w:val="20"/>
        </w:rPr>
      </w:pPr>
    </w:p>
    <w:p w14:paraId="5AC00829" w14:textId="77777777" w:rsidR="00A9454D" w:rsidRPr="00213F66" w:rsidRDefault="00A9454D" w:rsidP="007E63A2">
      <w:pPr>
        <w:jc w:val="both"/>
        <w:rPr>
          <w:rFonts w:ascii="Arial" w:hAnsi="Arial" w:cs="Arial"/>
          <w:b/>
          <w:kern w:val="2"/>
          <w:sz w:val="20"/>
          <w:szCs w:val="20"/>
        </w:rPr>
      </w:pPr>
    </w:p>
    <w:p w14:paraId="14060263" w14:textId="77777777" w:rsidR="007E63A2" w:rsidRPr="00213F66" w:rsidRDefault="00A9454D" w:rsidP="007E63A2">
      <w:pPr>
        <w:jc w:val="both"/>
        <w:rPr>
          <w:rFonts w:ascii="Arial" w:hAnsi="Arial" w:cs="Arial"/>
          <w:b/>
          <w:kern w:val="2"/>
          <w:sz w:val="20"/>
          <w:szCs w:val="20"/>
        </w:rPr>
      </w:pPr>
      <w:r w:rsidRPr="00213F66">
        <w:rPr>
          <w:noProof/>
        </w:rPr>
        <w:drawing>
          <wp:anchor distT="0" distB="0" distL="114300" distR="114300" simplePos="0" relativeHeight="251659776" behindDoc="0" locked="0" layoutInCell="1" allowOverlap="1" wp14:anchorId="4A24E579" wp14:editId="3E6DDC71">
            <wp:simplePos x="0" y="0"/>
            <wp:positionH relativeFrom="column">
              <wp:posOffset>352425</wp:posOffset>
            </wp:positionH>
            <wp:positionV relativeFrom="paragraph">
              <wp:posOffset>17145</wp:posOffset>
            </wp:positionV>
            <wp:extent cx="4562475" cy="2228850"/>
            <wp:effectExtent l="0" t="0" r="9525" b="0"/>
            <wp:wrapNone/>
            <wp:docPr id="6" name="Chart 6">
              <a:extLst xmlns:a="http://schemas.openxmlformats.org/drawingml/2006/main">
                <a:ext uri="{FF2B5EF4-FFF2-40B4-BE49-F238E27FC236}">
                  <a16:creationId xmlns:a16="http://schemas.microsoft.com/office/drawing/2014/main" id="{22127689-2BEF-48EF-9469-4B70CEE700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5963C3F" w14:textId="77777777" w:rsidR="007E63A2" w:rsidRPr="00213F66" w:rsidRDefault="007E63A2" w:rsidP="007E63A2">
      <w:pPr>
        <w:jc w:val="both"/>
        <w:rPr>
          <w:rFonts w:ascii="Arial" w:hAnsi="Arial" w:cs="Arial"/>
          <w:b/>
          <w:kern w:val="2"/>
          <w:sz w:val="20"/>
          <w:szCs w:val="20"/>
        </w:rPr>
      </w:pPr>
    </w:p>
    <w:p w14:paraId="2F922424" w14:textId="77777777" w:rsidR="007E63A2" w:rsidRPr="00213F66" w:rsidRDefault="007E63A2" w:rsidP="007E63A2">
      <w:pPr>
        <w:jc w:val="both"/>
        <w:rPr>
          <w:rFonts w:ascii="Arial" w:hAnsi="Arial" w:cs="Arial"/>
          <w:b/>
          <w:kern w:val="2"/>
          <w:sz w:val="20"/>
          <w:szCs w:val="20"/>
        </w:rPr>
      </w:pPr>
    </w:p>
    <w:p w14:paraId="14813819" w14:textId="77777777" w:rsidR="007E63A2" w:rsidRPr="00213F66" w:rsidRDefault="007E63A2" w:rsidP="007E63A2">
      <w:pPr>
        <w:jc w:val="both"/>
        <w:rPr>
          <w:rFonts w:ascii="Arial" w:hAnsi="Arial" w:cs="Arial"/>
          <w:b/>
          <w:kern w:val="2"/>
          <w:sz w:val="20"/>
          <w:szCs w:val="20"/>
        </w:rPr>
      </w:pPr>
    </w:p>
    <w:p w14:paraId="3C51C158" w14:textId="77777777" w:rsidR="007E63A2" w:rsidRPr="00213F66" w:rsidRDefault="007E63A2" w:rsidP="007E63A2">
      <w:pPr>
        <w:jc w:val="both"/>
        <w:rPr>
          <w:rFonts w:ascii="Arial" w:hAnsi="Arial" w:cs="Arial"/>
          <w:b/>
          <w:kern w:val="2"/>
          <w:sz w:val="20"/>
          <w:szCs w:val="20"/>
        </w:rPr>
      </w:pPr>
    </w:p>
    <w:p w14:paraId="27731188" w14:textId="77777777" w:rsidR="007E63A2" w:rsidRPr="00213F66" w:rsidRDefault="007E63A2" w:rsidP="00D94E70">
      <w:pPr>
        <w:rPr>
          <w:rFonts w:ascii="Arial" w:hAnsi="Arial" w:cs="Arial"/>
          <w:b/>
          <w:sz w:val="20"/>
          <w:szCs w:val="20"/>
        </w:rPr>
      </w:pPr>
    </w:p>
    <w:p w14:paraId="0474499B" w14:textId="77777777" w:rsidR="007E63A2" w:rsidRPr="00213F66" w:rsidRDefault="007E63A2" w:rsidP="00D94E70">
      <w:pPr>
        <w:rPr>
          <w:rFonts w:ascii="Arial" w:hAnsi="Arial" w:cs="Arial"/>
          <w:b/>
          <w:sz w:val="20"/>
          <w:szCs w:val="20"/>
        </w:rPr>
      </w:pPr>
    </w:p>
    <w:p w14:paraId="7C385F73" w14:textId="77777777" w:rsidR="007E63A2" w:rsidRPr="00213F66" w:rsidRDefault="007E63A2" w:rsidP="00D94E70">
      <w:pPr>
        <w:rPr>
          <w:rFonts w:ascii="Arial" w:hAnsi="Arial" w:cs="Arial"/>
          <w:b/>
          <w:sz w:val="20"/>
          <w:szCs w:val="20"/>
        </w:rPr>
      </w:pPr>
    </w:p>
    <w:p w14:paraId="19B2BC0F" w14:textId="77777777" w:rsidR="007E63A2" w:rsidRPr="00213F66" w:rsidRDefault="007E63A2" w:rsidP="00D94E70">
      <w:pPr>
        <w:rPr>
          <w:rFonts w:ascii="Arial" w:hAnsi="Arial" w:cs="Arial"/>
          <w:b/>
          <w:sz w:val="20"/>
          <w:szCs w:val="20"/>
        </w:rPr>
      </w:pPr>
    </w:p>
    <w:p w14:paraId="78E559E5" w14:textId="77777777" w:rsidR="007E63A2" w:rsidRPr="00213F66" w:rsidRDefault="007E63A2" w:rsidP="007E63A2">
      <w:pPr>
        <w:jc w:val="both"/>
        <w:rPr>
          <w:rFonts w:ascii="Arial" w:hAnsi="Arial" w:cs="Arial"/>
          <w:b/>
          <w:kern w:val="2"/>
          <w:sz w:val="20"/>
          <w:szCs w:val="20"/>
        </w:rPr>
      </w:pPr>
      <w:r w:rsidRPr="00213F66">
        <w:rPr>
          <w:rFonts w:ascii="Arial" w:hAnsi="Arial" w:cs="Arial"/>
          <w:b/>
          <w:sz w:val="20"/>
          <w:szCs w:val="20"/>
        </w:rPr>
        <w:lastRenderedPageBreak/>
        <w:t xml:space="preserve">Fig. 8. Antifungal activity of ethanol extract of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50 mg/mL of </w:t>
      </w:r>
      <w:r w:rsidRPr="00213F66">
        <w:rPr>
          <w:rFonts w:ascii="Arial" w:hAnsi="Arial" w:cs="Arial"/>
          <w:b/>
          <w:kern w:val="2"/>
          <w:sz w:val="20"/>
          <w:szCs w:val="20"/>
        </w:rPr>
        <w:t>Nystatin</w:t>
      </w:r>
    </w:p>
    <w:p w14:paraId="11B6AD37" w14:textId="77777777" w:rsidR="007E63A2" w:rsidRPr="00213F66" w:rsidRDefault="007E63A2" w:rsidP="007E63A2">
      <w:pPr>
        <w:jc w:val="both"/>
        <w:rPr>
          <w:rFonts w:ascii="Arial" w:hAnsi="Arial" w:cs="Arial"/>
          <w:b/>
          <w:kern w:val="2"/>
          <w:sz w:val="20"/>
          <w:szCs w:val="20"/>
        </w:rPr>
      </w:pPr>
      <w:r w:rsidRPr="00213F66">
        <w:rPr>
          <w:noProof/>
        </w:rPr>
        <w:drawing>
          <wp:anchor distT="0" distB="0" distL="114300" distR="114300" simplePos="0" relativeHeight="251668992" behindDoc="0" locked="0" layoutInCell="1" allowOverlap="1" wp14:anchorId="6AB96AB7" wp14:editId="43408776">
            <wp:simplePos x="0" y="0"/>
            <wp:positionH relativeFrom="column">
              <wp:posOffset>352425</wp:posOffset>
            </wp:positionH>
            <wp:positionV relativeFrom="paragraph">
              <wp:posOffset>2540</wp:posOffset>
            </wp:positionV>
            <wp:extent cx="4772025" cy="2143125"/>
            <wp:effectExtent l="0" t="0" r="9525" b="9525"/>
            <wp:wrapNone/>
            <wp:docPr id="7" name="Chart 7">
              <a:extLst xmlns:a="http://schemas.openxmlformats.org/drawingml/2006/main">
                <a:ext uri="{FF2B5EF4-FFF2-40B4-BE49-F238E27FC236}">
                  <a16:creationId xmlns:a16="http://schemas.microsoft.com/office/drawing/2014/main" id="{F037C236-EDEE-486C-AF32-99C5B66B9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281FD6BF" w14:textId="77777777" w:rsidR="007E63A2" w:rsidRPr="00213F66" w:rsidRDefault="007E63A2" w:rsidP="00391EF9">
      <w:pPr>
        <w:jc w:val="both"/>
        <w:rPr>
          <w:rFonts w:ascii="Arial" w:hAnsi="Arial" w:cs="Arial"/>
          <w:b/>
        </w:rPr>
      </w:pPr>
    </w:p>
    <w:p w14:paraId="687E26F7" w14:textId="77777777" w:rsidR="007E63A2" w:rsidRPr="00213F66" w:rsidRDefault="007E63A2" w:rsidP="00391EF9">
      <w:pPr>
        <w:jc w:val="both"/>
        <w:rPr>
          <w:rFonts w:ascii="Arial" w:hAnsi="Arial" w:cs="Arial"/>
          <w:b/>
        </w:rPr>
      </w:pPr>
    </w:p>
    <w:p w14:paraId="4AA9B9CE" w14:textId="77777777" w:rsidR="007E63A2" w:rsidRPr="00213F66" w:rsidRDefault="007E63A2" w:rsidP="00391EF9">
      <w:pPr>
        <w:jc w:val="both"/>
        <w:rPr>
          <w:rFonts w:ascii="Arial" w:hAnsi="Arial" w:cs="Arial"/>
          <w:b/>
        </w:rPr>
      </w:pPr>
    </w:p>
    <w:p w14:paraId="6C49F923" w14:textId="77777777" w:rsidR="007E63A2" w:rsidRPr="00213F66" w:rsidRDefault="007E63A2" w:rsidP="00391EF9">
      <w:pPr>
        <w:jc w:val="both"/>
        <w:rPr>
          <w:rFonts w:ascii="Arial" w:hAnsi="Arial" w:cs="Arial"/>
          <w:b/>
        </w:rPr>
      </w:pPr>
    </w:p>
    <w:p w14:paraId="6CE7A3BB" w14:textId="77777777" w:rsidR="007E63A2" w:rsidRPr="00213F66" w:rsidRDefault="007E63A2" w:rsidP="00391EF9">
      <w:pPr>
        <w:jc w:val="both"/>
        <w:rPr>
          <w:rFonts w:ascii="Arial" w:hAnsi="Arial" w:cs="Arial"/>
          <w:b/>
        </w:rPr>
      </w:pPr>
    </w:p>
    <w:p w14:paraId="0D812C0E" w14:textId="77777777" w:rsidR="007E63A2" w:rsidRPr="00213F66" w:rsidRDefault="007E63A2" w:rsidP="00391EF9">
      <w:pPr>
        <w:jc w:val="both"/>
        <w:rPr>
          <w:rFonts w:ascii="Arial" w:hAnsi="Arial" w:cs="Arial"/>
          <w:b/>
        </w:rPr>
      </w:pPr>
    </w:p>
    <w:p w14:paraId="2F83D6F3" w14:textId="77777777" w:rsidR="007E63A2" w:rsidRPr="00213F66" w:rsidRDefault="007E63A2" w:rsidP="00391EF9">
      <w:pPr>
        <w:jc w:val="both"/>
        <w:rPr>
          <w:rFonts w:ascii="Arial" w:hAnsi="Arial" w:cs="Arial"/>
          <w:b/>
        </w:rPr>
      </w:pPr>
    </w:p>
    <w:p w14:paraId="6FD9F527" w14:textId="77777777" w:rsidR="007E63A2" w:rsidRPr="00213F66" w:rsidRDefault="007E63A2" w:rsidP="007E63A2">
      <w:pPr>
        <w:jc w:val="both"/>
        <w:rPr>
          <w:rFonts w:ascii="Arial" w:hAnsi="Arial" w:cs="Arial"/>
          <w:b/>
          <w:kern w:val="2"/>
          <w:sz w:val="20"/>
          <w:szCs w:val="20"/>
        </w:rPr>
      </w:pPr>
      <w:r w:rsidRPr="00213F66">
        <w:rPr>
          <w:noProof/>
        </w:rPr>
        <w:drawing>
          <wp:anchor distT="0" distB="0" distL="114300" distR="114300" simplePos="0" relativeHeight="251661824" behindDoc="0" locked="0" layoutInCell="1" allowOverlap="1" wp14:anchorId="15BF445D" wp14:editId="17AEBB56">
            <wp:simplePos x="0" y="0"/>
            <wp:positionH relativeFrom="column">
              <wp:posOffset>342900</wp:posOffset>
            </wp:positionH>
            <wp:positionV relativeFrom="paragraph">
              <wp:posOffset>410210</wp:posOffset>
            </wp:positionV>
            <wp:extent cx="4795520" cy="2181225"/>
            <wp:effectExtent l="0" t="0" r="5080" b="9525"/>
            <wp:wrapNone/>
            <wp:docPr id="9" name="Chart 9">
              <a:extLst xmlns:a="http://schemas.openxmlformats.org/drawingml/2006/main">
                <a:ext uri="{FF2B5EF4-FFF2-40B4-BE49-F238E27FC236}">
                  <a16:creationId xmlns:a16="http://schemas.microsoft.com/office/drawing/2014/main" id="{A143D49F-5ABA-441F-9A47-DB0E334804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213F66">
        <w:rPr>
          <w:rFonts w:ascii="Arial" w:hAnsi="Arial" w:cs="Arial"/>
          <w:b/>
          <w:sz w:val="20"/>
          <w:szCs w:val="20"/>
        </w:rPr>
        <w:t xml:space="preserve">Fig. 9. Antifungal activity of crude alkaloids from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50 mg/mL of </w:t>
      </w:r>
      <w:r w:rsidRPr="00213F66">
        <w:rPr>
          <w:rFonts w:ascii="Arial" w:hAnsi="Arial" w:cs="Arial"/>
          <w:b/>
          <w:kern w:val="2"/>
          <w:sz w:val="20"/>
          <w:szCs w:val="20"/>
        </w:rPr>
        <w:t>Nystatin</w:t>
      </w:r>
    </w:p>
    <w:p w14:paraId="179EC0F2" w14:textId="77777777" w:rsidR="007E63A2" w:rsidRPr="00213F66" w:rsidRDefault="007E63A2" w:rsidP="00391EF9">
      <w:pPr>
        <w:jc w:val="both"/>
        <w:rPr>
          <w:rFonts w:ascii="Arial" w:hAnsi="Arial" w:cs="Arial"/>
          <w:b/>
        </w:rPr>
      </w:pPr>
    </w:p>
    <w:p w14:paraId="405CCD6B" w14:textId="77777777" w:rsidR="007E63A2" w:rsidRPr="00213F66" w:rsidRDefault="007E63A2" w:rsidP="00391EF9">
      <w:pPr>
        <w:jc w:val="both"/>
        <w:rPr>
          <w:rFonts w:ascii="Arial" w:hAnsi="Arial" w:cs="Arial"/>
          <w:b/>
        </w:rPr>
      </w:pPr>
    </w:p>
    <w:p w14:paraId="434162FA" w14:textId="77777777" w:rsidR="007E63A2" w:rsidRPr="00213F66" w:rsidRDefault="007E63A2" w:rsidP="00391EF9">
      <w:pPr>
        <w:jc w:val="both"/>
        <w:rPr>
          <w:rFonts w:ascii="Arial" w:hAnsi="Arial" w:cs="Arial"/>
          <w:b/>
        </w:rPr>
      </w:pPr>
    </w:p>
    <w:p w14:paraId="3E7EFA3F" w14:textId="77777777" w:rsidR="007E63A2" w:rsidRPr="00213F66" w:rsidRDefault="007E63A2" w:rsidP="00391EF9">
      <w:pPr>
        <w:jc w:val="both"/>
        <w:rPr>
          <w:rFonts w:ascii="Arial" w:hAnsi="Arial" w:cs="Arial"/>
          <w:b/>
        </w:rPr>
      </w:pPr>
    </w:p>
    <w:p w14:paraId="28530C2B" w14:textId="77777777" w:rsidR="007E63A2" w:rsidRPr="00213F66" w:rsidRDefault="007E63A2" w:rsidP="00391EF9">
      <w:pPr>
        <w:jc w:val="both"/>
        <w:rPr>
          <w:rFonts w:ascii="Arial" w:hAnsi="Arial" w:cs="Arial"/>
          <w:b/>
        </w:rPr>
      </w:pPr>
    </w:p>
    <w:p w14:paraId="150699D3" w14:textId="77777777" w:rsidR="007E63A2" w:rsidRPr="00213F66" w:rsidRDefault="007E63A2" w:rsidP="00391EF9">
      <w:pPr>
        <w:jc w:val="both"/>
        <w:rPr>
          <w:rFonts w:ascii="Arial" w:hAnsi="Arial" w:cs="Arial"/>
          <w:b/>
        </w:rPr>
      </w:pPr>
    </w:p>
    <w:p w14:paraId="39480314" w14:textId="77777777" w:rsidR="007E63A2" w:rsidRPr="00213F66" w:rsidRDefault="007E63A2" w:rsidP="00391EF9">
      <w:pPr>
        <w:jc w:val="both"/>
        <w:rPr>
          <w:rFonts w:ascii="Arial" w:hAnsi="Arial" w:cs="Arial"/>
          <w:b/>
        </w:rPr>
      </w:pPr>
    </w:p>
    <w:p w14:paraId="1AAADE6D" w14:textId="77777777" w:rsidR="007E63A2" w:rsidRPr="00213F66" w:rsidRDefault="007E63A2" w:rsidP="00391EF9">
      <w:pPr>
        <w:jc w:val="both"/>
        <w:rPr>
          <w:rFonts w:ascii="Arial" w:hAnsi="Arial" w:cs="Arial"/>
          <w:b/>
        </w:rPr>
      </w:pPr>
    </w:p>
    <w:p w14:paraId="2823AC01" w14:textId="77777777" w:rsidR="00A9454D" w:rsidRPr="00213F66" w:rsidRDefault="00A9454D" w:rsidP="00A9454D">
      <w:pPr>
        <w:jc w:val="both"/>
        <w:rPr>
          <w:rFonts w:ascii="Arial" w:hAnsi="Arial" w:cs="Arial"/>
          <w:b/>
          <w:kern w:val="2"/>
          <w:sz w:val="20"/>
          <w:szCs w:val="20"/>
        </w:rPr>
      </w:pPr>
      <w:r w:rsidRPr="00213F66">
        <w:rPr>
          <w:rFonts w:ascii="Arial" w:hAnsi="Arial" w:cs="Arial"/>
          <w:b/>
          <w:sz w:val="20"/>
          <w:szCs w:val="20"/>
        </w:rPr>
        <w:t xml:space="preserve">Fig. 10. Antifungal activity of crude flavonoids from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50 mg/mL of </w:t>
      </w:r>
      <w:r w:rsidRPr="00213F66">
        <w:rPr>
          <w:rFonts w:ascii="Arial" w:hAnsi="Arial" w:cs="Arial"/>
          <w:b/>
          <w:kern w:val="2"/>
          <w:sz w:val="20"/>
          <w:szCs w:val="20"/>
        </w:rPr>
        <w:t>Nystatin</w:t>
      </w:r>
    </w:p>
    <w:p w14:paraId="7B8A62E0" w14:textId="77777777" w:rsidR="007E63A2" w:rsidRPr="00213F66" w:rsidRDefault="00A9454D" w:rsidP="00391EF9">
      <w:pPr>
        <w:jc w:val="both"/>
        <w:rPr>
          <w:rFonts w:ascii="Arial" w:hAnsi="Arial" w:cs="Arial"/>
          <w:b/>
        </w:rPr>
      </w:pPr>
      <w:r w:rsidRPr="00213F66">
        <w:rPr>
          <w:noProof/>
        </w:rPr>
        <w:drawing>
          <wp:anchor distT="0" distB="0" distL="114300" distR="114300" simplePos="0" relativeHeight="251673088" behindDoc="0" locked="0" layoutInCell="1" allowOverlap="1" wp14:anchorId="6061341E" wp14:editId="3AFE2B35">
            <wp:simplePos x="0" y="0"/>
            <wp:positionH relativeFrom="column">
              <wp:posOffset>0</wp:posOffset>
            </wp:positionH>
            <wp:positionV relativeFrom="paragraph">
              <wp:posOffset>-1</wp:posOffset>
            </wp:positionV>
            <wp:extent cx="4572000" cy="2638425"/>
            <wp:effectExtent l="0" t="0" r="0" b="9525"/>
            <wp:wrapNone/>
            <wp:docPr id="8" name="Chart 8">
              <a:extLst xmlns:a="http://schemas.openxmlformats.org/drawingml/2006/main">
                <a:ext uri="{FF2B5EF4-FFF2-40B4-BE49-F238E27FC236}">
                  <a16:creationId xmlns:a16="http://schemas.microsoft.com/office/drawing/2014/main" id="{7ECD8EC1-D82D-48CD-BC05-AFA204E31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07001447" w14:textId="77777777" w:rsidR="007E63A2" w:rsidRPr="00213F66" w:rsidRDefault="007E63A2" w:rsidP="00391EF9">
      <w:pPr>
        <w:jc w:val="both"/>
        <w:rPr>
          <w:rFonts w:ascii="Arial" w:hAnsi="Arial" w:cs="Arial"/>
          <w:b/>
        </w:rPr>
      </w:pPr>
    </w:p>
    <w:p w14:paraId="2916A6A9" w14:textId="77777777" w:rsidR="007E63A2" w:rsidRPr="00213F66" w:rsidRDefault="007E63A2" w:rsidP="00391EF9">
      <w:pPr>
        <w:jc w:val="both"/>
        <w:rPr>
          <w:rFonts w:ascii="Arial" w:hAnsi="Arial" w:cs="Arial"/>
          <w:b/>
        </w:rPr>
      </w:pPr>
    </w:p>
    <w:p w14:paraId="65046414" w14:textId="77777777" w:rsidR="007E63A2" w:rsidRPr="00213F66" w:rsidRDefault="007E63A2" w:rsidP="00391EF9">
      <w:pPr>
        <w:jc w:val="both"/>
        <w:rPr>
          <w:rFonts w:ascii="Arial" w:hAnsi="Arial" w:cs="Arial"/>
          <w:b/>
        </w:rPr>
      </w:pPr>
    </w:p>
    <w:p w14:paraId="7480466D" w14:textId="77777777" w:rsidR="007E63A2" w:rsidRPr="00213F66" w:rsidRDefault="007E63A2" w:rsidP="00391EF9">
      <w:pPr>
        <w:jc w:val="both"/>
        <w:rPr>
          <w:rFonts w:ascii="Arial" w:hAnsi="Arial" w:cs="Arial"/>
          <w:b/>
        </w:rPr>
      </w:pPr>
    </w:p>
    <w:p w14:paraId="781ACAC4" w14:textId="77777777" w:rsidR="007E63A2" w:rsidRPr="00213F66" w:rsidRDefault="007E63A2" w:rsidP="00391EF9">
      <w:pPr>
        <w:jc w:val="both"/>
        <w:rPr>
          <w:rFonts w:ascii="Arial" w:hAnsi="Arial" w:cs="Arial"/>
          <w:b/>
        </w:rPr>
      </w:pPr>
    </w:p>
    <w:p w14:paraId="36E1B51E" w14:textId="77777777" w:rsidR="007E63A2" w:rsidRPr="00213F66" w:rsidRDefault="007E63A2" w:rsidP="00391EF9">
      <w:pPr>
        <w:jc w:val="both"/>
        <w:rPr>
          <w:rFonts w:ascii="Arial" w:hAnsi="Arial" w:cs="Arial"/>
          <w:b/>
        </w:rPr>
      </w:pPr>
    </w:p>
    <w:p w14:paraId="0BEE19BE" w14:textId="77777777" w:rsidR="007E63A2" w:rsidRPr="00213F66" w:rsidRDefault="007E63A2" w:rsidP="00391EF9">
      <w:pPr>
        <w:jc w:val="both"/>
        <w:rPr>
          <w:rFonts w:ascii="Arial" w:hAnsi="Arial" w:cs="Arial"/>
          <w:b/>
        </w:rPr>
      </w:pPr>
    </w:p>
    <w:p w14:paraId="485E3955" w14:textId="77777777" w:rsidR="007E63A2" w:rsidRPr="00213F66" w:rsidRDefault="007E63A2" w:rsidP="00391EF9">
      <w:pPr>
        <w:jc w:val="both"/>
        <w:rPr>
          <w:rFonts w:ascii="Arial" w:hAnsi="Arial" w:cs="Arial"/>
          <w:b/>
        </w:rPr>
      </w:pPr>
    </w:p>
    <w:p w14:paraId="61CA4B44" w14:textId="77777777" w:rsidR="007E63A2" w:rsidRPr="00213F66" w:rsidRDefault="007E63A2" w:rsidP="00391EF9">
      <w:pPr>
        <w:jc w:val="both"/>
        <w:rPr>
          <w:rFonts w:ascii="Arial" w:hAnsi="Arial" w:cs="Arial"/>
          <w:b/>
        </w:rPr>
      </w:pPr>
    </w:p>
    <w:p w14:paraId="28B6644B" w14:textId="77777777" w:rsidR="00A9454D" w:rsidRPr="00213F66" w:rsidRDefault="00A9454D" w:rsidP="00A9454D">
      <w:pPr>
        <w:jc w:val="both"/>
        <w:rPr>
          <w:rFonts w:ascii="Arial" w:hAnsi="Arial" w:cs="Arial"/>
          <w:b/>
          <w:kern w:val="2"/>
          <w:sz w:val="20"/>
          <w:szCs w:val="20"/>
        </w:rPr>
      </w:pPr>
      <w:r w:rsidRPr="00213F66">
        <w:rPr>
          <w:rFonts w:ascii="Arial" w:hAnsi="Arial" w:cs="Arial"/>
          <w:b/>
          <w:sz w:val="20"/>
          <w:szCs w:val="20"/>
        </w:rPr>
        <w:t xml:space="preserve">Fig. 11. Antifungal activity of crude cardiac glycosides extracted from </w:t>
      </w:r>
      <w:r w:rsidRPr="00213F66">
        <w:rPr>
          <w:rFonts w:ascii="Arial" w:hAnsi="Arial" w:cs="Arial"/>
          <w:b/>
          <w:bCs/>
          <w:i/>
          <w:iCs/>
          <w:sz w:val="20"/>
          <w:szCs w:val="20"/>
        </w:rPr>
        <w:t xml:space="preserve">Mentha piperita </w:t>
      </w:r>
      <w:r w:rsidRPr="00213F66">
        <w:rPr>
          <w:rFonts w:ascii="Arial" w:hAnsi="Arial" w:cs="Arial"/>
          <w:b/>
          <w:sz w:val="20"/>
          <w:szCs w:val="20"/>
        </w:rPr>
        <w:t xml:space="preserve">(in mg/mL) and 50 mg/mL of </w:t>
      </w:r>
      <w:r w:rsidRPr="00213F66">
        <w:rPr>
          <w:rFonts w:ascii="Arial" w:hAnsi="Arial" w:cs="Arial"/>
          <w:b/>
          <w:kern w:val="2"/>
          <w:sz w:val="20"/>
          <w:szCs w:val="20"/>
        </w:rPr>
        <w:t>Nystatin</w:t>
      </w:r>
    </w:p>
    <w:p w14:paraId="78325CFF" w14:textId="77777777" w:rsidR="007E63A2" w:rsidRPr="00213F66" w:rsidRDefault="007E63A2" w:rsidP="00391EF9">
      <w:pPr>
        <w:jc w:val="both"/>
        <w:rPr>
          <w:rFonts w:ascii="Arial" w:hAnsi="Arial" w:cs="Arial"/>
          <w:b/>
        </w:rPr>
      </w:pPr>
    </w:p>
    <w:p w14:paraId="3F2694FA" w14:textId="77777777" w:rsidR="00391EF9" w:rsidRPr="00213F66" w:rsidRDefault="007500B5" w:rsidP="00391EF9">
      <w:pPr>
        <w:jc w:val="both"/>
        <w:rPr>
          <w:rFonts w:ascii="Arial" w:hAnsi="Arial" w:cs="Arial"/>
          <w:b/>
          <w:color w:val="FF0000"/>
        </w:rPr>
      </w:pPr>
      <w:r w:rsidRPr="00213F66">
        <w:rPr>
          <w:rFonts w:ascii="Arial" w:hAnsi="Arial" w:cs="Arial"/>
          <w:b/>
        </w:rPr>
        <w:t xml:space="preserve">3.4 </w:t>
      </w:r>
      <w:r w:rsidR="00391EF9" w:rsidRPr="00213F66">
        <w:rPr>
          <w:rFonts w:ascii="Arial" w:hAnsi="Arial" w:cs="Arial"/>
          <w:b/>
          <w:color w:val="FF0000"/>
        </w:rPr>
        <w:t xml:space="preserve">Quantitative Phytochemical Composition of </w:t>
      </w:r>
      <w:r w:rsidR="00391EF9" w:rsidRPr="00213F66">
        <w:rPr>
          <w:rStyle w:val="Emphasis"/>
          <w:rFonts w:ascii="Arial" w:hAnsi="Arial" w:cs="Arial"/>
          <w:b/>
          <w:color w:val="FF0000"/>
        </w:rPr>
        <w:t>Mentha piperita</w:t>
      </w:r>
      <w:r w:rsidR="00391EF9" w:rsidRPr="00213F66">
        <w:rPr>
          <w:rFonts w:ascii="Arial" w:hAnsi="Arial" w:cs="Arial"/>
          <w:b/>
          <w:color w:val="FF0000"/>
        </w:rPr>
        <w:t xml:space="preserve"> </w:t>
      </w:r>
      <w:r w:rsidR="00514C70" w:rsidRPr="00213F66">
        <w:rPr>
          <w:rFonts w:ascii="Arial" w:hAnsi="Arial" w:cs="Arial"/>
          <w:b/>
          <w:color w:val="FF0000"/>
        </w:rPr>
        <w:t xml:space="preserve">and their </w:t>
      </w:r>
      <w:r w:rsidR="002C72C4" w:rsidRPr="00213F66">
        <w:rPr>
          <w:rFonts w:ascii="Arial" w:hAnsi="Arial" w:cs="Arial"/>
          <w:b/>
          <w:color w:val="FF0000"/>
        </w:rPr>
        <w:t>Antimi</w:t>
      </w:r>
      <w:r w:rsidR="0017019D" w:rsidRPr="00213F66">
        <w:rPr>
          <w:rFonts w:ascii="Arial" w:hAnsi="Arial" w:cs="Arial"/>
          <w:b/>
          <w:color w:val="FF0000"/>
        </w:rPr>
        <w:t>crobial</w:t>
      </w:r>
      <w:r w:rsidR="00514C70" w:rsidRPr="00213F66">
        <w:rPr>
          <w:rFonts w:ascii="Arial" w:hAnsi="Arial" w:cs="Arial"/>
          <w:b/>
          <w:color w:val="FF0000"/>
        </w:rPr>
        <w:t xml:space="preserve"> Acti</w:t>
      </w:r>
      <w:r w:rsidR="0017019D" w:rsidRPr="00213F66">
        <w:rPr>
          <w:rFonts w:ascii="Arial" w:hAnsi="Arial" w:cs="Arial"/>
          <w:b/>
          <w:color w:val="FF0000"/>
        </w:rPr>
        <w:t>vities</w:t>
      </w:r>
    </w:p>
    <w:p w14:paraId="462E1BDA" w14:textId="77777777" w:rsidR="0017019D" w:rsidRPr="00213F66" w:rsidRDefault="0017019D" w:rsidP="00391EF9">
      <w:pPr>
        <w:jc w:val="both"/>
        <w:rPr>
          <w:rFonts w:ascii="Arial" w:hAnsi="Arial" w:cs="Arial"/>
          <w:color w:val="FF0000"/>
          <w:sz w:val="20"/>
          <w:szCs w:val="20"/>
        </w:rPr>
      </w:pPr>
      <w:r w:rsidRPr="00213F66">
        <w:rPr>
          <w:rFonts w:ascii="Arial" w:hAnsi="Arial" w:cs="Arial"/>
          <w:color w:val="FF0000"/>
          <w:sz w:val="20"/>
          <w:szCs w:val="20"/>
        </w:rPr>
        <w:t xml:space="preserve">The antibacterial and antifungal activities of the ethanol extract and isolated phytochemicals of </w:t>
      </w:r>
      <w:r w:rsidRPr="00213F66">
        <w:rPr>
          <w:rStyle w:val="Emphasis"/>
          <w:rFonts w:ascii="Arial" w:hAnsi="Arial" w:cs="Arial"/>
          <w:color w:val="FF0000"/>
          <w:sz w:val="20"/>
          <w:szCs w:val="20"/>
        </w:rPr>
        <w:t>Mentha piperita</w:t>
      </w:r>
      <w:r w:rsidRPr="00213F66">
        <w:rPr>
          <w:rFonts w:ascii="Arial" w:hAnsi="Arial" w:cs="Arial"/>
          <w:color w:val="FF0000"/>
          <w:sz w:val="20"/>
          <w:szCs w:val="20"/>
        </w:rPr>
        <w:t xml:space="preserve"> are presented in </w:t>
      </w:r>
      <w:r w:rsidRPr="00213F66">
        <w:rPr>
          <w:rStyle w:val="Strong"/>
          <w:rFonts w:ascii="Arial" w:hAnsi="Arial" w:cs="Arial"/>
          <w:b w:val="0"/>
          <w:color w:val="FF0000"/>
          <w:sz w:val="20"/>
          <w:szCs w:val="20"/>
        </w:rPr>
        <w:t>Figures 4–11</w:t>
      </w:r>
      <w:r w:rsidRPr="00213F66">
        <w:rPr>
          <w:rFonts w:ascii="Arial" w:hAnsi="Arial" w:cs="Arial"/>
          <w:color w:val="FF0000"/>
          <w:sz w:val="20"/>
          <w:szCs w:val="20"/>
        </w:rPr>
        <w:t xml:space="preserve">. The results clearly demonstrate that both the crude extract and the isolated phytochemicals possess broad-spectrum antimicrobial activity against the bacterial and fungal pathogens investigated, although the magnitude of inhibition varied among the phytochemical fractions and microbial species. In general, the antimicrobial activities were concentration-dependent, with the highest inhibition zones recorded at </w:t>
      </w:r>
      <w:r w:rsidRPr="00213F66">
        <w:rPr>
          <w:rStyle w:val="Strong"/>
          <w:rFonts w:ascii="Arial" w:hAnsi="Arial" w:cs="Arial"/>
          <w:b w:val="0"/>
          <w:color w:val="FF0000"/>
          <w:sz w:val="20"/>
          <w:szCs w:val="20"/>
        </w:rPr>
        <w:t>500 mg/mL</w:t>
      </w:r>
      <w:r w:rsidRPr="00213F66">
        <w:rPr>
          <w:rFonts w:ascii="Arial" w:hAnsi="Arial" w:cs="Arial"/>
          <w:color w:val="FF0000"/>
          <w:sz w:val="20"/>
          <w:szCs w:val="20"/>
        </w:rPr>
        <w:t xml:space="preserve"> and progressively decreasing activity as the concentration declined to </w:t>
      </w:r>
      <w:r w:rsidRPr="00213F66">
        <w:rPr>
          <w:rStyle w:val="Strong"/>
          <w:rFonts w:ascii="Arial" w:hAnsi="Arial" w:cs="Arial"/>
          <w:b w:val="0"/>
          <w:color w:val="FF0000"/>
          <w:sz w:val="20"/>
          <w:szCs w:val="20"/>
        </w:rPr>
        <w:t>100 mg/mL</w:t>
      </w:r>
      <w:r w:rsidRPr="00213F66">
        <w:rPr>
          <w:rFonts w:ascii="Arial" w:hAnsi="Arial" w:cs="Arial"/>
          <w:color w:val="FF0000"/>
          <w:sz w:val="20"/>
          <w:szCs w:val="20"/>
        </w:rPr>
        <w:t xml:space="preserve">, indicating that the antimicrobial efficacy of the plant is directly related to the concentration of its bioactive constituents. Similar concentration-dependent antimicrobial responses have been reported for </w:t>
      </w:r>
      <w:proofErr w:type="spellStart"/>
      <w:r w:rsidRPr="00213F66">
        <w:rPr>
          <w:rStyle w:val="Emphasis"/>
          <w:rFonts w:ascii="Arial" w:hAnsi="Arial" w:cs="Arial"/>
          <w:color w:val="FF0000"/>
          <w:sz w:val="20"/>
          <w:szCs w:val="20"/>
        </w:rPr>
        <w:t>Azadirachta</w:t>
      </w:r>
      <w:proofErr w:type="spellEnd"/>
      <w:r w:rsidRPr="00213F66">
        <w:rPr>
          <w:rStyle w:val="Emphasis"/>
          <w:rFonts w:ascii="Arial" w:hAnsi="Arial" w:cs="Arial"/>
          <w:color w:val="FF0000"/>
          <w:sz w:val="20"/>
          <w:szCs w:val="20"/>
        </w:rPr>
        <w:t xml:space="preserve"> indica</w:t>
      </w:r>
      <w:r w:rsidRPr="00213F66">
        <w:rPr>
          <w:rFonts w:ascii="Arial" w:hAnsi="Arial" w:cs="Arial"/>
          <w:color w:val="FF0000"/>
          <w:sz w:val="20"/>
          <w:szCs w:val="20"/>
        </w:rPr>
        <w:t xml:space="preserve">, </w:t>
      </w:r>
      <w:proofErr w:type="spellStart"/>
      <w:r w:rsidRPr="00213F66">
        <w:rPr>
          <w:rStyle w:val="Emphasis"/>
          <w:rFonts w:ascii="Arial" w:hAnsi="Arial" w:cs="Arial"/>
          <w:color w:val="FF0000"/>
          <w:sz w:val="20"/>
          <w:szCs w:val="20"/>
        </w:rPr>
        <w:t>Enantia</w:t>
      </w:r>
      <w:proofErr w:type="spellEnd"/>
      <w:r w:rsidRPr="00213F66">
        <w:rPr>
          <w:rStyle w:val="Emphasis"/>
          <w:rFonts w:ascii="Arial" w:hAnsi="Arial" w:cs="Arial"/>
          <w:color w:val="FF0000"/>
          <w:sz w:val="20"/>
          <w:szCs w:val="20"/>
        </w:rPr>
        <w:t xml:space="preserve"> </w:t>
      </w:r>
      <w:proofErr w:type="spellStart"/>
      <w:r w:rsidRPr="00213F66">
        <w:rPr>
          <w:rStyle w:val="Emphasis"/>
          <w:rFonts w:ascii="Arial" w:hAnsi="Arial" w:cs="Arial"/>
          <w:color w:val="FF0000"/>
          <w:sz w:val="20"/>
          <w:szCs w:val="20"/>
        </w:rPr>
        <w:t>chlorantha</w:t>
      </w:r>
      <w:proofErr w:type="spellEnd"/>
      <w:r w:rsidRPr="00213F66">
        <w:rPr>
          <w:rFonts w:ascii="Arial" w:hAnsi="Arial" w:cs="Arial"/>
          <w:color w:val="FF0000"/>
          <w:sz w:val="20"/>
          <w:szCs w:val="20"/>
        </w:rPr>
        <w:t xml:space="preserve">, </w:t>
      </w:r>
      <w:proofErr w:type="spellStart"/>
      <w:r w:rsidRPr="00213F66">
        <w:rPr>
          <w:rStyle w:val="Emphasis"/>
          <w:rFonts w:ascii="Arial" w:hAnsi="Arial" w:cs="Arial"/>
          <w:color w:val="FF0000"/>
          <w:sz w:val="20"/>
          <w:szCs w:val="20"/>
        </w:rPr>
        <w:t>Dacryodes</w:t>
      </w:r>
      <w:proofErr w:type="spellEnd"/>
      <w:r w:rsidRPr="00213F66">
        <w:rPr>
          <w:rStyle w:val="Emphasis"/>
          <w:rFonts w:ascii="Arial" w:hAnsi="Arial" w:cs="Arial"/>
          <w:color w:val="FF0000"/>
          <w:sz w:val="20"/>
          <w:szCs w:val="20"/>
        </w:rPr>
        <w:t xml:space="preserve"> edulis</w:t>
      </w:r>
      <w:r w:rsidRPr="00213F66">
        <w:rPr>
          <w:rFonts w:ascii="Arial" w:hAnsi="Arial" w:cs="Arial"/>
          <w:color w:val="FF0000"/>
          <w:sz w:val="20"/>
          <w:szCs w:val="20"/>
        </w:rPr>
        <w:t xml:space="preserve">, </w:t>
      </w:r>
      <w:proofErr w:type="spellStart"/>
      <w:r w:rsidRPr="00213F66">
        <w:rPr>
          <w:rStyle w:val="Emphasis"/>
          <w:rFonts w:ascii="Arial" w:hAnsi="Arial" w:cs="Arial"/>
          <w:color w:val="FF0000"/>
          <w:sz w:val="20"/>
          <w:szCs w:val="20"/>
        </w:rPr>
        <w:t>Tragia</w:t>
      </w:r>
      <w:proofErr w:type="spellEnd"/>
      <w:r w:rsidRPr="00213F66">
        <w:rPr>
          <w:rStyle w:val="Emphasis"/>
          <w:rFonts w:ascii="Arial" w:hAnsi="Arial" w:cs="Arial"/>
          <w:color w:val="FF0000"/>
          <w:sz w:val="20"/>
          <w:szCs w:val="20"/>
        </w:rPr>
        <w:t xml:space="preserve"> </w:t>
      </w:r>
      <w:proofErr w:type="spellStart"/>
      <w:r w:rsidRPr="00213F66">
        <w:rPr>
          <w:rStyle w:val="Emphasis"/>
          <w:rFonts w:ascii="Arial" w:hAnsi="Arial" w:cs="Arial"/>
          <w:color w:val="FF0000"/>
          <w:sz w:val="20"/>
          <w:szCs w:val="20"/>
        </w:rPr>
        <w:t>involucrata</w:t>
      </w:r>
      <w:proofErr w:type="spellEnd"/>
      <w:r w:rsidRPr="00213F66">
        <w:rPr>
          <w:rFonts w:ascii="Arial" w:hAnsi="Arial" w:cs="Arial"/>
          <w:color w:val="FF0000"/>
          <w:sz w:val="20"/>
          <w:szCs w:val="20"/>
        </w:rPr>
        <w:t xml:space="preserve">, and </w:t>
      </w:r>
      <w:r w:rsidRPr="00213F66">
        <w:rPr>
          <w:rStyle w:val="Emphasis"/>
          <w:rFonts w:ascii="Arial" w:hAnsi="Arial" w:cs="Arial"/>
          <w:color w:val="FF0000"/>
          <w:sz w:val="20"/>
          <w:szCs w:val="20"/>
        </w:rPr>
        <w:t xml:space="preserve">Cola </w:t>
      </w:r>
      <w:proofErr w:type="spellStart"/>
      <w:r w:rsidRPr="00213F66">
        <w:rPr>
          <w:rStyle w:val="Emphasis"/>
          <w:rFonts w:ascii="Arial" w:hAnsi="Arial" w:cs="Arial"/>
          <w:color w:val="FF0000"/>
          <w:sz w:val="20"/>
          <w:szCs w:val="20"/>
        </w:rPr>
        <w:t>lepidota</w:t>
      </w:r>
      <w:proofErr w:type="spellEnd"/>
      <w:r w:rsidRPr="00213F66">
        <w:rPr>
          <w:rFonts w:ascii="Arial" w:hAnsi="Arial" w:cs="Arial"/>
          <w:color w:val="FF0000"/>
          <w:sz w:val="20"/>
          <w:szCs w:val="20"/>
        </w:rPr>
        <w:t xml:space="preserve">, where increasing extract concentration significantly enhanced microbial growth inhibition (Akpan et al., 2016; Akpan et al., 2017; </w:t>
      </w:r>
      <w:proofErr w:type="spellStart"/>
      <w:r w:rsidRPr="00213F66">
        <w:rPr>
          <w:rFonts w:ascii="Arial" w:hAnsi="Arial" w:cs="Arial"/>
          <w:color w:val="FF0000"/>
          <w:sz w:val="20"/>
          <w:szCs w:val="20"/>
        </w:rPr>
        <w:t>Gobalakrishnan</w:t>
      </w:r>
      <w:proofErr w:type="spellEnd"/>
      <w:r w:rsidRPr="00213F66">
        <w:rPr>
          <w:rFonts w:ascii="Arial" w:hAnsi="Arial" w:cs="Arial"/>
          <w:color w:val="FF0000"/>
          <w:sz w:val="20"/>
          <w:szCs w:val="20"/>
        </w:rPr>
        <w:t xml:space="preserve"> et al., 2013; </w:t>
      </w:r>
      <w:proofErr w:type="spellStart"/>
      <w:r w:rsidRPr="00213F66">
        <w:rPr>
          <w:rFonts w:ascii="Arial" w:hAnsi="Arial" w:cs="Arial"/>
          <w:color w:val="FF0000"/>
          <w:sz w:val="20"/>
          <w:szCs w:val="20"/>
        </w:rPr>
        <w:t>Oladejobi</w:t>
      </w:r>
      <w:proofErr w:type="spellEnd"/>
      <w:r w:rsidRPr="00213F66">
        <w:rPr>
          <w:rFonts w:ascii="Arial" w:hAnsi="Arial" w:cs="Arial"/>
          <w:color w:val="FF0000"/>
          <w:sz w:val="20"/>
          <w:szCs w:val="20"/>
        </w:rPr>
        <w:t xml:space="preserve"> et al., 2022; </w:t>
      </w:r>
      <w:proofErr w:type="spellStart"/>
      <w:r w:rsidRPr="00213F66">
        <w:rPr>
          <w:rFonts w:ascii="Arial" w:hAnsi="Arial" w:cs="Arial"/>
          <w:color w:val="FF0000"/>
          <w:sz w:val="20"/>
          <w:szCs w:val="20"/>
        </w:rPr>
        <w:t>Uwanta</w:t>
      </w:r>
      <w:proofErr w:type="spellEnd"/>
      <w:r w:rsidRPr="00213F66">
        <w:rPr>
          <w:rFonts w:ascii="Arial" w:hAnsi="Arial" w:cs="Arial"/>
          <w:color w:val="FF0000"/>
          <w:sz w:val="20"/>
          <w:szCs w:val="20"/>
        </w:rPr>
        <w:t xml:space="preserve"> &amp; Akpan, 2024).</w:t>
      </w:r>
    </w:p>
    <w:p w14:paraId="71EF5CA6" w14:textId="77777777" w:rsidR="00964EF3" w:rsidRPr="00213F66" w:rsidRDefault="0017019D" w:rsidP="007D6400">
      <w:pPr>
        <w:jc w:val="both"/>
        <w:rPr>
          <w:rFonts w:ascii="Arial" w:hAnsi="Arial" w:cs="Arial"/>
          <w:color w:val="FF0000"/>
          <w:sz w:val="20"/>
          <w:szCs w:val="20"/>
        </w:rPr>
      </w:pPr>
      <w:r w:rsidRPr="00213F66">
        <w:rPr>
          <w:rFonts w:ascii="Arial" w:hAnsi="Arial" w:cs="Arial"/>
          <w:color w:val="FF0000"/>
          <w:sz w:val="20"/>
          <w:szCs w:val="20"/>
        </w:rPr>
        <w:t xml:space="preserve">Among the bacterial isolates, the </w:t>
      </w:r>
      <w:r w:rsidRPr="00213F66">
        <w:rPr>
          <w:rStyle w:val="Strong"/>
          <w:rFonts w:ascii="Arial" w:hAnsi="Arial" w:cs="Arial"/>
          <w:b w:val="0"/>
          <w:color w:val="FF0000"/>
          <w:sz w:val="20"/>
          <w:szCs w:val="20"/>
        </w:rPr>
        <w:t>crude flavonoid fraction (Figure 6)</w:t>
      </w:r>
      <w:r w:rsidRPr="00213F66">
        <w:rPr>
          <w:rFonts w:ascii="Arial" w:hAnsi="Arial" w:cs="Arial"/>
          <w:color w:val="FF0000"/>
          <w:sz w:val="20"/>
          <w:szCs w:val="20"/>
        </w:rPr>
        <w:t xml:space="preserve"> exhibited the highest antibacterial activity, producing inhibition zones of up to </w:t>
      </w:r>
      <w:r w:rsidRPr="00213F66">
        <w:rPr>
          <w:rStyle w:val="Strong"/>
          <w:rFonts w:ascii="Arial" w:hAnsi="Arial" w:cs="Arial"/>
          <w:b w:val="0"/>
          <w:color w:val="FF0000"/>
          <w:sz w:val="20"/>
          <w:szCs w:val="20"/>
        </w:rPr>
        <w:t>20 mm</w:t>
      </w:r>
      <w:r w:rsidRPr="00213F66">
        <w:rPr>
          <w:rFonts w:ascii="Arial" w:hAnsi="Arial" w:cs="Arial"/>
          <w:color w:val="FF0000"/>
          <w:sz w:val="20"/>
          <w:szCs w:val="20"/>
        </w:rPr>
        <w:t xml:space="preserve"> against </w:t>
      </w:r>
      <w:r w:rsidRPr="00213F66">
        <w:rPr>
          <w:rStyle w:val="Emphasis"/>
          <w:rFonts w:ascii="Arial" w:hAnsi="Arial" w:cs="Arial"/>
          <w:color w:val="FF0000"/>
          <w:sz w:val="20"/>
          <w:szCs w:val="20"/>
        </w:rPr>
        <w:t>Staphylococcus aureus</w:t>
      </w:r>
      <w:r w:rsidRPr="00213F66">
        <w:rPr>
          <w:rFonts w:ascii="Arial" w:hAnsi="Arial" w:cs="Arial"/>
          <w:color w:val="FF0000"/>
          <w:sz w:val="20"/>
          <w:szCs w:val="20"/>
        </w:rPr>
        <w:t xml:space="preserve"> and </w:t>
      </w:r>
      <w:r w:rsidRPr="00213F66">
        <w:rPr>
          <w:rStyle w:val="Emphasis"/>
          <w:rFonts w:ascii="Arial" w:hAnsi="Arial" w:cs="Arial"/>
          <w:color w:val="FF0000"/>
          <w:sz w:val="20"/>
          <w:szCs w:val="20"/>
        </w:rPr>
        <w:t>Salmonella</w:t>
      </w:r>
      <w:r w:rsidRPr="00213F66">
        <w:rPr>
          <w:rFonts w:ascii="Arial" w:hAnsi="Arial" w:cs="Arial"/>
          <w:color w:val="FF0000"/>
          <w:sz w:val="20"/>
          <w:szCs w:val="20"/>
        </w:rPr>
        <w:t xml:space="preserve"> spp. at 500 mg/</w:t>
      </w:r>
      <w:proofErr w:type="spellStart"/>
      <w:r w:rsidRPr="00213F66">
        <w:rPr>
          <w:rFonts w:ascii="Arial" w:hAnsi="Arial" w:cs="Arial"/>
          <w:color w:val="FF0000"/>
          <w:sz w:val="20"/>
          <w:szCs w:val="20"/>
        </w:rPr>
        <w:t>mL.</w:t>
      </w:r>
      <w:proofErr w:type="spellEnd"/>
      <w:r w:rsidRPr="00213F66">
        <w:rPr>
          <w:rFonts w:ascii="Arial" w:hAnsi="Arial" w:cs="Arial"/>
          <w:color w:val="FF0000"/>
          <w:sz w:val="20"/>
          <w:szCs w:val="20"/>
        </w:rPr>
        <w:t xml:space="preserve"> The </w:t>
      </w:r>
      <w:r w:rsidRPr="00213F66">
        <w:rPr>
          <w:rStyle w:val="Strong"/>
          <w:rFonts w:ascii="Arial" w:hAnsi="Arial" w:cs="Arial"/>
          <w:b w:val="0"/>
          <w:color w:val="FF0000"/>
          <w:sz w:val="20"/>
          <w:szCs w:val="20"/>
        </w:rPr>
        <w:t>crude alkaloid fraction (Figure 5)</w:t>
      </w:r>
      <w:r w:rsidRPr="00213F66">
        <w:rPr>
          <w:rFonts w:ascii="Arial" w:hAnsi="Arial" w:cs="Arial"/>
          <w:color w:val="FF0000"/>
          <w:sz w:val="20"/>
          <w:szCs w:val="20"/>
        </w:rPr>
        <w:t xml:space="preserve"> also demonstrated appreciable antibacterial activity, particularly against </w:t>
      </w:r>
      <w:r w:rsidRPr="00213F66">
        <w:rPr>
          <w:rStyle w:val="Emphasis"/>
          <w:rFonts w:ascii="Arial" w:hAnsi="Arial" w:cs="Arial"/>
          <w:color w:val="FF0000"/>
          <w:sz w:val="20"/>
          <w:szCs w:val="20"/>
        </w:rPr>
        <w:t>Shigella</w:t>
      </w:r>
      <w:r w:rsidRPr="00213F66">
        <w:rPr>
          <w:rFonts w:ascii="Arial" w:hAnsi="Arial" w:cs="Arial"/>
          <w:color w:val="FF0000"/>
          <w:sz w:val="20"/>
          <w:szCs w:val="20"/>
        </w:rPr>
        <w:t xml:space="preserve"> spp., </w:t>
      </w:r>
      <w:r w:rsidRPr="00213F66">
        <w:rPr>
          <w:rStyle w:val="Emphasis"/>
          <w:rFonts w:ascii="Arial" w:hAnsi="Arial" w:cs="Arial"/>
          <w:color w:val="FF0000"/>
          <w:sz w:val="20"/>
          <w:szCs w:val="20"/>
        </w:rPr>
        <w:t>Proteus</w:t>
      </w:r>
      <w:r w:rsidRPr="00213F66">
        <w:rPr>
          <w:rFonts w:ascii="Arial" w:hAnsi="Arial" w:cs="Arial"/>
          <w:color w:val="FF0000"/>
          <w:sz w:val="20"/>
          <w:szCs w:val="20"/>
        </w:rPr>
        <w:t xml:space="preserve"> spp., </w:t>
      </w:r>
      <w:r w:rsidRPr="00213F66">
        <w:rPr>
          <w:rStyle w:val="Emphasis"/>
          <w:rFonts w:ascii="Arial" w:hAnsi="Arial" w:cs="Arial"/>
          <w:color w:val="FF0000"/>
          <w:sz w:val="20"/>
          <w:szCs w:val="20"/>
        </w:rPr>
        <w:t>Staphylococcus aureus</w:t>
      </w:r>
      <w:r w:rsidRPr="00213F66">
        <w:rPr>
          <w:rFonts w:ascii="Arial" w:hAnsi="Arial" w:cs="Arial"/>
          <w:color w:val="FF0000"/>
          <w:sz w:val="20"/>
          <w:szCs w:val="20"/>
        </w:rPr>
        <w:t xml:space="preserve">, and </w:t>
      </w:r>
      <w:r w:rsidRPr="00213F66">
        <w:rPr>
          <w:rStyle w:val="Emphasis"/>
          <w:rFonts w:ascii="Arial" w:hAnsi="Arial" w:cs="Arial"/>
          <w:color w:val="FF0000"/>
          <w:sz w:val="20"/>
          <w:szCs w:val="20"/>
        </w:rPr>
        <w:t>Escherichia coli</w:t>
      </w:r>
      <w:r w:rsidRPr="00213F66">
        <w:rPr>
          <w:rFonts w:ascii="Arial" w:hAnsi="Arial" w:cs="Arial"/>
          <w:color w:val="FF0000"/>
          <w:sz w:val="20"/>
          <w:szCs w:val="20"/>
        </w:rPr>
        <w:t xml:space="preserve">, whereas the ethanol extract (Figure 4) produced moderate inhibitory effects. In contrast, the </w:t>
      </w:r>
      <w:r w:rsidRPr="00213F66">
        <w:rPr>
          <w:rStyle w:val="Strong"/>
          <w:rFonts w:ascii="Arial" w:hAnsi="Arial" w:cs="Arial"/>
          <w:b w:val="0"/>
          <w:color w:val="FF0000"/>
          <w:sz w:val="20"/>
          <w:szCs w:val="20"/>
        </w:rPr>
        <w:t>cardiac glycoside fraction (Figure 7)</w:t>
      </w:r>
      <w:r w:rsidRPr="00213F66">
        <w:rPr>
          <w:rFonts w:ascii="Arial" w:hAnsi="Arial" w:cs="Arial"/>
          <w:color w:val="FF0000"/>
          <w:sz w:val="20"/>
          <w:szCs w:val="20"/>
        </w:rPr>
        <w:t xml:space="preserve"> showed little or no antibacterial activity against the test organisms. </w:t>
      </w:r>
    </w:p>
    <w:p w14:paraId="06C24013" w14:textId="77777777" w:rsidR="00964EF3" w:rsidRPr="00213F66" w:rsidRDefault="00964EF3" w:rsidP="007D6400">
      <w:pPr>
        <w:jc w:val="both"/>
        <w:rPr>
          <w:rFonts w:ascii="Arial" w:hAnsi="Arial" w:cs="Arial"/>
          <w:color w:val="FF0000"/>
          <w:sz w:val="20"/>
          <w:szCs w:val="20"/>
        </w:rPr>
      </w:pPr>
      <w:r w:rsidRPr="00213F66">
        <w:rPr>
          <w:rFonts w:ascii="Arial" w:hAnsi="Arial" w:cs="Arial"/>
          <w:color w:val="FF0000"/>
          <w:sz w:val="20"/>
          <w:szCs w:val="20"/>
        </w:rPr>
        <w:t xml:space="preserve">The susceptibility pattern further revealed that the Gram-positive bacterium </w:t>
      </w:r>
      <w:r w:rsidRPr="00213F66">
        <w:rPr>
          <w:rStyle w:val="Emphasis"/>
          <w:rFonts w:ascii="Arial" w:hAnsi="Arial" w:cs="Arial"/>
          <w:color w:val="FF0000"/>
          <w:sz w:val="20"/>
          <w:szCs w:val="20"/>
        </w:rPr>
        <w:t>Staphylococcus aureus</w:t>
      </w:r>
      <w:r w:rsidRPr="00213F66">
        <w:rPr>
          <w:rFonts w:ascii="Arial" w:hAnsi="Arial" w:cs="Arial"/>
          <w:color w:val="FF0000"/>
          <w:sz w:val="20"/>
          <w:szCs w:val="20"/>
        </w:rPr>
        <w:t xml:space="preserve"> was generally more susceptible than the Gram-negative organisms. This observation agrees with previous reports that Gram-negative bacteria possess an outer lipopolysaccharide membrane that acts as an additional permeability barrier, thereby restricting the penetration of many plant-derived antimicrobial compounds (</w:t>
      </w:r>
      <w:proofErr w:type="spellStart"/>
      <w:r w:rsidR="006B1F70" w:rsidRPr="00213F66">
        <w:rPr>
          <w:rFonts w:ascii="Arial" w:hAnsi="Arial" w:cs="Arial"/>
          <w:color w:val="FF0000"/>
          <w:sz w:val="20"/>
          <w:szCs w:val="20"/>
        </w:rPr>
        <w:t>Aibinu</w:t>
      </w:r>
      <w:proofErr w:type="spellEnd"/>
      <w:r w:rsidRPr="00213F66">
        <w:rPr>
          <w:rFonts w:ascii="Arial" w:hAnsi="Arial" w:cs="Arial"/>
          <w:color w:val="FF0000"/>
          <w:sz w:val="20"/>
          <w:szCs w:val="20"/>
        </w:rPr>
        <w:t xml:space="preserve"> et al., 2003; </w:t>
      </w:r>
      <w:proofErr w:type="spellStart"/>
      <w:r w:rsidR="006B1F70" w:rsidRPr="00213F66">
        <w:rPr>
          <w:rFonts w:ascii="Arial" w:hAnsi="Arial" w:cs="Arial"/>
          <w:color w:val="FF0000"/>
          <w:sz w:val="20"/>
          <w:szCs w:val="20"/>
        </w:rPr>
        <w:t>Aibinu</w:t>
      </w:r>
      <w:proofErr w:type="spellEnd"/>
      <w:r w:rsidRPr="00213F66">
        <w:rPr>
          <w:rFonts w:ascii="Arial" w:hAnsi="Arial" w:cs="Arial"/>
          <w:color w:val="FF0000"/>
          <w:sz w:val="20"/>
          <w:szCs w:val="20"/>
        </w:rPr>
        <w:t xml:space="preserve"> et al., 2004; Akpan et al., 2016). Nevertheless, the inhibition observed against Gram-negative pathogens such as </w:t>
      </w:r>
      <w:r w:rsidRPr="00213F66">
        <w:rPr>
          <w:rStyle w:val="Emphasis"/>
          <w:rFonts w:ascii="Arial" w:hAnsi="Arial" w:cs="Arial"/>
          <w:color w:val="FF0000"/>
          <w:sz w:val="20"/>
          <w:szCs w:val="20"/>
        </w:rPr>
        <w:t>Escherichia coli</w:t>
      </w:r>
      <w:r w:rsidRPr="00213F66">
        <w:rPr>
          <w:rFonts w:ascii="Arial" w:hAnsi="Arial" w:cs="Arial"/>
          <w:color w:val="FF0000"/>
          <w:sz w:val="20"/>
          <w:szCs w:val="20"/>
        </w:rPr>
        <w:t xml:space="preserve">, </w:t>
      </w:r>
      <w:r w:rsidRPr="00213F66">
        <w:rPr>
          <w:rStyle w:val="Emphasis"/>
          <w:rFonts w:ascii="Arial" w:hAnsi="Arial" w:cs="Arial"/>
          <w:color w:val="FF0000"/>
          <w:sz w:val="20"/>
          <w:szCs w:val="20"/>
        </w:rPr>
        <w:t>Proteus</w:t>
      </w:r>
      <w:r w:rsidRPr="00213F66">
        <w:rPr>
          <w:rFonts w:ascii="Arial" w:hAnsi="Arial" w:cs="Arial"/>
          <w:color w:val="FF0000"/>
          <w:sz w:val="20"/>
          <w:szCs w:val="20"/>
        </w:rPr>
        <w:t xml:space="preserve"> spp., and </w:t>
      </w:r>
      <w:r w:rsidRPr="00213F66">
        <w:rPr>
          <w:rStyle w:val="Emphasis"/>
          <w:rFonts w:ascii="Arial" w:hAnsi="Arial" w:cs="Arial"/>
          <w:color w:val="FF0000"/>
          <w:sz w:val="20"/>
          <w:szCs w:val="20"/>
        </w:rPr>
        <w:t>Shigella</w:t>
      </w:r>
      <w:r w:rsidRPr="00213F66">
        <w:rPr>
          <w:rFonts w:ascii="Arial" w:hAnsi="Arial" w:cs="Arial"/>
          <w:color w:val="FF0000"/>
          <w:sz w:val="20"/>
          <w:szCs w:val="20"/>
        </w:rPr>
        <w:t xml:space="preserve"> spp. demonstrates that </w:t>
      </w:r>
      <w:r w:rsidRPr="00213F66">
        <w:rPr>
          <w:rStyle w:val="Emphasis"/>
          <w:rFonts w:ascii="Arial" w:hAnsi="Arial" w:cs="Arial"/>
          <w:color w:val="FF0000"/>
          <w:sz w:val="20"/>
          <w:szCs w:val="20"/>
        </w:rPr>
        <w:t>Mentha piperita</w:t>
      </w:r>
      <w:r w:rsidRPr="00213F66">
        <w:rPr>
          <w:rFonts w:ascii="Arial" w:hAnsi="Arial" w:cs="Arial"/>
          <w:color w:val="FF0000"/>
          <w:sz w:val="20"/>
          <w:szCs w:val="20"/>
        </w:rPr>
        <w:t xml:space="preserve"> contains bioactive metabolites capable of overcoming, at least partially, the intrinsic resistance mechanisms of these organisms. This finding is particularly important considering the increasing prevalence of multidrug-resistant bacterial pathogens worldwide (Williams, 2000; World Health Organization, 20</w:t>
      </w:r>
      <w:r w:rsidR="006B1F70" w:rsidRPr="00213F66">
        <w:rPr>
          <w:rFonts w:ascii="Arial" w:hAnsi="Arial" w:cs="Arial"/>
          <w:color w:val="FF0000"/>
          <w:sz w:val="20"/>
          <w:szCs w:val="20"/>
        </w:rPr>
        <w:t>14</w:t>
      </w:r>
      <w:r w:rsidRPr="00213F66">
        <w:rPr>
          <w:rFonts w:ascii="Arial" w:hAnsi="Arial" w:cs="Arial"/>
          <w:color w:val="FF0000"/>
          <w:sz w:val="20"/>
          <w:szCs w:val="20"/>
        </w:rPr>
        <w:t>).</w:t>
      </w:r>
    </w:p>
    <w:p w14:paraId="6520BE71" w14:textId="77777777" w:rsidR="00964EF3" w:rsidRPr="00213F66" w:rsidRDefault="00964EF3" w:rsidP="007D6400">
      <w:pPr>
        <w:jc w:val="both"/>
        <w:rPr>
          <w:rFonts w:ascii="Arial" w:hAnsi="Arial" w:cs="Arial"/>
          <w:color w:val="FF0000"/>
          <w:sz w:val="20"/>
          <w:szCs w:val="20"/>
        </w:rPr>
      </w:pPr>
      <w:r w:rsidRPr="00213F66">
        <w:rPr>
          <w:rFonts w:ascii="Arial" w:hAnsi="Arial" w:cs="Arial"/>
          <w:color w:val="FF0000"/>
          <w:sz w:val="20"/>
          <w:szCs w:val="20"/>
        </w:rPr>
        <w:t xml:space="preserve">The antifungal activities presented in </w:t>
      </w:r>
      <w:r w:rsidRPr="00213F66">
        <w:rPr>
          <w:rStyle w:val="Strong"/>
          <w:rFonts w:ascii="Arial" w:hAnsi="Arial" w:cs="Arial"/>
          <w:b w:val="0"/>
          <w:color w:val="FF0000"/>
          <w:sz w:val="20"/>
          <w:szCs w:val="20"/>
        </w:rPr>
        <w:t>Figures 8–11</w:t>
      </w:r>
      <w:r w:rsidRPr="00213F66">
        <w:rPr>
          <w:rFonts w:ascii="Arial" w:hAnsi="Arial" w:cs="Arial"/>
          <w:color w:val="FF0000"/>
          <w:sz w:val="20"/>
          <w:szCs w:val="20"/>
        </w:rPr>
        <w:t xml:space="preserve"> similarly revealed concentration-dependent inhibition of all test fungal isolates. Unlike the antibacterial results, the </w:t>
      </w:r>
      <w:r w:rsidRPr="00213F66">
        <w:rPr>
          <w:rStyle w:val="Strong"/>
          <w:rFonts w:ascii="Arial" w:hAnsi="Arial" w:cs="Arial"/>
          <w:b w:val="0"/>
          <w:color w:val="FF0000"/>
          <w:sz w:val="20"/>
          <w:szCs w:val="20"/>
        </w:rPr>
        <w:t>cardiac glycoside fraction (Figure 11)</w:t>
      </w:r>
      <w:r w:rsidRPr="00213F66">
        <w:rPr>
          <w:rFonts w:ascii="Arial" w:hAnsi="Arial" w:cs="Arial"/>
          <w:color w:val="FF0000"/>
          <w:sz w:val="20"/>
          <w:szCs w:val="20"/>
        </w:rPr>
        <w:t xml:space="preserve"> exhibited the strongest antifungal activity, producing inhibition zones of </w:t>
      </w:r>
      <w:r w:rsidRPr="00213F66">
        <w:rPr>
          <w:rStyle w:val="Strong"/>
          <w:rFonts w:ascii="Arial" w:hAnsi="Arial" w:cs="Arial"/>
          <w:b w:val="0"/>
          <w:color w:val="FF0000"/>
          <w:sz w:val="20"/>
          <w:szCs w:val="20"/>
        </w:rPr>
        <w:t>21 mm</w:t>
      </w:r>
      <w:r w:rsidRPr="00213F66">
        <w:rPr>
          <w:rFonts w:ascii="Arial" w:hAnsi="Arial" w:cs="Arial"/>
          <w:color w:val="FF0000"/>
          <w:sz w:val="20"/>
          <w:szCs w:val="20"/>
        </w:rPr>
        <w:t xml:space="preserve"> against </w:t>
      </w:r>
      <w:r w:rsidRPr="00213F66">
        <w:rPr>
          <w:rStyle w:val="Emphasis"/>
          <w:rFonts w:ascii="Arial" w:hAnsi="Arial" w:cs="Arial"/>
          <w:color w:val="FF0000"/>
          <w:sz w:val="20"/>
          <w:szCs w:val="20"/>
        </w:rPr>
        <w:t>Candida albicans</w:t>
      </w:r>
      <w:r w:rsidRPr="00213F66">
        <w:rPr>
          <w:rFonts w:ascii="Arial" w:hAnsi="Arial" w:cs="Arial"/>
          <w:color w:val="FF0000"/>
          <w:sz w:val="20"/>
          <w:szCs w:val="20"/>
        </w:rPr>
        <w:t xml:space="preserve">, </w:t>
      </w:r>
      <w:r w:rsidRPr="00213F66">
        <w:rPr>
          <w:rStyle w:val="Strong"/>
          <w:rFonts w:ascii="Arial" w:hAnsi="Arial" w:cs="Arial"/>
          <w:b w:val="0"/>
          <w:color w:val="FF0000"/>
          <w:sz w:val="20"/>
          <w:szCs w:val="20"/>
        </w:rPr>
        <w:t>20 mm</w:t>
      </w:r>
      <w:r w:rsidRPr="00213F66">
        <w:rPr>
          <w:rFonts w:ascii="Arial" w:hAnsi="Arial" w:cs="Arial"/>
          <w:color w:val="FF0000"/>
          <w:sz w:val="20"/>
          <w:szCs w:val="20"/>
        </w:rPr>
        <w:t xml:space="preserve"> against </w:t>
      </w:r>
      <w:r w:rsidRPr="00213F66">
        <w:rPr>
          <w:rStyle w:val="Emphasis"/>
          <w:rFonts w:ascii="Arial" w:hAnsi="Arial" w:cs="Arial"/>
          <w:color w:val="FF0000"/>
          <w:sz w:val="20"/>
          <w:szCs w:val="20"/>
        </w:rPr>
        <w:t xml:space="preserve">Aspergillus </w:t>
      </w:r>
      <w:proofErr w:type="spellStart"/>
      <w:r w:rsidRPr="00213F66">
        <w:rPr>
          <w:rStyle w:val="Emphasis"/>
          <w:rFonts w:ascii="Arial" w:hAnsi="Arial" w:cs="Arial"/>
          <w:color w:val="FF0000"/>
          <w:sz w:val="20"/>
          <w:szCs w:val="20"/>
        </w:rPr>
        <w:t>niger</w:t>
      </w:r>
      <w:proofErr w:type="spellEnd"/>
      <w:r w:rsidRPr="00213F66">
        <w:rPr>
          <w:rFonts w:ascii="Arial" w:hAnsi="Arial" w:cs="Arial"/>
          <w:color w:val="FF0000"/>
          <w:sz w:val="20"/>
          <w:szCs w:val="20"/>
        </w:rPr>
        <w:t xml:space="preserve">, and </w:t>
      </w:r>
      <w:r w:rsidRPr="00213F66">
        <w:rPr>
          <w:rStyle w:val="Strong"/>
          <w:rFonts w:ascii="Arial" w:hAnsi="Arial" w:cs="Arial"/>
          <w:b w:val="0"/>
          <w:color w:val="FF0000"/>
          <w:sz w:val="20"/>
          <w:szCs w:val="20"/>
        </w:rPr>
        <w:t>19 mm</w:t>
      </w:r>
      <w:r w:rsidRPr="00213F66">
        <w:rPr>
          <w:rFonts w:ascii="Arial" w:hAnsi="Arial" w:cs="Arial"/>
          <w:color w:val="FF0000"/>
          <w:sz w:val="20"/>
          <w:szCs w:val="20"/>
        </w:rPr>
        <w:t xml:space="preserve"> against </w:t>
      </w:r>
      <w:r w:rsidRPr="00213F66">
        <w:rPr>
          <w:rStyle w:val="Emphasis"/>
          <w:rFonts w:ascii="Arial" w:hAnsi="Arial" w:cs="Arial"/>
          <w:color w:val="FF0000"/>
          <w:sz w:val="20"/>
          <w:szCs w:val="20"/>
        </w:rPr>
        <w:t>Saccharomyces cerevisiae</w:t>
      </w:r>
      <w:r w:rsidRPr="00213F66">
        <w:rPr>
          <w:rFonts w:ascii="Arial" w:hAnsi="Arial" w:cs="Arial"/>
          <w:color w:val="FF0000"/>
          <w:sz w:val="20"/>
          <w:szCs w:val="20"/>
        </w:rPr>
        <w:t xml:space="preserve"> at 500 mg/</w:t>
      </w:r>
      <w:proofErr w:type="spellStart"/>
      <w:r w:rsidRPr="00213F66">
        <w:rPr>
          <w:rFonts w:ascii="Arial" w:hAnsi="Arial" w:cs="Arial"/>
          <w:color w:val="FF0000"/>
          <w:sz w:val="20"/>
          <w:szCs w:val="20"/>
        </w:rPr>
        <w:t>mL.</w:t>
      </w:r>
      <w:proofErr w:type="spellEnd"/>
      <w:r w:rsidRPr="00213F66">
        <w:rPr>
          <w:rFonts w:ascii="Arial" w:hAnsi="Arial" w:cs="Arial"/>
          <w:color w:val="FF0000"/>
          <w:sz w:val="20"/>
          <w:szCs w:val="20"/>
        </w:rPr>
        <w:t xml:space="preserve"> The </w:t>
      </w:r>
      <w:r w:rsidRPr="00213F66">
        <w:rPr>
          <w:rStyle w:val="Strong"/>
          <w:rFonts w:ascii="Arial" w:hAnsi="Arial" w:cs="Arial"/>
          <w:b w:val="0"/>
          <w:color w:val="FF0000"/>
          <w:sz w:val="20"/>
          <w:szCs w:val="20"/>
        </w:rPr>
        <w:t>crude alkaloid fraction (Figure 9)</w:t>
      </w:r>
      <w:r w:rsidRPr="00213F66">
        <w:rPr>
          <w:rFonts w:ascii="Arial" w:hAnsi="Arial" w:cs="Arial"/>
          <w:color w:val="FF0000"/>
          <w:sz w:val="20"/>
          <w:szCs w:val="20"/>
        </w:rPr>
        <w:t xml:space="preserve"> also demonstrated considerable antifungal activity, whereas the </w:t>
      </w:r>
      <w:r w:rsidRPr="00213F66">
        <w:rPr>
          <w:rStyle w:val="Strong"/>
          <w:rFonts w:ascii="Arial" w:hAnsi="Arial" w:cs="Arial"/>
          <w:b w:val="0"/>
          <w:color w:val="FF0000"/>
          <w:sz w:val="20"/>
          <w:szCs w:val="20"/>
        </w:rPr>
        <w:t>flavonoid fraction (Figure 10)</w:t>
      </w:r>
      <w:r w:rsidRPr="00213F66">
        <w:rPr>
          <w:rFonts w:ascii="Arial" w:hAnsi="Arial" w:cs="Arial"/>
          <w:color w:val="FF0000"/>
          <w:sz w:val="20"/>
          <w:szCs w:val="20"/>
        </w:rPr>
        <w:t xml:space="preserve"> was active mainly against </w:t>
      </w:r>
      <w:r w:rsidRPr="00213F66">
        <w:rPr>
          <w:rStyle w:val="Emphasis"/>
          <w:rFonts w:ascii="Arial" w:hAnsi="Arial" w:cs="Arial"/>
          <w:color w:val="FF0000"/>
          <w:sz w:val="20"/>
          <w:szCs w:val="20"/>
        </w:rPr>
        <w:t>Aspergillus flavus</w:t>
      </w:r>
      <w:r w:rsidRPr="00213F66">
        <w:rPr>
          <w:rFonts w:ascii="Arial" w:hAnsi="Arial" w:cs="Arial"/>
          <w:color w:val="FF0000"/>
          <w:sz w:val="20"/>
          <w:szCs w:val="20"/>
        </w:rPr>
        <w:t xml:space="preserve"> and </w:t>
      </w:r>
      <w:r w:rsidRPr="00213F66">
        <w:rPr>
          <w:rStyle w:val="Emphasis"/>
          <w:rFonts w:ascii="Arial" w:hAnsi="Arial" w:cs="Arial"/>
          <w:color w:val="FF0000"/>
          <w:sz w:val="20"/>
          <w:szCs w:val="20"/>
        </w:rPr>
        <w:t xml:space="preserve">A. </w:t>
      </w:r>
      <w:proofErr w:type="spellStart"/>
      <w:r w:rsidRPr="00213F66">
        <w:rPr>
          <w:rStyle w:val="Emphasis"/>
          <w:rFonts w:ascii="Arial" w:hAnsi="Arial" w:cs="Arial"/>
          <w:color w:val="FF0000"/>
          <w:sz w:val="20"/>
          <w:szCs w:val="20"/>
        </w:rPr>
        <w:t>niger</w:t>
      </w:r>
      <w:proofErr w:type="spellEnd"/>
      <w:r w:rsidRPr="00213F66">
        <w:rPr>
          <w:rFonts w:ascii="Arial" w:hAnsi="Arial" w:cs="Arial"/>
          <w:color w:val="FF0000"/>
          <w:sz w:val="20"/>
          <w:szCs w:val="20"/>
        </w:rPr>
        <w:t xml:space="preserve">. The ethanol extract (Figure 8) exhibited moderate inhibition against all fungal isolates, suggesting that the combined action of multiple phytochemicals contributes to its antifungal efficacy. These findings agree with those reported for </w:t>
      </w:r>
      <w:proofErr w:type="spellStart"/>
      <w:r w:rsidRPr="00213F66">
        <w:rPr>
          <w:rStyle w:val="Emphasis"/>
          <w:rFonts w:ascii="Arial" w:hAnsi="Arial" w:cs="Arial"/>
          <w:color w:val="FF0000"/>
          <w:sz w:val="20"/>
          <w:szCs w:val="20"/>
        </w:rPr>
        <w:t>Enantia</w:t>
      </w:r>
      <w:proofErr w:type="spellEnd"/>
      <w:r w:rsidRPr="00213F66">
        <w:rPr>
          <w:rStyle w:val="Emphasis"/>
          <w:rFonts w:ascii="Arial" w:hAnsi="Arial" w:cs="Arial"/>
          <w:color w:val="FF0000"/>
          <w:sz w:val="20"/>
          <w:szCs w:val="20"/>
        </w:rPr>
        <w:t xml:space="preserve"> </w:t>
      </w:r>
      <w:proofErr w:type="spellStart"/>
      <w:r w:rsidRPr="00213F66">
        <w:rPr>
          <w:rStyle w:val="Emphasis"/>
          <w:rFonts w:ascii="Arial" w:hAnsi="Arial" w:cs="Arial"/>
          <w:color w:val="FF0000"/>
          <w:sz w:val="20"/>
          <w:szCs w:val="20"/>
        </w:rPr>
        <w:t>chlorantha</w:t>
      </w:r>
      <w:proofErr w:type="spellEnd"/>
      <w:r w:rsidRPr="00213F66">
        <w:rPr>
          <w:rFonts w:ascii="Arial" w:hAnsi="Arial" w:cs="Arial"/>
          <w:color w:val="FF0000"/>
          <w:sz w:val="20"/>
          <w:szCs w:val="20"/>
        </w:rPr>
        <w:t xml:space="preserve"> and </w:t>
      </w:r>
      <w:proofErr w:type="spellStart"/>
      <w:r w:rsidRPr="00213F66">
        <w:rPr>
          <w:rStyle w:val="Emphasis"/>
          <w:rFonts w:ascii="Arial" w:hAnsi="Arial" w:cs="Arial"/>
          <w:color w:val="FF0000"/>
          <w:sz w:val="20"/>
          <w:szCs w:val="20"/>
        </w:rPr>
        <w:t>Dacryodes</w:t>
      </w:r>
      <w:proofErr w:type="spellEnd"/>
      <w:r w:rsidRPr="00213F66">
        <w:rPr>
          <w:rStyle w:val="Emphasis"/>
          <w:rFonts w:ascii="Arial" w:hAnsi="Arial" w:cs="Arial"/>
          <w:color w:val="FF0000"/>
          <w:sz w:val="20"/>
          <w:szCs w:val="20"/>
        </w:rPr>
        <w:t xml:space="preserve"> edulis</w:t>
      </w:r>
      <w:r w:rsidRPr="00213F66">
        <w:rPr>
          <w:rFonts w:ascii="Arial" w:hAnsi="Arial" w:cs="Arial"/>
          <w:color w:val="FF0000"/>
          <w:sz w:val="20"/>
          <w:szCs w:val="20"/>
        </w:rPr>
        <w:t xml:space="preserve">, where crude extracts and purified metabolites exhibited varying degrees of antifungal activity depending on their phytochemical composition (Akpan et al., 2017; </w:t>
      </w:r>
      <w:proofErr w:type="spellStart"/>
      <w:r w:rsidRPr="00213F66">
        <w:rPr>
          <w:rFonts w:ascii="Arial" w:hAnsi="Arial" w:cs="Arial"/>
          <w:color w:val="FF0000"/>
          <w:sz w:val="20"/>
          <w:szCs w:val="20"/>
        </w:rPr>
        <w:t>Oladejobi</w:t>
      </w:r>
      <w:proofErr w:type="spellEnd"/>
      <w:r w:rsidRPr="00213F66">
        <w:rPr>
          <w:rFonts w:ascii="Arial" w:hAnsi="Arial" w:cs="Arial"/>
          <w:color w:val="FF0000"/>
          <w:sz w:val="20"/>
          <w:szCs w:val="20"/>
        </w:rPr>
        <w:t xml:space="preserve"> et al., 2022).</w:t>
      </w:r>
    </w:p>
    <w:p w14:paraId="3436CEF7" w14:textId="77777777" w:rsidR="00964EF3" w:rsidRPr="00213F66" w:rsidRDefault="00964EF3" w:rsidP="007D6400">
      <w:pPr>
        <w:jc w:val="both"/>
        <w:rPr>
          <w:rFonts w:ascii="Arial" w:hAnsi="Arial" w:cs="Arial"/>
          <w:color w:val="FF0000"/>
          <w:sz w:val="20"/>
          <w:szCs w:val="20"/>
        </w:rPr>
      </w:pPr>
      <w:r w:rsidRPr="00213F66">
        <w:rPr>
          <w:rFonts w:ascii="Arial" w:hAnsi="Arial" w:cs="Arial"/>
          <w:color w:val="FF0000"/>
          <w:sz w:val="20"/>
          <w:szCs w:val="20"/>
        </w:rPr>
        <w:lastRenderedPageBreak/>
        <w:t>Although the inhibition zones produced by the extracts and isolated phytochemicals were generally lower than those of the standard drugs (</w:t>
      </w:r>
      <w:r w:rsidRPr="00213F66">
        <w:rPr>
          <w:rStyle w:val="Strong"/>
          <w:rFonts w:ascii="Arial" w:hAnsi="Arial" w:cs="Arial"/>
          <w:color w:val="FF0000"/>
          <w:sz w:val="20"/>
          <w:szCs w:val="20"/>
        </w:rPr>
        <w:t>20 mg/mL gentamicin</w:t>
      </w:r>
      <w:r w:rsidRPr="00213F66">
        <w:rPr>
          <w:rFonts w:ascii="Arial" w:hAnsi="Arial" w:cs="Arial"/>
          <w:color w:val="FF0000"/>
          <w:sz w:val="20"/>
          <w:szCs w:val="20"/>
        </w:rPr>
        <w:t xml:space="preserve"> and </w:t>
      </w:r>
      <w:r w:rsidRPr="00213F66">
        <w:rPr>
          <w:rStyle w:val="Strong"/>
          <w:rFonts w:ascii="Arial" w:hAnsi="Arial" w:cs="Arial"/>
          <w:color w:val="FF0000"/>
          <w:sz w:val="20"/>
          <w:szCs w:val="20"/>
        </w:rPr>
        <w:t>50 mg/mL nystatin</w:t>
      </w:r>
      <w:r w:rsidRPr="00213F66">
        <w:rPr>
          <w:rFonts w:ascii="Arial" w:hAnsi="Arial" w:cs="Arial"/>
          <w:color w:val="FF0000"/>
          <w:sz w:val="20"/>
          <w:szCs w:val="20"/>
        </w:rPr>
        <w:t>), the results remain highly significant because the phytochemicals were evaluated in relatively crude forms rather than as purified pharmaceutical compounds. Bioassay-guided purification has consistently been shown to improve antimicrobial potency by concentrating active constituents and eliminating inactive materials (</w:t>
      </w:r>
      <w:proofErr w:type="spellStart"/>
      <w:r w:rsidRPr="00213F66">
        <w:rPr>
          <w:rFonts w:ascii="Arial" w:hAnsi="Arial" w:cs="Arial"/>
          <w:color w:val="FF0000"/>
          <w:sz w:val="20"/>
          <w:szCs w:val="20"/>
        </w:rPr>
        <w:t>Ejele</w:t>
      </w:r>
      <w:proofErr w:type="spellEnd"/>
      <w:r w:rsidRPr="00213F66">
        <w:rPr>
          <w:rFonts w:ascii="Arial" w:hAnsi="Arial" w:cs="Arial"/>
          <w:color w:val="FF0000"/>
          <w:sz w:val="20"/>
          <w:szCs w:val="20"/>
        </w:rPr>
        <w:t xml:space="preserve"> et al., 2012; Akpan et al., 2016). Consequently, the antimicrobial activities observed in the present study provide strong scientific evidence supporting the ethnomedicinal use of </w:t>
      </w:r>
      <w:r w:rsidRPr="00213F66">
        <w:rPr>
          <w:rStyle w:val="Emphasis"/>
          <w:rFonts w:ascii="Arial" w:hAnsi="Arial" w:cs="Arial"/>
          <w:color w:val="FF0000"/>
          <w:sz w:val="20"/>
          <w:szCs w:val="20"/>
        </w:rPr>
        <w:t>Mentha piperita</w:t>
      </w:r>
      <w:r w:rsidRPr="00213F66">
        <w:rPr>
          <w:rFonts w:ascii="Arial" w:hAnsi="Arial" w:cs="Arial"/>
          <w:color w:val="FF0000"/>
          <w:sz w:val="20"/>
          <w:szCs w:val="20"/>
        </w:rPr>
        <w:t xml:space="preserve"> and justify further purification, structural elucidation, and pharmacological evaluation of its bioactive constituents.</w:t>
      </w:r>
    </w:p>
    <w:p w14:paraId="35AEB25F" w14:textId="77777777" w:rsidR="002E433F" w:rsidRPr="00213F66" w:rsidRDefault="002E433F" w:rsidP="002E433F">
      <w:pPr>
        <w:jc w:val="both"/>
        <w:rPr>
          <w:rFonts w:ascii="Arial" w:hAnsi="Arial" w:cs="Arial"/>
          <w:sz w:val="20"/>
          <w:szCs w:val="20"/>
        </w:rPr>
      </w:pPr>
      <w:r w:rsidRPr="00213F66">
        <w:rPr>
          <w:rFonts w:ascii="Arial" w:hAnsi="Arial" w:cs="Arial"/>
          <w:sz w:val="20"/>
          <w:szCs w:val="20"/>
        </w:rPr>
        <w:t xml:space="preserve">The quantitative estimation of the major bioactive constituents of </w:t>
      </w:r>
      <w:r w:rsidRPr="00213F66">
        <w:rPr>
          <w:rStyle w:val="Emphasis"/>
          <w:rFonts w:ascii="Arial" w:hAnsi="Arial" w:cs="Arial"/>
          <w:sz w:val="20"/>
          <w:szCs w:val="20"/>
        </w:rPr>
        <w:t>Mentha piperita</w:t>
      </w:r>
      <w:r w:rsidRPr="00213F66">
        <w:rPr>
          <w:rFonts w:ascii="Arial" w:hAnsi="Arial" w:cs="Arial"/>
          <w:sz w:val="20"/>
          <w:szCs w:val="20"/>
        </w:rPr>
        <w:t xml:space="preserve"> (</w:t>
      </w:r>
      <w:r w:rsidRPr="00213F66">
        <w:rPr>
          <w:rStyle w:val="Strong"/>
          <w:rFonts w:ascii="Arial" w:hAnsi="Arial" w:cs="Arial"/>
          <w:b w:val="0"/>
          <w:sz w:val="20"/>
          <w:szCs w:val="20"/>
        </w:rPr>
        <w:t>Table 3</w:t>
      </w:r>
      <w:r w:rsidRPr="00213F66">
        <w:rPr>
          <w:rFonts w:ascii="Arial" w:hAnsi="Arial" w:cs="Arial"/>
          <w:sz w:val="20"/>
          <w:szCs w:val="20"/>
        </w:rPr>
        <w:t xml:space="preserve">) revealed considerable variation in the abundance of the three isolated phytochemical classes, with </w:t>
      </w:r>
      <w:r w:rsidRPr="00213F66">
        <w:rPr>
          <w:rStyle w:val="Strong"/>
          <w:rFonts w:ascii="Arial" w:hAnsi="Arial" w:cs="Arial"/>
          <w:b w:val="0"/>
          <w:sz w:val="20"/>
          <w:szCs w:val="20"/>
        </w:rPr>
        <w:t>flavonoids (21.80 ± 2.40%)</w:t>
      </w:r>
      <w:r w:rsidRPr="00213F66">
        <w:rPr>
          <w:rFonts w:ascii="Arial" w:hAnsi="Arial" w:cs="Arial"/>
          <w:sz w:val="20"/>
          <w:szCs w:val="20"/>
        </w:rPr>
        <w:t xml:space="preserve"> occurring at the highest concentration, followed by </w:t>
      </w:r>
      <w:r w:rsidRPr="00213F66">
        <w:rPr>
          <w:rStyle w:val="Strong"/>
          <w:rFonts w:ascii="Arial" w:hAnsi="Arial" w:cs="Arial"/>
          <w:b w:val="0"/>
          <w:sz w:val="20"/>
          <w:szCs w:val="20"/>
        </w:rPr>
        <w:t>cardiac glycosides (9.33 ± 1.71%)</w:t>
      </w:r>
      <w:r w:rsidRPr="00213F66">
        <w:rPr>
          <w:rFonts w:ascii="Arial" w:hAnsi="Arial" w:cs="Arial"/>
          <w:sz w:val="20"/>
          <w:szCs w:val="20"/>
        </w:rPr>
        <w:t xml:space="preserve">, while </w:t>
      </w:r>
      <w:r w:rsidRPr="00213F66">
        <w:rPr>
          <w:rStyle w:val="Strong"/>
          <w:rFonts w:ascii="Arial" w:hAnsi="Arial" w:cs="Arial"/>
          <w:b w:val="0"/>
          <w:sz w:val="20"/>
          <w:szCs w:val="20"/>
        </w:rPr>
        <w:t>alkaloids (4.47 ± 0.25%)</w:t>
      </w:r>
      <w:r w:rsidRPr="00213F66">
        <w:rPr>
          <w:rFonts w:ascii="Arial" w:hAnsi="Arial" w:cs="Arial"/>
          <w:sz w:val="20"/>
          <w:szCs w:val="20"/>
        </w:rPr>
        <w:t xml:space="preserve"> were present at comparatively lower levels. These findings indicate that flavonoids constitute the predominant antimicrobial phytochemicals in the ethanol extracts of </w:t>
      </w:r>
      <w:r w:rsidRPr="00213F66">
        <w:rPr>
          <w:rStyle w:val="Emphasis"/>
          <w:rFonts w:ascii="Arial" w:hAnsi="Arial" w:cs="Arial"/>
          <w:sz w:val="20"/>
          <w:szCs w:val="20"/>
        </w:rPr>
        <w:t>M. piperita</w:t>
      </w:r>
      <w:r w:rsidRPr="00213F66">
        <w:rPr>
          <w:rFonts w:ascii="Arial" w:hAnsi="Arial" w:cs="Arial"/>
          <w:sz w:val="20"/>
          <w:szCs w:val="20"/>
        </w:rPr>
        <w:t>, suggesting that they may play a central role in the biological activities observed in this investigation.</w:t>
      </w:r>
    </w:p>
    <w:p w14:paraId="09FDBBC9" w14:textId="77777777" w:rsidR="00490A62" w:rsidRPr="00213F66" w:rsidRDefault="002E433F" w:rsidP="002E433F">
      <w:pPr>
        <w:jc w:val="both"/>
        <w:rPr>
          <w:rFonts w:ascii="Arial" w:hAnsi="Arial" w:cs="Arial"/>
          <w:color w:val="FF0000"/>
          <w:sz w:val="20"/>
          <w:szCs w:val="20"/>
        </w:rPr>
      </w:pPr>
      <w:r w:rsidRPr="00213F66">
        <w:rPr>
          <w:rFonts w:ascii="Arial" w:hAnsi="Arial" w:cs="Arial"/>
          <w:color w:val="FF0000"/>
          <w:sz w:val="20"/>
          <w:szCs w:val="20"/>
        </w:rPr>
        <w:t xml:space="preserve">The presence of flavonoids at concentrations exceeding 20 % therefore suggests that these compounds contributed substantially to the inhibitory effects observed against both bacterial and fungal pathogens. </w:t>
      </w:r>
      <w:r w:rsidRPr="00213F66">
        <w:rPr>
          <w:rFonts w:ascii="Arial" w:hAnsi="Arial" w:cs="Arial"/>
          <w:sz w:val="20"/>
          <w:szCs w:val="20"/>
        </w:rPr>
        <w:t xml:space="preserve">The predominance of flavonoids is consistent with previous phytochemical studies on </w:t>
      </w:r>
      <w:r w:rsidRPr="00213F66">
        <w:rPr>
          <w:rStyle w:val="Emphasis"/>
          <w:rFonts w:ascii="Arial" w:hAnsi="Arial" w:cs="Arial"/>
          <w:sz w:val="20"/>
          <w:szCs w:val="20"/>
        </w:rPr>
        <w:t>Mentha</w:t>
      </w:r>
      <w:r w:rsidRPr="00213F66">
        <w:rPr>
          <w:rFonts w:ascii="Arial" w:hAnsi="Arial" w:cs="Arial"/>
          <w:sz w:val="20"/>
          <w:szCs w:val="20"/>
        </w:rPr>
        <w:t xml:space="preserve"> species and other medicinal plants, where flavonoids represent one of the largest groups of naturally occurring polyphenolic compounds responsible for diverse pharmacological activities (</w:t>
      </w:r>
      <w:r w:rsidRPr="00213F66">
        <w:rPr>
          <w:rFonts w:ascii="Arial" w:hAnsi="Arial" w:cs="Arial"/>
          <w:color w:val="FF0000"/>
          <w:sz w:val="20"/>
          <w:szCs w:val="20"/>
        </w:rPr>
        <w:t xml:space="preserve">Edeoga </w:t>
      </w:r>
      <w:r w:rsidRPr="00213F66">
        <w:rPr>
          <w:rFonts w:ascii="Arial" w:hAnsi="Arial" w:cs="Arial"/>
          <w:i/>
          <w:color w:val="FF0000"/>
          <w:sz w:val="20"/>
          <w:szCs w:val="20"/>
        </w:rPr>
        <w:t>et al</w:t>
      </w:r>
      <w:r w:rsidRPr="00213F66">
        <w:rPr>
          <w:rFonts w:ascii="Arial" w:hAnsi="Arial" w:cs="Arial"/>
          <w:color w:val="FF0000"/>
          <w:sz w:val="20"/>
          <w:szCs w:val="20"/>
        </w:rPr>
        <w:t xml:space="preserve">., 2005; Rangari, 2012; Trevisan </w:t>
      </w:r>
      <w:r w:rsidRPr="00213F66">
        <w:rPr>
          <w:rFonts w:ascii="Arial" w:hAnsi="Arial" w:cs="Arial"/>
          <w:i/>
          <w:color w:val="FF0000"/>
          <w:sz w:val="20"/>
          <w:szCs w:val="20"/>
        </w:rPr>
        <w:t>et al</w:t>
      </w:r>
      <w:r w:rsidRPr="00213F66">
        <w:rPr>
          <w:rFonts w:ascii="Arial" w:hAnsi="Arial" w:cs="Arial"/>
          <w:color w:val="FF0000"/>
          <w:sz w:val="20"/>
          <w:szCs w:val="20"/>
        </w:rPr>
        <w:t>., 2017</w:t>
      </w:r>
      <w:r w:rsidRPr="00213F66">
        <w:rPr>
          <w:rFonts w:ascii="Arial" w:hAnsi="Arial" w:cs="Arial"/>
          <w:sz w:val="20"/>
          <w:szCs w:val="20"/>
        </w:rPr>
        <w:t>). Flavonoids are well recognised for their antibacterial, antifungal, antiviral, antioxidant and anti-inflammatory properties and have attracted increasing attention as promising alternatives to synthetic antimicrobial agents (</w:t>
      </w:r>
      <w:r w:rsidRPr="00213F66">
        <w:rPr>
          <w:rFonts w:ascii="Arial" w:hAnsi="Arial" w:cs="Arial"/>
          <w:color w:val="FF0000"/>
          <w:sz w:val="20"/>
          <w:szCs w:val="20"/>
        </w:rPr>
        <w:t xml:space="preserve">Sharma </w:t>
      </w:r>
      <w:r w:rsidRPr="00213F66">
        <w:rPr>
          <w:rFonts w:ascii="Arial" w:hAnsi="Arial" w:cs="Arial"/>
          <w:i/>
          <w:color w:val="FF0000"/>
          <w:sz w:val="20"/>
          <w:szCs w:val="20"/>
        </w:rPr>
        <w:t>et al.,</w:t>
      </w:r>
      <w:r w:rsidRPr="00213F66">
        <w:rPr>
          <w:rFonts w:ascii="Arial" w:hAnsi="Arial" w:cs="Arial"/>
          <w:color w:val="FF0000"/>
          <w:sz w:val="20"/>
          <w:szCs w:val="20"/>
        </w:rPr>
        <w:t xml:space="preserve"> 2013; Singh </w:t>
      </w:r>
      <w:r w:rsidRPr="00213F66">
        <w:rPr>
          <w:rFonts w:ascii="Arial" w:hAnsi="Arial" w:cs="Arial"/>
          <w:i/>
          <w:color w:val="FF0000"/>
          <w:sz w:val="20"/>
          <w:szCs w:val="20"/>
        </w:rPr>
        <w:t>et al.,</w:t>
      </w:r>
      <w:r w:rsidRPr="00213F66">
        <w:rPr>
          <w:rFonts w:ascii="Arial" w:hAnsi="Arial" w:cs="Arial"/>
          <w:color w:val="FF0000"/>
          <w:sz w:val="20"/>
          <w:szCs w:val="20"/>
        </w:rPr>
        <w:t xml:space="preserve"> 2015; Górniak </w:t>
      </w:r>
      <w:r w:rsidRPr="00213F66">
        <w:rPr>
          <w:rFonts w:ascii="Arial" w:hAnsi="Arial" w:cs="Arial"/>
          <w:i/>
          <w:color w:val="FF0000"/>
          <w:sz w:val="20"/>
          <w:szCs w:val="20"/>
        </w:rPr>
        <w:t>et al</w:t>
      </w:r>
      <w:r w:rsidRPr="00213F66">
        <w:rPr>
          <w:rFonts w:ascii="Arial" w:hAnsi="Arial" w:cs="Arial"/>
          <w:color w:val="FF0000"/>
          <w:sz w:val="20"/>
          <w:szCs w:val="20"/>
        </w:rPr>
        <w:t>., 2019</w:t>
      </w:r>
      <w:r w:rsidRPr="00213F66">
        <w:rPr>
          <w:rFonts w:ascii="Arial" w:hAnsi="Arial" w:cs="Arial"/>
          <w:sz w:val="20"/>
          <w:szCs w:val="20"/>
        </w:rPr>
        <w:t xml:space="preserve">). Their relatively high concentration in </w:t>
      </w:r>
      <w:r w:rsidRPr="00213F66">
        <w:rPr>
          <w:rStyle w:val="Emphasis"/>
          <w:rFonts w:ascii="Arial" w:hAnsi="Arial" w:cs="Arial"/>
          <w:sz w:val="20"/>
          <w:szCs w:val="20"/>
        </w:rPr>
        <w:t>M. piperita</w:t>
      </w:r>
      <w:r w:rsidRPr="00213F66">
        <w:rPr>
          <w:rFonts w:ascii="Arial" w:hAnsi="Arial" w:cs="Arial"/>
          <w:sz w:val="20"/>
          <w:szCs w:val="20"/>
        </w:rPr>
        <w:t xml:space="preserve"> therefore provides a convincing biochemical explanation for the broad-spectrum antimicrobial activity demonstrated by the extracts.</w:t>
      </w:r>
    </w:p>
    <w:p w14:paraId="6619B641" w14:textId="77777777" w:rsidR="002E433F" w:rsidRPr="00213F66" w:rsidRDefault="002E433F" w:rsidP="007D6400">
      <w:pPr>
        <w:jc w:val="both"/>
        <w:rPr>
          <w:rFonts w:ascii="Arial" w:hAnsi="Arial" w:cs="Arial"/>
          <w:sz w:val="20"/>
          <w:szCs w:val="20"/>
        </w:rPr>
      </w:pPr>
      <w:r w:rsidRPr="00213F66">
        <w:rPr>
          <w:rFonts w:ascii="Arial" w:hAnsi="Arial" w:cs="Arial"/>
          <w:sz w:val="20"/>
          <w:szCs w:val="20"/>
        </w:rPr>
        <w:t>Beyond their antimicrobial activities, flavonoids possess remarkable antioxidant properties that enable them to neutralize reactive oxygen species generated during microbial infections and inflammatory responses (</w:t>
      </w:r>
      <w:r w:rsidR="006B1F70" w:rsidRPr="00213F66">
        <w:rPr>
          <w:rFonts w:ascii="Arial" w:hAnsi="Arial" w:cs="Arial"/>
          <w:sz w:val="20"/>
          <w:szCs w:val="20"/>
        </w:rPr>
        <w:t>Reddy</w:t>
      </w:r>
      <w:r w:rsidRPr="00213F66">
        <w:rPr>
          <w:rFonts w:ascii="Arial" w:hAnsi="Arial" w:cs="Arial"/>
          <w:sz w:val="20"/>
          <w:szCs w:val="20"/>
        </w:rPr>
        <w:t>, 20</w:t>
      </w:r>
      <w:r w:rsidR="006B1F70" w:rsidRPr="00213F66">
        <w:rPr>
          <w:rFonts w:ascii="Arial" w:hAnsi="Arial" w:cs="Arial"/>
          <w:sz w:val="20"/>
          <w:szCs w:val="20"/>
        </w:rPr>
        <w:t>04</w:t>
      </w:r>
      <w:r w:rsidRPr="00213F66">
        <w:rPr>
          <w:rFonts w:ascii="Arial" w:hAnsi="Arial" w:cs="Arial"/>
          <w:sz w:val="20"/>
          <w:szCs w:val="20"/>
        </w:rPr>
        <w:t xml:space="preserve">). This dual antimicrobial–antioxidant function is particularly advantageous because oxidative stress frequently accompanies infectious diseases, leading to tissue damage and delayed recovery. Similar observations have been reported in </w:t>
      </w:r>
      <w:proofErr w:type="spellStart"/>
      <w:r w:rsidRPr="00213F66">
        <w:rPr>
          <w:rStyle w:val="Emphasis"/>
          <w:rFonts w:ascii="Arial" w:hAnsi="Arial" w:cs="Arial"/>
          <w:sz w:val="20"/>
          <w:szCs w:val="20"/>
        </w:rPr>
        <w:t>Dacryodes</w:t>
      </w:r>
      <w:proofErr w:type="spellEnd"/>
      <w:r w:rsidRPr="00213F66">
        <w:rPr>
          <w:rStyle w:val="Emphasis"/>
          <w:rFonts w:ascii="Arial" w:hAnsi="Arial" w:cs="Arial"/>
          <w:sz w:val="20"/>
          <w:szCs w:val="20"/>
        </w:rPr>
        <w:t xml:space="preserve"> edulis</w:t>
      </w:r>
      <w:r w:rsidRPr="00213F66">
        <w:rPr>
          <w:rFonts w:ascii="Arial" w:hAnsi="Arial" w:cs="Arial"/>
          <w:sz w:val="20"/>
          <w:szCs w:val="20"/>
        </w:rPr>
        <w:t xml:space="preserve">, </w:t>
      </w:r>
      <w:proofErr w:type="spellStart"/>
      <w:r w:rsidRPr="00213F66">
        <w:rPr>
          <w:rStyle w:val="Emphasis"/>
          <w:rFonts w:ascii="Arial" w:hAnsi="Arial" w:cs="Arial"/>
          <w:sz w:val="20"/>
          <w:szCs w:val="20"/>
        </w:rPr>
        <w:t>Enantia</w:t>
      </w:r>
      <w:proofErr w:type="spellEnd"/>
      <w:r w:rsidRPr="00213F66">
        <w:rPr>
          <w:rStyle w:val="Emphasis"/>
          <w:rFonts w:ascii="Arial" w:hAnsi="Arial" w:cs="Arial"/>
          <w:sz w:val="20"/>
          <w:szCs w:val="20"/>
        </w:rPr>
        <w:t xml:space="preserve"> </w:t>
      </w:r>
      <w:proofErr w:type="spellStart"/>
      <w:r w:rsidRPr="00213F66">
        <w:rPr>
          <w:rStyle w:val="Emphasis"/>
          <w:rFonts w:ascii="Arial" w:hAnsi="Arial" w:cs="Arial"/>
          <w:sz w:val="20"/>
          <w:szCs w:val="20"/>
        </w:rPr>
        <w:t>chlorantha</w:t>
      </w:r>
      <w:proofErr w:type="spellEnd"/>
      <w:r w:rsidRPr="00213F66">
        <w:rPr>
          <w:rFonts w:ascii="Arial" w:hAnsi="Arial" w:cs="Arial"/>
          <w:sz w:val="20"/>
          <w:szCs w:val="20"/>
        </w:rPr>
        <w:t xml:space="preserve"> and </w:t>
      </w:r>
      <w:proofErr w:type="spellStart"/>
      <w:r w:rsidRPr="00213F66">
        <w:rPr>
          <w:rStyle w:val="Emphasis"/>
          <w:rFonts w:ascii="Arial" w:hAnsi="Arial" w:cs="Arial"/>
          <w:sz w:val="20"/>
          <w:szCs w:val="20"/>
        </w:rPr>
        <w:t>Tragia</w:t>
      </w:r>
      <w:proofErr w:type="spellEnd"/>
      <w:r w:rsidRPr="00213F66">
        <w:rPr>
          <w:rStyle w:val="Emphasis"/>
          <w:rFonts w:ascii="Arial" w:hAnsi="Arial" w:cs="Arial"/>
          <w:sz w:val="20"/>
          <w:szCs w:val="20"/>
        </w:rPr>
        <w:t xml:space="preserve"> </w:t>
      </w:r>
      <w:proofErr w:type="spellStart"/>
      <w:r w:rsidRPr="00213F66">
        <w:rPr>
          <w:rStyle w:val="Emphasis"/>
          <w:rFonts w:ascii="Arial" w:hAnsi="Arial" w:cs="Arial"/>
          <w:sz w:val="20"/>
          <w:szCs w:val="20"/>
        </w:rPr>
        <w:t>involucrata</w:t>
      </w:r>
      <w:proofErr w:type="spellEnd"/>
      <w:r w:rsidRPr="00213F66">
        <w:rPr>
          <w:rFonts w:ascii="Arial" w:hAnsi="Arial" w:cs="Arial"/>
          <w:sz w:val="20"/>
          <w:szCs w:val="20"/>
        </w:rPr>
        <w:t>, where flavonoid-rich extracts demonstrated enhanced biological activities attributable to their combined antimicrobial and antioxidant effects (</w:t>
      </w:r>
      <w:proofErr w:type="spellStart"/>
      <w:r w:rsidRPr="00213F66">
        <w:rPr>
          <w:rFonts w:ascii="Arial" w:hAnsi="Arial" w:cs="Arial"/>
          <w:color w:val="FF0000"/>
          <w:sz w:val="20"/>
          <w:szCs w:val="20"/>
        </w:rPr>
        <w:t>Gobalakrishnan</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xml:space="preserve">., 2013; Akpan </w:t>
      </w:r>
      <w:r w:rsidRPr="00213F66">
        <w:rPr>
          <w:rFonts w:ascii="Arial" w:hAnsi="Arial" w:cs="Arial"/>
          <w:i/>
          <w:color w:val="FF0000"/>
          <w:sz w:val="20"/>
          <w:szCs w:val="20"/>
        </w:rPr>
        <w:t>et al</w:t>
      </w:r>
      <w:r w:rsidRPr="00213F66">
        <w:rPr>
          <w:rFonts w:ascii="Arial" w:hAnsi="Arial" w:cs="Arial"/>
          <w:color w:val="FF0000"/>
          <w:sz w:val="20"/>
          <w:szCs w:val="20"/>
        </w:rPr>
        <w:t xml:space="preserve">., 2021; </w:t>
      </w:r>
      <w:proofErr w:type="spellStart"/>
      <w:r w:rsidRPr="00213F66">
        <w:rPr>
          <w:rFonts w:ascii="Arial" w:hAnsi="Arial" w:cs="Arial"/>
          <w:color w:val="FF0000"/>
          <w:sz w:val="20"/>
          <w:szCs w:val="20"/>
        </w:rPr>
        <w:t>Oladejobi</w:t>
      </w:r>
      <w:proofErr w:type="spellEnd"/>
      <w:r w:rsidRPr="00213F66">
        <w:rPr>
          <w:rFonts w:ascii="Arial" w:hAnsi="Arial" w:cs="Arial"/>
          <w:color w:val="FF0000"/>
          <w:sz w:val="20"/>
          <w:szCs w:val="20"/>
        </w:rPr>
        <w:t xml:space="preserve"> </w:t>
      </w:r>
      <w:r w:rsidRPr="00213F66">
        <w:rPr>
          <w:rFonts w:ascii="Arial" w:hAnsi="Arial" w:cs="Arial"/>
          <w:i/>
          <w:color w:val="FF0000"/>
          <w:sz w:val="20"/>
          <w:szCs w:val="20"/>
        </w:rPr>
        <w:t>et al</w:t>
      </w:r>
      <w:r w:rsidRPr="00213F66">
        <w:rPr>
          <w:rFonts w:ascii="Arial" w:hAnsi="Arial" w:cs="Arial"/>
          <w:color w:val="FF0000"/>
          <w:sz w:val="20"/>
          <w:szCs w:val="20"/>
        </w:rPr>
        <w:t>., 2022</w:t>
      </w:r>
      <w:r w:rsidRPr="00213F66">
        <w:rPr>
          <w:rFonts w:ascii="Arial" w:hAnsi="Arial" w:cs="Arial"/>
          <w:sz w:val="20"/>
          <w:szCs w:val="20"/>
        </w:rPr>
        <w:t>).</w:t>
      </w:r>
    </w:p>
    <w:p w14:paraId="0371CA36" w14:textId="77777777" w:rsidR="002E433F" w:rsidRPr="00213F66" w:rsidRDefault="0017019D" w:rsidP="007D6400">
      <w:pPr>
        <w:jc w:val="both"/>
        <w:rPr>
          <w:rFonts w:ascii="Arial" w:hAnsi="Arial" w:cs="Arial"/>
          <w:color w:val="FF0000"/>
          <w:sz w:val="20"/>
          <w:szCs w:val="20"/>
        </w:rPr>
      </w:pPr>
      <w:r w:rsidRPr="00213F66">
        <w:rPr>
          <w:rFonts w:ascii="Arial" w:hAnsi="Arial" w:cs="Arial"/>
          <w:color w:val="FF0000"/>
          <w:sz w:val="20"/>
          <w:szCs w:val="20"/>
        </w:rPr>
        <w:t xml:space="preserve">The superior activity of the flavonoid fraction may be attributed to the well-established ability of flavonoids to disrupt bacterial cell membranes (causing increased membrane permeability and leakage of intracellular constituents), inhibit nucleic acid synthesis, suppress ATP production, interfere with energy metabolism, and suppress bacterial virulence factors and inhibit enzymes required for microbial growth and replication (López et al., 2008; Trevisan et al., 2017; Taylor </w:t>
      </w:r>
      <w:r w:rsidRPr="00213F66">
        <w:rPr>
          <w:rFonts w:ascii="Arial" w:hAnsi="Arial" w:cs="Arial"/>
          <w:i/>
          <w:color w:val="FF0000"/>
          <w:sz w:val="20"/>
          <w:szCs w:val="20"/>
        </w:rPr>
        <w:t>et al</w:t>
      </w:r>
      <w:r w:rsidRPr="00213F66">
        <w:rPr>
          <w:rFonts w:ascii="Arial" w:hAnsi="Arial" w:cs="Arial"/>
          <w:color w:val="FF0000"/>
          <w:sz w:val="20"/>
          <w:szCs w:val="20"/>
        </w:rPr>
        <w:t xml:space="preserve">., 2005; Xu </w:t>
      </w:r>
      <w:r w:rsidRPr="00213F66">
        <w:rPr>
          <w:rFonts w:ascii="Arial" w:hAnsi="Arial" w:cs="Arial"/>
          <w:i/>
          <w:color w:val="FF0000"/>
          <w:sz w:val="20"/>
          <w:szCs w:val="20"/>
        </w:rPr>
        <w:t>et al</w:t>
      </w:r>
      <w:r w:rsidRPr="00213F66">
        <w:rPr>
          <w:rFonts w:ascii="Arial" w:hAnsi="Arial" w:cs="Arial"/>
          <w:color w:val="FF0000"/>
          <w:sz w:val="20"/>
          <w:szCs w:val="20"/>
        </w:rPr>
        <w:t>., 2018; Górniak et al., 2019). Likewise, alkaloids have been reported to inhibit DNA replication, protein synthesis, and essential metabolic enzymes while increasing membrane permeability, thereby contributing to their broad-spectrum antibacterial properties (Akpan et al., 2016; Silva-Beltrán et al., 2023). The limited antibacterial activity observed for the cardiac glycoside fraction suggests that these compounds may possess greater selectivity towards fungal organisms than bacteria.</w:t>
      </w:r>
    </w:p>
    <w:p w14:paraId="3F6730FD" w14:textId="77777777" w:rsidR="005200E2" w:rsidRPr="00213F66" w:rsidRDefault="00391EF9" w:rsidP="00391EF9">
      <w:pPr>
        <w:jc w:val="both"/>
        <w:rPr>
          <w:rFonts w:ascii="Arial" w:hAnsi="Arial" w:cs="Arial"/>
          <w:sz w:val="20"/>
          <w:szCs w:val="20"/>
        </w:rPr>
      </w:pPr>
      <w:r w:rsidRPr="00213F66">
        <w:rPr>
          <w:rFonts w:ascii="Arial" w:hAnsi="Arial" w:cs="Arial"/>
          <w:sz w:val="20"/>
          <w:szCs w:val="20"/>
        </w:rPr>
        <w:t xml:space="preserve">The moderate concentration of </w:t>
      </w:r>
      <w:r w:rsidRPr="00213F66">
        <w:rPr>
          <w:rStyle w:val="Strong"/>
          <w:rFonts w:ascii="Arial" w:hAnsi="Arial" w:cs="Arial"/>
          <w:b w:val="0"/>
          <w:sz w:val="20"/>
          <w:szCs w:val="20"/>
        </w:rPr>
        <w:t>cardiac glycosides (9.33 ± 1.71%)</w:t>
      </w:r>
      <w:r w:rsidRPr="00213F66">
        <w:rPr>
          <w:rFonts w:ascii="Arial" w:hAnsi="Arial" w:cs="Arial"/>
          <w:sz w:val="20"/>
          <w:szCs w:val="20"/>
        </w:rPr>
        <w:t xml:space="preserve"> is equally noteworthy. Although cardiac glycosides are traditionally associated with cardiovascular therapy, increasing evidence indicates that they possess broad pharmacological activities, including antibacterial, antifungal, antiviral and anticancer properties (Gupta &amp; Varma, 2019). Their biological activity has been linked to inhibition of membrane-bound Na</w:t>
      </w:r>
      <w:r w:rsidRPr="00213F66">
        <w:rPr>
          <w:rFonts w:ascii="Cambria Math" w:hAnsi="Cambria Math" w:cs="Cambria Math"/>
          <w:sz w:val="20"/>
          <w:szCs w:val="20"/>
        </w:rPr>
        <w:t>⁺</w:t>
      </w:r>
      <w:r w:rsidRPr="00213F66">
        <w:rPr>
          <w:rFonts w:ascii="Arial" w:hAnsi="Arial" w:cs="Arial"/>
          <w:sz w:val="20"/>
          <w:szCs w:val="20"/>
        </w:rPr>
        <w:t>/K</w:t>
      </w:r>
      <w:r w:rsidRPr="00213F66">
        <w:rPr>
          <w:rFonts w:ascii="Cambria Math" w:hAnsi="Cambria Math" w:cs="Cambria Math"/>
          <w:sz w:val="20"/>
          <w:szCs w:val="20"/>
        </w:rPr>
        <w:t>⁺</w:t>
      </w:r>
      <w:r w:rsidRPr="00213F66">
        <w:rPr>
          <w:rFonts w:ascii="Arial" w:hAnsi="Arial" w:cs="Arial"/>
          <w:sz w:val="20"/>
          <w:szCs w:val="20"/>
        </w:rPr>
        <w:t xml:space="preserve">-ATPase, disruption of ionic homeostasis and modulation of intracellular </w:t>
      </w:r>
      <w:proofErr w:type="spellStart"/>
      <w:r w:rsidRPr="00213F66">
        <w:rPr>
          <w:rFonts w:ascii="Arial" w:hAnsi="Arial" w:cs="Arial"/>
          <w:sz w:val="20"/>
          <w:szCs w:val="20"/>
        </w:rPr>
        <w:t>signalling</w:t>
      </w:r>
      <w:proofErr w:type="spellEnd"/>
      <w:r w:rsidRPr="00213F66">
        <w:rPr>
          <w:rFonts w:ascii="Arial" w:hAnsi="Arial" w:cs="Arial"/>
          <w:sz w:val="20"/>
          <w:szCs w:val="20"/>
        </w:rPr>
        <w:t xml:space="preserve"> pathways that ultimately impair microbial survival. The appreciable quantity of cardiac glycosides observed in the </w:t>
      </w:r>
      <w:r w:rsidRPr="00213F66">
        <w:rPr>
          <w:rFonts w:ascii="Arial" w:hAnsi="Arial" w:cs="Arial"/>
          <w:sz w:val="20"/>
          <w:szCs w:val="20"/>
        </w:rPr>
        <w:lastRenderedPageBreak/>
        <w:t xml:space="preserve">present study therefore suggests that they contribute significantly to the antimicrobial efficacy of </w:t>
      </w:r>
      <w:r w:rsidRPr="00213F66">
        <w:rPr>
          <w:rStyle w:val="Emphasis"/>
          <w:rFonts w:ascii="Arial" w:hAnsi="Arial" w:cs="Arial"/>
          <w:sz w:val="20"/>
          <w:szCs w:val="20"/>
        </w:rPr>
        <w:t>M. piperita</w:t>
      </w:r>
      <w:r w:rsidRPr="00213F66">
        <w:rPr>
          <w:rFonts w:ascii="Arial" w:hAnsi="Arial" w:cs="Arial"/>
          <w:sz w:val="20"/>
          <w:szCs w:val="20"/>
        </w:rPr>
        <w:t>, particularly when acting synergistically with flavonoids and other secondary metabolites.</w:t>
      </w:r>
    </w:p>
    <w:p w14:paraId="74CF3CAA" w14:textId="77777777" w:rsidR="007D6400" w:rsidRPr="00213F66" w:rsidRDefault="00391EF9" w:rsidP="007D6400">
      <w:pPr>
        <w:jc w:val="both"/>
        <w:rPr>
          <w:rFonts w:ascii="Arial" w:hAnsi="Arial" w:cs="Arial"/>
          <w:color w:val="FF0000"/>
          <w:sz w:val="20"/>
          <w:szCs w:val="20"/>
        </w:rPr>
      </w:pPr>
      <w:r w:rsidRPr="00213F66">
        <w:rPr>
          <w:rFonts w:ascii="Arial" w:hAnsi="Arial" w:cs="Arial"/>
          <w:sz w:val="20"/>
          <w:szCs w:val="20"/>
        </w:rPr>
        <w:t xml:space="preserve">The relatively lower quantity of </w:t>
      </w:r>
      <w:r w:rsidRPr="00213F66">
        <w:rPr>
          <w:rStyle w:val="Strong"/>
          <w:rFonts w:ascii="Arial" w:hAnsi="Arial" w:cs="Arial"/>
          <w:b w:val="0"/>
          <w:sz w:val="20"/>
          <w:szCs w:val="20"/>
        </w:rPr>
        <w:t>alkaloids (4.47 ± 0.25%)</w:t>
      </w:r>
      <w:r w:rsidRPr="00213F66">
        <w:rPr>
          <w:rFonts w:ascii="Arial" w:hAnsi="Arial" w:cs="Arial"/>
          <w:sz w:val="20"/>
          <w:szCs w:val="20"/>
        </w:rPr>
        <w:t xml:space="preserve"> should not be interpreted as evidence of limited biological importance. Alkaloids are among the most potent naturally occurring antimicrobial compounds, and even at relatively low concentrations they exhibit significant pharmacological activity because of their high affinity for microbial molecular targets (Akpan </w:t>
      </w:r>
      <w:r w:rsidRPr="00213F66">
        <w:rPr>
          <w:rFonts w:ascii="Arial" w:hAnsi="Arial" w:cs="Arial"/>
          <w:i/>
          <w:color w:val="FF0000"/>
          <w:sz w:val="20"/>
          <w:szCs w:val="20"/>
        </w:rPr>
        <w:t>et al</w:t>
      </w:r>
      <w:r w:rsidRPr="00213F66">
        <w:rPr>
          <w:rFonts w:ascii="Arial" w:hAnsi="Arial" w:cs="Arial"/>
          <w:sz w:val="20"/>
          <w:szCs w:val="20"/>
        </w:rPr>
        <w:t xml:space="preserve">., 2016; </w:t>
      </w:r>
      <w:r w:rsidR="006B1F70" w:rsidRPr="00213F66">
        <w:rPr>
          <w:rFonts w:ascii="Arial" w:hAnsi="Arial" w:cs="Arial"/>
          <w:sz w:val="20"/>
          <w:szCs w:val="20"/>
        </w:rPr>
        <w:t>Silva-Beltrán</w:t>
      </w:r>
      <w:r w:rsidRPr="00213F66">
        <w:rPr>
          <w:rFonts w:ascii="Arial" w:hAnsi="Arial" w:cs="Arial"/>
          <w:sz w:val="20"/>
          <w:szCs w:val="20"/>
        </w:rPr>
        <w:t xml:space="preserve"> </w:t>
      </w:r>
      <w:r w:rsidRPr="00213F66">
        <w:rPr>
          <w:rFonts w:ascii="Arial" w:hAnsi="Arial" w:cs="Arial"/>
          <w:i/>
          <w:color w:val="FF0000"/>
          <w:sz w:val="20"/>
          <w:szCs w:val="20"/>
        </w:rPr>
        <w:t>et al</w:t>
      </w:r>
      <w:r w:rsidRPr="00213F66">
        <w:rPr>
          <w:rFonts w:ascii="Arial" w:hAnsi="Arial" w:cs="Arial"/>
          <w:sz w:val="20"/>
          <w:szCs w:val="20"/>
        </w:rPr>
        <w:t>., 202</w:t>
      </w:r>
      <w:r w:rsidR="006B1F70" w:rsidRPr="00213F66">
        <w:rPr>
          <w:rFonts w:ascii="Arial" w:hAnsi="Arial" w:cs="Arial"/>
          <w:sz w:val="20"/>
          <w:szCs w:val="20"/>
        </w:rPr>
        <w:t>3</w:t>
      </w:r>
      <w:r w:rsidRPr="00213F66">
        <w:rPr>
          <w:rFonts w:ascii="Arial" w:hAnsi="Arial" w:cs="Arial"/>
          <w:sz w:val="20"/>
          <w:szCs w:val="20"/>
        </w:rPr>
        <w:t xml:space="preserve">). Numerous alkaloids inhibit DNA replication, interfere with protein synthesis, alter membrane permeability and suppress essential metabolic enzymes required for microbial proliferation (Li </w:t>
      </w:r>
      <w:r w:rsidRPr="00213F66">
        <w:rPr>
          <w:rFonts w:ascii="Arial" w:hAnsi="Arial" w:cs="Arial"/>
          <w:i/>
          <w:color w:val="FF0000"/>
          <w:sz w:val="20"/>
          <w:szCs w:val="20"/>
        </w:rPr>
        <w:t>et al</w:t>
      </w:r>
      <w:r w:rsidRPr="00213F66">
        <w:rPr>
          <w:rFonts w:ascii="Arial" w:hAnsi="Arial" w:cs="Arial"/>
          <w:sz w:val="20"/>
          <w:szCs w:val="20"/>
        </w:rPr>
        <w:t xml:space="preserve">., 2016; Taylor </w:t>
      </w:r>
      <w:r w:rsidRPr="00213F66">
        <w:rPr>
          <w:rFonts w:ascii="Arial" w:hAnsi="Arial" w:cs="Arial"/>
          <w:i/>
          <w:color w:val="FF0000"/>
          <w:sz w:val="20"/>
          <w:szCs w:val="20"/>
        </w:rPr>
        <w:t>et al</w:t>
      </w:r>
      <w:r w:rsidRPr="00213F66">
        <w:rPr>
          <w:rFonts w:ascii="Arial" w:hAnsi="Arial" w:cs="Arial"/>
          <w:sz w:val="20"/>
          <w:szCs w:val="20"/>
        </w:rPr>
        <w:t>., 20</w:t>
      </w:r>
      <w:r w:rsidR="006B1F70" w:rsidRPr="00213F66">
        <w:rPr>
          <w:rFonts w:ascii="Arial" w:hAnsi="Arial" w:cs="Arial"/>
          <w:sz w:val="20"/>
          <w:szCs w:val="20"/>
        </w:rPr>
        <w:t>05</w:t>
      </w:r>
      <w:r w:rsidRPr="00213F66">
        <w:rPr>
          <w:rFonts w:ascii="Arial" w:hAnsi="Arial" w:cs="Arial"/>
          <w:sz w:val="20"/>
          <w:szCs w:val="20"/>
        </w:rPr>
        <w:t>). Consequently, the lower percentage recorded for alkaloids may still contribute substantially to the overall antimicrobial activity observed in this study.</w:t>
      </w:r>
      <w:r w:rsidR="007D6400" w:rsidRPr="00213F66">
        <w:rPr>
          <w:rFonts w:ascii="Arial" w:hAnsi="Arial" w:cs="Arial"/>
          <w:sz w:val="20"/>
          <w:szCs w:val="20"/>
        </w:rPr>
        <w:t xml:space="preserve"> </w:t>
      </w:r>
    </w:p>
    <w:p w14:paraId="4D572F08" w14:textId="77777777" w:rsidR="00391EF9" w:rsidRPr="00213F66" w:rsidRDefault="00391EF9" w:rsidP="00391EF9">
      <w:pPr>
        <w:jc w:val="both"/>
        <w:rPr>
          <w:rFonts w:ascii="Arial" w:hAnsi="Arial" w:cs="Arial"/>
          <w:sz w:val="20"/>
          <w:szCs w:val="20"/>
        </w:rPr>
      </w:pPr>
      <w:r w:rsidRPr="00213F66">
        <w:rPr>
          <w:rFonts w:ascii="Arial" w:hAnsi="Arial" w:cs="Arial"/>
          <w:sz w:val="20"/>
          <w:szCs w:val="20"/>
        </w:rPr>
        <w:t>The quantitative differences among flavonoids, cardiac glycosides and alkaloids further illustrate the complexity of secondary metabolite biosynthesis in medicinal plants. The production and accumulation of these metabolites are influenced by numerous factors, including plant genotype, environmental conditions, developmental stage, geographical location, harvesting period and extraction method (</w:t>
      </w:r>
      <w:proofErr w:type="spellStart"/>
      <w:r w:rsidR="008744E3" w:rsidRPr="00213F66">
        <w:rPr>
          <w:rFonts w:ascii="Arial" w:hAnsi="Arial" w:cs="Arial"/>
          <w:color w:val="FF0000"/>
          <w:sz w:val="20"/>
          <w:szCs w:val="20"/>
        </w:rPr>
        <w:t>Rangari</w:t>
      </w:r>
      <w:proofErr w:type="spellEnd"/>
      <w:r w:rsidR="008744E3" w:rsidRPr="00213F66">
        <w:rPr>
          <w:rFonts w:ascii="Arial" w:hAnsi="Arial" w:cs="Arial"/>
          <w:color w:val="FF0000"/>
          <w:sz w:val="20"/>
          <w:szCs w:val="20"/>
        </w:rPr>
        <w:t xml:space="preserve">, 2012;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xml:space="preserve">., 2021; Trevisan </w:t>
      </w:r>
      <w:r w:rsidRPr="00213F66">
        <w:rPr>
          <w:rFonts w:ascii="Arial" w:hAnsi="Arial" w:cs="Arial"/>
          <w:i/>
          <w:color w:val="FF0000"/>
          <w:sz w:val="20"/>
          <w:szCs w:val="20"/>
        </w:rPr>
        <w:t>et al</w:t>
      </w:r>
      <w:r w:rsidRPr="00213F66">
        <w:rPr>
          <w:rFonts w:ascii="Arial" w:hAnsi="Arial" w:cs="Arial"/>
          <w:color w:val="FF0000"/>
          <w:sz w:val="20"/>
          <w:szCs w:val="20"/>
        </w:rPr>
        <w:t>., 2017</w:t>
      </w:r>
      <w:r w:rsidRPr="00213F66">
        <w:rPr>
          <w:rFonts w:ascii="Arial" w:hAnsi="Arial" w:cs="Arial"/>
          <w:sz w:val="20"/>
          <w:szCs w:val="20"/>
        </w:rPr>
        <w:t xml:space="preserve">). Ethanol, the extraction solvent employed in the present study, is known to efficiently extract moderately polar phytochemicals such as flavonoids and glycosides, which may partly explain their higher abundance relative to alkaloids (Poojary </w:t>
      </w:r>
      <w:r w:rsidRPr="00213F66">
        <w:rPr>
          <w:rFonts w:ascii="Arial" w:hAnsi="Arial" w:cs="Arial"/>
          <w:i/>
          <w:color w:val="FF0000"/>
          <w:sz w:val="20"/>
          <w:szCs w:val="20"/>
        </w:rPr>
        <w:t>et al</w:t>
      </w:r>
      <w:r w:rsidRPr="00213F66">
        <w:rPr>
          <w:rFonts w:ascii="Arial" w:hAnsi="Arial" w:cs="Arial"/>
          <w:sz w:val="20"/>
          <w:szCs w:val="20"/>
        </w:rPr>
        <w:t>., 2015).</w:t>
      </w:r>
    </w:p>
    <w:p w14:paraId="24B427B1" w14:textId="77777777" w:rsidR="00391EF9" w:rsidRPr="00213F66" w:rsidRDefault="00391EF9" w:rsidP="00391EF9">
      <w:pPr>
        <w:jc w:val="both"/>
        <w:rPr>
          <w:rFonts w:ascii="Arial" w:hAnsi="Arial" w:cs="Arial"/>
          <w:sz w:val="20"/>
          <w:szCs w:val="20"/>
        </w:rPr>
      </w:pPr>
      <w:r w:rsidRPr="00213F66">
        <w:rPr>
          <w:rFonts w:ascii="Arial" w:hAnsi="Arial" w:cs="Arial"/>
          <w:sz w:val="20"/>
          <w:szCs w:val="20"/>
        </w:rPr>
        <w:t xml:space="preserve">An important observation arising from </w:t>
      </w:r>
      <w:r w:rsidRPr="00213F66">
        <w:rPr>
          <w:rStyle w:val="Strong"/>
          <w:rFonts w:ascii="Arial" w:hAnsi="Arial" w:cs="Arial"/>
          <w:b w:val="0"/>
          <w:sz w:val="20"/>
          <w:szCs w:val="20"/>
        </w:rPr>
        <w:t>Table 3</w:t>
      </w:r>
      <w:r w:rsidRPr="00213F66">
        <w:rPr>
          <w:rFonts w:ascii="Arial" w:hAnsi="Arial" w:cs="Arial"/>
          <w:sz w:val="20"/>
          <w:szCs w:val="20"/>
        </w:rPr>
        <w:t xml:space="preserve"> is the potential relationship between phytochemical concentration and antimicrobial activity. The predominance of flavonoids corresponds closely with the strong antibacterial and antifungal activities exhibited by the flavonoid fraction in subsequent antimicrobial assays (</w:t>
      </w:r>
      <w:r w:rsidRPr="00213F66">
        <w:rPr>
          <w:rStyle w:val="Strong"/>
          <w:rFonts w:ascii="Arial" w:hAnsi="Arial" w:cs="Arial"/>
          <w:b w:val="0"/>
          <w:sz w:val="20"/>
          <w:szCs w:val="20"/>
        </w:rPr>
        <w:t>Figures 6 and 10</w:t>
      </w:r>
      <w:r w:rsidRPr="00213F66">
        <w:rPr>
          <w:rFonts w:ascii="Arial" w:hAnsi="Arial" w:cs="Arial"/>
          <w:sz w:val="20"/>
          <w:szCs w:val="20"/>
        </w:rPr>
        <w:t>), suggesting a positive relationship between flavonoid concentration and biological efficacy. Similarly, the measurable quantities of cardiac glycosides and alkaloids are reflected in the antimicrobial activities observed for their respective fractions (</w:t>
      </w:r>
      <w:r w:rsidRPr="00213F66">
        <w:rPr>
          <w:rStyle w:val="Strong"/>
          <w:rFonts w:ascii="Arial" w:hAnsi="Arial" w:cs="Arial"/>
          <w:b w:val="0"/>
          <w:sz w:val="20"/>
          <w:szCs w:val="20"/>
        </w:rPr>
        <w:t>Figures 5, 7, 9 and 11</w:t>
      </w:r>
      <w:r w:rsidRPr="00213F66">
        <w:rPr>
          <w:rFonts w:ascii="Arial" w:hAnsi="Arial" w:cs="Arial"/>
          <w:sz w:val="20"/>
          <w:szCs w:val="20"/>
        </w:rPr>
        <w:t xml:space="preserve">), indicating that all three phytochemical classes contribute to the overall antimicrobial potential of </w:t>
      </w:r>
      <w:r w:rsidRPr="00213F66">
        <w:rPr>
          <w:rStyle w:val="Emphasis"/>
          <w:rFonts w:ascii="Arial" w:hAnsi="Arial" w:cs="Arial"/>
          <w:sz w:val="20"/>
          <w:szCs w:val="20"/>
        </w:rPr>
        <w:t>M. piperita</w:t>
      </w:r>
      <w:r w:rsidRPr="00213F66">
        <w:rPr>
          <w:rFonts w:ascii="Arial" w:hAnsi="Arial" w:cs="Arial"/>
          <w:sz w:val="20"/>
          <w:szCs w:val="20"/>
        </w:rPr>
        <w:t>.</w:t>
      </w:r>
    </w:p>
    <w:p w14:paraId="2E63665A" w14:textId="77777777" w:rsidR="00391EF9" w:rsidRPr="00213F66" w:rsidRDefault="00391EF9" w:rsidP="00391EF9">
      <w:pPr>
        <w:jc w:val="both"/>
        <w:rPr>
          <w:rFonts w:ascii="Arial" w:hAnsi="Arial" w:cs="Arial"/>
          <w:sz w:val="20"/>
          <w:szCs w:val="20"/>
        </w:rPr>
      </w:pPr>
      <w:r w:rsidRPr="00213F66">
        <w:rPr>
          <w:rFonts w:ascii="Arial" w:hAnsi="Arial" w:cs="Arial"/>
          <w:sz w:val="20"/>
          <w:szCs w:val="20"/>
        </w:rPr>
        <w:t>The biological activity of medicinal plants is increasingly understood to result from synergistic interactions among multiple phytochemicals rather than from individual compounds acting independently. Flavonoids may compromise microbial membranes, alkaloids inhibit intracellular metabolic processes, while cardiac glycosides interfere with membrane transport systems. The simultaneous action of these compounds on different biochemical targets enhances antimicrobial efficacy and reduces the likelihood of resistance development (</w:t>
      </w:r>
      <w:proofErr w:type="spellStart"/>
      <w:r w:rsidR="008744E3" w:rsidRPr="00213F66">
        <w:rPr>
          <w:rFonts w:ascii="Arial" w:hAnsi="Arial" w:cs="Arial"/>
          <w:color w:val="FF0000"/>
          <w:sz w:val="20"/>
          <w:szCs w:val="20"/>
        </w:rPr>
        <w:t>Ejele</w:t>
      </w:r>
      <w:proofErr w:type="spellEnd"/>
      <w:r w:rsidR="008744E3" w:rsidRPr="00213F66">
        <w:rPr>
          <w:rFonts w:ascii="Arial" w:hAnsi="Arial" w:cs="Arial"/>
          <w:color w:val="FF0000"/>
          <w:sz w:val="20"/>
          <w:szCs w:val="20"/>
        </w:rPr>
        <w:t xml:space="preserve"> </w:t>
      </w:r>
      <w:r w:rsidR="008744E3" w:rsidRPr="00213F66">
        <w:rPr>
          <w:rFonts w:ascii="Arial" w:hAnsi="Arial" w:cs="Arial"/>
          <w:i/>
          <w:color w:val="FF0000"/>
          <w:sz w:val="20"/>
          <w:szCs w:val="20"/>
        </w:rPr>
        <w:t>et al</w:t>
      </w:r>
      <w:r w:rsidR="008744E3" w:rsidRPr="00213F66">
        <w:rPr>
          <w:rFonts w:ascii="Arial" w:hAnsi="Arial" w:cs="Arial"/>
          <w:color w:val="FF0000"/>
          <w:sz w:val="20"/>
          <w:szCs w:val="20"/>
        </w:rPr>
        <w:t xml:space="preserve">., 2012; </w:t>
      </w:r>
      <w:r w:rsidRPr="00213F66">
        <w:rPr>
          <w:rFonts w:ascii="Arial" w:hAnsi="Arial" w:cs="Arial"/>
          <w:color w:val="FF0000"/>
          <w:sz w:val="20"/>
          <w:szCs w:val="20"/>
        </w:rPr>
        <w:t xml:space="preserve">Akpan </w:t>
      </w:r>
      <w:r w:rsidRPr="00213F66">
        <w:rPr>
          <w:rFonts w:ascii="Arial" w:hAnsi="Arial" w:cs="Arial"/>
          <w:i/>
          <w:color w:val="FF0000"/>
          <w:sz w:val="20"/>
          <w:szCs w:val="20"/>
        </w:rPr>
        <w:t>et al</w:t>
      </w:r>
      <w:r w:rsidRPr="00213F66">
        <w:rPr>
          <w:rFonts w:ascii="Arial" w:hAnsi="Arial" w:cs="Arial"/>
          <w:color w:val="FF0000"/>
          <w:sz w:val="20"/>
          <w:szCs w:val="20"/>
        </w:rPr>
        <w:t xml:space="preserve">., 2016; </w:t>
      </w:r>
      <w:proofErr w:type="spellStart"/>
      <w:r w:rsidRPr="00213F66">
        <w:rPr>
          <w:rFonts w:ascii="Arial" w:hAnsi="Arial" w:cs="Arial"/>
          <w:color w:val="FF0000"/>
          <w:sz w:val="20"/>
          <w:szCs w:val="20"/>
        </w:rPr>
        <w:t>Malczak</w:t>
      </w:r>
      <w:proofErr w:type="spellEnd"/>
      <w:r w:rsidRPr="00213F66">
        <w:rPr>
          <w:rFonts w:ascii="Arial" w:hAnsi="Arial" w:cs="Arial"/>
          <w:color w:val="FF0000"/>
          <w:sz w:val="20"/>
          <w:szCs w:val="20"/>
        </w:rPr>
        <w:t xml:space="preserve"> &amp; Gajda, 2023</w:t>
      </w:r>
      <w:r w:rsidRPr="00213F66">
        <w:rPr>
          <w:rFonts w:ascii="Arial" w:hAnsi="Arial" w:cs="Arial"/>
          <w:sz w:val="20"/>
          <w:szCs w:val="20"/>
        </w:rPr>
        <w:t>). Such phytochemical synergy represents one of the principal advantages of plant-derived medicines over many conventional synthetic antibiotics, which often act on a single molecular target.</w:t>
      </w:r>
    </w:p>
    <w:p w14:paraId="365A5540" w14:textId="77777777" w:rsidR="00391EF9" w:rsidRPr="00213F66" w:rsidRDefault="00391EF9" w:rsidP="00391EF9">
      <w:pPr>
        <w:jc w:val="both"/>
        <w:rPr>
          <w:rFonts w:ascii="Arial" w:hAnsi="Arial" w:cs="Arial"/>
          <w:sz w:val="20"/>
          <w:szCs w:val="20"/>
        </w:rPr>
      </w:pPr>
      <w:r w:rsidRPr="00213F66">
        <w:rPr>
          <w:rFonts w:ascii="Arial" w:hAnsi="Arial" w:cs="Arial"/>
          <w:sz w:val="20"/>
          <w:szCs w:val="20"/>
        </w:rPr>
        <w:t xml:space="preserve">The quantitative phytochemical profile obtained in this study therefore provides compelling evidence that </w:t>
      </w:r>
      <w:r w:rsidRPr="00213F66">
        <w:rPr>
          <w:rStyle w:val="Emphasis"/>
          <w:rFonts w:ascii="Arial" w:hAnsi="Arial" w:cs="Arial"/>
          <w:sz w:val="20"/>
          <w:szCs w:val="20"/>
        </w:rPr>
        <w:t>Mentha piperita</w:t>
      </w:r>
      <w:r w:rsidRPr="00213F66">
        <w:rPr>
          <w:rFonts w:ascii="Arial" w:hAnsi="Arial" w:cs="Arial"/>
          <w:sz w:val="20"/>
          <w:szCs w:val="20"/>
        </w:rPr>
        <w:t xml:space="preserve"> is an exceptionally rich source of biologically active secondary metabolites with considerable pharmaceutical potential. The predominance of flavonoids, supported by appreciable concentrations of cardiac glycosides and alkaloids, establishes a strong biochemical basis for the antimicrobial activities reported in this investigation. These findings reinforce previous reports on the medicinal importance of </w:t>
      </w:r>
      <w:r w:rsidRPr="00213F66">
        <w:rPr>
          <w:rStyle w:val="Emphasis"/>
          <w:rFonts w:ascii="Arial" w:hAnsi="Arial" w:cs="Arial"/>
          <w:sz w:val="20"/>
          <w:szCs w:val="20"/>
        </w:rPr>
        <w:t>M. piperita</w:t>
      </w:r>
      <w:r w:rsidRPr="00213F66">
        <w:rPr>
          <w:rFonts w:ascii="Arial" w:hAnsi="Arial" w:cs="Arial"/>
          <w:sz w:val="20"/>
          <w:szCs w:val="20"/>
        </w:rPr>
        <w:t xml:space="preserve"> and related species (</w:t>
      </w:r>
      <w:r w:rsidR="00DB45E7" w:rsidRPr="00213F66">
        <w:rPr>
          <w:rFonts w:ascii="Arial" w:hAnsi="Arial" w:cs="Arial"/>
          <w:color w:val="FF0000"/>
          <w:sz w:val="20"/>
          <w:szCs w:val="20"/>
        </w:rPr>
        <w:t xml:space="preserve">Sharma </w:t>
      </w:r>
      <w:r w:rsidR="00DB45E7" w:rsidRPr="00213F66">
        <w:rPr>
          <w:rFonts w:ascii="Arial" w:hAnsi="Arial" w:cs="Arial"/>
          <w:i/>
          <w:color w:val="FF0000"/>
          <w:sz w:val="20"/>
          <w:szCs w:val="20"/>
        </w:rPr>
        <w:t>et al.,</w:t>
      </w:r>
      <w:r w:rsidR="00DB45E7" w:rsidRPr="00213F66">
        <w:rPr>
          <w:rFonts w:ascii="Arial" w:hAnsi="Arial" w:cs="Arial"/>
          <w:color w:val="FF0000"/>
          <w:sz w:val="20"/>
          <w:szCs w:val="20"/>
        </w:rPr>
        <w:t xml:space="preserve"> 2013; </w:t>
      </w:r>
      <w:r w:rsidRPr="00213F66">
        <w:rPr>
          <w:rFonts w:ascii="Arial" w:hAnsi="Arial" w:cs="Arial"/>
          <w:color w:val="FF0000"/>
          <w:sz w:val="20"/>
          <w:szCs w:val="20"/>
        </w:rPr>
        <w:t xml:space="preserve">Trevisan </w:t>
      </w:r>
      <w:r w:rsidRPr="00213F66">
        <w:rPr>
          <w:rFonts w:ascii="Arial" w:hAnsi="Arial" w:cs="Arial"/>
          <w:i/>
          <w:color w:val="FF0000"/>
          <w:sz w:val="20"/>
          <w:szCs w:val="20"/>
        </w:rPr>
        <w:t>et al</w:t>
      </w:r>
      <w:r w:rsidRPr="00213F66">
        <w:rPr>
          <w:rFonts w:ascii="Arial" w:hAnsi="Arial" w:cs="Arial"/>
          <w:color w:val="FF0000"/>
          <w:sz w:val="20"/>
          <w:szCs w:val="20"/>
        </w:rPr>
        <w:t xml:space="preserve">., 2017; Singh </w:t>
      </w:r>
      <w:r w:rsidRPr="00213F66">
        <w:rPr>
          <w:rFonts w:ascii="Arial" w:hAnsi="Arial" w:cs="Arial"/>
          <w:i/>
          <w:color w:val="FF0000"/>
          <w:sz w:val="20"/>
          <w:szCs w:val="20"/>
        </w:rPr>
        <w:t>et al</w:t>
      </w:r>
      <w:r w:rsidRPr="00213F66">
        <w:rPr>
          <w:rFonts w:ascii="Arial" w:hAnsi="Arial" w:cs="Arial"/>
          <w:color w:val="FF0000"/>
          <w:sz w:val="20"/>
          <w:szCs w:val="20"/>
        </w:rPr>
        <w:t>., 201</w:t>
      </w:r>
      <w:r w:rsidR="006B1F70" w:rsidRPr="00213F66">
        <w:rPr>
          <w:rFonts w:ascii="Arial" w:hAnsi="Arial" w:cs="Arial"/>
          <w:color w:val="FF0000"/>
          <w:sz w:val="20"/>
          <w:szCs w:val="20"/>
        </w:rPr>
        <w:t>5</w:t>
      </w:r>
      <w:r w:rsidRPr="00213F66">
        <w:rPr>
          <w:rFonts w:ascii="Arial" w:hAnsi="Arial" w:cs="Arial"/>
          <w:sz w:val="20"/>
          <w:szCs w:val="20"/>
        </w:rPr>
        <w:t xml:space="preserve">), while further highlighting the plant as a promising candidate for the discovery of novel natural antimicrobial agents capable of addressing the growing challenge of antimicrobial resistance. </w:t>
      </w:r>
    </w:p>
    <w:p w14:paraId="428547D3" w14:textId="77777777" w:rsidR="00773604" w:rsidRPr="00213F66"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213F66">
        <w:rPr>
          <w:rFonts w:ascii="Times New Roman" w:eastAsia="Times New Roman" w:hAnsi="Times New Roman" w:cs="Times New Roman"/>
          <w:b/>
          <w:bCs/>
          <w:sz w:val="36"/>
          <w:szCs w:val="36"/>
        </w:rPr>
        <w:t>Conclusion</w:t>
      </w:r>
    </w:p>
    <w:p w14:paraId="0E213FC0" w14:textId="77777777" w:rsidR="00773604" w:rsidRPr="00213F66" w:rsidRDefault="00773604" w:rsidP="00B14C37">
      <w:pPr>
        <w:spacing w:before="100" w:beforeAutospacing="1" w:after="100" w:afterAutospacing="1" w:line="240" w:lineRule="auto"/>
        <w:jc w:val="both"/>
        <w:rPr>
          <w:rFonts w:ascii="Times New Roman" w:eastAsia="Times New Roman" w:hAnsi="Times New Roman" w:cs="Times New Roman"/>
          <w:sz w:val="24"/>
          <w:szCs w:val="24"/>
        </w:rPr>
      </w:pPr>
      <w:r w:rsidRPr="00213F66">
        <w:rPr>
          <w:rFonts w:ascii="Times New Roman" w:eastAsia="Times New Roman" w:hAnsi="Times New Roman" w:cs="Times New Roman"/>
          <w:sz w:val="24"/>
          <w:szCs w:val="24"/>
        </w:rPr>
        <w:t xml:space="preserve">The study showed that </w:t>
      </w:r>
      <w:r w:rsidRPr="00213F66">
        <w:rPr>
          <w:rFonts w:ascii="Times New Roman" w:eastAsia="Times New Roman" w:hAnsi="Times New Roman" w:cs="Times New Roman"/>
          <w:i/>
          <w:iCs/>
          <w:sz w:val="24"/>
          <w:szCs w:val="24"/>
        </w:rPr>
        <w:t>Mentha piperita</w:t>
      </w:r>
      <w:r w:rsidRPr="00213F66">
        <w:rPr>
          <w:rFonts w:ascii="Times New Roman" w:eastAsia="Times New Roman" w:hAnsi="Times New Roman" w:cs="Times New Roman"/>
          <w:sz w:val="24"/>
          <w:szCs w:val="24"/>
        </w:rPr>
        <w:t xml:space="preserve"> contains several classes of secondary metabolites that may contribute to its observed antimicrobial activity. Qualitative screening revealed the presence of alkaloids, flavonoids, tannins, </w:t>
      </w:r>
      <w:proofErr w:type="spellStart"/>
      <w:r w:rsidRPr="00213F66">
        <w:rPr>
          <w:rFonts w:ascii="Times New Roman" w:eastAsia="Times New Roman" w:hAnsi="Times New Roman" w:cs="Times New Roman"/>
          <w:sz w:val="24"/>
          <w:szCs w:val="24"/>
        </w:rPr>
        <w:t>phlobatannins</w:t>
      </w:r>
      <w:proofErr w:type="spellEnd"/>
      <w:r w:rsidRPr="00213F66">
        <w:rPr>
          <w:rFonts w:ascii="Times New Roman" w:eastAsia="Times New Roman" w:hAnsi="Times New Roman" w:cs="Times New Roman"/>
          <w:sz w:val="24"/>
          <w:szCs w:val="24"/>
        </w:rPr>
        <w:t xml:space="preserve">, cardiac glycosides, steroids, triterpenoids, polyphenols, carbohydrates, and proteins, while quantitative analysis showed flavonoids as the </w:t>
      </w:r>
      <w:r w:rsidRPr="00213F66">
        <w:rPr>
          <w:rFonts w:ascii="Times New Roman" w:eastAsia="Times New Roman" w:hAnsi="Times New Roman" w:cs="Times New Roman"/>
          <w:sz w:val="24"/>
          <w:szCs w:val="24"/>
        </w:rPr>
        <w:lastRenderedPageBreak/>
        <w:t xml:space="preserve">dominant fraction, followed by cardiac glycosides and alkaloids. FTIR analysis indicated the presence of functional groups such as hydroxyl, carbonyl, amino, aromatic, alkyl, and ether-related groups, which are consistent with bioactive phytochemical fractions. The crude ethanol extract and the crude alkaloid, flavonoid, and cardiac glycoside fractions exhibited varying levels of antibacterial and antifungal activity against the tested organisms. Alkaloid fractions showed comparatively stronger activity against some bacterial isolates, while cardiac glycoside fractions showed activity against selected fungal isolates. These findings support further investigation of </w:t>
      </w:r>
      <w:r w:rsidRPr="00213F66">
        <w:rPr>
          <w:rFonts w:ascii="Times New Roman" w:eastAsia="Times New Roman" w:hAnsi="Times New Roman" w:cs="Times New Roman"/>
          <w:i/>
          <w:iCs/>
          <w:sz w:val="24"/>
          <w:szCs w:val="24"/>
        </w:rPr>
        <w:t>M. piperita</w:t>
      </w:r>
      <w:r w:rsidRPr="00213F66">
        <w:rPr>
          <w:rFonts w:ascii="Times New Roman" w:eastAsia="Times New Roman" w:hAnsi="Times New Roman" w:cs="Times New Roman"/>
          <w:sz w:val="24"/>
          <w:szCs w:val="24"/>
        </w:rPr>
        <w:t xml:space="preserve"> as a source of antimicrobial phytochemical fractions. However, purification, structural elucidation, toxicity testing, and stronger antimicrobial validation are required before practical application can be recommended.</w:t>
      </w:r>
    </w:p>
    <w:p w14:paraId="2C9750EA" w14:textId="77777777" w:rsidR="00773604" w:rsidRPr="00213F66"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213F66">
        <w:rPr>
          <w:rFonts w:ascii="Times New Roman" w:eastAsia="Times New Roman" w:hAnsi="Times New Roman" w:cs="Times New Roman"/>
          <w:b/>
          <w:bCs/>
          <w:sz w:val="36"/>
          <w:szCs w:val="36"/>
        </w:rPr>
        <w:t>Limitations</w:t>
      </w:r>
    </w:p>
    <w:p w14:paraId="4407E245" w14:textId="77777777" w:rsidR="00773604" w:rsidRPr="00213F66" w:rsidRDefault="00773604" w:rsidP="00B14C37">
      <w:pPr>
        <w:spacing w:before="100" w:beforeAutospacing="1" w:after="100" w:afterAutospacing="1" w:line="240" w:lineRule="auto"/>
        <w:jc w:val="both"/>
        <w:rPr>
          <w:rFonts w:ascii="Times New Roman" w:eastAsia="Times New Roman" w:hAnsi="Times New Roman" w:cs="Times New Roman"/>
          <w:sz w:val="24"/>
          <w:szCs w:val="24"/>
        </w:rPr>
      </w:pPr>
      <w:r w:rsidRPr="00213F66">
        <w:rPr>
          <w:rFonts w:ascii="Times New Roman" w:eastAsia="Times New Roman" w:hAnsi="Times New Roman" w:cs="Times New Roman"/>
          <w:sz w:val="24"/>
          <w:szCs w:val="24"/>
        </w:rPr>
        <w:t xml:space="preserve">This study was limited to in vitro testing of crude ethanol extract and crude phytochemical fractions of </w:t>
      </w:r>
      <w:r w:rsidRPr="00213F66">
        <w:rPr>
          <w:rFonts w:ascii="Times New Roman" w:eastAsia="Times New Roman" w:hAnsi="Times New Roman" w:cs="Times New Roman"/>
          <w:i/>
          <w:iCs/>
          <w:sz w:val="24"/>
          <w:szCs w:val="24"/>
        </w:rPr>
        <w:t>Mentha piperita</w:t>
      </w:r>
      <w:r w:rsidRPr="00213F66">
        <w:rPr>
          <w:rFonts w:ascii="Times New Roman" w:eastAsia="Times New Roman" w:hAnsi="Times New Roman" w:cs="Times New Roman"/>
          <w:sz w:val="24"/>
          <w:szCs w:val="24"/>
        </w:rPr>
        <w:t>. The isolated fractions were not purified individual compounds, and FTIR analysis provided functional-group information rather than complete structural identification. The manuscript does not clearly present negative solvent-control results, replicate statistics, or error estimates for inhibition zones. MIC values were relatively high and should be interpreted cautiously. Further work using chromatographic purification, GC-MS/LC-MS/NMR analysis, cytotoxicity testing, standardised controls, and in vivo validation is needed to confirm antimicrobial potential.</w:t>
      </w:r>
    </w:p>
    <w:p w14:paraId="7D8052EB" w14:textId="77777777" w:rsidR="00C90462" w:rsidRPr="00213F66" w:rsidRDefault="00C90462" w:rsidP="00241922">
      <w:pPr>
        <w:pStyle w:val="ReferHead"/>
        <w:spacing w:after="0"/>
        <w:jc w:val="both"/>
        <w:rPr>
          <w:rFonts w:ascii="Arial" w:hAnsi="Arial" w:cs="Arial"/>
          <w:bCs/>
        </w:rPr>
      </w:pPr>
    </w:p>
    <w:p w14:paraId="3EFA0A1E" w14:textId="77777777" w:rsidR="00241922" w:rsidRPr="00213F66" w:rsidRDefault="00241922" w:rsidP="00241922">
      <w:pPr>
        <w:pStyle w:val="ReferHead"/>
        <w:spacing w:after="0"/>
        <w:jc w:val="both"/>
        <w:rPr>
          <w:rFonts w:ascii="Arial" w:hAnsi="Arial" w:cs="Arial"/>
          <w:bCs/>
        </w:rPr>
      </w:pPr>
      <w:r w:rsidRPr="00213F66">
        <w:rPr>
          <w:rFonts w:ascii="Arial" w:hAnsi="Arial" w:cs="Arial"/>
          <w:bCs/>
        </w:rPr>
        <w:t>Competing interests</w:t>
      </w:r>
    </w:p>
    <w:p w14:paraId="1962E769" w14:textId="77777777" w:rsidR="00241922" w:rsidRPr="00213F66" w:rsidRDefault="00241922" w:rsidP="00241922">
      <w:pPr>
        <w:pStyle w:val="ReferHead"/>
        <w:spacing w:after="0"/>
        <w:jc w:val="both"/>
        <w:rPr>
          <w:rFonts w:ascii="Arial" w:hAnsi="Arial" w:cs="Arial"/>
        </w:rPr>
      </w:pPr>
    </w:p>
    <w:p w14:paraId="025457B4" w14:textId="77777777" w:rsidR="00241922" w:rsidRPr="00213F66" w:rsidRDefault="00241922" w:rsidP="00241922">
      <w:pPr>
        <w:pStyle w:val="ReferHead"/>
        <w:spacing w:after="0"/>
        <w:jc w:val="both"/>
        <w:rPr>
          <w:rFonts w:ascii="Arial" w:hAnsi="Arial" w:cs="Arial"/>
          <w:b w:val="0"/>
          <w:caps w:val="0"/>
          <w:sz w:val="20"/>
        </w:rPr>
      </w:pPr>
      <w:r w:rsidRPr="00213F66">
        <w:rPr>
          <w:rFonts w:ascii="Arial" w:hAnsi="Arial" w:cs="Arial"/>
          <w:b w:val="0"/>
          <w:caps w:val="0"/>
          <w:sz w:val="20"/>
        </w:rPr>
        <w:t>Authors have declared that no competing interests exist.</w:t>
      </w:r>
    </w:p>
    <w:p w14:paraId="78B53C79" w14:textId="77777777" w:rsidR="00241922" w:rsidRPr="00213F66" w:rsidRDefault="00241922" w:rsidP="00241922">
      <w:pPr>
        <w:pStyle w:val="ReferHead"/>
        <w:spacing w:after="0"/>
        <w:jc w:val="both"/>
        <w:rPr>
          <w:rFonts w:ascii="Arial" w:hAnsi="Arial" w:cs="Arial"/>
          <w:b w:val="0"/>
          <w:caps w:val="0"/>
          <w:sz w:val="20"/>
        </w:rPr>
      </w:pPr>
    </w:p>
    <w:p w14:paraId="5BDDF4FB" w14:textId="77777777" w:rsidR="00773604" w:rsidRPr="00213F66" w:rsidRDefault="00773604" w:rsidP="00773604">
      <w:pPr>
        <w:spacing w:after="0" w:line="240" w:lineRule="auto"/>
        <w:rPr>
          <w:rFonts w:ascii="Times New Roman" w:hAnsi="Times New Roman" w:cs="Times New Roman"/>
          <w:b/>
        </w:rPr>
      </w:pPr>
      <w:r w:rsidRPr="00213F66">
        <w:rPr>
          <w:rFonts w:ascii="Times New Roman" w:hAnsi="Times New Roman" w:cs="Times New Roman"/>
          <w:b/>
        </w:rPr>
        <w:t>Declaration of AI Use</w:t>
      </w:r>
    </w:p>
    <w:p w14:paraId="6D0C17E0" w14:textId="77777777" w:rsidR="00773604" w:rsidRPr="00213F66" w:rsidRDefault="00773604" w:rsidP="00773604">
      <w:pPr>
        <w:spacing w:after="0" w:line="240" w:lineRule="auto"/>
        <w:rPr>
          <w:rFonts w:ascii="Times New Roman" w:hAnsi="Times New Roman" w:cs="Times New Roman"/>
        </w:rPr>
      </w:pPr>
    </w:p>
    <w:p w14:paraId="03FCCC4A" w14:textId="77777777" w:rsidR="00773604" w:rsidRPr="00213F66" w:rsidRDefault="00773604" w:rsidP="00773604">
      <w:pPr>
        <w:spacing w:after="0" w:line="240" w:lineRule="auto"/>
        <w:jc w:val="both"/>
        <w:rPr>
          <w:rFonts w:ascii="Times New Roman" w:hAnsi="Times New Roman" w:cs="Times New Roman"/>
        </w:rPr>
      </w:pPr>
      <w:r w:rsidRPr="00213F66">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35D32E" w14:textId="77777777" w:rsidR="00773604" w:rsidRPr="00213F66" w:rsidRDefault="00773604" w:rsidP="00FF0CB0">
      <w:pPr>
        <w:pStyle w:val="ReferHead"/>
        <w:spacing w:after="0"/>
        <w:jc w:val="both"/>
        <w:rPr>
          <w:rFonts w:ascii="Arial" w:hAnsi="Arial" w:cs="Arial"/>
          <w:b w:val="0"/>
          <w:caps w:val="0"/>
          <w:sz w:val="20"/>
        </w:rPr>
      </w:pPr>
    </w:p>
    <w:p w14:paraId="6FF34A33" w14:textId="77777777" w:rsidR="00241922" w:rsidRPr="00213F66" w:rsidRDefault="00241922" w:rsidP="00ED5B69">
      <w:pPr>
        <w:pStyle w:val="NormalWeb"/>
        <w:jc w:val="both"/>
        <w:rPr>
          <w:rFonts w:ascii="Arial" w:hAnsi="Arial" w:cs="Arial"/>
          <w:sz w:val="20"/>
          <w:szCs w:val="20"/>
        </w:rPr>
      </w:pPr>
    </w:p>
    <w:p w14:paraId="63727319" w14:textId="77777777" w:rsidR="00735026" w:rsidRPr="00213F66" w:rsidRDefault="00735026" w:rsidP="00735026">
      <w:pPr>
        <w:pStyle w:val="ReferHead"/>
        <w:spacing w:after="0"/>
        <w:jc w:val="both"/>
        <w:rPr>
          <w:rFonts w:ascii="Arial" w:hAnsi="Arial" w:cs="Arial"/>
        </w:rPr>
      </w:pPr>
      <w:r w:rsidRPr="00213F66">
        <w:rPr>
          <w:rFonts w:ascii="Arial" w:hAnsi="Arial" w:cs="Arial"/>
        </w:rPr>
        <w:t>References</w:t>
      </w:r>
    </w:p>
    <w:p w14:paraId="38B66791" w14:textId="77777777" w:rsidR="00683834" w:rsidRPr="00213F66" w:rsidRDefault="00683834" w:rsidP="00E63C62">
      <w:pPr>
        <w:pStyle w:val="ListParagraph"/>
        <w:spacing w:after="160" w:line="259" w:lineRule="auto"/>
        <w:contextualSpacing/>
        <w:jc w:val="both"/>
        <w:rPr>
          <w:rFonts w:ascii="Arial" w:hAnsi="Arial" w:cs="Arial"/>
          <w:sz w:val="20"/>
          <w:szCs w:val="20"/>
        </w:rPr>
      </w:pPr>
    </w:p>
    <w:p w14:paraId="48AFE537"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Adedayo</w:t>
      </w:r>
      <w:proofErr w:type="gramEnd"/>
      <w:r w:rsidRPr="00213F66">
        <w:rPr>
          <w:rFonts w:ascii="Times New Roman" w:eastAsia="Times New Roman" w:hAnsi="Times New Roman" w:cs="Times New Roman"/>
          <w:sz w:val="24"/>
          <w:szCs w:val="24"/>
        </w:rPr>
        <w:t xml:space="preserve">, O., Anderson, W. A., Snieckus, V., Patil, P. A., &amp; Kolawole, D. O. (2001). Phytochemistry and antibacterial activity of </w:t>
      </w:r>
      <w:r w:rsidRPr="00213F66">
        <w:rPr>
          <w:rFonts w:ascii="Times New Roman" w:eastAsia="Times New Roman" w:hAnsi="Times New Roman" w:cs="Times New Roman"/>
          <w:i/>
          <w:iCs/>
          <w:sz w:val="24"/>
          <w:szCs w:val="24"/>
        </w:rPr>
        <w:t>Senna alata</w:t>
      </w:r>
      <w:r w:rsidRPr="00213F66">
        <w:rPr>
          <w:rFonts w:ascii="Times New Roman" w:eastAsia="Times New Roman" w:hAnsi="Times New Roman" w:cs="Times New Roman"/>
          <w:sz w:val="24"/>
          <w:szCs w:val="24"/>
        </w:rPr>
        <w:t xml:space="preserve"> flower. </w:t>
      </w:r>
      <w:r w:rsidRPr="00213F66">
        <w:rPr>
          <w:rFonts w:ascii="Times New Roman" w:eastAsia="Times New Roman" w:hAnsi="Times New Roman" w:cs="Times New Roman"/>
          <w:i/>
          <w:iCs/>
          <w:sz w:val="24"/>
          <w:szCs w:val="24"/>
        </w:rPr>
        <w:t>Pharmaceutical Biology, 39</w:t>
      </w:r>
      <w:r w:rsidRPr="00213F66">
        <w:rPr>
          <w:rFonts w:ascii="Times New Roman" w:eastAsia="Times New Roman" w:hAnsi="Times New Roman" w:cs="Times New Roman"/>
          <w:sz w:val="24"/>
          <w:szCs w:val="24"/>
        </w:rPr>
        <w:t xml:space="preserve">(6), 408–412. https://doi.org/10.1076/phbi.39.6.408.5880  </w:t>
      </w:r>
    </w:p>
    <w:p w14:paraId="1EF94A0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lastRenderedPageBreak/>
        <w:t></w:t>
      </w:r>
      <w:r w:rsidRPr="00213F66">
        <w:rPr>
          <w:rFonts w:ascii="Times New Roman" w:eastAsia="Times New Roman" w:hAnsi="Times New Roman" w:cs="Times New Roman"/>
          <w:sz w:val="24"/>
          <w:szCs w:val="24"/>
        </w:rPr>
        <w:t xml:space="preserve">  Perumal</w:t>
      </w:r>
      <w:proofErr w:type="gramEnd"/>
      <w:r w:rsidRPr="00213F66">
        <w:rPr>
          <w:rFonts w:ascii="Times New Roman" w:eastAsia="Times New Roman" w:hAnsi="Times New Roman" w:cs="Times New Roman"/>
          <w:sz w:val="24"/>
          <w:szCs w:val="24"/>
        </w:rPr>
        <w:t xml:space="preserve"> Samy, R., &amp; </w:t>
      </w:r>
      <w:proofErr w:type="spellStart"/>
      <w:r w:rsidRPr="00213F66">
        <w:rPr>
          <w:rFonts w:ascii="Times New Roman" w:eastAsia="Times New Roman" w:hAnsi="Times New Roman" w:cs="Times New Roman"/>
          <w:sz w:val="24"/>
          <w:szCs w:val="24"/>
        </w:rPr>
        <w:t>Ignacimuthu</w:t>
      </w:r>
      <w:proofErr w:type="spellEnd"/>
      <w:r w:rsidRPr="00213F66">
        <w:rPr>
          <w:rFonts w:ascii="Times New Roman" w:eastAsia="Times New Roman" w:hAnsi="Times New Roman" w:cs="Times New Roman"/>
          <w:sz w:val="24"/>
          <w:szCs w:val="24"/>
        </w:rPr>
        <w:t xml:space="preserve">, S. (2001). Antibacterial effects of the bark of </w:t>
      </w:r>
      <w:r w:rsidRPr="00213F66">
        <w:rPr>
          <w:rFonts w:ascii="Times New Roman" w:eastAsia="Times New Roman" w:hAnsi="Times New Roman" w:cs="Times New Roman"/>
          <w:i/>
          <w:iCs/>
          <w:sz w:val="24"/>
          <w:szCs w:val="24"/>
        </w:rPr>
        <w:t>Terminalia arjuna</w:t>
      </w:r>
      <w:r w:rsidRPr="00213F66">
        <w:rPr>
          <w:rFonts w:ascii="Times New Roman" w:eastAsia="Times New Roman" w:hAnsi="Times New Roman" w:cs="Times New Roman"/>
          <w:sz w:val="24"/>
          <w:szCs w:val="24"/>
        </w:rPr>
        <w:t xml:space="preserve">: Justification of folklore beliefs. </w:t>
      </w:r>
      <w:r w:rsidRPr="00213F66">
        <w:rPr>
          <w:rFonts w:ascii="Times New Roman" w:eastAsia="Times New Roman" w:hAnsi="Times New Roman" w:cs="Times New Roman"/>
          <w:i/>
          <w:iCs/>
          <w:sz w:val="24"/>
          <w:szCs w:val="24"/>
        </w:rPr>
        <w:t>Pharmaceutical Biology, 39</w:t>
      </w:r>
      <w:r w:rsidRPr="00213F66">
        <w:rPr>
          <w:rFonts w:ascii="Times New Roman" w:eastAsia="Times New Roman" w:hAnsi="Times New Roman" w:cs="Times New Roman"/>
          <w:sz w:val="24"/>
          <w:szCs w:val="24"/>
        </w:rPr>
        <w:t xml:space="preserve">(6), 417–420. https://doi.org/10.1076/phbi.39.6.417.5876  </w:t>
      </w:r>
    </w:p>
    <w:p w14:paraId="5C996FE4"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Sharma</w:t>
      </w:r>
      <w:proofErr w:type="gramEnd"/>
      <w:r w:rsidRPr="00213F66">
        <w:rPr>
          <w:rFonts w:ascii="Times New Roman" w:eastAsia="Times New Roman" w:hAnsi="Times New Roman" w:cs="Times New Roman"/>
          <w:sz w:val="24"/>
          <w:szCs w:val="24"/>
        </w:rPr>
        <w:t xml:space="preserve">, P., Ravikumar, G., Kalaiselvi, M., Gomathi, D., &amp; Uma, C. (2013). In vitro antibacterial and free radical scavenging activity of green hull of </w:t>
      </w:r>
      <w:r w:rsidRPr="00213F66">
        <w:rPr>
          <w:rFonts w:ascii="Times New Roman" w:eastAsia="Times New Roman" w:hAnsi="Times New Roman" w:cs="Times New Roman"/>
          <w:i/>
          <w:iCs/>
          <w:sz w:val="24"/>
          <w:szCs w:val="24"/>
        </w:rPr>
        <w:t>Juglans regia</w:t>
      </w:r>
      <w:r w:rsidRPr="00213F66">
        <w:rPr>
          <w:rFonts w:ascii="Times New Roman" w:eastAsia="Times New Roman" w:hAnsi="Times New Roman" w:cs="Times New Roman"/>
          <w:sz w:val="24"/>
          <w:szCs w:val="24"/>
        </w:rPr>
        <w:t xml:space="preserve">. </w:t>
      </w:r>
      <w:r w:rsidRPr="00213F66">
        <w:rPr>
          <w:rFonts w:ascii="Times New Roman" w:eastAsia="Times New Roman" w:hAnsi="Times New Roman" w:cs="Times New Roman"/>
          <w:i/>
          <w:iCs/>
          <w:sz w:val="24"/>
          <w:szCs w:val="24"/>
        </w:rPr>
        <w:t>Journal of Pharmaceutical Analysis, 3</w:t>
      </w:r>
      <w:r w:rsidRPr="00213F66">
        <w:rPr>
          <w:rFonts w:ascii="Times New Roman" w:eastAsia="Times New Roman" w:hAnsi="Times New Roman" w:cs="Times New Roman"/>
          <w:sz w:val="24"/>
          <w:szCs w:val="24"/>
        </w:rPr>
        <w:t xml:space="preserve">(4), 298–302. </w:t>
      </w:r>
      <w:hyperlink r:id="rId18" w:tgtFrame="_new" w:history="1">
        <w:r w:rsidRPr="00213F66">
          <w:rPr>
            <w:rFonts w:ascii="Times New Roman" w:eastAsia="Times New Roman" w:hAnsi="Times New Roman" w:cs="Times New Roman"/>
            <w:color w:val="0000FF"/>
            <w:sz w:val="24"/>
            <w:szCs w:val="24"/>
            <w:u w:val="single"/>
          </w:rPr>
          <w:t>https://doi.org/10.1016/j.jpha.2012.11.001</w:t>
        </w:r>
      </w:hyperlink>
      <w:r w:rsidRPr="00213F66">
        <w:rPr>
          <w:rFonts w:ascii="Times New Roman" w:eastAsia="Times New Roman" w:hAnsi="Times New Roman" w:cs="Times New Roman"/>
          <w:sz w:val="24"/>
          <w:szCs w:val="24"/>
        </w:rPr>
        <w:t xml:space="preserve"> </w:t>
      </w:r>
    </w:p>
    <w:p w14:paraId="05666203"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Akpan</w:t>
      </w:r>
      <w:proofErr w:type="gramEnd"/>
      <w:r w:rsidRPr="00213F66">
        <w:rPr>
          <w:rFonts w:ascii="Times New Roman" w:eastAsia="Times New Roman" w:hAnsi="Times New Roman" w:cs="Times New Roman"/>
          <w:sz w:val="24"/>
          <w:szCs w:val="24"/>
        </w:rPr>
        <w:t xml:space="preserve">, I. O., Ejele, A. E., </w:t>
      </w:r>
      <w:proofErr w:type="spellStart"/>
      <w:r w:rsidRPr="00213F66">
        <w:rPr>
          <w:rFonts w:ascii="Times New Roman" w:eastAsia="Times New Roman" w:hAnsi="Times New Roman" w:cs="Times New Roman"/>
          <w:sz w:val="24"/>
          <w:szCs w:val="24"/>
        </w:rPr>
        <w:t>Ogali</w:t>
      </w:r>
      <w:proofErr w:type="spellEnd"/>
      <w:r w:rsidRPr="00213F66">
        <w:rPr>
          <w:rFonts w:ascii="Times New Roman" w:eastAsia="Times New Roman" w:hAnsi="Times New Roman" w:cs="Times New Roman"/>
          <w:sz w:val="24"/>
          <w:szCs w:val="24"/>
        </w:rPr>
        <w:t xml:space="preserve">, R. E., </w:t>
      </w:r>
      <w:proofErr w:type="spellStart"/>
      <w:r w:rsidRPr="00213F66">
        <w:rPr>
          <w:rFonts w:ascii="Times New Roman" w:eastAsia="Times New Roman" w:hAnsi="Times New Roman" w:cs="Times New Roman"/>
          <w:sz w:val="24"/>
          <w:szCs w:val="24"/>
        </w:rPr>
        <w:t>Achugasim</w:t>
      </w:r>
      <w:proofErr w:type="spellEnd"/>
      <w:r w:rsidRPr="00213F66">
        <w:rPr>
          <w:rFonts w:ascii="Times New Roman" w:eastAsia="Times New Roman" w:hAnsi="Times New Roman" w:cs="Times New Roman"/>
          <w:sz w:val="24"/>
          <w:szCs w:val="24"/>
        </w:rPr>
        <w:t xml:space="preserve">, O., &amp; Osuagwu, C. G. (2016). Bioassay-guided isolation of antimicrobial compound against </w:t>
      </w:r>
      <w:r w:rsidRPr="00213F66">
        <w:rPr>
          <w:rFonts w:ascii="Times New Roman" w:eastAsia="Times New Roman" w:hAnsi="Times New Roman" w:cs="Times New Roman"/>
          <w:i/>
          <w:iCs/>
          <w:sz w:val="24"/>
          <w:szCs w:val="24"/>
        </w:rPr>
        <w:t>Staphylococcus aureus</w:t>
      </w:r>
      <w:r w:rsidRPr="00213F66">
        <w:rPr>
          <w:rFonts w:ascii="Times New Roman" w:eastAsia="Times New Roman" w:hAnsi="Times New Roman" w:cs="Times New Roman"/>
          <w:sz w:val="24"/>
          <w:szCs w:val="24"/>
        </w:rPr>
        <w:t xml:space="preserve"> from </w:t>
      </w:r>
      <w:proofErr w:type="spellStart"/>
      <w:r w:rsidRPr="00213F66">
        <w:rPr>
          <w:rFonts w:ascii="Times New Roman" w:eastAsia="Times New Roman" w:hAnsi="Times New Roman" w:cs="Times New Roman"/>
          <w:i/>
          <w:iCs/>
          <w:sz w:val="24"/>
          <w:szCs w:val="24"/>
        </w:rPr>
        <w:t>Azadirachta</w:t>
      </w:r>
      <w:proofErr w:type="spellEnd"/>
      <w:r w:rsidRPr="00213F66">
        <w:rPr>
          <w:rFonts w:ascii="Times New Roman" w:eastAsia="Times New Roman" w:hAnsi="Times New Roman" w:cs="Times New Roman"/>
          <w:i/>
          <w:iCs/>
          <w:sz w:val="24"/>
          <w:szCs w:val="24"/>
        </w:rPr>
        <w:t xml:space="preserve"> indica</w:t>
      </w:r>
      <w:r w:rsidRPr="00213F66">
        <w:rPr>
          <w:rFonts w:ascii="Times New Roman" w:eastAsia="Times New Roman" w:hAnsi="Times New Roman" w:cs="Times New Roman"/>
          <w:sz w:val="24"/>
          <w:szCs w:val="24"/>
        </w:rPr>
        <w:t xml:space="preserve"> plant. </w:t>
      </w:r>
      <w:r w:rsidRPr="00213F66">
        <w:rPr>
          <w:rFonts w:ascii="Times New Roman" w:eastAsia="Times New Roman" w:hAnsi="Times New Roman" w:cs="Times New Roman"/>
          <w:i/>
          <w:iCs/>
          <w:sz w:val="24"/>
          <w:szCs w:val="24"/>
        </w:rPr>
        <w:t>Journal of Current Chemical &amp; Pharmaceutical Sciences, 6</w:t>
      </w:r>
      <w:r w:rsidRPr="00213F66">
        <w:rPr>
          <w:rFonts w:ascii="Times New Roman" w:eastAsia="Times New Roman" w:hAnsi="Times New Roman" w:cs="Times New Roman"/>
          <w:sz w:val="24"/>
          <w:szCs w:val="24"/>
        </w:rPr>
        <w:t xml:space="preserve">(2), 17–26. </w:t>
      </w:r>
      <w:hyperlink r:id="rId19" w:tgtFrame="_new" w:history="1">
        <w:r w:rsidRPr="00213F66">
          <w:rPr>
            <w:rFonts w:ascii="Times New Roman" w:eastAsia="Times New Roman" w:hAnsi="Times New Roman" w:cs="Times New Roman"/>
            <w:color w:val="0000FF"/>
            <w:sz w:val="24"/>
            <w:szCs w:val="24"/>
            <w:u w:val="single"/>
          </w:rPr>
          <w:t>https://www.tsijournals.com/articles/bioassayguided-isolation-of-antimicrobial-compound-against-staphylococcus-aureus-from-azadirachta-indica-plant.pdf</w:t>
        </w:r>
      </w:hyperlink>
      <w:r w:rsidRPr="00213F66">
        <w:rPr>
          <w:rFonts w:ascii="Times New Roman" w:eastAsia="Times New Roman" w:hAnsi="Times New Roman" w:cs="Times New Roman"/>
          <w:sz w:val="24"/>
          <w:szCs w:val="24"/>
        </w:rPr>
        <w:t xml:space="preserve"> </w:t>
      </w:r>
    </w:p>
    <w:p w14:paraId="43CABAF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Akpan</w:t>
      </w:r>
      <w:proofErr w:type="gramEnd"/>
      <w:r w:rsidRPr="00213F66">
        <w:rPr>
          <w:rFonts w:ascii="Times New Roman" w:eastAsia="Times New Roman" w:hAnsi="Times New Roman" w:cs="Times New Roman"/>
          <w:sz w:val="24"/>
          <w:szCs w:val="24"/>
        </w:rPr>
        <w:t xml:space="preserve">, I. O., </w:t>
      </w:r>
      <w:proofErr w:type="spellStart"/>
      <w:r w:rsidRPr="00213F66">
        <w:rPr>
          <w:rFonts w:ascii="Times New Roman" w:eastAsia="Times New Roman" w:hAnsi="Times New Roman" w:cs="Times New Roman"/>
          <w:sz w:val="24"/>
          <w:szCs w:val="24"/>
        </w:rPr>
        <w:t>Ogali</w:t>
      </w:r>
      <w:proofErr w:type="spellEnd"/>
      <w:r w:rsidRPr="00213F66">
        <w:rPr>
          <w:rFonts w:ascii="Times New Roman" w:eastAsia="Times New Roman" w:hAnsi="Times New Roman" w:cs="Times New Roman"/>
          <w:sz w:val="24"/>
          <w:szCs w:val="24"/>
        </w:rPr>
        <w:t xml:space="preserve">, R. E., &amp; </w:t>
      </w:r>
      <w:proofErr w:type="spellStart"/>
      <w:r w:rsidRPr="00213F66">
        <w:rPr>
          <w:rFonts w:ascii="Times New Roman" w:eastAsia="Times New Roman" w:hAnsi="Times New Roman" w:cs="Times New Roman"/>
          <w:sz w:val="24"/>
          <w:szCs w:val="24"/>
        </w:rPr>
        <w:t>Achugasim</w:t>
      </w:r>
      <w:proofErr w:type="spellEnd"/>
      <w:r w:rsidRPr="00213F66">
        <w:rPr>
          <w:rFonts w:ascii="Times New Roman" w:eastAsia="Times New Roman" w:hAnsi="Times New Roman" w:cs="Times New Roman"/>
          <w:sz w:val="24"/>
          <w:szCs w:val="24"/>
        </w:rPr>
        <w:t xml:space="preserve">, O. (2017). Antifungal activity of crude extract and metabolites of leaves of </w:t>
      </w:r>
      <w:proofErr w:type="spellStart"/>
      <w:r w:rsidRPr="00213F66">
        <w:rPr>
          <w:rFonts w:ascii="Times New Roman" w:eastAsia="Times New Roman" w:hAnsi="Times New Roman" w:cs="Times New Roman"/>
          <w:i/>
          <w:iCs/>
          <w:sz w:val="24"/>
          <w:szCs w:val="24"/>
        </w:rPr>
        <w:t>Enantia</w:t>
      </w:r>
      <w:proofErr w:type="spellEnd"/>
      <w:r w:rsidRPr="00213F66">
        <w:rPr>
          <w:rFonts w:ascii="Times New Roman" w:eastAsia="Times New Roman" w:hAnsi="Times New Roman" w:cs="Times New Roman"/>
          <w:i/>
          <w:iCs/>
          <w:sz w:val="24"/>
          <w:szCs w:val="24"/>
        </w:rPr>
        <w:t xml:space="preserve"> </w:t>
      </w:r>
      <w:proofErr w:type="spellStart"/>
      <w:r w:rsidRPr="00213F66">
        <w:rPr>
          <w:rFonts w:ascii="Times New Roman" w:eastAsia="Times New Roman" w:hAnsi="Times New Roman" w:cs="Times New Roman"/>
          <w:i/>
          <w:iCs/>
          <w:sz w:val="24"/>
          <w:szCs w:val="24"/>
        </w:rPr>
        <w:t>chlorantha</w:t>
      </w:r>
      <w:proofErr w:type="spellEnd"/>
      <w:r w:rsidRPr="00213F66">
        <w:rPr>
          <w:rFonts w:ascii="Times New Roman" w:eastAsia="Times New Roman" w:hAnsi="Times New Roman" w:cs="Times New Roman"/>
          <w:sz w:val="24"/>
          <w:szCs w:val="24"/>
        </w:rPr>
        <w:t xml:space="preserve"> Oliv. (African yellow wood). </w:t>
      </w:r>
      <w:r w:rsidRPr="00213F66">
        <w:rPr>
          <w:rFonts w:ascii="Times New Roman" w:eastAsia="Times New Roman" w:hAnsi="Times New Roman" w:cs="Times New Roman"/>
          <w:i/>
          <w:iCs/>
          <w:sz w:val="24"/>
          <w:szCs w:val="24"/>
        </w:rPr>
        <w:t>Journal of Natural Products and Resources, 3</w:t>
      </w:r>
      <w:r w:rsidRPr="00213F66">
        <w:rPr>
          <w:rFonts w:ascii="Times New Roman" w:eastAsia="Times New Roman" w:hAnsi="Times New Roman" w:cs="Times New Roman"/>
          <w:sz w:val="24"/>
          <w:szCs w:val="24"/>
        </w:rPr>
        <w:t xml:space="preserve">(2), 137–140. https://www.jacsdirectory.vvthesiswriting.in/journal-of-natural-products-and-resources/articleview.php?id=37 </w:t>
      </w:r>
    </w:p>
    <w:p w14:paraId="5372B60C"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Oladejobi</w:t>
      </w:r>
      <w:proofErr w:type="spellEnd"/>
      <w:proofErr w:type="gramEnd"/>
      <w:r w:rsidRPr="00213F66">
        <w:rPr>
          <w:rFonts w:ascii="Times New Roman" w:eastAsia="Times New Roman" w:hAnsi="Times New Roman" w:cs="Times New Roman"/>
          <w:sz w:val="24"/>
          <w:szCs w:val="24"/>
        </w:rPr>
        <w:t xml:space="preserve">, F., Akpan, I. O., Achugasim, O., &amp; </w:t>
      </w:r>
      <w:proofErr w:type="spellStart"/>
      <w:r w:rsidRPr="00213F66">
        <w:rPr>
          <w:rFonts w:ascii="Times New Roman" w:eastAsia="Times New Roman" w:hAnsi="Times New Roman" w:cs="Times New Roman"/>
          <w:sz w:val="24"/>
          <w:szCs w:val="24"/>
        </w:rPr>
        <w:t>Ogali</w:t>
      </w:r>
      <w:proofErr w:type="spellEnd"/>
      <w:r w:rsidRPr="00213F66">
        <w:rPr>
          <w:rFonts w:ascii="Times New Roman" w:eastAsia="Times New Roman" w:hAnsi="Times New Roman" w:cs="Times New Roman"/>
          <w:sz w:val="24"/>
          <w:szCs w:val="24"/>
        </w:rPr>
        <w:t xml:space="preserve">, R. (2022). Gas chromatography–mass spectrometry characterization and antibacterial activity of stem-bark extracts of </w:t>
      </w:r>
      <w:proofErr w:type="spellStart"/>
      <w:r w:rsidRPr="00213F66">
        <w:rPr>
          <w:rFonts w:ascii="Times New Roman" w:eastAsia="Times New Roman" w:hAnsi="Times New Roman" w:cs="Times New Roman"/>
          <w:i/>
          <w:iCs/>
          <w:sz w:val="24"/>
          <w:szCs w:val="24"/>
        </w:rPr>
        <w:t>Dacryodes</w:t>
      </w:r>
      <w:proofErr w:type="spellEnd"/>
      <w:r w:rsidRPr="00213F66">
        <w:rPr>
          <w:rFonts w:ascii="Times New Roman" w:eastAsia="Times New Roman" w:hAnsi="Times New Roman" w:cs="Times New Roman"/>
          <w:i/>
          <w:iCs/>
          <w:sz w:val="24"/>
          <w:szCs w:val="24"/>
        </w:rPr>
        <w:t xml:space="preserve"> edulis</w:t>
      </w:r>
      <w:r w:rsidRPr="00213F66">
        <w:rPr>
          <w:rFonts w:ascii="Times New Roman" w:eastAsia="Times New Roman" w:hAnsi="Times New Roman" w:cs="Times New Roman"/>
          <w:sz w:val="24"/>
          <w:szCs w:val="24"/>
        </w:rPr>
        <w:t xml:space="preserve"> (African pear). </w:t>
      </w:r>
      <w:r w:rsidRPr="00213F66">
        <w:rPr>
          <w:rFonts w:ascii="Times New Roman" w:eastAsia="Times New Roman" w:hAnsi="Times New Roman" w:cs="Times New Roman"/>
          <w:i/>
          <w:iCs/>
          <w:sz w:val="24"/>
          <w:szCs w:val="24"/>
        </w:rPr>
        <w:t>Researchers Journal of Science and Technology, 2</w:t>
      </w:r>
      <w:r w:rsidRPr="00213F66">
        <w:rPr>
          <w:rFonts w:ascii="Times New Roman" w:eastAsia="Times New Roman" w:hAnsi="Times New Roman" w:cs="Times New Roman"/>
          <w:sz w:val="24"/>
          <w:szCs w:val="24"/>
        </w:rPr>
        <w:t xml:space="preserve">(1), 34–49. https://doi.org/10.83080/rejost.vol2no1.13 </w:t>
      </w:r>
    </w:p>
    <w:p w14:paraId="72BEC5EB"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Lichterman</w:t>
      </w:r>
      <w:proofErr w:type="gramEnd"/>
      <w:r w:rsidRPr="00213F66">
        <w:rPr>
          <w:rFonts w:ascii="Times New Roman" w:eastAsia="Times New Roman" w:hAnsi="Times New Roman" w:cs="Times New Roman"/>
          <w:sz w:val="24"/>
          <w:szCs w:val="24"/>
        </w:rPr>
        <w:t xml:space="preserve">, B. (2004). Aspirin: The story of a wonder drug. </w:t>
      </w:r>
      <w:r w:rsidRPr="00213F66">
        <w:rPr>
          <w:rFonts w:ascii="Times New Roman" w:eastAsia="Times New Roman" w:hAnsi="Times New Roman" w:cs="Times New Roman"/>
          <w:i/>
          <w:iCs/>
          <w:sz w:val="24"/>
          <w:szCs w:val="24"/>
        </w:rPr>
        <w:t>BMJ, 329</w:t>
      </w:r>
      <w:r w:rsidRPr="00213F66">
        <w:rPr>
          <w:rFonts w:ascii="Times New Roman" w:eastAsia="Times New Roman" w:hAnsi="Times New Roman" w:cs="Times New Roman"/>
          <w:sz w:val="24"/>
          <w:szCs w:val="24"/>
        </w:rPr>
        <w:t xml:space="preserve">(7479), 1408. https://doi.org/10.1136/bmj.329.7479.1408 </w:t>
      </w:r>
    </w:p>
    <w:p w14:paraId="1BBBC73A"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Edeoga</w:t>
      </w:r>
      <w:proofErr w:type="spellEnd"/>
      <w:proofErr w:type="gramEnd"/>
      <w:r w:rsidRPr="00213F66">
        <w:rPr>
          <w:rFonts w:ascii="Times New Roman" w:eastAsia="Times New Roman" w:hAnsi="Times New Roman" w:cs="Times New Roman"/>
          <w:sz w:val="24"/>
          <w:szCs w:val="24"/>
        </w:rPr>
        <w:t xml:space="preserve">, H. O., Okwu, D. E., &amp; </w:t>
      </w:r>
      <w:proofErr w:type="spellStart"/>
      <w:r w:rsidRPr="00213F66">
        <w:rPr>
          <w:rFonts w:ascii="Times New Roman" w:eastAsia="Times New Roman" w:hAnsi="Times New Roman" w:cs="Times New Roman"/>
          <w:sz w:val="24"/>
          <w:szCs w:val="24"/>
        </w:rPr>
        <w:t>Mbaebie</w:t>
      </w:r>
      <w:proofErr w:type="spellEnd"/>
      <w:r w:rsidRPr="00213F66">
        <w:rPr>
          <w:rFonts w:ascii="Times New Roman" w:eastAsia="Times New Roman" w:hAnsi="Times New Roman" w:cs="Times New Roman"/>
          <w:sz w:val="24"/>
          <w:szCs w:val="24"/>
        </w:rPr>
        <w:t xml:space="preserve">, B. O. (2005). Phytochemical constituents of some Nigerian medicinal plants. </w:t>
      </w:r>
      <w:r w:rsidRPr="00213F66">
        <w:rPr>
          <w:rFonts w:ascii="Times New Roman" w:eastAsia="Times New Roman" w:hAnsi="Times New Roman" w:cs="Times New Roman"/>
          <w:i/>
          <w:iCs/>
          <w:sz w:val="24"/>
          <w:szCs w:val="24"/>
        </w:rPr>
        <w:t>African Journal of Biotechnology, 4</w:t>
      </w:r>
      <w:r w:rsidRPr="00213F66">
        <w:rPr>
          <w:rFonts w:ascii="Times New Roman" w:eastAsia="Times New Roman" w:hAnsi="Times New Roman" w:cs="Times New Roman"/>
          <w:sz w:val="24"/>
          <w:szCs w:val="24"/>
        </w:rPr>
        <w:t xml:space="preserve">(7), 685–688. https://doi.org/10.5897/AJB2005.000-3127 </w:t>
      </w:r>
    </w:p>
    <w:p w14:paraId="0DD6C37B"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Rangari</w:t>
      </w:r>
      <w:proofErr w:type="spellEnd"/>
      <w:proofErr w:type="gramEnd"/>
      <w:r w:rsidRPr="00213F66">
        <w:rPr>
          <w:rFonts w:ascii="Times New Roman" w:eastAsia="Times New Roman" w:hAnsi="Times New Roman" w:cs="Times New Roman"/>
          <w:sz w:val="24"/>
          <w:szCs w:val="24"/>
        </w:rPr>
        <w:t xml:space="preserve">, V. D. (2012). </w:t>
      </w:r>
      <w:r w:rsidRPr="00213F66">
        <w:rPr>
          <w:rFonts w:ascii="Times New Roman" w:eastAsia="Times New Roman" w:hAnsi="Times New Roman" w:cs="Times New Roman"/>
          <w:i/>
          <w:iCs/>
          <w:sz w:val="24"/>
          <w:szCs w:val="24"/>
        </w:rPr>
        <w:t>Pharmacognosy and phytochemistry</w:t>
      </w:r>
      <w:r w:rsidRPr="00213F66">
        <w:rPr>
          <w:rFonts w:ascii="Times New Roman" w:eastAsia="Times New Roman" w:hAnsi="Times New Roman" w:cs="Times New Roman"/>
          <w:sz w:val="24"/>
          <w:szCs w:val="24"/>
        </w:rPr>
        <w:t xml:space="preserve"> (Vol. 1, 3rd ed.). Career Publications. </w:t>
      </w:r>
    </w:p>
    <w:p w14:paraId="0315FD2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Akpan</w:t>
      </w:r>
      <w:proofErr w:type="gramEnd"/>
      <w:r w:rsidRPr="00213F66">
        <w:rPr>
          <w:rFonts w:ascii="Times New Roman" w:eastAsia="Times New Roman" w:hAnsi="Times New Roman" w:cs="Times New Roman"/>
          <w:sz w:val="24"/>
          <w:szCs w:val="24"/>
        </w:rPr>
        <w:t xml:space="preserve">, I. O., Achugasim, O., Eruteya, O. C., &amp; </w:t>
      </w:r>
      <w:proofErr w:type="spellStart"/>
      <w:r w:rsidRPr="00213F66">
        <w:rPr>
          <w:rFonts w:ascii="Times New Roman" w:eastAsia="Times New Roman" w:hAnsi="Times New Roman" w:cs="Times New Roman"/>
          <w:sz w:val="24"/>
          <w:szCs w:val="24"/>
        </w:rPr>
        <w:t>Ogali</w:t>
      </w:r>
      <w:proofErr w:type="spellEnd"/>
      <w:r w:rsidRPr="00213F66">
        <w:rPr>
          <w:rFonts w:ascii="Times New Roman" w:eastAsia="Times New Roman" w:hAnsi="Times New Roman" w:cs="Times New Roman"/>
          <w:sz w:val="24"/>
          <w:szCs w:val="24"/>
        </w:rPr>
        <w:t xml:space="preserve">, R. E. (2021). Biochemical profiling of leaf, stem bark and root of </w:t>
      </w:r>
      <w:proofErr w:type="spellStart"/>
      <w:r w:rsidRPr="00213F66">
        <w:rPr>
          <w:rFonts w:ascii="Times New Roman" w:eastAsia="Times New Roman" w:hAnsi="Times New Roman" w:cs="Times New Roman"/>
          <w:i/>
          <w:iCs/>
          <w:sz w:val="24"/>
          <w:szCs w:val="24"/>
        </w:rPr>
        <w:t>Enantia</w:t>
      </w:r>
      <w:proofErr w:type="spellEnd"/>
      <w:r w:rsidRPr="00213F66">
        <w:rPr>
          <w:rFonts w:ascii="Times New Roman" w:eastAsia="Times New Roman" w:hAnsi="Times New Roman" w:cs="Times New Roman"/>
          <w:i/>
          <w:iCs/>
          <w:sz w:val="24"/>
          <w:szCs w:val="24"/>
        </w:rPr>
        <w:t xml:space="preserve"> </w:t>
      </w:r>
      <w:proofErr w:type="spellStart"/>
      <w:r w:rsidRPr="00213F66">
        <w:rPr>
          <w:rFonts w:ascii="Times New Roman" w:eastAsia="Times New Roman" w:hAnsi="Times New Roman" w:cs="Times New Roman"/>
          <w:i/>
          <w:iCs/>
          <w:sz w:val="24"/>
          <w:szCs w:val="24"/>
        </w:rPr>
        <w:t>chlorantha</w:t>
      </w:r>
      <w:proofErr w:type="spellEnd"/>
      <w:r w:rsidRPr="00213F66">
        <w:rPr>
          <w:rFonts w:ascii="Times New Roman" w:eastAsia="Times New Roman" w:hAnsi="Times New Roman" w:cs="Times New Roman"/>
          <w:sz w:val="24"/>
          <w:szCs w:val="24"/>
        </w:rPr>
        <w:t xml:space="preserve"> native to Akwa Ibom, Nigeria: A comparative analysis. </w:t>
      </w:r>
      <w:r w:rsidRPr="00213F66">
        <w:rPr>
          <w:rFonts w:ascii="Times New Roman" w:eastAsia="Times New Roman" w:hAnsi="Times New Roman" w:cs="Times New Roman"/>
          <w:i/>
          <w:iCs/>
          <w:sz w:val="24"/>
          <w:szCs w:val="24"/>
        </w:rPr>
        <w:t>Chemistry International, 7</w:t>
      </w:r>
      <w:r w:rsidRPr="00213F66">
        <w:rPr>
          <w:rFonts w:ascii="Times New Roman" w:eastAsia="Times New Roman" w:hAnsi="Times New Roman" w:cs="Times New Roman"/>
          <w:sz w:val="24"/>
          <w:szCs w:val="24"/>
        </w:rPr>
        <w:t xml:space="preserve">(2), 145–154. </w:t>
      </w:r>
      <w:hyperlink r:id="rId20" w:tgtFrame="_new" w:history="1">
        <w:r w:rsidRPr="00213F66">
          <w:rPr>
            <w:rFonts w:ascii="Times New Roman" w:eastAsia="Times New Roman" w:hAnsi="Times New Roman" w:cs="Times New Roman"/>
            <w:color w:val="0000FF"/>
            <w:sz w:val="24"/>
            <w:szCs w:val="24"/>
            <w:u w:val="single"/>
          </w:rPr>
          <w:t>https://doi.org/10.5281/zenodo.4572671</w:t>
        </w:r>
      </w:hyperlink>
      <w:r w:rsidRPr="00213F66">
        <w:rPr>
          <w:rFonts w:ascii="Times New Roman" w:eastAsia="Times New Roman" w:hAnsi="Times New Roman" w:cs="Times New Roman"/>
          <w:sz w:val="24"/>
          <w:szCs w:val="24"/>
        </w:rPr>
        <w:t xml:space="preserve"> </w:t>
      </w:r>
    </w:p>
    <w:p w14:paraId="7D9CC4B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Williams</w:t>
      </w:r>
      <w:proofErr w:type="gramEnd"/>
      <w:r w:rsidRPr="00213F66">
        <w:rPr>
          <w:rFonts w:ascii="Times New Roman" w:eastAsia="Times New Roman" w:hAnsi="Times New Roman" w:cs="Times New Roman"/>
          <w:sz w:val="24"/>
          <w:szCs w:val="24"/>
        </w:rPr>
        <w:t xml:space="preserve">, R. (2000). Antimicrobial resistance: A global threat. </w:t>
      </w:r>
      <w:r w:rsidRPr="00213F66">
        <w:rPr>
          <w:rFonts w:ascii="Times New Roman" w:eastAsia="Times New Roman" w:hAnsi="Times New Roman" w:cs="Times New Roman"/>
          <w:i/>
          <w:iCs/>
          <w:sz w:val="24"/>
          <w:szCs w:val="24"/>
        </w:rPr>
        <w:t>Essential Drugs Monitor, 28/29</w:t>
      </w:r>
      <w:r w:rsidRPr="00213F66">
        <w:rPr>
          <w:rFonts w:ascii="Times New Roman" w:eastAsia="Times New Roman" w:hAnsi="Times New Roman" w:cs="Times New Roman"/>
          <w:sz w:val="24"/>
          <w:szCs w:val="24"/>
        </w:rPr>
        <w:t xml:space="preserve">, 1. </w:t>
      </w:r>
    </w:p>
    <w:p w14:paraId="02335F47"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Aibinu</w:t>
      </w:r>
      <w:proofErr w:type="spellEnd"/>
      <w:proofErr w:type="gramEnd"/>
      <w:r w:rsidRPr="00213F66">
        <w:rPr>
          <w:rFonts w:ascii="Times New Roman" w:eastAsia="Times New Roman" w:hAnsi="Times New Roman" w:cs="Times New Roman"/>
          <w:sz w:val="24"/>
          <w:szCs w:val="24"/>
        </w:rPr>
        <w:t xml:space="preserve">, I. E., </w:t>
      </w:r>
      <w:proofErr w:type="spellStart"/>
      <w:r w:rsidRPr="00213F66">
        <w:rPr>
          <w:rFonts w:ascii="Times New Roman" w:eastAsia="Times New Roman" w:hAnsi="Times New Roman" w:cs="Times New Roman"/>
          <w:sz w:val="24"/>
          <w:szCs w:val="24"/>
        </w:rPr>
        <w:t>Ohaegbulam</w:t>
      </w:r>
      <w:proofErr w:type="spellEnd"/>
      <w:r w:rsidRPr="00213F66">
        <w:rPr>
          <w:rFonts w:ascii="Times New Roman" w:eastAsia="Times New Roman" w:hAnsi="Times New Roman" w:cs="Times New Roman"/>
          <w:sz w:val="24"/>
          <w:szCs w:val="24"/>
        </w:rPr>
        <w:t xml:space="preserve">, V. C., </w:t>
      </w:r>
      <w:proofErr w:type="spellStart"/>
      <w:r w:rsidRPr="00213F66">
        <w:rPr>
          <w:rFonts w:ascii="Times New Roman" w:eastAsia="Times New Roman" w:hAnsi="Times New Roman" w:cs="Times New Roman"/>
          <w:sz w:val="24"/>
          <w:szCs w:val="24"/>
        </w:rPr>
        <w:t>Adenipekun</w:t>
      </w:r>
      <w:proofErr w:type="spellEnd"/>
      <w:r w:rsidRPr="00213F66">
        <w:rPr>
          <w:rFonts w:ascii="Times New Roman" w:eastAsia="Times New Roman" w:hAnsi="Times New Roman" w:cs="Times New Roman"/>
          <w:sz w:val="24"/>
          <w:szCs w:val="24"/>
        </w:rPr>
        <w:t xml:space="preserve">, E. A., Ogunsola, F. T., </w:t>
      </w:r>
      <w:proofErr w:type="spellStart"/>
      <w:r w:rsidRPr="00213F66">
        <w:rPr>
          <w:rFonts w:ascii="Times New Roman" w:eastAsia="Times New Roman" w:hAnsi="Times New Roman" w:cs="Times New Roman"/>
          <w:sz w:val="24"/>
          <w:szCs w:val="24"/>
        </w:rPr>
        <w:t>Odugbemi</w:t>
      </w:r>
      <w:proofErr w:type="spellEnd"/>
      <w:r w:rsidRPr="00213F66">
        <w:rPr>
          <w:rFonts w:ascii="Times New Roman" w:eastAsia="Times New Roman" w:hAnsi="Times New Roman" w:cs="Times New Roman"/>
          <w:sz w:val="24"/>
          <w:szCs w:val="24"/>
        </w:rPr>
        <w:t xml:space="preserve">, T. O., &amp; Mee, B. J. (2003). Extended-spectrum β-lactamase enzymes in clinical isolates of </w:t>
      </w:r>
      <w:r w:rsidRPr="00213F66">
        <w:rPr>
          <w:rFonts w:ascii="Times New Roman" w:eastAsia="Times New Roman" w:hAnsi="Times New Roman" w:cs="Times New Roman"/>
          <w:i/>
          <w:iCs/>
          <w:sz w:val="24"/>
          <w:szCs w:val="24"/>
        </w:rPr>
        <w:t>Enterobacter</w:t>
      </w:r>
      <w:r w:rsidRPr="00213F66">
        <w:rPr>
          <w:rFonts w:ascii="Times New Roman" w:eastAsia="Times New Roman" w:hAnsi="Times New Roman" w:cs="Times New Roman"/>
          <w:sz w:val="24"/>
          <w:szCs w:val="24"/>
        </w:rPr>
        <w:t xml:space="preserve"> species from Lagos, Nigeria. </w:t>
      </w:r>
      <w:r w:rsidRPr="00213F66">
        <w:rPr>
          <w:rFonts w:ascii="Times New Roman" w:eastAsia="Times New Roman" w:hAnsi="Times New Roman" w:cs="Times New Roman"/>
          <w:i/>
          <w:iCs/>
          <w:sz w:val="24"/>
          <w:szCs w:val="24"/>
        </w:rPr>
        <w:t>Journal of Clinical Microbiology, 41</w:t>
      </w:r>
      <w:r w:rsidRPr="00213F66">
        <w:rPr>
          <w:rFonts w:ascii="Times New Roman" w:eastAsia="Times New Roman" w:hAnsi="Times New Roman" w:cs="Times New Roman"/>
          <w:sz w:val="24"/>
          <w:szCs w:val="24"/>
        </w:rPr>
        <w:t xml:space="preserve">(5), 2197–2200. https://doi.org/10.1128/JCM.41.5.2197-2200.2003  </w:t>
      </w:r>
    </w:p>
    <w:p w14:paraId="07DAD33B"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Aibinu</w:t>
      </w:r>
      <w:proofErr w:type="spellEnd"/>
      <w:proofErr w:type="gramEnd"/>
      <w:r w:rsidRPr="00213F66">
        <w:rPr>
          <w:rFonts w:ascii="Times New Roman" w:eastAsia="Times New Roman" w:hAnsi="Times New Roman" w:cs="Times New Roman"/>
          <w:sz w:val="24"/>
          <w:szCs w:val="24"/>
        </w:rPr>
        <w:t xml:space="preserve">, I., </w:t>
      </w:r>
      <w:proofErr w:type="spellStart"/>
      <w:r w:rsidRPr="00213F66">
        <w:rPr>
          <w:rFonts w:ascii="Times New Roman" w:eastAsia="Times New Roman" w:hAnsi="Times New Roman" w:cs="Times New Roman"/>
          <w:sz w:val="24"/>
          <w:szCs w:val="24"/>
        </w:rPr>
        <w:t>Adenipekun</w:t>
      </w:r>
      <w:proofErr w:type="spellEnd"/>
      <w:r w:rsidRPr="00213F66">
        <w:rPr>
          <w:rFonts w:ascii="Times New Roman" w:eastAsia="Times New Roman" w:hAnsi="Times New Roman" w:cs="Times New Roman"/>
          <w:sz w:val="24"/>
          <w:szCs w:val="24"/>
        </w:rPr>
        <w:t xml:space="preserve">, E., &amp; </w:t>
      </w:r>
      <w:proofErr w:type="spellStart"/>
      <w:r w:rsidRPr="00213F66">
        <w:rPr>
          <w:rFonts w:ascii="Times New Roman" w:eastAsia="Times New Roman" w:hAnsi="Times New Roman" w:cs="Times New Roman"/>
          <w:sz w:val="24"/>
          <w:szCs w:val="24"/>
        </w:rPr>
        <w:t>Odugbemi</w:t>
      </w:r>
      <w:proofErr w:type="spellEnd"/>
      <w:r w:rsidRPr="00213F66">
        <w:rPr>
          <w:rFonts w:ascii="Times New Roman" w:eastAsia="Times New Roman" w:hAnsi="Times New Roman" w:cs="Times New Roman"/>
          <w:sz w:val="24"/>
          <w:szCs w:val="24"/>
        </w:rPr>
        <w:t xml:space="preserve">, T. (2004). Emergence of quinolone resistance amongst </w:t>
      </w:r>
      <w:r w:rsidRPr="00213F66">
        <w:rPr>
          <w:rFonts w:ascii="Times New Roman" w:eastAsia="Times New Roman" w:hAnsi="Times New Roman" w:cs="Times New Roman"/>
          <w:i/>
          <w:iCs/>
          <w:sz w:val="24"/>
          <w:szCs w:val="24"/>
        </w:rPr>
        <w:t>Escherichia coli</w:t>
      </w:r>
      <w:r w:rsidRPr="00213F66">
        <w:rPr>
          <w:rFonts w:ascii="Times New Roman" w:eastAsia="Times New Roman" w:hAnsi="Times New Roman" w:cs="Times New Roman"/>
          <w:sz w:val="24"/>
          <w:szCs w:val="24"/>
        </w:rPr>
        <w:t xml:space="preserve"> strains isolated from clinical infections in some Lagos State hospitals in Nigeria. </w:t>
      </w:r>
      <w:r w:rsidRPr="00213F66">
        <w:rPr>
          <w:rFonts w:ascii="Times New Roman" w:eastAsia="Times New Roman" w:hAnsi="Times New Roman" w:cs="Times New Roman"/>
          <w:i/>
          <w:iCs/>
          <w:sz w:val="24"/>
          <w:szCs w:val="24"/>
        </w:rPr>
        <w:t>Nigerian Journal of Health and Biomedical Sciences, 3</w:t>
      </w:r>
      <w:r w:rsidRPr="00213F66">
        <w:rPr>
          <w:rFonts w:ascii="Times New Roman" w:eastAsia="Times New Roman" w:hAnsi="Times New Roman" w:cs="Times New Roman"/>
          <w:sz w:val="24"/>
          <w:szCs w:val="24"/>
        </w:rPr>
        <w:t xml:space="preserve">(2), 73–78. https://www.ajol.info/index.php/njhbs/article/view/11513/0  </w:t>
      </w:r>
    </w:p>
    <w:p w14:paraId="70E626E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World</w:t>
      </w:r>
      <w:proofErr w:type="gramEnd"/>
      <w:r w:rsidRPr="00213F66">
        <w:rPr>
          <w:rFonts w:ascii="Times New Roman" w:eastAsia="Times New Roman" w:hAnsi="Times New Roman" w:cs="Times New Roman"/>
          <w:sz w:val="24"/>
          <w:szCs w:val="24"/>
        </w:rPr>
        <w:t xml:space="preserve"> Health Organization. (2002). </w:t>
      </w:r>
      <w:r w:rsidRPr="00213F66">
        <w:rPr>
          <w:rFonts w:ascii="Times New Roman" w:eastAsia="Times New Roman" w:hAnsi="Times New Roman" w:cs="Times New Roman"/>
          <w:i/>
          <w:iCs/>
          <w:sz w:val="24"/>
          <w:szCs w:val="24"/>
        </w:rPr>
        <w:t>WHO traditional medicine strategy 2002–2005</w:t>
      </w:r>
      <w:r w:rsidRPr="00213F66">
        <w:rPr>
          <w:rFonts w:ascii="Times New Roman" w:eastAsia="Times New Roman" w:hAnsi="Times New Roman" w:cs="Times New Roman"/>
          <w:sz w:val="24"/>
          <w:szCs w:val="24"/>
        </w:rPr>
        <w:t xml:space="preserve">. World Health Organization. </w:t>
      </w:r>
      <w:hyperlink r:id="rId21" w:tgtFrame="_new" w:history="1">
        <w:r w:rsidRPr="00213F66">
          <w:rPr>
            <w:rFonts w:ascii="Times New Roman" w:eastAsia="Times New Roman" w:hAnsi="Times New Roman" w:cs="Times New Roman"/>
            <w:color w:val="0000FF"/>
            <w:sz w:val="24"/>
            <w:szCs w:val="24"/>
            <w:u w:val="single"/>
          </w:rPr>
          <w:t>https://www.who.int/publications/i/item/WHO-EDM-TRM-2002.1</w:t>
        </w:r>
      </w:hyperlink>
      <w:r w:rsidRPr="00213F66">
        <w:rPr>
          <w:rFonts w:ascii="Times New Roman" w:eastAsia="Times New Roman" w:hAnsi="Times New Roman" w:cs="Times New Roman"/>
          <w:sz w:val="24"/>
          <w:szCs w:val="24"/>
        </w:rPr>
        <w:t xml:space="preserve">  </w:t>
      </w:r>
    </w:p>
    <w:p w14:paraId="486F135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World</w:t>
      </w:r>
      <w:proofErr w:type="gramEnd"/>
      <w:r w:rsidRPr="00213F66">
        <w:rPr>
          <w:rFonts w:ascii="Times New Roman" w:eastAsia="Times New Roman" w:hAnsi="Times New Roman" w:cs="Times New Roman"/>
          <w:sz w:val="24"/>
          <w:szCs w:val="24"/>
        </w:rPr>
        <w:t xml:space="preserve"> Health Organization. (2014). </w:t>
      </w:r>
      <w:r w:rsidRPr="00213F66">
        <w:rPr>
          <w:rFonts w:ascii="Times New Roman" w:eastAsia="Times New Roman" w:hAnsi="Times New Roman" w:cs="Times New Roman"/>
          <w:i/>
          <w:iCs/>
          <w:sz w:val="24"/>
          <w:szCs w:val="24"/>
        </w:rPr>
        <w:t>Antimicrobial resistance: Global report on surveillance</w:t>
      </w:r>
      <w:r w:rsidRPr="00213F66">
        <w:rPr>
          <w:rFonts w:ascii="Times New Roman" w:eastAsia="Times New Roman" w:hAnsi="Times New Roman" w:cs="Times New Roman"/>
          <w:sz w:val="24"/>
          <w:szCs w:val="24"/>
        </w:rPr>
        <w:t xml:space="preserve">. World Health Organization. </w:t>
      </w:r>
      <w:hyperlink r:id="rId22" w:tgtFrame="_new" w:history="1">
        <w:r w:rsidRPr="00213F66">
          <w:rPr>
            <w:rFonts w:ascii="Times New Roman" w:eastAsia="Times New Roman" w:hAnsi="Times New Roman" w:cs="Times New Roman"/>
            <w:color w:val="0000FF"/>
            <w:sz w:val="24"/>
            <w:szCs w:val="24"/>
            <w:u w:val="single"/>
          </w:rPr>
          <w:t>https://www.who.int/publications/i/item/9789241564748</w:t>
        </w:r>
      </w:hyperlink>
      <w:r w:rsidRPr="00213F66">
        <w:rPr>
          <w:rFonts w:ascii="Times New Roman" w:eastAsia="Times New Roman" w:hAnsi="Times New Roman" w:cs="Times New Roman"/>
          <w:sz w:val="24"/>
          <w:szCs w:val="24"/>
        </w:rPr>
        <w:t xml:space="preserve">  </w:t>
      </w:r>
    </w:p>
    <w:p w14:paraId="6845105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Longe</w:t>
      </w:r>
      <w:proofErr w:type="gramEnd"/>
      <w:r w:rsidRPr="00213F66">
        <w:rPr>
          <w:rFonts w:ascii="Times New Roman" w:eastAsia="Times New Roman" w:hAnsi="Times New Roman" w:cs="Times New Roman"/>
          <w:sz w:val="24"/>
          <w:szCs w:val="24"/>
        </w:rPr>
        <w:t xml:space="preserve">, J. L. (Ed.). (2005). </w:t>
      </w:r>
      <w:r w:rsidRPr="00213F66">
        <w:rPr>
          <w:rFonts w:ascii="Times New Roman" w:eastAsia="Times New Roman" w:hAnsi="Times New Roman" w:cs="Times New Roman"/>
          <w:i/>
          <w:iCs/>
          <w:sz w:val="24"/>
          <w:szCs w:val="24"/>
        </w:rPr>
        <w:t>The Gale encyclopedia of alternative medicine</w:t>
      </w:r>
      <w:r w:rsidRPr="00213F66">
        <w:rPr>
          <w:rFonts w:ascii="Times New Roman" w:eastAsia="Times New Roman" w:hAnsi="Times New Roman" w:cs="Times New Roman"/>
          <w:sz w:val="24"/>
          <w:szCs w:val="24"/>
        </w:rPr>
        <w:t xml:space="preserve"> (2nd ed.). Thomson/Gale.  </w:t>
      </w:r>
    </w:p>
    <w:p w14:paraId="3C900A5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lastRenderedPageBreak/>
        <w:t></w:t>
      </w:r>
      <w:r w:rsidRPr="00213F66">
        <w:rPr>
          <w:rFonts w:ascii="Times New Roman" w:eastAsia="Times New Roman" w:hAnsi="Times New Roman" w:cs="Times New Roman"/>
          <w:sz w:val="24"/>
          <w:szCs w:val="24"/>
        </w:rPr>
        <w:t xml:space="preserve">  Trevisan</w:t>
      </w:r>
      <w:proofErr w:type="gramEnd"/>
      <w:r w:rsidRPr="00213F66">
        <w:rPr>
          <w:rFonts w:ascii="Times New Roman" w:eastAsia="Times New Roman" w:hAnsi="Times New Roman" w:cs="Times New Roman"/>
          <w:sz w:val="24"/>
          <w:szCs w:val="24"/>
        </w:rPr>
        <w:t xml:space="preserve">, S. C. C., Menezes, A. P. P., Barbalho, S. M., &amp; </w:t>
      </w:r>
      <w:proofErr w:type="spellStart"/>
      <w:r w:rsidRPr="00213F66">
        <w:rPr>
          <w:rFonts w:ascii="Times New Roman" w:eastAsia="Times New Roman" w:hAnsi="Times New Roman" w:cs="Times New Roman"/>
          <w:sz w:val="24"/>
          <w:szCs w:val="24"/>
        </w:rPr>
        <w:t>Guiguer</w:t>
      </w:r>
      <w:proofErr w:type="spellEnd"/>
      <w:r w:rsidRPr="00213F66">
        <w:rPr>
          <w:rFonts w:ascii="Times New Roman" w:eastAsia="Times New Roman" w:hAnsi="Times New Roman" w:cs="Times New Roman"/>
          <w:sz w:val="24"/>
          <w:szCs w:val="24"/>
        </w:rPr>
        <w:t xml:space="preserve">, É. L. (2017). Properties of </w:t>
      </w:r>
      <w:r w:rsidRPr="00213F66">
        <w:rPr>
          <w:rFonts w:ascii="Times New Roman" w:eastAsia="Times New Roman" w:hAnsi="Times New Roman" w:cs="Times New Roman"/>
          <w:i/>
          <w:iCs/>
          <w:sz w:val="24"/>
          <w:szCs w:val="24"/>
        </w:rPr>
        <w:t>Mentha piperita</w:t>
      </w:r>
      <w:r w:rsidRPr="00213F66">
        <w:rPr>
          <w:rFonts w:ascii="Times New Roman" w:eastAsia="Times New Roman" w:hAnsi="Times New Roman" w:cs="Times New Roman"/>
          <w:sz w:val="24"/>
          <w:szCs w:val="24"/>
        </w:rPr>
        <w:t xml:space="preserve">: A brief review. </w:t>
      </w:r>
      <w:r w:rsidRPr="00213F66">
        <w:rPr>
          <w:rFonts w:ascii="Times New Roman" w:eastAsia="Times New Roman" w:hAnsi="Times New Roman" w:cs="Times New Roman"/>
          <w:i/>
          <w:iCs/>
          <w:sz w:val="24"/>
          <w:szCs w:val="24"/>
        </w:rPr>
        <w:t>World Journal of Pharmaceutical and Medical Research, 3</w:t>
      </w:r>
      <w:r w:rsidRPr="00213F66">
        <w:rPr>
          <w:rFonts w:ascii="Times New Roman" w:eastAsia="Times New Roman" w:hAnsi="Times New Roman" w:cs="Times New Roman"/>
          <w:sz w:val="24"/>
          <w:szCs w:val="24"/>
        </w:rPr>
        <w:t xml:space="preserve">(1), 309–313. </w:t>
      </w:r>
      <w:hyperlink r:id="rId23" w:tgtFrame="_new" w:history="1">
        <w:r w:rsidRPr="00213F66">
          <w:rPr>
            <w:rFonts w:ascii="Times New Roman" w:eastAsia="Times New Roman" w:hAnsi="Times New Roman" w:cs="Times New Roman"/>
            <w:color w:val="0000FF"/>
            <w:sz w:val="24"/>
            <w:szCs w:val="24"/>
            <w:u w:val="single"/>
          </w:rPr>
          <w:t>https://www.wjpmr.com/home/article_abstract/315</w:t>
        </w:r>
      </w:hyperlink>
      <w:r w:rsidRPr="00213F66">
        <w:rPr>
          <w:rFonts w:ascii="Times New Roman" w:eastAsia="Times New Roman" w:hAnsi="Times New Roman" w:cs="Times New Roman"/>
          <w:sz w:val="24"/>
          <w:szCs w:val="24"/>
        </w:rPr>
        <w:t xml:space="preserve"> </w:t>
      </w:r>
    </w:p>
    <w:p w14:paraId="7CE931F9"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Gupta</w:t>
      </w:r>
      <w:proofErr w:type="gramEnd"/>
      <w:r w:rsidRPr="00213F66">
        <w:rPr>
          <w:rFonts w:ascii="Times New Roman" w:eastAsia="Times New Roman" w:hAnsi="Times New Roman" w:cs="Times New Roman"/>
          <w:sz w:val="24"/>
          <w:szCs w:val="24"/>
        </w:rPr>
        <w:t xml:space="preserve">, V. K. (2012). Comprehensive bioactive natural products: Efficacy, safety &amp; clinical evaluation II. In </w:t>
      </w:r>
      <w:r w:rsidRPr="00213F66">
        <w:rPr>
          <w:rFonts w:ascii="Times New Roman" w:eastAsia="Times New Roman" w:hAnsi="Times New Roman" w:cs="Times New Roman"/>
          <w:i/>
          <w:iCs/>
          <w:sz w:val="24"/>
          <w:szCs w:val="24"/>
        </w:rPr>
        <w:t>Comprehensive bioactive natural products</w:t>
      </w:r>
      <w:r w:rsidRPr="00213F66">
        <w:rPr>
          <w:rFonts w:ascii="Times New Roman" w:eastAsia="Times New Roman" w:hAnsi="Times New Roman" w:cs="Times New Roman"/>
          <w:sz w:val="24"/>
          <w:szCs w:val="24"/>
        </w:rPr>
        <w:t xml:space="preserve"> (pp. 124–148). Studium Press. </w:t>
      </w:r>
    </w:p>
    <w:p w14:paraId="192F0828"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Mohamed</w:t>
      </w:r>
      <w:proofErr w:type="gramEnd"/>
      <w:r w:rsidRPr="00213F66">
        <w:rPr>
          <w:rFonts w:ascii="Times New Roman" w:eastAsia="Times New Roman" w:hAnsi="Times New Roman" w:cs="Times New Roman"/>
          <w:sz w:val="24"/>
          <w:szCs w:val="24"/>
        </w:rPr>
        <w:t xml:space="preserve">, I. E., Khalid, H. E., Mohamed, S. A., Osman, E. E., Koko, W. S., Taha, K. K., Dahab, M. M., Abdullah, N. R. B., &amp; Ismail, Z. B. (2014). Anti-malarial activity of some medicinal Sudanese plants. </w:t>
      </w:r>
      <w:r w:rsidRPr="00213F66">
        <w:rPr>
          <w:rFonts w:ascii="Times New Roman" w:eastAsia="Times New Roman" w:hAnsi="Times New Roman" w:cs="Times New Roman"/>
          <w:i/>
          <w:iCs/>
          <w:sz w:val="24"/>
          <w:szCs w:val="24"/>
        </w:rPr>
        <w:t>Journal of Forest Products &amp; Industries, 3</w:t>
      </w:r>
      <w:r w:rsidRPr="00213F66">
        <w:rPr>
          <w:rFonts w:ascii="Times New Roman" w:eastAsia="Times New Roman" w:hAnsi="Times New Roman" w:cs="Times New Roman"/>
          <w:sz w:val="24"/>
          <w:szCs w:val="24"/>
        </w:rPr>
        <w:t xml:space="preserve">(6), 236–240. </w:t>
      </w:r>
    </w:p>
    <w:p w14:paraId="3C58B32F"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Uwanta</w:t>
      </w:r>
      <w:proofErr w:type="spellEnd"/>
      <w:proofErr w:type="gramEnd"/>
      <w:r w:rsidRPr="00213F66">
        <w:rPr>
          <w:rFonts w:ascii="Times New Roman" w:eastAsia="Times New Roman" w:hAnsi="Times New Roman" w:cs="Times New Roman"/>
          <w:sz w:val="24"/>
          <w:szCs w:val="24"/>
        </w:rPr>
        <w:t xml:space="preserve">, E. J., &amp; Akpan, I. O. (2024). Phytochemical screening and antimicrobial evaluation of ethanol extract of </w:t>
      </w:r>
      <w:r w:rsidRPr="00213F66">
        <w:rPr>
          <w:rFonts w:ascii="Times New Roman" w:eastAsia="Times New Roman" w:hAnsi="Times New Roman" w:cs="Times New Roman"/>
          <w:i/>
          <w:iCs/>
          <w:sz w:val="24"/>
          <w:szCs w:val="24"/>
        </w:rPr>
        <w:t xml:space="preserve">Cola </w:t>
      </w:r>
      <w:proofErr w:type="spellStart"/>
      <w:r w:rsidRPr="00213F66">
        <w:rPr>
          <w:rFonts w:ascii="Times New Roman" w:eastAsia="Times New Roman" w:hAnsi="Times New Roman" w:cs="Times New Roman"/>
          <w:i/>
          <w:iCs/>
          <w:sz w:val="24"/>
          <w:szCs w:val="24"/>
        </w:rPr>
        <w:t>lepidota</w:t>
      </w:r>
      <w:proofErr w:type="spellEnd"/>
      <w:r w:rsidRPr="00213F66">
        <w:rPr>
          <w:rFonts w:ascii="Times New Roman" w:eastAsia="Times New Roman" w:hAnsi="Times New Roman" w:cs="Times New Roman"/>
          <w:sz w:val="24"/>
          <w:szCs w:val="24"/>
        </w:rPr>
        <w:t xml:space="preserve"> seeds. </w:t>
      </w:r>
      <w:r w:rsidRPr="00213F66">
        <w:rPr>
          <w:rFonts w:ascii="Times New Roman" w:eastAsia="Times New Roman" w:hAnsi="Times New Roman" w:cs="Times New Roman"/>
          <w:i/>
          <w:iCs/>
          <w:sz w:val="24"/>
          <w:szCs w:val="24"/>
        </w:rPr>
        <w:t>Asian Journal of Research in Medicine and Medical Science, 6</w:t>
      </w:r>
      <w:r w:rsidRPr="00213F66">
        <w:rPr>
          <w:rFonts w:ascii="Times New Roman" w:eastAsia="Times New Roman" w:hAnsi="Times New Roman" w:cs="Times New Roman"/>
          <w:sz w:val="24"/>
          <w:szCs w:val="24"/>
        </w:rPr>
        <w:t xml:space="preserve">(1), 1–10. </w:t>
      </w:r>
      <w:hyperlink r:id="rId24" w:tgtFrame="_new" w:history="1">
        <w:r w:rsidRPr="00213F66">
          <w:rPr>
            <w:rFonts w:ascii="Times New Roman" w:eastAsia="Times New Roman" w:hAnsi="Times New Roman" w:cs="Times New Roman"/>
            <w:color w:val="0000FF"/>
            <w:sz w:val="24"/>
            <w:szCs w:val="24"/>
            <w:u w:val="single"/>
          </w:rPr>
          <w:t>https://jofmedical.com/index.php/AJRMMS/article/view/9</w:t>
        </w:r>
      </w:hyperlink>
      <w:r w:rsidRPr="00213F66">
        <w:rPr>
          <w:rFonts w:ascii="Times New Roman" w:eastAsia="Times New Roman" w:hAnsi="Times New Roman" w:cs="Times New Roman"/>
          <w:sz w:val="24"/>
          <w:szCs w:val="24"/>
        </w:rPr>
        <w:t xml:space="preserve"> </w:t>
      </w:r>
    </w:p>
    <w:p w14:paraId="31DEE4F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Okeke</w:t>
      </w:r>
      <w:proofErr w:type="gramEnd"/>
      <w:r w:rsidRPr="00213F66">
        <w:rPr>
          <w:rFonts w:ascii="Times New Roman" w:eastAsia="Times New Roman" w:hAnsi="Times New Roman" w:cs="Times New Roman"/>
          <w:sz w:val="24"/>
          <w:szCs w:val="24"/>
        </w:rPr>
        <w:t xml:space="preserve">, M. I., </w:t>
      </w:r>
      <w:proofErr w:type="spellStart"/>
      <w:r w:rsidRPr="00213F66">
        <w:rPr>
          <w:rFonts w:ascii="Times New Roman" w:eastAsia="Times New Roman" w:hAnsi="Times New Roman" w:cs="Times New Roman"/>
          <w:sz w:val="24"/>
          <w:szCs w:val="24"/>
        </w:rPr>
        <w:t>Iroegbu</w:t>
      </w:r>
      <w:proofErr w:type="spellEnd"/>
      <w:r w:rsidRPr="00213F66">
        <w:rPr>
          <w:rFonts w:ascii="Times New Roman" w:eastAsia="Times New Roman" w:hAnsi="Times New Roman" w:cs="Times New Roman"/>
          <w:sz w:val="24"/>
          <w:szCs w:val="24"/>
        </w:rPr>
        <w:t xml:space="preserve">, C. U., Eze, E. N., Okoli, A. S., &amp; </w:t>
      </w:r>
      <w:proofErr w:type="spellStart"/>
      <w:r w:rsidRPr="00213F66">
        <w:rPr>
          <w:rFonts w:ascii="Times New Roman" w:eastAsia="Times New Roman" w:hAnsi="Times New Roman" w:cs="Times New Roman"/>
          <w:sz w:val="24"/>
          <w:szCs w:val="24"/>
        </w:rPr>
        <w:t>Esimone</w:t>
      </w:r>
      <w:proofErr w:type="spellEnd"/>
      <w:r w:rsidRPr="00213F66">
        <w:rPr>
          <w:rFonts w:ascii="Times New Roman" w:eastAsia="Times New Roman" w:hAnsi="Times New Roman" w:cs="Times New Roman"/>
          <w:sz w:val="24"/>
          <w:szCs w:val="24"/>
        </w:rPr>
        <w:t xml:space="preserve">, C. O. (2001). Evaluation of extracts of the root of </w:t>
      </w:r>
      <w:proofErr w:type="spellStart"/>
      <w:r w:rsidRPr="00213F66">
        <w:rPr>
          <w:rFonts w:ascii="Times New Roman" w:eastAsia="Times New Roman" w:hAnsi="Times New Roman" w:cs="Times New Roman"/>
          <w:i/>
          <w:iCs/>
          <w:sz w:val="24"/>
          <w:szCs w:val="24"/>
        </w:rPr>
        <w:t>Landolphia</w:t>
      </w:r>
      <w:proofErr w:type="spellEnd"/>
      <w:r w:rsidRPr="00213F66">
        <w:rPr>
          <w:rFonts w:ascii="Times New Roman" w:eastAsia="Times New Roman" w:hAnsi="Times New Roman" w:cs="Times New Roman"/>
          <w:i/>
          <w:iCs/>
          <w:sz w:val="24"/>
          <w:szCs w:val="24"/>
        </w:rPr>
        <w:t xml:space="preserve"> </w:t>
      </w:r>
      <w:proofErr w:type="spellStart"/>
      <w:r w:rsidRPr="00213F66">
        <w:rPr>
          <w:rFonts w:ascii="Times New Roman" w:eastAsia="Times New Roman" w:hAnsi="Times New Roman" w:cs="Times New Roman"/>
          <w:i/>
          <w:iCs/>
          <w:sz w:val="24"/>
          <w:szCs w:val="24"/>
        </w:rPr>
        <w:t>owerrience</w:t>
      </w:r>
      <w:proofErr w:type="spellEnd"/>
      <w:r w:rsidRPr="00213F66">
        <w:rPr>
          <w:rFonts w:ascii="Times New Roman" w:eastAsia="Times New Roman" w:hAnsi="Times New Roman" w:cs="Times New Roman"/>
          <w:sz w:val="24"/>
          <w:szCs w:val="24"/>
        </w:rPr>
        <w:t xml:space="preserve"> for antibacterial activity. </w:t>
      </w:r>
      <w:r w:rsidRPr="00213F66">
        <w:rPr>
          <w:rFonts w:ascii="Times New Roman" w:eastAsia="Times New Roman" w:hAnsi="Times New Roman" w:cs="Times New Roman"/>
          <w:i/>
          <w:iCs/>
          <w:sz w:val="24"/>
          <w:szCs w:val="24"/>
        </w:rPr>
        <w:t>Journal of Ethnopharmacology, 78</w:t>
      </w:r>
      <w:r w:rsidRPr="00213F66">
        <w:rPr>
          <w:rFonts w:ascii="Times New Roman" w:eastAsia="Times New Roman" w:hAnsi="Times New Roman" w:cs="Times New Roman"/>
          <w:sz w:val="24"/>
          <w:szCs w:val="24"/>
        </w:rPr>
        <w:t xml:space="preserve">(2–3), 119–127. https://doi.org/10.1016/S0378-8741(01)00307-5 </w:t>
      </w:r>
    </w:p>
    <w:p w14:paraId="4F01EDB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Ekong</w:t>
      </w:r>
      <w:proofErr w:type="gramEnd"/>
      <w:r w:rsidRPr="00213F66">
        <w:rPr>
          <w:rFonts w:ascii="Times New Roman" w:eastAsia="Times New Roman" w:hAnsi="Times New Roman" w:cs="Times New Roman"/>
          <w:sz w:val="24"/>
          <w:szCs w:val="24"/>
        </w:rPr>
        <w:t xml:space="preserve">, U. S., </w:t>
      </w:r>
      <w:proofErr w:type="spellStart"/>
      <w:r w:rsidRPr="00213F66">
        <w:rPr>
          <w:rFonts w:ascii="Times New Roman" w:eastAsia="Times New Roman" w:hAnsi="Times New Roman" w:cs="Times New Roman"/>
          <w:sz w:val="24"/>
          <w:szCs w:val="24"/>
        </w:rPr>
        <w:t>Mgbor</w:t>
      </w:r>
      <w:proofErr w:type="spellEnd"/>
      <w:r w:rsidRPr="00213F66">
        <w:rPr>
          <w:rFonts w:ascii="Times New Roman" w:eastAsia="Times New Roman" w:hAnsi="Times New Roman" w:cs="Times New Roman"/>
          <w:sz w:val="24"/>
          <w:szCs w:val="24"/>
        </w:rPr>
        <w:t xml:space="preserve">, N. C., Moneke, A. N., &amp; Obi, S. K. C. (2004). Evaluation of the antimicrobial and some pharmacokinetic properties of an antibiotic substance produced by an environmental </w:t>
      </w:r>
      <w:r w:rsidRPr="00213F66">
        <w:rPr>
          <w:rFonts w:ascii="Times New Roman" w:eastAsia="Times New Roman" w:hAnsi="Times New Roman" w:cs="Times New Roman"/>
          <w:i/>
          <w:iCs/>
          <w:sz w:val="24"/>
          <w:szCs w:val="24"/>
        </w:rPr>
        <w:t>Aspergillus</w:t>
      </w:r>
      <w:r w:rsidRPr="00213F66">
        <w:rPr>
          <w:rFonts w:ascii="Times New Roman" w:eastAsia="Times New Roman" w:hAnsi="Times New Roman" w:cs="Times New Roman"/>
          <w:sz w:val="24"/>
          <w:szCs w:val="24"/>
        </w:rPr>
        <w:t xml:space="preserve"> sp. SK2. </w:t>
      </w:r>
      <w:r w:rsidRPr="00213F66">
        <w:rPr>
          <w:rFonts w:ascii="Times New Roman" w:eastAsia="Times New Roman" w:hAnsi="Times New Roman" w:cs="Times New Roman"/>
          <w:i/>
          <w:iCs/>
          <w:sz w:val="24"/>
          <w:szCs w:val="24"/>
        </w:rPr>
        <w:t>Nigerian Journal of Microbiology, 18</w:t>
      </w:r>
      <w:r w:rsidRPr="00213F66">
        <w:rPr>
          <w:rFonts w:ascii="Times New Roman" w:eastAsia="Times New Roman" w:hAnsi="Times New Roman" w:cs="Times New Roman"/>
          <w:sz w:val="24"/>
          <w:szCs w:val="24"/>
        </w:rPr>
        <w:t xml:space="preserve">(1–2), 199–206. </w:t>
      </w:r>
    </w:p>
    <w:p w14:paraId="180911C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Clinical</w:t>
      </w:r>
      <w:proofErr w:type="gramEnd"/>
      <w:r w:rsidRPr="00213F66">
        <w:rPr>
          <w:rFonts w:ascii="Times New Roman" w:eastAsia="Times New Roman" w:hAnsi="Times New Roman" w:cs="Times New Roman"/>
          <w:sz w:val="24"/>
          <w:szCs w:val="24"/>
        </w:rPr>
        <w:t xml:space="preserve"> and Laboratory Standards Institute. (2024). </w:t>
      </w:r>
      <w:r w:rsidRPr="00213F66">
        <w:rPr>
          <w:rFonts w:ascii="Times New Roman" w:eastAsia="Times New Roman" w:hAnsi="Times New Roman" w:cs="Times New Roman"/>
          <w:i/>
          <w:iCs/>
          <w:sz w:val="24"/>
          <w:szCs w:val="24"/>
        </w:rPr>
        <w:t>Performance standards for antimicrobial susceptibility testing</w:t>
      </w:r>
      <w:r w:rsidRPr="00213F66">
        <w:rPr>
          <w:rFonts w:ascii="Times New Roman" w:eastAsia="Times New Roman" w:hAnsi="Times New Roman" w:cs="Times New Roman"/>
          <w:sz w:val="24"/>
          <w:szCs w:val="24"/>
        </w:rPr>
        <w:t xml:space="preserve"> (34th ed.; CLSI supplement M100). Clinical and Laboratory Standards Institute. </w:t>
      </w:r>
      <w:hyperlink r:id="rId25" w:tgtFrame="_new" w:history="1">
        <w:r w:rsidRPr="00213F66">
          <w:rPr>
            <w:rFonts w:ascii="Times New Roman" w:eastAsia="Times New Roman" w:hAnsi="Times New Roman" w:cs="Times New Roman"/>
            <w:color w:val="0000FF"/>
            <w:sz w:val="24"/>
            <w:szCs w:val="24"/>
            <w:u w:val="single"/>
          </w:rPr>
          <w:t>https://clsi.org/shop/standards/m100/</w:t>
        </w:r>
      </w:hyperlink>
      <w:r w:rsidRPr="00213F66">
        <w:rPr>
          <w:rFonts w:ascii="Times New Roman" w:eastAsia="Times New Roman" w:hAnsi="Times New Roman" w:cs="Times New Roman"/>
          <w:sz w:val="24"/>
          <w:szCs w:val="24"/>
        </w:rPr>
        <w:t xml:space="preserve"> </w:t>
      </w:r>
    </w:p>
    <w:p w14:paraId="2EFB8451"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European</w:t>
      </w:r>
      <w:proofErr w:type="gramEnd"/>
      <w:r w:rsidRPr="00213F66">
        <w:rPr>
          <w:rFonts w:ascii="Times New Roman" w:eastAsia="Times New Roman" w:hAnsi="Times New Roman" w:cs="Times New Roman"/>
          <w:sz w:val="24"/>
          <w:szCs w:val="24"/>
        </w:rPr>
        <w:t xml:space="preserve"> Committee on Antimicrobial Susceptibility Testing. (2024). </w:t>
      </w:r>
      <w:r w:rsidRPr="00213F66">
        <w:rPr>
          <w:rFonts w:ascii="Times New Roman" w:eastAsia="Times New Roman" w:hAnsi="Times New Roman" w:cs="Times New Roman"/>
          <w:i/>
          <w:iCs/>
          <w:sz w:val="24"/>
          <w:szCs w:val="24"/>
        </w:rPr>
        <w:t>Routine and extended internal quality control for MIC determination and disk diffusion as recommended by EUCAST</w:t>
      </w:r>
      <w:r w:rsidRPr="00213F66">
        <w:rPr>
          <w:rFonts w:ascii="Times New Roman" w:eastAsia="Times New Roman" w:hAnsi="Times New Roman" w:cs="Times New Roman"/>
          <w:sz w:val="24"/>
          <w:szCs w:val="24"/>
        </w:rPr>
        <w:t xml:space="preserve"> (Version 14.0). European Committee on Antimicrobial Susceptibility Testing. </w:t>
      </w:r>
      <w:hyperlink r:id="rId26" w:tgtFrame="_new" w:history="1">
        <w:r w:rsidRPr="00213F66">
          <w:rPr>
            <w:rFonts w:ascii="Times New Roman" w:eastAsia="Times New Roman" w:hAnsi="Times New Roman" w:cs="Times New Roman"/>
            <w:color w:val="0000FF"/>
            <w:sz w:val="24"/>
            <w:szCs w:val="24"/>
            <w:u w:val="single"/>
          </w:rPr>
          <w:t>https://www.eucast.org/bacteria/document-archive/</w:t>
        </w:r>
      </w:hyperlink>
      <w:r w:rsidRPr="00213F66">
        <w:rPr>
          <w:rFonts w:ascii="Times New Roman" w:eastAsia="Times New Roman" w:hAnsi="Times New Roman" w:cs="Times New Roman"/>
          <w:sz w:val="24"/>
          <w:szCs w:val="24"/>
        </w:rPr>
        <w:t xml:space="preserve"> </w:t>
      </w:r>
    </w:p>
    <w:p w14:paraId="020FD16D"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Li</w:t>
      </w:r>
      <w:proofErr w:type="gramEnd"/>
      <w:r w:rsidRPr="00213F66">
        <w:rPr>
          <w:rFonts w:ascii="Times New Roman" w:eastAsia="Times New Roman" w:hAnsi="Times New Roman" w:cs="Times New Roman"/>
          <w:sz w:val="24"/>
          <w:szCs w:val="24"/>
        </w:rPr>
        <w:t xml:space="preserve">, D. D., Xu, Y., Zhang, D., Quan, H. Y., &amp; Tian, K. (2016). Antifungal activity of alkaloids against </w:t>
      </w:r>
      <w:r w:rsidRPr="00213F66">
        <w:rPr>
          <w:rFonts w:ascii="Times New Roman" w:eastAsia="Times New Roman" w:hAnsi="Times New Roman" w:cs="Times New Roman"/>
          <w:i/>
          <w:iCs/>
          <w:sz w:val="24"/>
          <w:szCs w:val="24"/>
        </w:rPr>
        <w:t>Candida albicans</w:t>
      </w:r>
      <w:r w:rsidRPr="00213F66">
        <w:rPr>
          <w:rFonts w:ascii="Times New Roman" w:eastAsia="Times New Roman" w:hAnsi="Times New Roman" w:cs="Times New Roman"/>
          <w:sz w:val="24"/>
          <w:szCs w:val="24"/>
        </w:rPr>
        <w:t xml:space="preserve">: Identification of </w:t>
      </w:r>
      <w:proofErr w:type="spellStart"/>
      <w:r w:rsidRPr="00213F66">
        <w:rPr>
          <w:rFonts w:ascii="Times New Roman" w:eastAsia="Times New Roman" w:hAnsi="Times New Roman" w:cs="Times New Roman"/>
          <w:sz w:val="24"/>
          <w:szCs w:val="24"/>
        </w:rPr>
        <w:t>fangchinoline</w:t>
      </w:r>
      <w:proofErr w:type="spellEnd"/>
      <w:r w:rsidRPr="00213F66">
        <w:rPr>
          <w:rFonts w:ascii="Times New Roman" w:eastAsia="Times New Roman" w:hAnsi="Times New Roman" w:cs="Times New Roman"/>
          <w:sz w:val="24"/>
          <w:szCs w:val="24"/>
        </w:rPr>
        <w:t xml:space="preserve"> as a potent fungicide. </w:t>
      </w:r>
      <w:r w:rsidRPr="00213F66">
        <w:rPr>
          <w:rFonts w:ascii="Times New Roman" w:eastAsia="Times New Roman" w:hAnsi="Times New Roman" w:cs="Times New Roman"/>
          <w:i/>
          <w:iCs/>
          <w:sz w:val="24"/>
          <w:szCs w:val="24"/>
        </w:rPr>
        <w:t>Journal of Microbiology, 54</w:t>
      </w:r>
      <w:r w:rsidRPr="00213F66">
        <w:rPr>
          <w:rFonts w:ascii="Times New Roman" w:eastAsia="Times New Roman" w:hAnsi="Times New Roman" w:cs="Times New Roman"/>
          <w:sz w:val="24"/>
          <w:szCs w:val="24"/>
        </w:rPr>
        <w:t xml:space="preserve">(9), 632–640. </w:t>
      </w:r>
      <w:hyperlink r:id="rId27" w:tgtFrame="_new" w:history="1">
        <w:r w:rsidRPr="00213F66">
          <w:rPr>
            <w:rFonts w:ascii="Times New Roman" w:eastAsia="Times New Roman" w:hAnsi="Times New Roman" w:cs="Times New Roman"/>
            <w:color w:val="0000FF"/>
            <w:sz w:val="24"/>
            <w:szCs w:val="24"/>
            <w:u w:val="single"/>
          </w:rPr>
          <w:t>https://doi.org/10.1007/s12275-016-6223-2</w:t>
        </w:r>
      </w:hyperlink>
      <w:r w:rsidRPr="00213F66">
        <w:rPr>
          <w:rFonts w:ascii="Times New Roman" w:eastAsia="Times New Roman" w:hAnsi="Times New Roman" w:cs="Times New Roman"/>
          <w:sz w:val="24"/>
          <w:szCs w:val="24"/>
        </w:rPr>
        <w:t xml:space="preserve"> </w:t>
      </w:r>
    </w:p>
    <w:p w14:paraId="33E1E657"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Silva</w:t>
      </w:r>
      <w:proofErr w:type="gramEnd"/>
      <w:r w:rsidRPr="00213F66">
        <w:rPr>
          <w:rFonts w:ascii="Times New Roman" w:eastAsia="Times New Roman" w:hAnsi="Times New Roman" w:cs="Times New Roman"/>
          <w:sz w:val="24"/>
          <w:szCs w:val="24"/>
        </w:rPr>
        <w:t xml:space="preserve">-Beltrán, N. P., Boon, S. A., Ijaz, M. K., McKinney, J., &amp; Gerba, C. P. (2023). Antifungal activity and mechanism of action of natural product derivatives as potential environmental disinfectants. </w:t>
      </w:r>
      <w:r w:rsidRPr="00213F66">
        <w:rPr>
          <w:rFonts w:ascii="Times New Roman" w:eastAsia="Times New Roman" w:hAnsi="Times New Roman" w:cs="Times New Roman"/>
          <w:i/>
          <w:iCs/>
          <w:sz w:val="24"/>
          <w:szCs w:val="24"/>
        </w:rPr>
        <w:t>Journal of Industrial Microbiology and Biotechnology, 50</w:t>
      </w:r>
      <w:r w:rsidRPr="00213F66">
        <w:rPr>
          <w:rFonts w:ascii="Times New Roman" w:eastAsia="Times New Roman" w:hAnsi="Times New Roman" w:cs="Times New Roman"/>
          <w:sz w:val="24"/>
          <w:szCs w:val="24"/>
        </w:rPr>
        <w:t xml:space="preserve">(1), kuad036. </w:t>
      </w:r>
      <w:hyperlink r:id="rId28" w:tgtFrame="_new" w:history="1">
        <w:r w:rsidRPr="00213F66">
          <w:rPr>
            <w:rFonts w:ascii="Times New Roman" w:eastAsia="Times New Roman" w:hAnsi="Times New Roman" w:cs="Times New Roman"/>
            <w:color w:val="0000FF"/>
            <w:sz w:val="24"/>
            <w:szCs w:val="24"/>
            <w:u w:val="single"/>
          </w:rPr>
          <w:t>https://doi.org/10.1093/jimb/kuad036</w:t>
        </w:r>
      </w:hyperlink>
    </w:p>
    <w:p w14:paraId="7C4E63BB"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Taylor</w:t>
      </w:r>
      <w:proofErr w:type="gramEnd"/>
      <w:r w:rsidRPr="00213F66">
        <w:rPr>
          <w:rFonts w:ascii="Times New Roman" w:eastAsia="Times New Roman" w:hAnsi="Times New Roman" w:cs="Times New Roman"/>
          <w:sz w:val="24"/>
          <w:szCs w:val="24"/>
        </w:rPr>
        <w:t xml:space="preserve">, P. W., Hamilton-Miller, J. M. T., &amp; Stapleton, P. D. (2005). Antimicrobial properties of green tea catechins. </w:t>
      </w:r>
      <w:r w:rsidRPr="00213F66">
        <w:rPr>
          <w:rFonts w:ascii="Times New Roman" w:eastAsia="Times New Roman" w:hAnsi="Times New Roman" w:cs="Times New Roman"/>
          <w:i/>
          <w:iCs/>
          <w:sz w:val="24"/>
          <w:szCs w:val="24"/>
        </w:rPr>
        <w:t>Food Science and Technology Bulletin, 2</w:t>
      </w:r>
      <w:r w:rsidRPr="00213F66">
        <w:rPr>
          <w:rFonts w:ascii="Times New Roman" w:eastAsia="Times New Roman" w:hAnsi="Times New Roman" w:cs="Times New Roman"/>
          <w:sz w:val="24"/>
          <w:szCs w:val="24"/>
        </w:rPr>
        <w:t xml:space="preserve">(7), 71–81. https://doi.org/10.1616/1476-2137.14184  </w:t>
      </w:r>
    </w:p>
    <w:p w14:paraId="665502C1"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Singh</w:t>
      </w:r>
      <w:proofErr w:type="gramEnd"/>
      <w:r w:rsidRPr="00213F66">
        <w:rPr>
          <w:rFonts w:ascii="Times New Roman" w:eastAsia="Times New Roman" w:hAnsi="Times New Roman" w:cs="Times New Roman"/>
          <w:sz w:val="24"/>
          <w:szCs w:val="24"/>
        </w:rPr>
        <w:t xml:space="preserve">, R., </w:t>
      </w:r>
      <w:proofErr w:type="spellStart"/>
      <w:r w:rsidRPr="00213F66">
        <w:rPr>
          <w:rFonts w:ascii="Times New Roman" w:eastAsia="Times New Roman" w:hAnsi="Times New Roman" w:cs="Times New Roman"/>
          <w:sz w:val="24"/>
          <w:szCs w:val="24"/>
        </w:rPr>
        <w:t>Shushni</w:t>
      </w:r>
      <w:proofErr w:type="spellEnd"/>
      <w:r w:rsidRPr="00213F66">
        <w:rPr>
          <w:rFonts w:ascii="Times New Roman" w:eastAsia="Times New Roman" w:hAnsi="Times New Roman" w:cs="Times New Roman"/>
          <w:sz w:val="24"/>
          <w:szCs w:val="24"/>
        </w:rPr>
        <w:t xml:space="preserve">, M. A. M., &amp; Belkheir, A. (2015). Antibacterial and antioxidant activities of </w:t>
      </w:r>
      <w:r w:rsidRPr="00213F66">
        <w:rPr>
          <w:rFonts w:ascii="Times New Roman" w:eastAsia="Times New Roman" w:hAnsi="Times New Roman" w:cs="Times New Roman"/>
          <w:i/>
          <w:iCs/>
          <w:sz w:val="24"/>
          <w:szCs w:val="24"/>
        </w:rPr>
        <w:t>Mentha piperita</w:t>
      </w:r>
      <w:r w:rsidRPr="00213F66">
        <w:rPr>
          <w:rFonts w:ascii="Times New Roman" w:eastAsia="Times New Roman" w:hAnsi="Times New Roman" w:cs="Times New Roman"/>
          <w:sz w:val="24"/>
          <w:szCs w:val="24"/>
        </w:rPr>
        <w:t xml:space="preserve"> L. </w:t>
      </w:r>
      <w:r w:rsidRPr="00213F66">
        <w:rPr>
          <w:rFonts w:ascii="Times New Roman" w:eastAsia="Times New Roman" w:hAnsi="Times New Roman" w:cs="Times New Roman"/>
          <w:i/>
          <w:iCs/>
          <w:sz w:val="24"/>
          <w:szCs w:val="24"/>
        </w:rPr>
        <w:t>Arabian Journal of Chemistry, 8</w:t>
      </w:r>
      <w:r w:rsidRPr="00213F66">
        <w:rPr>
          <w:rFonts w:ascii="Times New Roman" w:eastAsia="Times New Roman" w:hAnsi="Times New Roman" w:cs="Times New Roman"/>
          <w:sz w:val="24"/>
          <w:szCs w:val="24"/>
        </w:rPr>
        <w:t xml:space="preserve">(3), 322–328. </w:t>
      </w:r>
      <w:hyperlink r:id="rId29" w:tgtFrame="_new" w:history="1">
        <w:r w:rsidRPr="00213F66">
          <w:rPr>
            <w:rFonts w:ascii="Times New Roman" w:eastAsia="Times New Roman" w:hAnsi="Times New Roman" w:cs="Times New Roman"/>
            <w:color w:val="0000FF"/>
            <w:sz w:val="24"/>
            <w:szCs w:val="24"/>
            <w:u w:val="single"/>
          </w:rPr>
          <w:t>https://doi.org/10.1016/j.arabjc.2011.01.019</w:t>
        </w:r>
      </w:hyperlink>
      <w:r w:rsidRPr="00213F66">
        <w:rPr>
          <w:rFonts w:ascii="Times New Roman" w:eastAsia="Times New Roman" w:hAnsi="Times New Roman" w:cs="Times New Roman"/>
          <w:sz w:val="24"/>
          <w:szCs w:val="24"/>
        </w:rPr>
        <w:t xml:space="preserve">  </w:t>
      </w:r>
    </w:p>
    <w:p w14:paraId="66578FD6"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Górniak</w:t>
      </w:r>
      <w:proofErr w:type="spellEnd"/>
      <w:proofErr w:type="gramEnd"/>
      <w:r w:rsidRPr="00213F66">
        <w:rPr>
          <w:rFonts w:ascii="Times New Roman" w:eastAsia="Times New Roman" w:hAnsi="Times New Roman" w:cs="Times New Roman"/>
          <w:sz w:val="24"/>
          <w:szCs w:val="24"/>
        </w:rPr>
        <w:t xml:space="preserve">, I., Bartoszewski, R., &amp; </w:t>
      </w:r>
      <w:proofErr w:type="spellStart"/>
      <w:r w:rsidRPr="00213F66">
        <w:rPr>
          <w:rFonts w:ascii="Times New Roman" w:eastAsia="Times New Roman" w:hAnsi="Times New Roman" w:cs="Times New Roman"/>
          <w:sz w:val="24"/>
          <w:szCs w:val="24"/>
        </w:rPr>
        <w:t>Króliczewski</w:t>
      </w:r>
      <w:proofErr w:type="spellEnd"/>
      <w:r w:rsidRPr="00213F66">
        <w:rPr>
          <w:rFonts w:ascii="Times New Roman" w:eastAsia="Times New Roman" w:hAnsi="Times New Roman" w:cs="Times New Roman"/>
          <w:sz w:val="24"/>
          <w:szCs w:val="24"/>
        </w:rPr>
        <w:t xml:space="preserve">, J. (2019). Comprehensive review of antimicrobial activities of plant flavonoids. </w:t>
      </w:r>
      <w:r w:rsidRPr="00213F66">
        <w:rPr>
          <w:rFonts w:ascii="Times New Roman" w:eastAsia="Times New Roman" w:hAnsi="Times New Roman" w:cs="Times New Roman"/>
          <w:i/>
          <w:iCs/>
          <w:sz w:val="24"/>
          <w:szCs w:val="24"/>
        </w:rPr>
        <w:t>Phytochemistry Reviews, 18</w:t>
      </w:r>
      <w:r w:rsidRPr="00213F66">
        <w:rPr>
          <w:rFonts w:ascii="Times New Roman" w:eastAsia="Times New Roman" w:hAnsi="Times New Roman" w:cs="Times New Roman"/>
          <w:sz w:val="24"/>
          <w:szCs w:val="24"/>
        </w:rPr>
        <w:t xml:space="preserve">(1), 241–272. </w:t>
      </w:r>
      <w:hyperlink r:id="rId30" w:tgtFrame="_new" w:history="1">
        <w:r w:rsidRPr="00213F66">
          <w:rPr>
            <w:rFonts w:ascii="Times New Roman" w:eastAsia="Times New Roman" w:hAnsi="Times New Roman" w:cs="Times New Roman"/>
            <w:color w:val="0000FF"/>
            <w:sz w:val="24"/>
            <w:szCs w:val="24"/>
            <w:u w:val="single"/>
          </w:rPr>
          <w:t>https://doi.org/10.1007/s11101-018-9591-z</w:t>
        </w:r>
      </w:hyperlink>
      <w:r w:rsidRPr="00213F66">
        <w:rPr>
          <w:rFonts w:ascii="Times New Roman" w:eastAsia="Times New Roman" w:hAnsi="Times New Roman" w:cs="Times New Roman"/>
          <w:sz w:val="24"/>
          <w:szCs w:val="24"/>
        </w:rPr>
        <w:t xml:space="preserve"> </w:t>
      </w:r>
    </w:p>
    <w:p w14:paraId="4835E9E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Xu</w:t>
      </w:r>
      <w:proofErr w:type="gramEnd"/>
      <w:r w:rsidRPr="00213F66">
        <w:rPr>
          <w:rFonts w:ascii="Times New Roman" w:eastAsia="Times New Roman" w:hAnsi="Times New Roman" w:cs="Times New Roman"/>
          <w:sz w:val="24"/>
          <w:szCs w:val="24"/>
        </w:rPr>
        <w:t xml:space="preserve">, X., Zhang, X., &amp; Hu, J. (2018). Flavonoids from the leaves of </w:t>
      </w:r>
      <w:r w:rsidRPr="00213F66">
        <w:rPr>
          <w:rFonts w:ascii="Times New Roman" w:eastAsia="Times New Roman" w:hAnsi="Times New Roman" w:cs="Times New Roman"/>
          <w:i/>
          <w:iCs/>
          <w:sz w:val="24"/>
          <w:szCs w:val="24"/>
        </w:rPr>
        <w:t xml:space="preserve">Zanthoxylum </w:t>
      </w:r>
      <w:proofErr w:type="spellStart"/>
      <w:r w:rsidRPr="00213F66">
        <w:rPr>
          <w:rFonts w:ascii="Times New Roman" w:eastAsia="Times New Roman" w:hAnsi="Times New Roman" w:cs="Times New Roman"/>
          <w:i/>
          <w:iCs/>
          <w:sz w:val="24"/>
          <w:szCs w:val="24"/>
        </w:rPr>
        <w:t>bungeanum</w:t>
      </w:r>
      <w:proofErr w:type="spellEnd"/>
      <w:r w:rsidRPr="00213F66">
        <w:rPr>
          <w:rFonts w:ascii="Times New Roman" w:eastAsia="Times New Roman" w:hAnsi="Times New Roman" w:cs="Times New Roman"/>
          <w:sz w:val="24"/>
          <w:szCs w:val="24"/>
        </w:rPr>
        <w:t xml:space="preserve"> and their antifungal activities. </w:t>
      </w:r>
      <w:r w:rsidRPr="00213F66">
        <w:rPr>
          <w:rFonts w:ascii="Times New Roman" w:eastAsia="Times New Roman" w:hAnsi="Times New Roman" w:cs="Times New Roman"/>
          <w:i/>
          <w:iCs/>
          <w:sz w:val="24"/>
          <w:szCs w:val="24"/>
        </w:rPr>
        <w:t>Natural Product Research, 32</w:t>
      </w:r>
      <w:r w:rsidRPr="00213F66">
        <w:rPr>
          <w:rFonts w:ascii="Times New Roman" w:eastAsia="Times New Roman" w:hAnsi="Times New Roman" w:cs="Times New Roman"/>
          <w:sz w:val="24"/>
          <w:szCs w:val="24"/>
        </w:rPr>
        <w:t xml:space="preserve">(24), 2912–2917. </w:t>
      </w:r>
      <w:hyperlink r:id="rId31" w:tgtFrame="_new" w:history="1">
        <w:r w:rsidRPr="00213F66">
          <w:rPr>
            <w:rFonts w:ascii="Times New Roman" w:eastAsia="Times New Roman" w:hAnsi="Times New Roman" w:cs="Times New Roman"/>
            <w:color w:val="0000FF"/>
            <w:sz w:val="24"/>
            <w:szCs w:val="24"/>
            <w:u w:val="single"/>
          </w:rPr>
          <w:t>https://doi.org/10.1080/14786419.2017.1375926</w:t>
        </w:r>
      </w:hyperlink>
      <w:r w:rsidRPr="00213F66">
        <w:rPr>
          <w:rFonts w:ascii="Times New Roman" w:eastAsia="Times New Roman" w:hAnsi="Times New Roman" w:cs="Times New Roman"/>
          <w:sz w:val="24"/>
          <w:szCs w:val="24"/>
        </w:rPr>
        <w:t xml:space="preserve"> </w:t>
      </w:r>
    </w:p>
    <w:p w14:paraId="575AD845"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Reddy</w:t>
      </w:r>
      <w:proofErr w:type="gramEnd"/>
      <w:r w:rsidRPr="00213F66">
        <w:rPr>
          <w:rFonts w:ascii="Times New Roman" w:eastAsia="Times New Roman" w:hAnsi="Times New Roman" w:cs="Times New Roman"/>
          <w:sz w:val="24"/>
          <w:szCs w:val="24"/>
        </w:rPr>
        <w:t xml:space="preserve">, Y. N., Murthy, S. V., Krishna, D. R., &amp; Prabhakar, M. C. (2004). Role of free radicals and antioxidants in tuberculosis patients. </w:t>
      </w:r>
      <w:r w:rsidRPr="00213F66">
        <w:rPr>
          <w:rFonts w:ascii="Times New Roman" w:eastAsia="Times New Roman" w:hAnsi="Times New Roman" w:cs="Times New Roman"/>
          <w:i/>
          <w:iCs/>
          <w:sz w:val="24"/>
          <w:szCs w:val="24"/>
        </w:rPr>
        <w:t>Indian Journal of Tuberculosis, 51</w:t>
      </w:r>
      <w:r w:rsidRPr="00213F66">
        <w:rPr>
          <w:rFonts w:ascii="Times New Roman" w:eastAsia="Times New Roman" w:hAnsi="Times New Roman" w:cs="Times New Roman"/>
          <w:sz w:val="24"/>
          <w:szCs w:val="24"/>
        </w:rPr>
        <w:t xml:space="preserve">(4), 213–218. </w:t>
      </w:r>
    </w:p>
    <w:p w14:paraId="5327C65A"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lastRenderedPageBreak/>
        <w:t></w:t>
      </w:r>
      <w:r w:rsidRPr="00213F66">
        <w:rPr>
          <w:rFonts w:ascii="Times New Roman" w:eastAsia="Times New Roman" w:hAnsi="Times New Roman" w:cs="Times New Roman"/>
          <w:sz w:val="24"/>
          <w:szCs w:val="24"/>
        </w:rPr>
        <w:t xml:space="preserve">  López</w:t>
      </w:r>
      <w:proofErr w:type="gramEnd"/>
      <w:r w:rsidRPr="00213F66">
        <w:rPr>
          <w:rFonts w:ascii="Times New Roman" w:eastAsia="Times New Roman" w:hAnsi="Times New Roman" w:cs="Times New Roman"/>
          <w:sz w:val="24"/>
          <w:szCs w:val="24"/>
        </w:rPr>
        <w:t xml:space="preserve">, E. C., Yáñez, M. C., Monroy, F., Domínguez, Z., Hernández, J., &amp; Sierra, G. (2008). Antibacterial and antimycobacterial lignans and flavonoids from </w:t>
      </w:r>
      <w:r w:rsidRPr="00213F66">
        <w:rPr>
          <w:rFonts w:ascii="Times New Roman" w:eastAsia="Times New Roman" w:hAnsi="Times New Roman" w:cs="Times New Roman"/>
          <w:i/>
          <w:iCs/>
          <w:sz w:val="24"/>
          <w:szCs w:val="24"/>
        </w:rPr>
        <w:t>Larrea tridentata</w:t>
      </w:r>
      <w:r w:rsidRPr="00213F66">
        <w:rPr>
          <w:rFonts w:ascii="Times New Roman" w:eastAsia="Times New Roman" w:hAnsi="Times New Roman" w:cs="Times New Roman"/>
          <w:sz w:val="24"/>
          <w:szCs w:val="24"/>
        </w:rPr>
        <w:t xml:space="preserve">. </w:t>
      </w:r>
      <w:r w:rsidRPr="00213F66">
        <w:rPr>
          <w:rFonts w:ascii="Times New Roman" w:eastAsia="Times New Roman" w:hAnsi="Times New Roman" w:cs="Times New Roman"/>
          <w:i/>
          <w:iCs/>
          <w:sz w:val="24"/>
          <w:szCs w:val="24"/>
        </w:rPr>
        <w:t>Phytotherapy Research, 22</w:t>
      </w:r>
      <w:r w:rsidRPr="00213F66">
        <w:rPr>
          <w:rFonts w:ascii="Times New Roman" w:eastAsia="Times New Roman" w:hAnsi="Times New Roman" w:cs="Times New Roman"/>
          <w:sz w:val="24"/>
          <w:szCs w:val="24"/>
        </w:rPr>
        <w:t xml:space="preserve">(1), 97–101. </w:t>
      </w:r>
      <w:hyperlink r:id="rId32" w:tgtFrame="_new" w:history="1">
        <w:r w:rsidRPr="00213F66">
          <w:rPr>
            <w:rFonts w:ascii="Times New Roman" w:eastAsia="Times New Roman" w:hAnsi="Times New Roman" w:cs="Times New Roman"/>
            <w:color w:val="0000FF"/>
            <w:sz w:val="24"/>
            <w:szCs w:val="24"/>
            <w:u w:val="single"/>
          </w:rPr>
          <w:t>https://doi.org/10.1002/ptr.2273</w:t>
        </w:r>
      </w:hyperlink>
      <w:r w:rsidRPr="00213F66">
        <w:rPr>
          <w:rFonts w:ascii="Times New Roman" w:eastAsia="Times New Roman" w:hAnsi="Times New Roman" w:cs="Times New Roman"/>
          <w:sz w:val="24"/>
          <w:szCs w:val="24"/>
        </w:rPr>
        <w:t xml:space="preserve"> </w:t>
      </w:r>
    </w:p>
    <w:p w14:paraId="37F14B21"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Gobalakrishnan</w:t>
      </w:r>
      <w:proofErr w:type="spellEnd"/>
      <w:proofErr w:type="gramEnd"/>
      <w:r w:rsidRPr="00213F66">
        <w:rPr>
          <w:rFonts w:ascii="Times New Roman" w:eastAsia="Times New Roman" w:hAnsi="Times New Roman" w:cs="Times New Roman"/>
          <w:sz w:val="24"/>
          <w:szCs w:val="24"/>
        </w:rPr>
        <w:t xml:space="preserve">, R., </w:t>
      </w:r>
      <w:proofErr w:type="spellStart"/>
      <w:r w:rsidRPr="00213F66">
        <w:rPr>
          <w:rFonts w:ascii="Times New Roman" w:eastAsia="Times New Roman" w:hAnsi="Times New Roman" w:cs="Times New Roman"/>
          <w:sz w:val="24"/>
          <w:szCs w:val="24"/>
        </w:rPr>
        <w:t>Kulandaivelu</w:t>
      </w:r>
      <w:proofErr w:type="spellEnd"/>
      <w:r w:rsidRPr="00213F66">
        <w:rPr>
          <w:rFonts w:ascii="Times New Roman" w:eastAsia="Times New Roman" w:hAnsi="Times New Roman" w:cs="Times New Roman"/>
          <w:sz w:val="24"/>
          <w:szCs w:val="24"/>
        </w:rPr>
        <w:t xml:space="preserve">, M., Bhuvaneswari, R., Kandavel, D., &amp; Kannan, L. (2013). Screening of wild plant species for antibacterial activity and phytochemical analysis of </w:t>
      </w:r>
      <w:proofErr w:type="spellStart"/>
      <w:r w:rsidRPr="00213F66">
        <w:rPr>
          <w:rFonts w:ascii="Times New Roman" w:eastAsia="Times New Roman" w:hAnsi="Times New Roman" w:cs="Times New Roman"/>
          <w:i/>
          <w:iCs/>
          <w:sz w:val="24"/>
          <w:szCs w:val="24"/>
        </w:rPr>
        <w:t>Tragia</w:t>
      </w:r>
      <w:proofErr w:type="spellEnd"/>
      <w:r w:rsidRPr="00213F66">
        <w:rPr>
          <w:rFonts w:ascii="Times New Roman" w:eastAsia="Times New Roman" w:hAnsi="Times New Roman" w:cs="Times New Roman"/>
          <w:i/>
          <w:iCs/>
          <w:sz w:val="24"/>
          <w:szCs w:val="24"/>
        </w:rPr>
        <w:t xml:space="preserve"> </w:t>
      </w:r>
      <w:proofErr w:type="spellStart"/>
      <w:r w:rsidRPr="00213F66">
        <w:rPr>
          <w:rFonts w:ascii="Times New Roman" w:eastAsia="Times New Roman" w:hAnsi="Times New Roman" w:cs="Times New Roman"/>
          <w:i/>
          <w:iCs/>
          <w:sz w:val="24"/>
          <w:szCs w:val="24"/>
        </w:rPr>
        <w:t>involucrata</w:t>
      </w:r>
      <w:proofErr w:type="spellEnd"/>
      <w:r w:rsidRPr="00213F66">
        <w:rPr>
          <w:rFonts w:ascii="Times New Roman" w:eastAsia="Times New Roman" w:hAnsi="Times New Roman" w:cs="Times New Roman"/>
          <w:sz w:val="24"/>
          <w:szCs w:val="24"/>
        </w:rPr>
        <w:t xml:space="preserve"> L. </w:t>
      </w:r>
      <w:r w:rsidRPr="00213F66">
        <w:rPr>
          <w:rFonts w:ascii="Times New Roman" w:eastAsia="Times New Roman" w:hAnsi="Times New Roman" w:cs="Times New Roman"/>
          <w:i/>
          <w:iCs/>
          <w:sz w:val="24"/>
          <w:szCs w:val="24"/>
        </w:rPr>
        <w:t>Journal of Pharmaceutical Analysis, 3</w:t>
      </w:r>
      <w:r w:rsidRPr="00213F66">
        <w:rPr>
          <w:rFonts w:ascii="Times New Roman" w:eastAsia="Times New Roman" w:hAnsi="Times New Roman" w:cs="Times New Roman"/>
          <w:sz w:val="24"/>
          <w:szCs w:val="24"/>
        </w:rPr>
        <w:t xml:space="preserve">(6), 460–465. https://doi.org/10.1016/j.jpha.2013.07.001  </w:t>
      </w:r>
    </w:p>
    <w:p w14:paraId="3EDC0210"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Gupta</w:t>
      </w:r>
      <w:proofErr w:type="gramEnd"/>
      <w:r w:rsidRPr="00213F66">
        <w:rPr>
          <w:rFonts w:ascii="Times New Roman" w:eastAsia="Times New Roman" w:hAnsi="Times New Roman" w:cs="Times New Roman"/>
          <w:sz w:val="24"/>
          <w:szCs w:val="24"/>
        </w:rPr>
        <w:t xml:space="preserve">, S., &amp; Varma, A. (2019). Cardiac glycosides: A boon to anticancer therapeutics. </w:t>
      </w:r>
      <w:r w:rsidRPr="00213F66">
        <w:rPr>
          <w:rFonts w:ascii="Times New Roman" w:eastAsia="Times New Roman" w:hAnsi="Times New Roman" w:cs="Times New Roman"/>
          <w:i/>
          <w:iCs/>
          <w:sz w:val="24"/>
          <w:szCs w:val="24"/>
        </w:rPr>
        <w:t>Biomedicine &amp; Pharmacotherapy, 109</w:t>
      </w:r>
      <w:r w:rsidRPr="00213F66">
        <w:rPr>
          <w:rFonts w:ascii="Times New Roman" w:eastAsia="Times New Roman" w:hAnsi="Times New Roman" w:cs="Times New Roman"/>
          <w:sz w:val="24"/>
          <w:szCs w:val="24"/>
        </w:rPr>
        <w:t xml:space="preserve">, 2519–2528. </w:t>
      </w:r>
      <w:hyperlink r:id="rId33" w:tgtFrame="_new" w:history="1">
        <w:r w:rsidRPr="00213F66">
          <w:rPr>
            <w:rFonts w:ascii="Times New Roman" w:eastAsia="Times New Roman" w:hAnsi="Times New Roman" w:cs="Times New Roman"/>
            <w:color w:val="0000FF"/>
            <w:sz w:val="24"/>
            <w:szCs w:val="24"/>
            <w:u w:val="single"/>
          </w:rPr>
          <w:t>https://doi.org/10.1016/j.biopha.2018.11.144</w:t>
        </w:r>
      </w:hyperlink>
      <w:r w:rsidRPr="00213F66">
        <w:rPr>
          <w:rFonts w:ascii="Times New Roman" w:eastAsia="Times New Roman" w:hAnsi="Times New Roman" w:cs="Times New Roman"/>
          <w:sz w:val="24"/>
          <w:szCs w:val="24"/>
        </w:rPr>
        <w:t xml:space="preserve"> </w:t>
      </w:r>
    </w:p>
    <w:p w14:paraId="1947E7D2"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Zablotowicz</w:t>
      </w:r>
      <w:proofErr w:type="gramEnd"/>
      <w:r w:rsidRPr="00213F66">
        <w:rPr>
          <w:rFonts w:ascii="Times New Roman" w:eastAsia="Times New Roman" w:hAnsi="Times New Roman" w:cs="Times New Roman"/>
          <w:sz w:val="24"/>
          <w:szCs w:val="24"/>
        </w:rPr>
        <w:t xml:space="preserve">, R. M., Hoagland, R. E., &amp; Wagner, S. C. (1996). Effect of saponins on the growth and activity of rhizosphere bacteria. In G. R. Waller &amp; K. Yamasaki (Eds.), </w:t>
      </w:r>
      <w:r w:rsidRPr="00213F66">
        <w:rPr>
          <w:rFonts w:ascii="Times New Roman" w:eastAsia="Times New Roman" w:hAnsi="Times New Roman" w:cs="Times New Roman"/>
          <w:i/>
          <w:iCs/>
          <w:sz w:val="24"/>
          <w:szCs w:val="24"/>
        </w:rPr>
        <w:t>Saponins used in food and agriculture</w:t>
      </w:r>
      <w:r w:rsidRPr="00213F66">
        <w:rPr>
          <w:rFonts w:ascii="Times New Roman" w:eastAsia="Times New Roman" w:hAnsi="Times New Roman" w:cs="Times New Roman"/>
          <w:sz w:val="24"/>
          <w:szCs w:val="24"/>
        </w:rPr>
        <w:t xml:space="preserve"> (</w:t>
      </w:r>
      <w:r w:rsidRPr="00213F66">
        <w:rPr>
          <w:rFonts w:ascii="Times New Roman" w:eastAsia="Times New Roman" w:hAnsi="Times New Roman" w:cs="Times New Roman"/>
          <w:i/>
          <w:iCs/>
          <w:sz w:val="24"/>
          <w:szCs w:val="24"/>
        </w:rPr>
        <w:t>Advances in Experimental Medicine and Biology</w:t>
      </w:r>
      <w:r w:rsidRPr="00213F66">
        <w:rPr>
          <w:rFonts w:ascii="Times New Roman" w:eastAsia="Times New Roman" w:hAnsi="Times New Roman" w:cs="Times New Roman"/>
          <w:sz w:val="24"/>
          <w:szCs w:val="24"/>
        </w:rPr>
        <w:t xml:space="preserve">, Vol. 405, pp. 83–95). Springer. https://doi.org/10.1007/978-1-4613-0413-5_8 </w:t>
      </w:r>
    </w:p>
    <w:p w14:paraId="76952C1E"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w:t>
      </w:r>
      <w:proofErr w:type="spellStart"/>
      <w:r w:rsidRPr="00213F66">
        <w:rPr>
          <w:rFonts w:ascii="Times New Roman" w:eastAsia="Times New Roman" w:hAnsi="Times New Roman" w:cs="Times New Roman"/>
          <w:sz w:val="24"/>
          <w:szCs w:val="24"/>
        </w:rPr>
        <w:t>Ejele</w:t>
      </w:r>
      <w:proofErr w:type="spellEnd"/>
      <w:proofErr w:type="gramEnd"/>
      <w:r w:rsidRPr="00213F66">
        <w:rPr>
          <w:rFonts w:ascii="Times New Roman" w:eastAsia="Times New Roman" w:hAnsi="Times New Roman" w:cs="Times New Roman"/>
          <w:sz w:val="24"/>
          <w:szCs w:val="24"/>
        </w:rPr>
        <w:t xml:space="preserve">, A. E., Akpan, I. O., </w:t>
      </w:r>
      <w:proofErr w:type="spellStart"/>
      <w:r w:rsidRPr="00213F66">
        <w:rPr>
          <w:rFonts w:ascii="Times New Roman" w:eastAsia="Times New Roman" w:hAnsi="Times New Roman" w:cs="Times New Roman"/>
          <w:sz w:val="24"/>
          <w:szCs w:val="24"/>
        </w:rPr>
        <w:t>Ogukwe</w:t>
      </w:r>
      <w:proofErr w:type="spellEnd"/>
      <w:r w:rsidRPr="00213F66">
        <w:rPr>
          <w:rFonts w:ascii="Times New Roman" w:eastAsia="Times New Roman" w:hAnsi="Times New Roman" w:cs="Times New Roman"/>
          <w:sz w:val="24"/>
          <w:szCs w:val="24"/>
        </w:rPr>
        <w:t xml:space="preserve">, C. E., </w:t>
      </w:r>
      <w:proofErr w:type="spellStart"/>
      <w:r w:rsidRPr="00213F66">
        <w:rPr>
          <w:rFonts w:ascii="Times New Roman" w:eastAsia="Times New Roman" w:hAnsi="Times New Roman" w:cs="Times New Roman"/>
          <w:sz w:val="24"/>
          <w:szCs w:val="24"/>
        </w:rPr>
        <w:t>Onyeocha</w:t>
      </w:r>
      <w:proofErr w:type="spellEnd"/>
      <w:r w:rsidRPr="00213F66">
        <w:rPr>
          <w:rFonts w:ascii="Times New Roman" w:eastAsia="Times New Roman" w:hAnsi="Times New Roman" w:cs="Times New Roman"/>
          <w:sz w:val="24"/>
          <w:szCs w:val="24"/>
        </w:rPr>
        <w:t xml:space="preserve">, V. O., &amp; </w:t>
      </w:r>
      <w:proofErr w:type="spellStart"/>
      <w:r w:rsidRPr="00213F66">
        <w:rPr>
          <w:rFonts w:ascii="Times New Roman" w:eastAsia="Times New Roman" w:hAnsi="Times New Roman" w:cs="Times New Roman"/>
          <w:sz w:val="24"/>
          <w:szCs w:val="24"/>
        </w:rPr>
        <w:t>Ukiwe</w:t>
      </w:r>
      <w:proofErr w:type="spellEnd"/>
      <w:r w:rsidRPr="00213F66">
        <w:rPr>
          <w:rFonts w:ascii="Times New Roman" w:eastAsia="Times New Roman" w:hAnsi="Times New Roman" w:cs="Times New Roman"/>
          <w:sz w:val="24"/>
          <w:szCs w:val="24"/>
        </w:rPr>
        <w:t xml:space="preserve">, L. N. (2012). Bioassay-guided isolation and partial characterization of an </w:t>
      </w:r>
      <w:proofErr w:type="spellStart"/>
      <w:r w:rsidRPr="00213F66">
        <w:rPr>
          <w:rFonts w:ascii="Times New Roman" w:eastAsia="Times New Roman" w:hAnsi="Times New Roman" w:cs="Times New Roman"/>
          <w:sz w:val="24"/>
          <w:szCs w:val="24"/>
        </w:rPr>
        <w:t>antisickling</w:t>
      </w:r>
      <w:proofErr w:type="spellEnd"/>
      <w:r w:rsidRPr="00213F66">
        <w:rPr>
          <w:rFonts w:ascii="Times New Roman" w:eastAsia="Times New Roman" w:hAnsi="Times New Roman" w:cs="Times New Roman"/>
          <w:sz w:val="24"/>
          <w:szCs w:val="24"/>
        </w:rPr>
        <w:t xml:space="preserve"> compound from </w:t>
      </w:r>
      <w:proofErr w:type="spellStart"/>
      <w:r w:rsidRPr="00213F66">
        <w:rPr>
          <w:rFonts w:ascii="Times New Roman" w:eastAsia="Times New Roman" w:hAnsi="Times New Roman" w:cs="Times New Roman"/>
          <w:i/>
          <w:iCs/>
          <w:sz w:val="24"/>
          <w:szCs w:val="24"/>
        </w:rPr>
        <w:t>Enantia</w:t>
      </w:r>
      <w:proofErr w:type="spellEnd"/>
      <w:r w:rsidRPr="00213F66">
        <w:rPr>
          <w:rFonts w:ascii="Times New Roman" w:eastAsia="Times New Roman" w:hAnsi="Times New Roman" w:cs="Times New Roman"/>
          <w:i/>
          <w:iCs/>
          <w:sz w:val="24"/>
          <w:szCs w:val="24"/>
        </w:rPr>
        <w:t xml:space="preserve"> </w:t>
      </w:r>
      <w:proofErr w:type="spellStart"/>
      <w:r w:rsidRPr="00213F66">
        <w:rPr>
          <w:rFonts w:ascii="Times New Roman" w:eastAsia="Times New Roman" w:hAnsi="Times New Roman" w:cs="Times New Roman"/>
          <w:i/>
          <w:iCs/>
          <w:sz w:val="24"/>
          <w:szCs w:val="24"/>
        </w:rPr>
        <w:t>chlorantha</w:t>
      </w:r>
      <w:proofErr w:type="spellEnd"/>
      <w:r w:rsidRPr="00213F66">
        <w:rPr>
          <w:rFonts w:ascii="Times New Roman" w:eastAsia="Times New Roman" w:hAnsi="Times New Roman" w:cs="Times New Roman"/>
          <w:sz w:val="24"/>
          <w:szCs w:val="24"/>
        </w:rPr>
        <w:t xml:space="preserve">. </w:t>
      </w:r>
      <w:r w:rsidRPr="00213F66">
        <w:rPr>
          <w:rFonts w:ascii="Times New Roman" w:eastAsia="Times New Roman" w:hAnsi="Times New Roman" w:cs="Times New Roman"/>
          <w:i/>
          <w:iCs/>
          <w:sz w:val="24"/>
          <w:szCs w:val="24"/>
        </w:rPr>
        <w:t>International Research Journal of Biochemistry and Bioinformatics, 2</w:t>
      </w:r>
      <w:r w:rsidRPr="00213F66">
        <w:rPr>
          <w:rFonts w:ascii="Times New Roman" w:eastAsia="Times New Roman" w:hAnsi="Times New Roman" w:cs="Times New Roman"/>
          <w:sz w:val="24"/>
          <w:szCs w:val="24"/>
        </w:rPr>
        <w:t xml:space="preserve">(7), 149–154. </w:t>
      </w:r>
      <w:hyperlink r:id="rId34" w:tgtFrame="_new" w:history="1">
        <w:r w:rsidRPr="00213F66">
          <w:rPr>
            <w:rFonts w:ascii="Times New Roman" w:eastAsia="Times New Roman" w:hAnsi="Times New Roman" w:cs="Times New Roman"/>
            <w:color w:val="0000FF"/>
            <w:sz w:val="24"/>
            <w:szCs w:val="24"/>
            <w:u w:val="single"/>
          </w:rPr>
          <w:t>https://www.interesjournals.org/articles/bioassayguided-isolation-and-partial-characterization-of-an-antisickling-compound-from-enantia-chlorantha.pdf</w:t>
        </w:r>
      </w:hyperlink>
      <w:r w:rsidRPr="00213F66">
        <w:rPr>
          <w:rFonts w:ascii="Times New Roman" w:eastAsia="Times New Roman" w:hAnsi="Times New Roman" w:cs="Times New Roman"/>
          <w:sz w:val="24"/>
          <w:szCs w:val="24"/>
        </w:rPr>
        <w:t xml:space="preserve"> </w:t>
      </w:r>
    </w:p>
    <w:p w14:paraId="53CA6A04"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Malczak</w:t>
      </w:r>
      <w:proofErr w:type="gramEnd"/>
      <w:r w:rsidRPr="00213F66">
        <w:rPr>
          <w:rFonts w:ascii="Times New Roman" w:eastAsia="Times New Roman" w:hAnsi="Times New Roman" w:cs="Times New Roman"/>
          <w:sz w:val="24"/>
          <w:szCs w:val="24"/>
        </w:rPr>
        <w:t xml:space="preserve">, I., &amp; Gajda, A. (2023). Interactions of naturally occurring compounds with antimicrobials: Review paper. </w:t>
      </w:r>
      <w:r w:rsidRPr="00213F66">
        <w:rPr>
          <w:rFonts w:ascii="Times New Roman" w:eastAsia="Times New Roman" w:hAnsi="Times New Roman" w:cs="Times New Roman"/>
          <w:i/>
          <w:iCs/>
          <w:sz w:val="24"/>
          <w:szCs w:val="24"/>
        </w:rPr>
        <w:t>Journal of Pharmaceutical Analysis, 13</w:t>
      </w:r>
      <w:r w:rsidRPr="00213F66">
        <w:rPr>
          <w:rFonts w:ascii="Times New Roman" w:eastAsia="Times New Roman" w:hAnsi="Times New Roman" w:cs="Times New Roman"/>
          <w:sz w:val="24"/>
          <w:szCs w:val="24"/>
        </w:rPr>
        <w:t xml:space="preserve">(12), 1452–1470. https://doi.org/10.1016/j.jpha.2023.09.014 </w:t>
      </w:r>
    </w:p>
    <w:p w14:paraId="175203AE"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Silverstein</w:t>
      </w:r>
      <w:proofErr w:type="gramEnd"/>
      <w:r w:rsidRPr="00213F66">
        <w:rPr>
          <w:rFonts w:ascii="Times New Roman" w:eastAsia="Times New Roman" w:hAnsi="Times New Roman" w:cs="Times New Roman"/>
          <w:sz w:val="24"/>
          <w:szCs w:val="24"/>
        </w:rPr>
        <w:t xml:space="preserve">, R. M., Webster, F. X., Kiemle, D. J., &amp; Bryce, D. L. (2005). </w:t>
      </w:r>
      <w:r w:rsidRPr="00213F66">
        <w:rPr>
          <w:rFonts w:ascii="Times New Roman" w:eastAsia="Times New Roman" w:hAnsi="Times New Roman" w:cs="Times New Roman"/>
          <w:i/>
          <w:iCs/>
          <w:sz w:val="24"/>
          <w:szCs w:val="24"/>
        </w:rPr>
        <w:t>Spectrometric identification of organic compounds</w:t>
      </w:r>
      <w:r w:rsidRPr="00213F66">
        <w:rPr>
          <w:rFonts w:ascii="Times New Roman" w:eastAsia="Times New Roman" w:hAnsi="Times New Roman" w:cs="Times New Roman"/>
          <w:sz w:val="24"/>
          <w:szCs w:val="24"/>
        </w:rPr>
        <w:t xml:space="preserve"> (7th ed.). John Wiley &amp; Sons.  </w:t>
      </w:r>
    </w:p>
    <w:p w14:paraId="4063F716" w14:textId="77777777" w:rsidR="00F35AB0" w:rsidRPr="00213F66" w:rsidRDefault="00F35AB0" w:rsidP="00F35AB0">
      <w:pPr>
        <w:spacing w:after="0" w:line="240" w:lineRule="auto"/>
        <w:rPr>
          <w:rFonts w:ascii="Times New Roman" w:eastAsia="Times New Roman" w:hAnsi="Times New Roman" w:cs="Times New Roman"/>
          <w:sz w:val="24"/>
          <w:szCs w:val="24"/>
        </w:rPr>
      </w:pPr>
      <w:proofErr w:type="gramStart"/>
      <w:r w:rsidRPr="00213F66">
        <w:rPr>
          <w:rFonts w:ascii="Times New Roman" w:eastAsia="Times New Roman" w:hAnsi="Symbol" w:cs="Times New Roman"/>
          <w:sz w:val="24"/>
          <w:szCs w:val="24"/>
        </w:rPr>
        <w:t></w:t>
      </w:r>
      <w:r w:rsidRPr="00213F66">
        <w:rPr>
          <w:rFonts w:ascii="Times New Roman" w:eastAsia="Times New Roman" w:hAnsi="Times New Roman" w:cs="Times New Roman"/>
          <w:sz w:val="24"/>
          <w:szCs w:val="24"/>
        </w:rPr>
        <w:t xml:space="preserve">  Strobel</w:t>
      </w:r>
      <w:proofErr w:type="gramEnd"/>
      <w:r w:rsidRPr="00213F66">
        <w:rPr>
          <w:rFonts w:ascii="Times New Roman" w:eastAsia="Times New Roman" w:hAnsi="Times New Roman" w:cs="Times New Roman"/>
          <w:sz w:val="24"/>
          <w:szCs w:val="24"/>
        </w:rPr>
        <w:t xml:space="preserve">, G. A., &amp; Daisy, B. (2003). Bioprospecting for microbial endophytes and their natural products. </w:t>
      </w:r>
      <w:r w:rsidRPr="00213F66">
        <w:rPr>
          <w:rFonts w:ascii="Times New Roman" w:eastAsia="Times New Roman" w:hAnsi="Times New Roman" w:cs="Times New Roman"/>
          <w:i/>
          <w:iCs/>
          <w:sz w:val="24"/>
          <w:szCs w:val="24"/>
        </w:rPr>
        <w:t>Microbiology and Molecular Biology Reviews, 67</w:t>
      </w:r>
      <w:r w:rsidRPr="00213F66">
        <w:rPr>
          <w:rFonts w:ascii="Times New Roman" w:eastAsia="Times New Roman" w:hAnsi="Times New Roman" w:cs="Times New Roman"/>
          <w:sz w:val="24"/>
          <w:szCs w:val="24"/>
        </w:rPr>
        <w:t xml:space="preserve">(4), 491–502. </w:t>
      </w:r>
      <w:hyperlink r:id="rId35" w:tgtFrame="_new" w:history="1">
        <w:r w:rsidRPr="00213F66">
          <w:rPr>
            <w:rFonts w:ascii="Times New Roman" w:eastAsia="Times New Roman" w:hAnsi="Times New Roman" w:cs="Times New Roman"/>
            <w:color w:val="0000FF"/>
            <w:sz w:val="24"/>
            <w:szCs w:val="24"/>
            <w:u w:val="single"/>
          </w:rPr>
          <w:t>https://doi.org/10.1128/MMBR.67.4.491-502.2003</w:t>
        </w:r>
      </w:hyperlink>
      <w:r w:rsidRPr="00213F66">
        <w:rPr>
          <w:rFonts w:ascii="Times New Roman" w:eastAsia="Times New Roman" w:hAnsi="Times New Roman" w:cs="Times New Roman"/>
          <w:sz w:val="24"/>
          <w:szCs w:val="24"/>
        </w:rPr>
        <w:t xml:space="preserve"> </w:t>
      </w:r>
    </w:p>
    <w:p w14:paraId="560AEEC4" w14:textId="77777777" w:rsidR="00F35AB0" w:rsidRPr="00213F66" w:rsidRDefault="00F35AB0" w:rsidP="00F35AB0">
      <w:pPr>
        <w:pStyle w:val="ListParagraph"/>
        <w:spacing w:after="160" w:line="259" w:lineRule="auto"/>
        <w:contextualSpacing/>
        <w:jc w:val="both"/>
        <w:rPr>
          <w:rFonts w:ascii="Arial" w:hAnsi="Arial" w:cs="Arial"/>
          <w:sz w:val="20"/>
          <w:szCs w:val="20"/>
        </w:rPr>
      </w:pPr>
      <w:proofErr w:type="gramStart"/>
      <w:r w:rsidRPr="00213F66">
        <w:rPr>
          <w:rFonts w:ascii="Times New Roman" w:eastAsia="Times New Roman" w:hAnsi="Symbol"/>
          <w:sz w:val="24"/>
          <w:szCs w:val="24"/>
          <w:lang w:eastAsia="en-US"/>
        </w:rPr>
        <w:t></w:t>
      </w:r>
      <w:r w:rsidRPr="00213F66">
        <w:rPr>
          <w:rFonts w:ascii="Times New Roman" w:eastAsia="Times New Roman" w:hAnsi="Times New Roman"/>
          <w:sz w:val="24"/>
          <w:szCs w:val="24"/>
          <w:lang w:eastAsia="en-US"/>
        </w:rPr>
        <w:t xml:space="preserve">  Poojary</w:t>
      </w:r>
      <w:proofErr w:type="gramEnd"/>
      <w:r w:rsidRPr="00213F66">
        <w:rPr>
          <w:rFonts w:ascii="Times New Roman" w:eastAsia="Times New Roman" w:hAnsi="Times New Roman"/>
          <w:sz w:val="24"/>
          <w:szCs w:val="24"/>
          <w:lang w:eastAsia="en-US"/>
        </w:rPr>
        <w:t xml:space="preserve">, M. M., </w:t>
      </w:r>
      <w:proofErr w:type="spellStart"/>
      <w:r w:rsidRPr="00213F66">
        <w:rPr>
          <w:rFonts w:ascii="Times New Roman" w:eastAsia="Times New Roman" w:hAnsi="Times New Roman"/>
          <w:sz w:val="24"/>
          <w:szCs w:val="24"/>
          <w:lang w:eastAsia="en-US"/>
        </w:rPr>
        <w:t>Vishnumurthy</w:t>
      </w:r>
      <w:proofErr w:type="spellEnd"/>
      <w:r w:rsidRPr="00213F66">
        <w:rPr>
          <w:rFonts w:ascii="Times New Roman" w:eastAsia="Times New Roman" w:hAnsi="Times New Roman"/>
          <w:sz w:val="24"/>
          <w:szCs w:val="24"/>
          <w:lang w:eastAsia="en-US"/>
        </w:rPr>
        <w:t xml:space="preserve">, K. A., &amp; Adhikari, A. V. (2015). Extraction, characterization and biological studies of phytochemicals from </w:t>
      </w:r>
      <w:proofErr w:type="spellStart"/>
      <w:r w:rsidRPr="00213F66">
        <w:rPr>
          <w:rFonts w:ascii="Times New Roman" w:eastAsia="Times New Roman" w:hAnsi="Times New Roman"/>
          <w:i/>
          <w:iCs/>
          <w:sz w:val="24"/>
          <w:szCs w:val="24"/>
          <w:lang w:eastAsia="en-US"/>
        </w:rPr>
        <w:t>Mammea</w:t>
      </w:r>
      <w:proofErr w:type="spellEnd"/>
      <w:r w:rsidRPr="00213F66">
        <w:rPr>
          <w:rFonts w:ascii="Times New Roman" w:eastAsia="Times New Roman" w:hAnsi="Times New Roman"/>
          <w:i/>
          <w:iCs/>
          <w:sz w:val="24"/>
          <w:szCs w:val="24"/>
          <w:lang w:eastAsia="en-US"/>
        </w:rPr>
        <w:t xml:space="preserve"> </w:t>
      </w:r>
      <w:proofErr w:type="spellStart"/>
      <w:r w:rsidRPr="00213F66">
        <w:rPr>
          <w:rFonts w:ascii="Times New Roman" w:eastAsia="Times New Roman" w:hAnsi="Times New Roman"/>
          <w:i/>
          <w:iCs/>
          <w:sz w:val="24"/>
          <w:szCs w:val="24"/>
          <w:lang w:eastAsia="en-US"/>
        </w:rPr>
        <w:t>suriga</w:t>
      </w:r>
      <w:proofErr w:type="spellEnd"/>
      <w:r w:rsidRPr="00213F66">
        <w:rPr>
          <w:rFonts w:ascii="Times New Roman" w:eastAsia="Times New Roman" w:hAnsi="Times New Roman"/>
          <w:sz w:val="24"/>
          <w:szCs w:val="24"/>
          <w:lang w:eastAsia="en-US"/>
        </w:rPr>
        <w:t xml:space="preserve">. </w:t>
      </w:r>
      <w:r w:rsidRPr="00213F66">
        <w:rPr>
          <w:rFonts w:ascii="Times New Roman" w:eastAsia="Times New Roman" w:hAnsi="Times New Roman"/>
          <w:i/>
          <w:iCs/>
          <w:sz w:val="24"/>
          <w:szCs w:val="24"/>
          <w:lang w:eastAsia="en-US"/>
        </w:rPr>
        <w:t>Journal of Pharmaceutical Analysis, 5</w:t>
      </w:r>
      <w:r w:rsidRPr="00213F66">
        <w:rPr>
          <w:rFonts w:ascii="Times New Roman" w:eastAsia="Times New Roman" w:hAnsi="Times New Roman"/>
          <w:sz w:val="24"/>
          <w:szCs w:val="24"/>
          <w:lang w:eastAsia="en-US"/>
        </w:rPr>
        <w:t xml:space="preserve">(3), 182–189. </w:t>
      </w:r>
      <w:hyperlink r:id="rId36" w:tgtFrame="_new" w:history="1">
        <w:r w:rsidRPr="00213F66">
          <w:rPr>
            <w:rFonts w:ascii="Times New Roman" w:eastAsia="Times New Roman" w:hAnsi="Times New Roman"/>
            <w:color w:val="0000FF"/>
            <w:sz w:val="24"/>
            <w:szCs w:val="24"/>
            <w:u w:val="single"/>
            <w:lang w:eastAsia="en-US"/>
          </w:rPr>
          <w:t>https://doi.org/10.1016/j.jpha.2015.01.002</w:t>
        </w:r>
      </w:hyperlink>
    </w:p>
    <w:p w14:paraId="7C76C4FE" w14:textId="77777777" w:rsidR="00A8621F" w:rsidRPr="00213F66" w:rsidRDefault="00000000">
      <w:pPr>
        <w:pStyle w:val="ListParagraph"/>
        <w:spacing w:after="160" w:line="259" w:lineRule="auto"/>
        <w:jc w:val="both"/>
      </w:pPr>
      <w:proofErr w:type="gramStart"/>
      <w:r w:rsidRPr="00213F66">
        <w:rPr>
          <w:b/>
        </w:rPr>
        <w:t>  Abbas</w:t>
      </w:r>
      <w:proofErr w:type="gramEnd"/>
      <w:r w:rsidRPr="00213F66">
        <w:rPr>
          <w:b/>
        </w:rPr>
        <w:t xml:space="preserve">, A., Anwar, F., Ahmad, N., Rehman, A. T., Mohammed, O. A., Abdel-Reheim, M. A., Iqbal, M., Iqbal, S., &amp; Nazir, A. (2024). GC-MS analysis and nutra-pharmaceutical potential of </w:t>
      </w:r>
      <w:r w:rsidRPr="00213F66">
        <w:rPr>
          <w:b/>
          <w:i/>
        </w:rPr>
        <w:t>Mentha piperita</w:t>
      </w:r>
      <w:r w:rsidRPr="00213F66">
        <w:rPr>
          <w:b/>
        </w:rPr>
        <w:t xml:space="preserve"> essential oil extracted by supercritical fluid extraction and hydro-distillation. </w:t>
      </w:r>
      <w:r w:rsidRPr="00213F66">
        <w:rPr>
          <w:b/>
          <w:i/>
        </w:rPr>
        <w:t>Heliyon</w:t>
      </w:r>
      <w:r w:rsidRPr="00213F66">
        <w:rPr>
          <w:b/>
        </w:rPr>
        <w:t xml:space="preserve">, </w:t>
      </w:r>
      <w:r w:rsidRPr="00213F66">
        <w:rPr>
          <w:b/>
          <w:i/>
        </w:rPr>
        <w:t>10</w:t>
      </w:r>
      <w:r w:rsidRPr="00213F66">
        <w:rPr>
          <w:b/>
        </w:rPr>
        <w:t>(16), e35282. https://doi.org/10.1016/j.heliyon.2024.e35282</w:t>
      </w:r>
    </w:p>
    <w:p w14:paraId="737044C6" w14:textId="77777777" w:rsidR="00A8621F" w:rsidRPr="00213F66" w:rsidRDefault="00000000">
      <w:pPr>
        <w:pStyle w:val="ListParagraph"/>
        <w:spacing w:after="160" w:line="259" w:lineRule="auto"/>
        <w:jc w:val="both"/>
      </w:pPr>
      <w:proofErr w:type="gramStart"/>
      <w:r w:rsidRPr="00213F66">
        <w:rPr>
          <w:b/>
        </w:rPr>
        <w:t>  Epiphanie</w:t>
      </w:r>
      <w:proofErr w:type="gramEnd"/>
      <w:r w:rsidRPr="00213F66">
        <w:rPr>
          <w:b/>
        </w:rPr>
        <w:t xml:space="preserve">, N. Q., Kporou, K. E., Ouattara, S., Beugre, A. G. M., &amp; Kouakou-Siransy, G. (2024). Phytochemical screening and safety assessment of a polyherbal tea formulation of </w:t>
      </w:r>
      <w:r w:rsidRPr="00213F66">
        <w:rPr>
          <w:b/>
          <w:i/>
        </w:rPr>
        <w:t>Lippia multiflora</w:t>
      </w:r>
      <w:r w:rsidRPr="00213F66">
        <w:rPr>
          <w:b/>
        </w:rPr>
        <w:t xml:space="preserve">, Zinger officinale and </w:t>
      </w:r>
      <w:r w:rsidRPr="00213F66">
        <w:rPr>
          <w:b/>
          <w:i/>
        </w:rPr>
        <w:t>Mentha piperita</w:t>
      </w:r>
      <w:r w:rsidRPr="00213F66">
        <w:rPr>
          <w:b/>
        </w:rPr>
        <w:t xml:space="preserve">. </w:t>
      </w:r>
      <w:r w:rsidRPr="00213F66">
        <w:rPr>
          <w:b/>
          <w:i/>
        </w:rPr>
        <w:t>Journal of Pharmaceutical Research International</w:t>
      </w:r>
      <w:r w:rsidRPr="00213F66">
        <w:rPr>
          <w:b/>
        </w:rPr>
        <w:t xml:space="preserve">, </w:t>
      </w:r>
      <w:r w:rsidRPr="00213F66">
        <w:rPr>
          <w:b/>
          <w:i/>
        </w:rPr>
        <w:t>36</w:t>
      </w:r>
      <w:r w:rsidRPr="00213F66">
        <w:rPr>
          <w:b/>
        </w:rPr>
        <w:t>(11), 29-40. https://doi.org/10.9734/jpri/2024/v36i117598</w:t>
      </w:r>
    </w:p>
    <w:p w14:paraId="350B4D8D" w14:textId="77777777" w:rsidR="00A8621F" w:rsidRPr="00213F66" w:rsidRDefault="00000000">
      <w:pPr>
        <w:pStyle w:val="ListParagraph"/>
        <w:spacing w:after="160" w:line="259" w:lineRule="auto"/>
        <w:jc w:val="both"/>
      </w:pPr>
      <w:proofErr w:type="gramStart"/>
      <w:r w:rsidRPr="00213F66">
        <w:rPr>
          <w:b/>
        </w:rPr>
        <w:t>  Hudz</w:t>
      </w:r>
      <w:proofErr w:type="gramEnd"/>
      <w:r w:rsidRPr="00213F66">
        <w:rPr>
          <w:b/>
        </w:rPr>
        <w:t xml:space="preserve">, N., Kobylinska, L., Pokajewicz, K., Horčinová Sedláčková, V., Fedin, R., Voloshyn, M., Myskiv, I., Brindza, J., Wieczorek, P. P., &amp; Lipok, J. (2023). </w:t>
      </w:r>
      <w:r w:rsidRPr="00213F66">
        <w:rPr>
          <w:b/>
          <w:i/>
        </w:rPr>
        <w:t>Mentha piperita</w:t>
      </w:r>
      <w:r w:rsidRPr="00213F66">
        <w:rPr>
          <w:b/>
        </w:rPr>
        <w:t xml:space="preserve">: Essential oil and extracts, their biological activities, and perspectives on the development of new medicinal and cosmetic products. </w:t>
      </w:r>
      <w:r w:rsidRPr="00213F66">
        <w:rPr>
          <w:b/>
          <w:i/>
        </w:rPr>
        <w:t>Molecules</w:t>
      </w:r>
      <w:r w:rsidRPr="00213F66">
        <w:rPr>
          <w:b/>
        </w:rPr>
        <w:t xml:space="preserve">, </w:t>
      </w:r>
      <w:r w:rsidRPr="00213F66">
        <w:rPr>
          <w:b/>
          <w:i/>
        </w:rPr>
        <w:t>28</w:t>
      </w:r>
      <w:r w:rsidRPr="00213F66">
        <w:rPr>
          <w:b/>
        </w:rPr>
        <w:t>(21), 7444. https://doi.org/10.3390/molecules28217444</w:t>
      </w:r>
    </w:p>
    <w:p w14:paraId="0DAAEA2D" w14:textId="77777777" w:rsidR="00A8621F" w:rsidRPr="00213F66" w:rsidRDefault="00000000">
      <w:pPr>
        <w:pStyle w:val="ListParagraph"/>
        <w:spacing w:after="160" w:line="259" w:lineRule="auto"/>
        <w:jc w:val="both"/>
      </w:pPr>
      <w:proofErr w:type="gramStart"/>
      <w:r w:rsidRPr="00213F66">
        <w:rPr>
          <w:b/>
        </w:rPr>
        <w:t>  Mohanasundari</w:t>
      </w:r>
      <w:proofErr w:type="gramEnd"/>
      <w:r w:rsidRPr="00213F66">
        <w:rPr>
          <w:b/>
        </w:rPr>
        <w:t xml:space="preserve">, L., Varsha, S., &amp; Madhavi, M. (2026). Phytochemical profiling and bioactivity evaluation of </w:t>
      </w:r>
      <w:r w:rsidRPr="00213F66">
        <w:rPr>
          <w:b/>
          <w:i/>
        </w:rPr>
        <w:t>Lawsonia inermis</w:t>
      </w:r>
      <w:r w:rsidRPr="00213F66">
        <w:rPr>
          <w:b/>
        </w:rPr>
        <w:t xml:space="preserve"> leaf extract against antibiotic-resistant bacteria and antioxidant </w:t>
      </w:r>
      <w:r w:rsidRPr="00213F66">
        <w:rPr>
          <w:b/>
        </w:rPr>
        <w:lastRenderedPageBreak/>
        <w:t xml:space="preserve">activity. </w:t>
      </w:r>
      <w:r w:rsidRPr="00213F66">
        <w:rPr>
          <w:b/>
          <w:i/>
        </w:rPr>
        <w:t>Uttar Pradesh Journal of Zoology</w:t>
      </w:r>
      <w:r w:rsidRPr="00213F66">
        <w:rPr>
          <w:b/>
        </w:rPr>
        <w:t xml:space="preserve">, </w:t>
      </w:r>
      <w:r w:rsidRPr="00213F66">
        <w:rPr>
          <w:b/>
          <w:i/>
        </w:rPr>
        <w:t>47</w:t>
      </w:r>
      <w:r w:rsidRPr="00213F66">
        <w:rPr>
          <w:b/>
        </w:rPr>
        <w:t>(7), 241-261. https://doi.org/10.56557/upjoz/2026/v47i75605</w:t>
      </w:r>
    </w:p>
    <w:p w14:paraId="70E66C8D" w14:textId="77777777" w:rsidR="00A8621F" w:rsidRPr="00213F66" w:rsidRDefault="00000000">
      <w:pPr>
        <w:pStyle w:val="ListParagraph"/>
        <w:spacing w:after="160" w:line="259" w:lineRule="auto"/>
        <w:jc w:val="both"/>
      </w:pPr>
      <w:proofErr w:type="gramStart"/>
      <w:r w:rsidRPr="00213F66">
        <w:rPr>
          <w:b/>
        </w:rPr>
        <w:t>  Tourabi</w:t>
      </w:r>
      <w:proofErr w:type="gramEnd"/>
      <w:r w:rsidRPr="00213F66">
        <w:rPr>
          <w:b/>
        </w:rPr>
        <w:t xml:space="preserve">, M., Metouekel, A., Ghouizi, A. E. L., Jeddi, M., Nouioura, G., Laaroussi, H., Hosen, M. E., Benbrahim, K. F., Bourhia, M., Salamatullah, A. M., Nafidi, H.-A., Wondmie, G. F., Lyoussi, B., &amp; Derwich, E. (2023). Efficacy of various extracting solvents on phytochemical composition, and biological properties of </w:t>
      </w:r>
      <w:r w:rsidRPr="00213F66">
        <w:rPr>
          <w:b/>
          <w:i/>
        </w:rPr>
        <w:t>Mentha longifolia</w:t>
      </w:r>
      <w:r w:rsidRPr="00213F66">
        <w:rPr>
          <w:b/>
        </w:rPr>
        <w:t xml:space="preserve"> L. leaf extracts. </w:t>
      </w:r>
      <w:r w:rsidRPr="00213F66">
        <w:rPr>
          <w:b/>
          <w:i/>
        </w:rPr>
        <w:t>Scientific Reports</w:t>
      </w:r>
      <w:r w:rsidRPr="00213F66">
        <w:rPr>
          <w:b/>
        </w:rPr>
        <w:t xml:space="preserve">, </w:t>
      </w:r>
      <w:r w:rsidRPr="00213F66">
        <w:rPr>
          <w:b/>
          <w:i/>
        </w:rPr>
        <w:t>13</w:t>
      </w:r>
      <w:r w:rsidRPr="00213F66">
        <w:rPr>
          <w:b/>
        </w:rPr>
        <w:t>(1), 18028. https://doi.org/10.1038/s41598-023-45030-5</w:t>
      </w:r>
    </w:p>
    <w:p w14:paraId="52DF63DE" w14:textId="77777777" w:rsidR="00A8621F" w:rsidRPr="00213F66" w:rsidRDefault="00000000">
      <w:pPr>
        <w:pStyle w:val="ListParagraph"/>
        <w:spacing w:after="160" w:line="259" w:lineRule="auto"/>
        <w:jc w:val="both"/>
      </w:pPr>
      <w:proofErr w:type="gramStart"/>
      <w:r w:rsidRPr="00213F66">
        <w:t>  United</w:t>
      </w:r>
      <w:proofErr w:type="gramEnd"/>
      <w:r w:rsidRPr="00213F66">
        <w:t xml:space="preserve"> Nations Environment Programme. (2022). Environmental dimensions of antimicrobial resistance: Summary for policymakers. United Nations Environment Programme. https://www.unep.org/resources/report/summary-policymakers-environmental-dimensions-antimicrobial-resistance</w:t>
      </w:r>
    </w:p>
    <w:p w14:paraId="5F072539" w14:textId="77777777" w:rsidR="00A8621F" w:rsidRPr="00213F66" w:rsidRDefault="00000000">
      <w:pPr>
        <w:pStyle w:val="ListParagraph"/>
        <w:spacing w:after="160" w:line="259" w:lineRule="auto"/>
        <w:jc w:val="both"/>
      </w:pPr>
      <w:proofErr w:type="gramStart"/>
      <w:r w:rsidRPr="00213F66">
        <w:t>  United</w:t>
      </w:r>
      <w:proofErr w:type="gramEnd"/>
      <w:r w:rsidRPr="00213F66">
        <w:t xml:space="preserve"> Nations. (2015). Transforming our world: The 2030 Agenda for Sustainable Development. United Nations. https://sdgs.un.org/2030agenda</w:t>
      </w:r>
    </w:p>
    <w:p w14:paraId="302BD2ED" w14:textId="77777777" w:rsidR="00A8621F" w:rsidRDefault="00000000">
      <w:pPr>
        <w:pStyle w:val="ListParagraph"/>
        <w:spacing w:after="160" w:line="259" w:lineRule="auto"/>
        <w:jc w:val="both"/>
      </w:pPr>
      <w:proofErr w:type="gramStart"/>
      <w:r w:rsidRPr="00213F66">
        <w:t>  UNESCO</w:t>
      </w:r>
      <w:proofErr w:type="gramEnd"/>
      <w:r w:rsidRPr="00213F66">
        <w:t>. (2021). International Day for Biological Diversity 2021: We are part of the solution. UNESCO. https://www.unesco.org/en/articles/international-day-biological-diversity-2021-were-part-solution</w:t>
      </w:r>
    </w:p>
    <w:p w14:paraId="1C47920F" w14:textId="77777777" w:rsidR="00ED5B69" w:rsidRPr="00644FB1" w:rsidRDefault="00ED5B69" w:rsidP="00391EF9">
      <w:pPr>
        <w:jc w:val="both"/>
        <w:rPr>
          <w:rFonts w:ascii="Arial" w:hAnsi="Arial" w:cs="Arial"/>
          <w:sz w:val="20"/>
          <w:szCs w:val="20"/>
        </w:rPr>
      </w:pPr>
    </w:p>
    <w:p w14:paraId="00BB19A0" w14:textId="77777777" w:rsidR="00D94E70" w:rsidRPr="00D94E70" w:rsidRDefault="00D94E70" w:rsidP="00D94E70">
      <w:pPr>
        <w:spacing w:after="0" w:line="240" w:lineRule="auto"/>
        <w:jc w:val="both"/>
        <w:rPr>
          <w:rFonts w:ascii="Arial" w:eastAsia="Times New Roman" w:hAnsi="Arial" w:cs="Arial"/>
          <w:sz w:val="20"/>
          <w:szCs w:val="20"/>
        </w:rPr>
      </w:pPr>
      <w:r w:rsidRPr="00D94E70">
        <w:rPr>
          <w:rFonts w:ascii="Arial" w:eastAsia="Times New Roman" w:hAnsi="Arial" w:cs="Arial"/>
          <w:sz w:val="20"/>
          <w:szCs w:val="20"/>
        </w:rPr>
        <w:t xml:space="preserve"> </w:t>
      </w:r>
    </w:p>
    <w:p w14:paraId="24D2D03D" w14:textId="77777777" w:rsidR="00D94E70" w:rsidRPr="00D94E70" w:rsidRDefault="00D94E70" w:rsidP="00D94E70">
      <w:pPr>
        <w:spacing w:line="240" w:lineRule="auto"/>
        <w:jc w:val="both"/>
        <w:rPr>
          <w:rFonts w:ascii="Arial" w:hAnsi="Arial" w:cs="Arial"/>
          <w:b/>
          <w:sz w:val="20"/>
          <w:szCs w:val="20"/>
        </w:rPr>
      </w:pPr>
    </w:p>
    <w:p w14:paraId="468B8815" w14:textId="77777777" w:rsidR="00D94E70" w:rsidRPr="00D94E70" w:rsidRDefault="00D94E70" w:rsidP="00D94E70">
      <w:pPr>
        <w:spacing w:line="240" w:lineRule="auto"/>
        <w:jc w:val="both"/>
        <w:rPr>
          <w:rFonts w:ascii="Arial" w:hAnsi="Arial" w:cs="Arial"/>
          <w:b/>
          <w:sz w:val="20"/>
          <w:szCs w:val="20"/>
        </w:rPr>
      </w:pPr>
    </w:p>
    <w:p w14:paraId="71F05D63" w14:textId="77777777" w:rsidR="00D94E70" w:rsidRPr="00D94E70" w:rsidRDefault="00D94E70" w:rsidP="00D94E70">
      <w:pPr>
        <w:spacing w:line="240" w:lineRule="auto"/>
        <w:jc w:val="both"/>
        <w:rPr>
          <w:rFonts w:ascii="Arial" w:hAnsi="Arial" w:cs="Arial"/>
          <w:b/>
          <w:sz w:val="20"/>
          <w:szCs w:val="20"/>
        </w:rPr>
      </w:pPr>
    </w:p>
    <w:p w14:paraId="2D3B99B3" w14:textId="77777777" w:rsidR="00D94E70" w:rsidRPr="00D94E70" w:rsidRDefault="00D94E70" w:rsidP="00D94E70">
      <w:pPr>
        <w:spacing w:line="240" w:lineRule="auto"/>
        <w:jc w:val="both"/>
        <w:rPr>
          <w:rFonts w:ascii="Arial" w:hAnsi="Arial" w:cs="Arial"/>
          <w:b/>
          <w:sz w:val="20"/>
          <w:szCs w:val="20"/>
        </w:rPr>
      </w:pPr>
    </w:p>
    <w:p w14:paraId="62842FE2" w14:textId="77777777" w:rsidR="00D94E70" w:rsidRPr="00D94E70" w:rsidRDefault="00D94E70" w:rsidP="00D94E70">
      <w:pPr>
        <w:spacing w:line="240" w:lineRule="auto"/>
        <w:jc w:val="both"/>
        <w:rPr>
          <w:rFonts w:ascii="Arial" w:hAnsi="Arial" w:cs="Arial"/>
          <w:b/>
          <w:sz w:val="20"/>
          <w:szCs w:val="20"/>
        </w:rPr>
      </w:pPr>
    </w:p>
    <w:sectPr w:rsidR="00D94E70" w:rsidRPr="00D94E70">
      <w:headerReference w:type="even" r:id="rId37"/>
      <w:headerReference w:type="default" r:id="rId38"/>
      <w:head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00586" w14:textId="77777777" w:rsidR="00097415" w:rsidRDefault="00097415" w:rsidP="00AB6CC8">
      <w:pPr>
        <w:spacing w:after="0" w:line="240" w:lineRule="auto"/>
      </w:pPr>
      <w:r>
        <w:separator/>
      </w:r>
    </w:p>
  </w:endnote>
  <w:endnote w:type="continuationSeparator" w:id="0">
    <w:p w14:paraId="32E97F5F" w14:textId="77777777" w:rsidR="00097415" w:rsidRDefault="00097415" w:rsidP="00AB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3DFE" w14:textId="77777777" w:rsidR="00097415" w:rsidRDefault="00097415" w:rsidP="00AB6CC8">
      <w:pPr>
        <w:spacing w:after="0" w:line="240" w:lineRule="auto"/>
      </w:pPr>
      <w:r>
        <w:separator/>
      </w:r>
    </w:p>
  </w:footnote>
  <w:footnote w:type="continuationSeparator" w:id="0">
    <w:p w14:paraId="14EC3886" w14:textId="77777777" w:rsidR="00097415" w:rsidRDefault="00097415" w:rsidP="00AB6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183" w14:textId="77777777" w:rsidR="00E07B1E" w:rsidRDefault="00000000">
    <w:pPr>
      <w:pStyle w:val="Header"/>
    </w:pPr>
    <w:r>
      <w:rPr>
        <w:noProof/>
      </w:rPr>
      <w:pict w14:anchorId="18957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47DD" w14:textId="77777777" w:rsidR="00E07B1E" w:rsidRDefault="00000000">
    <w:pPr>
      <w:pStyle w:val="Header"/>
    </w:pPr>
    <w:r>
      <w:rPr>
        <w:noProof/>
      </w:rPr>
      <w:pict w14:anchorId="62993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8928" w14:textId="77777777" w:rsidR="00E07B1E" w:rsidRDefault="00000000">
    <w:pPr>
      <w:pStyle w:val="Header"/>
    </w:pPr>
    <w:r>
      <w:rPr>
        <w:noProof/>
      </w:rPr>
      <w:pict w14:anchorId="2A198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D3A"/>
    <w:multiLevelType w:val="multilevel"/>
    <w:tmpl w:val="270433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1688"/>
    <w:multiLevelType w:val="hybridMultilevel"/>
    <w:tmpl w:val="720EE36A"/>
    <w:lvl w:ilvl="0" w:tplc="A62089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12688"/>
    <w:multiLevelType w:val="hybridMultilevel"/>
    <w:tmpl w:val="F9827F06"/>
    <w:lvl w:ilvl="0" w:tplc="A41EC654">
      <w:start w:val="3"/>
      <w:numFmt w:val="bullet"/>
      <w:lvlText w:val="-"/>
      <w:lvlJc w:val="left"/>
      <w:pPr>
        <w:ind w:left="960" w:hanging="360"/>
      </w:pPr>
      <w:rPr>
        <w:rFonts w:ascii="Times New Roman" w:eastAsia="Calibri" w:hAnsi="Times New Roman" w:cs="Times New Roman"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abstractNum w:abstractNumId="3" w15:restartNumberingAfterBreak="0">
    <w:nsid w:val="073E054A"/>
    <w:multiLevelType w:val="hybridMultilevel"/>
    <w:tmpl w:val="271E0866"/>
    <w:lvl w:ilvl="0" w:tplc="49FA74C4">
      <w:start w:val="1"/>
      <w:numFmt w:val="lowerLetter"/>
      <w:lvlText w:val="(%1)"/>
      <w:lvlJc w:val="left"/>
      <w:pPr>
        <w:ind w:left="720" w:hanging="360"/>
      </w:pPr>
      <w:rPr>
        <w:rFonts w:ascii="Times New Roman" w:eastAsiaTheme="minorHAnsi" w:hAnsi="Times New Roman"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33AEC"/>
    <w:multiLevelType w:val="hybridMultilevel"/>
    <w:tmpl w:val="110430AC"/>
    <w:lvl w:ilvl="0" w:tplc="D9866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A43DE"/>
    <w:multiLevelType w:val="hybridMultilevel"/>
    <w:tmpl w:val="724ADDE2"/>
    <w:lvl w:ilvl="0" w:tplc="B86C7E08">
      <w:start w:val="1"/>
      <w:numFmt w:val="lowerLetter"/>
      <w:lvlText w:val="(%1)"/>
      <w:lvlJc w:val="left"/>
      <w:pPr>
        <w:ind w:left="720" w:hanging="360"/>
      </w:pPr>
      <w:rPr>
        <w:rFonts w:ascii="Times New Roman" w:eastAsiaTheme="minorHAnsi"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8E1"/>
    <w:multiLevelType w:val="hybridMultilevel"/>
    <w:tmpl w:val="B4B865E8"/>
    <w:lvl w:ilvl="0" w:tplc="ECC6FA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605A81"/>
    <w:multiLevelType w:val="hybridMultilevel"/>
    <w:tmpl w:val="5EE6F2C6"/>
    <w:lvl w:ilvl="0" w:tplc="4C0CF3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17495"/>
    <w:multiLevelType w:val="hybridMultilevel"/>
    <w:tmpl w:val="60FAEC82"/>
    <w:lvl w:ilvl="0" w:tplc="C464B7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70866"/>
    <w:multiLevelType w:val="hybridMultilevel"/>
    <w:tmpl w:val="C0B6AAA6"/>
    <w:lvl w:ilvl="0" w:tplc="BE08C0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34FEB"/>
    <w:multiLevelType w:val="hybridMultilevel"/>
    <w:tmpl w:val="519E81EC"/>
    <w:lvl w:ilvl="0" w:tplc="FD2E8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C1218"/>
    <w:multiLevelType w:val="hybridMultilevel"/>
    <w:tmpl w:val="D132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C3793"/>
    <w:multiLevelType w:val="hybridMultilevel"/>
    <w:tmpl w:val="68FCFB68"/>
    <w:lvl w:ilvl="0" w:tplc="FF04F756">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7C577F"/>
    <w:multiLevelType w:val="hybridMultilevel"/>
    <w:tmpl w:val="4E2AF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77C3D"/>
    <w:multiLevelType w:val="hybridMultilevel"/>
    <w:tmpl w:val="03CE3486"/>
    <w:lvl w:ilvl="0" w:tplc="ABC63A38">
      <w:start w:val="1"/>
      <w:numFmt w:val="low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B733A02"/>
    <w:multiLevelType w:val="hybridMultilevel"/>
    <w:tmpl w:val="AC6E9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624542"/>
    <w:multiLevelType w:val="hybridMultilevel"/>
    <w:tmpl w:val="E66A03CE"/>
    <w:lvl w:ilvl="0" w:tplc="0EB47D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7D693E"/>
    <w:multiLevelType w:val="hybridMultilevel"/>
    <w:tmpl w:val="CFEAF15C"/>
    <w:lvl w:ilvl="0" w:tplc="ABDA41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DF12BE"/>
    <w:multiLevelType w:val="hybridMultilevel"/>
    <w:tmpl w:val="630A1522"/>
    <w:lvl w:ilvl="0" w:tplc="3E00FD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B061DC"/>
    <w:multiLevelType w:val="hybridMultilevel"/>
    <w:tmpl w:val="EFA66E1A"/>
    <w:lvl w:ilvl="0" w:tplc="0C0EB1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8A633E"/>
    <w:multiLevelType w:val="hybridMultilevel"/>
    <w:tmpl w:val="12164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D443A"/>
    <w:multiLevelType w:val="hybridMultilevel"/>
    <w:tmpl w:val="B33EC4F4"/>
    <w:lvl w:ilvl="0" w:tplc="DD44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6649136">
    <w:abstractNumId w:val="20"/>
  </w:num>
  <w:num w:numId="2" w16cid:durableId="1985548209">
    <w:abstractNumId w:val="12"/>
  </w:num>
  <w:num w:numId="3" w16cid:durableId="2014648463">
    <w:abstractNumId w:val="21"/>
  </w:num>
  <w:num w:numId="4" w16cid:durableId="900335529">
    <w:abstractNumId w:val="1"/>
  </w:num>
  <w:num w:numId="5" w16cid:durableId="585186506">
    <w:abstractNumId w:val="14"/>
  </w:num>
  <w:num w:numId="6" w16cid:durableId="1168256409">
    <w:abstractNumId w:val="10"/>
  </w:num>
  <w:num w:numId="7" w16cid:durableId="1460151900">
    <w:abstractNumId w:val="9"/>
  </w:num>
  <w:num w:numId="8" w16cid:durableId="91736">
    <w:abstractNumId w:val="19"/>
  </w:num>
  <w:num w:numId="9" w16cid:durableId="1842814152">
    <w:abstractNumId w:val="5"/>
  </w:num>
  <w:num w:numId="10" w16cid:durableId="770317611">
    <w:abstractNumId w:val="3"/>
  </w:num>
  <w:num w:numId="11" w16cid:durableId="1180126724">
    <w:abstractNumId w:val="6"/>
  </w:num>
  <w:num w:numId="12" w16cid:durableId="1646159112">
    <w:abstractNumId w:val="8"/>
  </w:num>
  <w:num w:numId="13" w16cid:durableId="531261586">
    <w:abstractNumId w:val="4"/>
  </w:num>
  <w:num w:numId="14" w16cid:durableId="1119683868">
    <w:abstractNumId w:val="16"/>
  </w:num>
  <w:num w:numId="15" w16cid:durableId="550120709">
    <w:abstractNumId w:val="7"/>
  </w:num>
  <w:num w:numId="16" w16cid:durableId="450172229">
    <w:abstractNumId w:val="18"/>
  </w:num>
  <w:num w:numId="17" w16cid:durableId="941111468">
    <w:abstractNumId w:val="17"/>
  </w:num>
  <w:num w:numId="18" w16cid:durableId="1055416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4205807">
    <w:abstractNumId w:val="2"/>
  </w:num>
  <w:num w:numId="20" w16cid:durableId="1518275071">
    <w:abstractNumId w:val="13"/>
  </w:num>
  <w:num w:numId="21" w16cid:durableId="2114276396">
    <w:abstractNumId w:val="11"/>
  </w:num>
  <w:num w:numId="22" w16cid:durableId="31855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wN7c0MDAyMjM3NDFT0lEKTi0uzszPAykwrAUAdoacbCwAAAA="/>
  </w:docVars>
  <w:rsids>
    <w:rsidRoot w:val="004816A9"/>
    <w:rsid w:val="00002F6B"/>
    <w:rsid w:val="00016B90"/>
    <w:rsid w:val="0003608E"/>
    <w:rsid w:val="00037CEB"/>
    <w:rsid w:val="00053389"/>
    <w:rsid w:val="000607F6"/>
    <w:rsid w:val="00092256"/>
    <w:rsid w:val="00092CD3"/>
    <w:rsid w:val="000955F6"/>
    <w:rsid w:val="00097415"/>
    <w:rsid w:val="000B0D11"/>
    <w:rsid w:val="000B30AA"/>
    <w:rsid w:val="000E295F"/>
    <w:rsid w:val="000E774F"/>
    <w:rsid w:val="000F3DCE"/>
    <w:rsid w:val="00114D46"/>
    <w:rsid w:val="00125155"/>
    <w:rsid w:val="00130E05"/>
    <w:rsid w:val="00166098"/>
    <w:rsid w:val="001667D9"/>
    <w:rsid w:val="0017019D"/>
    <w:rsid w:val="00173ED7"/>
    <w:rsid w:val="0018675C"/>
    <w:rsid w:val="001921B6"/>
    <w:rsid w:val="001928C1"/>
    <w:rsid w:val="00197549"/>
    <w:rsid w:val="001A123B"/>
    <w:rsid w:val="001A724D"/>
    <w:rsid w:val="001C0933"/>
    <w:rsid w:val="001C73B4"/>
    <w:rsid w:val="001D0213"/>
    <w:rsid w:val="001E3A45"/>
    <w:rsid w:val="00213F66"/>
    <w:rsid w:val="0022553D"/>
    <w:rsid w:val="00241922"/>
    <w:rsid w:val="00270EF0"/>
    <w:rsid w:val="00272DC2"/>
    <w:rsid w:val="002746E1"/>
    <w:rsid w:val="00282E92"/>
    <w:rsid w:val="002C2637"/>
    <w:rsid w:val="002C72C4"/>
    <w:rsid w:val="002E433F"/>
    <w:rsid w:val="002F01BD"/>
    <w:rsid w:val="003069BE"/>
    <w:rsid w:val="0032642A"/>
    <w:rsid w:val="00351C6B"/>
    <w:rsid w:val="003713E0"/>
    <w:rsid w:val="00374406"/>
    <w:rsid w:val="0038029A"/>
    <w:rsid w:val="00383781"/>
    <w:rsid w:val="003900D6"/>
    <w:rsid w:val="00391EF9"/>
    <w:rsid w:val="003930BD"/>
    <w:rsid w:val="00393942"/>
    <w:rsid w:val="003A1633"/>
    <w:rsid w:val="003C5742"/>
    <w:rsid w:val="003D04B8"/>
    <w:rsid w:val="0041044F"/>
    <w:rsid w:val="00431998"/>
    <w:rsid w:val="0043256E"/>
    <w:rsid w:val="004431FA"/>
    <w:rsid w:val="00443675"/>
    <w:rsid w:val="0044514E"/>
    <w:rsid w:val="004816A9"/>
    <w:rsid w:val="00490A62"/>
    <w:rsid w:val="004973C5"/>
    <w:rsid w:val="004A097D"/>
    <w:rsid w:val="004C3D0E"/>
    <w:rsid w:val="004C5BD9"/>
    <w:rsid w:val="004D3F41"/>
    <w:rsid w:val="004D7BD3"/>
    <w:rsid w:val="004E2A6A"/>
    <w:rsid w:val="004E7BB4"/>
    <w:rsid w:val="005018A8"/>
    <w:rsid w:val="005102F0"/>
    <w:rsid w:val="00514C70"/>
    <w:rsid w:val="005200E2"/>
    <w:rsid w:val="00525524"/>
    <w:rsid w:val="00526251"/>
    <w:rsid w:val="00543EFB"/>
    <w:rsid w:val="00552251"/>
    <w:rsid w:val="005628E7"/>
    <w:rsid w:val="005760A3"/>
    <w:rsid w:val="00577E18"/>
    <w:rsid w:val="005800D6"/>
    <w:rsid w:val="005818A5"/>
    <w:rsid w:val="00583086"/>
    <w:rsid w:val="00594A47"/>
    <w:rsid w:val="005A1882"/>
    <w:rsid w:val="005C225C"/>
    <w:rsid w:val="005D5811"/>
    <w:rsid w:val="005F6745"/>
    <w:rsid w:val="00616703"/>
    <w:rsid w:val="00633B8D"/>
    <w:rsid w:val="00650116"/>
    <w:rsid w:val="00655581"/>
    <w:rsid w:val="00675BE6"/>
    <w:rsid w:val="00683834"/>
    <w:rsid w:val="00691A01"/>
    <w:rsid w:val="006A571F"/>
    <w:rsid w:val="006B1F70"/>
    <w:rsid w:val="006B3E4D"/>
    <w:rsid w:val="006C59F9"/>
    <w:rsid w:val="006D68EA"/>
    <w:rsid w:val="00700A5F"/>
    <w:rsid w:val="007014C9"/>
    <w:rsid w:val="00704779"/>
    <w:rsid w:val="007137F4"/>
    <w:rsid w:val="00713CC8"/>
    <w:rsid w:val="00735026"/>
    <w:rsid w:val="00736EFC"/>
    <w:rsid w:val="007374DA"/>
    <w:rsid w:val="007500B5"/>
    <w:rsid w:val="00767425"/>
    <w:rsid w:val="00773604"/>
    <w:rsid w:val="007811F0"/>
    <w:rsid w:val="007A4BA1"/>
    <w:rsid w:val="007A4F06"/>
    <w:rsid w:val="007B1D1F"/>
    <w:rsid w:val="007B7B23"/>
    <w:rsid w:val="007D6400"/>
    <w:rsid w:val="007E287B"/>
    <w:rsid w:val="007E63A2"/>
    <w:rsid w:val="007F6A81"/>
    <w:rsid w:val="00807D50"/>
    <w:rsid w:val="008142D9"/>
    <w:rsid w:val="00815B8A"/>
    <w:rsid w:val="00817060"/>
    <w:rsid w:val="00826A40"/>
    <w:rsid w:val="00830E3A"/>
    <w:rsid w:val="00835189"/>
    <w:rsid w:val="00844153"/>
    <w:rsid w:val="008460F1"/>
    <w:rsid w:val="008472DF"/>
    <w:rsid w:val="0084733E"/>
    <w:rsid w:val="00850658"/>
    <w:rsid w:val="008522DC"/>
    <w:rsid w:val="008744E3"/>
    <w:rsid w:val="00880DA3"/>
    <w:rsid w:val="00880F83"/>
    <w:rsid w:val="00895405"/>
    <w:rsid w:val="008C339C"/>
    <w:rsid w:val="008C6EB0"/>
    <w:rsid w:val="008E2B53"/>
    <w:rsid w:val="00923648"/>
    <w:rsid w:val="0094173F"/>
    <w:rsid w:val="00962887"/>
    <w:rsid w:val="00964EF3"/>
    <w:rsid w:val="00983153"/>
    <w:rsid w:val="009955BD"/>
    <w:rsid w:val="009A7A08"/>
    <w:rsid w:val="009B65E6"/>
    <w:rsid w:val="009E6EDF"/>
    <w:rsid w:val="009F0BD6"/>
    <w:rsid w:val="00A01860"/>
    <w:rsid w:val="00A24957"/>
    <w:rsid w:val="00A2618B"/>
    <w:rsid w:val="00A528CF"/>
    <w:rsid w:val="00A60405"/>
    <w:rsid w:val="00A64E90"/>
    <w:rsid w:val="00A736E2"/>
    <w:rsid w:val="00A83666"/>
    <w:rsid w:val="00A8621F"/>
    <w:rsid w:val="00A906B1"/>
    <w:rsid w:val="00A9259B"/>
    <w:rsid w:val="00A93AE0"/>
    <w:rsid w:val="00A9454D"/>
    <w:rsid w:val="00A950BB"/>
    <w:rsid w:val="00AA271A"/>
    <w:rsid w:val="00AB6CC8"/>
    <w:rsid w:val="00AD1710"/>
    <w:rsid w:val="00AD3979"/>
    <w:rsid w:val="00AD655A"/>
    <w:rsid w:val="00AD75D4"/>
    <w:rsid w:val="00AE13B4"/>
    <w:rsid w:val="00AE252A"/>
    <w:rsid w:val="00AF20C1"/>
    <w:rsid w:val="00AF6BE1"/>
    <w:rsid w:val="00B02311"/>
    <w:rsid w:val="00B14C37"/>
    <w:rsid w:val="00B20396"/>
    <w:rsid w:val="00B325F5"/>
    <w:rsid w:val="00B41CA3"/>
    <w:rsid w:val="00BA6A11"/>
    <w:rsid w:val="00BB55E5"/>
    <w:rsid w:val="00BC59DC"/>
    <w:rsid w:val="00BD473A"/>
    <w:rsid w:val="00BE3031"/>
    <w:rsid w:val="00BE7C48"/>
    <w:rsid w:val="00BF0CA0"/>
    <w:rsid w:val="00BF1A38"/>
    <w:rsid w:val="00BF3F59"/>
    <w:rsid w:val="00BF59DD"/>
    <w:rsid w:val="00C03EBF"/>
    <w:rsid w:val="00C102C0"/>
    <w:rsid w:val="00C5235C"/>
    <w:rsid w:val="00C5695E"/>
    <w:rsid w:val="00C80E33"/>
    <w:rsid w:val="00C87467"/>
    <w:rsid w:val="00C90462"/>
    <w:rsid w:val="00CC3ADA"/>
    <w:rsid w:val="00D15527"/>
    <w:rsid w:val="00D36821"/>
    <w:rsid w:val="00D75E9A"/>
    <w:rsid w:val="00D8023C"/>
    <w:rsid w:val="00D80AE5"/>
    <w:rsid w:val="00D94E70"/>
    <w:rsid w:val="00D95314"/>
    <w:rsid w:val="00DB22AC"/>
    <w:rsid w:val="00DB3190"/>
    <w:rsid w:val="00DB3646"/>
    <w:rsid w:val="00DB3750"/>
    <w:rsid w:val="00DB45E7"/>
    <w:rsid w:val="00DC0F0A"/>
    <w:rsid w:val="00DC39B9"/>
    <w:rsid w:val="00DE5EE9"/>
    <w:rsid w:val="00DF4024"/>
    <w:rsid w:val="00E06D10"/>
    <w:rsid w:val="00E07B1E"/>
    <w:rsid w:val="00E10397"/>
    <w:rsid w:val="00E12BBF"/>
    <w:rsid w:val="00E2166E"/>
    <w:rsid w:val="00E3007E"/>
    <w:rsid w:val="00E3315D"/>
    <w:rsid w:val="00E57F4A"/>
    <w:rsid w:val="00E61B00"/>
    <w:rsid w:val="00E63C62"/>
    <w:rsid w:val="00EB4FCD"/>
    <w:rsid w:val="00ED576E"/>
    <w:rsid w:val="00ED5B69"/>
    <w:rsid w:val="00ED6F0D"/>
    <w:rsid w:val="00EF66BA"/>
    <w:rsid w:val="00F00DBF"/>
    <w:rsid w:val="00F12B46"/>
    <w:rsid w:val="00F35AB0"/>
    <w:rsid w:val="00F36C9C"/>
    <w:rsid w:val="00F36F1D"/>
    <w:rsid w:val="00F41AA2"/>
    <w:rsid w:val="00F518BC"/>
    <w:rsid w:val="00F55B65"/>
    <w:rsid w:val="00F80711"/>
    <w:rsid w:val="00F80A73"/>
    <w:rsid w:val="00F8104B"/>
    <w:rsid w:val="00F90B1A"/>
    <w:rsid w:val="00FB3C65"/>
    <w:rsid w:val="00FC4877"/>
    <w:rsid w:val="00FC6F8F"/>
    <w:rsid w:val="00FD256E"/>
    <w:rsid w:val="00FF0CB0"/>
    <w:rsid w:val="00FF3BE2"/>
    <w:rsid w:val="00FF3D3D"/>
    <w:rsid w:val="00FF7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E9019"/>
  <w15:docId w15:val="{A379D640-3F7C-437F-B393-E00E7933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A9"/>
  </w:style>
  <w:style w:type="paragraph" w:styleId="Heading1">
    <w:name w:val="heading 1"/>
    <w:basedOn w:val="Normal"/>
    <w:next w:val="Normal"/>
    <w:link w:val="Heading1Char"/>
    <w:uiPriority w:val="9"/>
    <w:qFormat/>
    <w:rsid w:val="008472D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D94E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A9"/>
    <w:pPr>
      <w:spacing w:after="0" w:line="276" w:lineRule="auto"/>
      <w:ind w:left="720"/>
    </w:pPr>
    <w:rPr>
      <w:rFonts w:ascii="Calibri" w:eastAsia="SimSun" w:hAnsi="Calibri" w:cs="Times New Roman"/>
      <w:sz w:val="21"/>
      <w:lang w:eastAsia="zh-CN"/>
    </w:rPr>
  </w:style>
  <w:style w:type="character" w:styleId="Hyperlink">
    <w:name w:val="Hyperlink"/>
    <w:uiPriority w:val="99"/>
    <w:rsid w:val="004816A9"/>
    <w:rPr>
      <w:rFonts w:ascii="Calibri" w:eastAsia="Calibri" w:hAnsi="Calibri" w:cs="SimSun"/>
      <w:color w:val="0000FF"/>
      <w:sz w:val="22"/>
      <w:szCs w:val="22"/>
      <w:u w:val="single"/>
      <w:lang w:val="en-US" w:eastAsia="en-US" w:bidi="ar-SA"/>
    </w:rPr>
  </w:style>
  <w:style w:type="character" w:styleId="Strong">
    <w:name w:val="Strong"/>
    <w:basedOn w:val="DefaultParagraphFont"/>
    <w:uiPriority w:val="22"/>
    <w:qFormat/>
    <w:rsid w:val="003930BD"/>
    <w:rPr>
      <w:b/>
      <w:bCs/>
    </w:rPr>
  </w:style>
  <w:style w:type="character" w:styleId="Emphasis">
    <w:name w:val="Emphasis"/>
    <w:basedOn w:val="DefaultParagraphFont"/>
    <w:uiPriority w:val="20"/>
    <w:qFormat/>
    <w:rsid w:val="003930BD"/>
    <w:rPr>
      <w:i/>
      <w:iCs/>
    </w:rPr>
  </w:style>
  <w:style w:type="paragraph" w:customStyle="1" w:styleId="Pa8">
    <w:name w:val="Pa8"/>
    <w:basedOn w:val="Normal"/>
    <w:next w:val="Normal"/>
    <w:uiPriority w:val="99"/>
    <w:rsid w:val="00A950BB"/>
    <w:pPr>
      <w:autoSpaceDE w:val="0"/>
      <w:autoSpaceDN w:val="0"/>
      <w:adjustRightInd w:val="0"/>
      <w:spacing w:after="0" w:line="221" w:lineRule="atLeast"/>
    </w:pPr>
    <w:rPr>
      <w:rFonts w:ascii="Arial" w:eastAsia="Calibri" w:hAnsi="Arial" w:cs="Arial"/>
      <w:sz w:val="24"/>
      <w:szCs w:val="24"/>
    </w:rPr>
  </w:style>
  <w:style w:type="character" w:customStyle="1" w:styleId="A1">
    <w:name w:val="A1"/>
    <w:uiPriority w:val="99"/>
    <w:rsid w:val="00A950BB"/>
    <w:rPr>
      <w:color w:val="000000"/>
    </w:rPr>
  </w:style>
  <w:style w:type="paragraph" w:styleId="BodyText">
    <w:name w:val="Body Text"/>
    <w:basedOn w:val="Normal"/>
    <w:link w:val="BodyTextChar"/>
    <w:uiPriority w:val="99"/>
    <w:unhideWhenUsed/>
    <w:rsid w:val="00E3315D"/>
    <w:pPr>
      <w:spacing w:after="120" w:line="276" w:lineRule="auto"/>
    </w:pPr>
    <w:rPr>
      <w:rFonts w:ascii="Calibri" w:eastAsia="Calibri" w:hAnsi="Calibri" w:cs="Times New Roman"/>
      <w:lang w:val="en-GB"/>
    </w:rPr>
  </w:style>
  <w:style w:type="character" w:customStyle="1" w:styleId="BodyTextChar">
    <w:name w:val="Body Text Char"/>
    <w:basedOn w:val="DefaultParagraphFont"/>
    <w:link w:val="BodyText"/>
    <w:uiPriority w:val="99"/>
    <w:rsid w:val="00E3315D"/>
    <w:rPr>
      <w:rFonts w:ascii="Calibri" w:eastAsia="Calibri" w:hAnsi="Calibri" w:cs="Times New Roman"/>
      <w:lang w:val="en-GB"/>
    </w:rPr>
  </w:style>
  <w:style w:type="character" w:customStyle="1" w:styleId="Heading2Char">
    <w:name w:val="Heading 2 Char"/>
    <w:basedOn w:val="DefaultParagraphFont"/>
    <w:link w:val="Heading2"/>
    <w:uiPriority w:val="9"/>
    <w:rsid w:val="00D94E70"/>
    <w:rPr>
      <w:rFonts w:asciiTheme="majorHAnsi" w:eastAsiaTheme="majorEastAsia" w:hAnsiTheme="majorHAnsi" w:cstheme="majorBidi"/>
      <w:color w:val="2F5496" w:themeColor="accent1" w:themeShade="BF"/>
      <w:sz w:val="26"/>
      <w:szCs w:val="26"/>
    </w:rPr>
  </w:style>
  <w:style w:type="table" w:customStyle="1" w:styleId="LightShading1">
    <w:name w:val="Light Shading1"/>
    <w:basedOn w:val="TableNormal"/>
    <w:uiPriority w:val="60"/>
    <w:rsid w:val="00D94E70"/>
    <w:pPr>
      <w:spacing w:after="0" w:line="240" w:lineRule="auto"/>
    </w:pPr>
    <w:rPr>
      <w:color w:val="000000" w:themeColor="text1" w:themeShade="BF"/>
      <w:kern w:val="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D94E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94E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D94E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B6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CC8"/>
    <w:rPr>
      <w:sz w:val="20"/>
      <w:szCs w:val="20"/>
    </w:rPr>
  </w:style>
  <w:style w:type="character" w:styleId="FootnoteReference">
    <w:name w:val="footnote reference"/>
    <w:basedOn w:val="DefaultParagraphFont"/>
    <w:uiPriority w:val="99"/>
    <w:semiHidden/>
    <w:unhideWhenUsed/>
    <w:rsid w:val="00AB6CC8"/>
    <w:rPr>
      <w:vertAlign w:val="superscript"/>
    </w:rPr>
  </w:style>
  <w:style w:type="paragraph" w:styleId="NormalWeb">
    <w:name w:val="Normal (Web)"/>
    <w:basedOn w:val="Normal"/>
    <w:uiPriority w:val="99"/>
    <w:semiHidden/>
    <w:unhideWhenUsed/>
    <w:rsid w:val="00ED5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Head">
    <w:name w:val="Refer Head"/>
    <w:basedOn w:val="Normal"/>
    <w:rsid w:val="00735026"/>
    <w:pPr>
      <w:keepNext/>
      <w:spacing w:after="240" w:line="240" w:lineRule="auto"/>
    </w:pPr>
    <w:rPr>
      <w:rFonts w:ascii="Helvetica" w:eastAsia="Times New Roman" w:hAnsi="Helvetica" w:cs="Times New Roman"/>
      <w:b/>
      <w:caps/>
      <w:szCs w:val="20"/>
    </w:rPr>
  </w:style>
  <w:style w:type="paragraph" w:customStyle="1" w:styleId="Default">
    <w:name w:val="Default"/>
    <w:rsid w:val="00FB3C65"/>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rsid w:val="00C90462"/>
    <w:pPr>
      <w:spacing w:after="240" w:line="240" w:lineRule="auto"/>
      <w:jc w:val="both"/>
    </w:pPr>
    <w:rPr>
      <w:rFonts w:ascii="Helvetica" w:eastAsia="Times New Roman" w:hAnsi="Helvetica" w:cs="Times New Roman"/>
      <w:sz w:val="20"/>
      <w:szCs w:val="20"/>
    </w:rPr>
  </w:style>
  <w:style w:type="paragraph" w:customStyle="1" w:styleId="AcknHead">
    <w:name w:val="Ackn Head"/>
    <w:basedOn w:val="Normal"/>
    <w:rsid w:val="00C90462"/>
    <w:pPr>
      <w:keepNext/>
      <w:spacing w:after="240" w:line="240" w:lineRule="auto"/>
    </w:pPr>
    <w:rPr>
      <w:rFonts w:ascii="Helvetica" w:eastAsia="Times New Roman" w:hAnsi="Helvetica" w:cs="Times New Roman"/>
      <w:b/>
      <w:caps/>
      <w:szCs w:val="20"/>
    </w:rPr>
  </w:style>
  <w:style w:type="paragraph" w:styleId="Header">
    <w:name w:val="header"/>
    <w:basedOn w:val="Normal"/>
    <w:link w:val="HeaderChar"/>
    <w:uiPriority w:val="99"/>
    <w:unhideWhenUsed/>
    <w:rsid w:val="001C7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3B4"/>
  </w:style>
  <w:style w:type="paragraph" w:styleId="Footer">
    <w:name w:val="footer"/>
    <w:basedOn w:val="Normal"/>
    <w:link w:val="FooterChar"/>
    <w:uiPriority w:val="99"/>
    <w:unhideWhenUsed/>
    <w:rsid w:val="001C7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3B4"/>
  </w:style>
  <w:style w:type="character" w:styleId="CommentReference">
    <w:name w:val="annotation reference"/>
    <w:basedOn w:val="DefaultParagraphFont"/>
    <w:uiPriority w:val="99"/>
    <w:semiHidden/>
    <w:unhideWhenUsed/>
    <w:rsid w:val="005F6745"/>
    <w:rPr>
      <w:sz w:val="16"/>
      <w:szCs w:val="16"/>
    </w:rPr>
  </w:style>
  <w:style w:type="paragraph" w:styleId="CommentText">
    <w:name w:val="annotation text"/>
    <w:basedOn w:val="Normal"/>
    <w:link w:val="CommentTextChar"/>
    <w:uiPriority w:val="99"/>
    <w:semiHidden/>
    <w:unhideWhenUsed/>
    <w:rsid w:val="005F6745"/>
    <w:pPr>
      <w:spacing w:line="240" w:lineRule="auto"/>
    </w:pPr>
    <w:rPr>
      <w:sz w:val="20"/>
      <w:szCs w:val="20"/>
    </w:rPr>
  </w:style>
  <w:style w:type="character" w:customStyle="1" w:styleId="CommentTextChar">
    <w:name w:val="Comment Text Char"/>
    <w:basedOn w:val="DefaultParagraphFont"/>
    <w:link w:val="CommentText"/>
    <w:uiPriority w:val="99"/>
    <w:semiHidden/>
    <w:rsid w:val="005F6745"/>
    <w:rPr>
      <w:sz w:val="20"/>
      <w:szCs w:val="20"/>
    </w:rPr>
  </w:style>
  <w:style w:type="paragraph" w:styleId="CommentSubject">
    <w:name w:val="annotation subject"/>
    <w:basedOn w:val="CommentText"/>
    <w:next w:val="CommentText"/>
    <w:link w:val="CommentSubjectChar"/>
    <w:uiPriority w:val="99"/>
    <w:semiHidden/>
    <w:unhideWhenUsed/>
    <w:rsid w:val="005F6745"/>
    <w:rPr>
      <w:b/>
      <w:bCs/>
    </w:rPr>
  </w:style>
  <w:style w:type="character" w:customStyle="1" w:styleId="CommentSubjectChar">
    <w:name w:val="Comment Subject Char"/>
    <w:basedOn w:val="CommentTextChar"/>
    <w:link w:val="CommentSubject"/>
    <w:uiPriority w:val="99"/>
    <w:semiHidden/>
    <w:rsid w:val="005F6745"/>
    <w:rPr>
      <w:b/>
      <w:bCs/>
      <w:sz w:val="20"/>
      <w:szCs w:val="20"/>
    </w:rPr>
  </w:style>
  <w:style w:type="paragraph" w:styleId="BalloonText">
    <w:name w:val="Balloon Text"/>
    <w:basedOn w:val="Normal"/>
    <w:link w:val="BalloonTextChar"/>
    <w:uiPriority w:val="99"/>
    <w:semiHidden/>
    <w:unhideWhenUsed/>
    <w:rsid w:val="005F6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745"/>
    <w:rPr>
      <w:rFonts w:ascii="Tahoma" w:hAnsi="Tahoma" w:cs="Tahoma"/>
      <w:sz w:val="16"/>
      <w:szCs w:val="16"/>
    </w:rPr>
  </w:style>
  <w:style w:type="character" w:customStyle="1" w:styleId="Heading1Char">
    <w:name w:val="Heading 1 Char"/>
    <w:basedOn w:val="DefaultParagraphFont"/>
    <w:link w:val="Heading1"/>
    <w:uiPriority w:val="9"/>
    <w:rsid w:val="008472D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doi.org/10.1016/j.jpha.2012.11.001" TargetMode="External"/><Relationship Id="rId26" Type="http://schemas.openxmlformats.org/officeDocument/2006/relationships/hyperlink" Target="https://www.eucast.org/bacteria/document-archive/?utm_source=chatgpt.com" TargetMode="External"/><Relationship Id="rId39" Type="http://schemas.openxmlformats.org/officeDocument/2006/relationships/header" Target="header3.xml"/><Relationship Id="rId21" Type="http://schemas.openxmlformats.org/officeDocument/2006/relationships/hyperlink" Target="https://www.who.int/publications/i/item/WHO-EDM-TRM-2002.1?utm_source=chatgpt.com" TargetMode="External"/><Relationship Id="rId34" Type="http://schemas.openxmlformats.org/officeDocument/2006/relationships/hyperlink" Target="https://www.interesjournals.org/articles/bioassayguided-isolation-and-partial-characterization-of-an-antisickling-compound-from-enantia-chlorantha.pdf?utm_source=chatgpt.co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s://doi.org/10.5281/zenodo.4572671" TargetMode="External"/><Relationship Id="rId29" Type="http://schemas.openxmlformats.org/officeDocument/2006/relationships/hyperlink" Target="https://doi.org/10.1016/j.arabjc.2011.01.019"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jofmedical.com/index.php/AJRMMS/article/view/9?utm_source=chatgpt.com" TargetMode="External"/><Relationship Id="rId32" Type="http://schemas.openxmlformats.org/officeDocument/2006/relationships/hyperlink" Target="https://doi.org/10.1002/ptr.2273"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s://www.wjpmr.com/home/article_abstract/315?utm_source=chatgpt.com" TargetMode="External"/><Relationship Id="rId28" Type="http://schemas.openxmlformats.org/officeDocument/2006/relationships/hyperlink" Target="https://doi.org/10.1093/jimb/kuad036" TargetMode="External"/><Relationship Id="rId36" Type="http://schemas.openxmlformats.org/officeDocument/2006/relationships/hyperlink" Target="https://doi.org/10.1016/j.jpha.2015.01.002" TargetMode="External"/><Relationship Id="rId10" Type="http://schemas.openxmlformats.org/officeDocument/2006/relationships/chart" Target="charts/chart1.xml"/><Relationship Id="rId19" Type="http://schemas.openxmlformats.org/officeDocument/2006/relationships/hyperlink" Target="https://www.tsijournals.com/articles/bioassayguided-isolation-of-antimicrobial-compound-against-staphylococcus-aureus-from-azadirachta-indica-plant.pdf?utm_source=chatgpt.com" TargetMode="External"/><Relationship Id="rId31" Type="http://schemas.openxmlformats.org/officeDocument/2006/relationships/hyperlink" Target="https://doi.org/10.1080/14786419.2017.137592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hyperlink" Target="https://www.who.int/publications/i/item/9789241564748?utm_source=chatgpt.com" TargetMode="External"/><Relationship Id="rId27" Type="http://schemas.openxmlformats.org/officeDocument/2006/relationships/hyperlink" Target="https://doi.org/10.1007/s12275-016-6223-2" TargetMode="External"/><Relationship Id="rId30" Type="http://schemas.openxmlformats.org/officeDocument/2006/relationships/hyperlink" Target="https://doi.org/10.1007/s11101-018-9591-z" TargetMode="External"/><Relationship Id="rId35" Type="http://schemas.openxmlformats.org/officeDocument/2006/relationships/hyperlink" Target="https://doi.org/10.1128/MMBR.67.4.491-502.2003"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clsi.org/shop/standards/m100/?utm_source=chatgpt.com" TargetMode="External"/><Relationship Id="rId33" Type="http://schemas.openxmlformats.org/officeDocument/2006/relationships/hyperlink" Target="https://doi.org/10.1016/j.biopha.2018.11.144"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tohowo%20Okon%20Akpan\Desktop\Manuscripts\Book1%20decoding%20antimicrobial%20compound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t>Ethanol extract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Sheet1!$A$2</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S. aureus</c:v>
                </c:pt>
                <c:pt idx="1">
                  <c:v>P. aeruginosa</c:v>
                </c:pt>
                <c:pt idx="2">
                  <c:v>Proteus sp.</c:v>
                </c:pt>
                <c:pt idx="3">
                  <c:v>Salmonella sp.</c:v>
                </c:pt>
                <c:pt idx="4">
                  <c:v>Shigella sp</c:v>
                </c:pt>
                <c:pt idx="5">
                  <c:v>E. coli</c:v>
                </c:pt>
              </c:strCache>
            </c:strRef>
          </c:cat>
          <c:val>
            <c:numRef>
              <c:f>Sheet1!$B$2:$G$2</c:f>
              <c:numCache>
                <c:formatCode>General</c:formatCode>
                <c:ptCount val="6"/>
                <c:pt idx="0">
                  <c:v>18</c:v>
                </c:pt>
                <c:pt idx="1">
                  <c:v>0</c:v>
                </c:pt>
                <c:pt idx="2">
                  <c:v>0</c:v>
                </c:pt>
                <c:pt idx="3">
                  <c:v>0</c:v>
                </c:pt>
                <c:pt idx="4">
                  <c:v>15</c:v>
                </c:pt>
                <c:pt idx="5">
                  <c:v>0</c:v>
                </c:pt>
              </c:numCache>
            </c:numRef>
          </c:val>
          <c:extLst>
            <c:ext xmlns:c16="http://schemas.microsoft.com/office/drawing/2014/chart" uri="{C3380CC4-5D6E-409C-BE32-E72D297353CC}">
              <c16:uniqueId val="{00000000-0560-460E-A8FF-1A8CF1D140B4}"/>
            </c:ext>
          </c:extLst>
        </c:ser>
        <c:ser>
          <c:idx val="1"/>
          <c:order val="1"/>
          <c:tx>
            <c:strRef>
              <c:f>Sheet1!$A$3</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S. aureus</c:v>
                </c:pt>
                <c:pt idx="1">
                  <c:v>P. aeruginosa</c:v>
                </c:pt>
                <c:pt idx="2">
                  <c:v>Proteus sp.</c:v>
                </c:pt>
                <c:pt idx="3">
                  <c:v>Salmonella sp.</c:v>
                </c:pt>
                <c:pt idx="4">
                  <c:v>Shigella sp</c:v>
                </c:pt>
                <c:pt idx="5">
                  <c:v>E. coli</c:v>
                </c:pt>
              </c:strCache>
            </c:strRef>
          </c:cat>
          <c:val>
            <c:numRef>
              <c:f>Sheet1!$B$3:$G$3</c:f>
              <c:numCache>
                <c:formatCode>General</c:formatCode>
                <c:ptCount val="6"/>
                <c:pt idx="0">
                  <c:v>15</c:v>
                </c:pt>
                <c:pt idx="1">
                  <c:v>0</c:v>
                </c:pt>
                <c:pt idx="2">
                  <c:v>0</c:v>
                </c:pt>
                <c:pt idx="3">
                  <c:v>0</c:v>
                </c:pt>
                <c:pt idx="4">
                  <c:v>12</c:v>
                </c:pt>
                <c:pt idx="5">
                  <c:v>0</c:v>
                </c:pt>
              </c:numCache>
            </c:numRef>
          </c:val>
          <c:extLst>
            <c:ext xmlns:c16="http://schemas.microsoft.com/office/drawing/2014/chart" uri="{C3380CC4-5D6E-409C-BE32-E72D297353CC}">
              <c16:uniqueId val="{00000001-0560-460E-A8FF-1A8CF1D140B4}"/>
            </c:ext>
          </c:extLst>
        </c:ser>
        <c:ser>
          <c:idx val="2"/>
          <c:order val="2"/>
          <c:tx>
            <c:strRef>
              <c:f>Sheet1!$A$4</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S. aureus</c:v>
                </c:pt>
                <c:pt idx="1">
                  <c:v>P. aeruginosa</c:v>
                </c:pt>
                <c:pt idx="2">
                  <c:v>Proteus sp.</c:v>
                </c:pt>
                <c:pt idx="3">
                  <c:v>Salmonella sp.</c:v>
                </c:pt>
                <c:pt idx="4">
                  <c:v>Shigella sp</c:v>
                </c:pt>
                <c:pt idx="5">
                  <c:v>E. coli</c:v>
                </c:pt>
              </c:strCache>
            </c:strRef>
          </c:cat>
          <c:val>
            <c:numRef>
              <c:f>Sheet1!$B$4:$G$4</c:f>
              <c:numCache>
                <c:formatCode>General</c:formatCode>
                <c:ptCount val="6"/>
                <c:pt idx="0">
                  <c:v>11</c:v>
                </c:pt>
                <c:pt idx="1">
                  <c:v>0</c:v>
                </c:pt>
                <c:pt idx="2">
                  <c:v>0</c:v>
                </c:pt>
                <c:pt idx="3">
                  <c:v>0</c:v>
                </c:pt>
                <c:pt idx="4">
                  <c:v>9</c:v>
                </c:pt>
                <c:pt idx="5">
                  <c:v>0</c:v>
                </c:pt>
              </c:numCache>
            </c:numRef>
          </c:val>
          <c:extLst>
            <c:ext xmlns:c16="http://schemas.microsoft.com/office/drawing/2014/chart" uri="{C3380CC4-5D6E-409C-BE32-E72D297353CC}">
              <c16:uniqueId val="{00000002-0560-460E-A8FF-1A8CF1D140B4}"/>
            </c:ext>
          </c:extLst>
        </c:ser>
        <c:ser>
          <c:idx val="3"/>
          <c:order val="3"/>
          <c:tx>
            <c:strRef>
              <c:f>Sheet1!$A$5</c:f>
              <c:strCache>
                <c:ptCount val="1"/>
                <c:pt idx="0">
                  <c:v>200</c:v>
                </c:pt>
              </c:strCache>
            </c:strRef>
          </c:tx>
          <c:spPr>
            <a:solidFill>
              <a:schemeClr val="accent4"/>
            </a:solidFill>
            <a:ln>
              <a:noFill/>
            </a:ln>
            <a:effectLst/>
          </c:spPr>
          <c:invertIfNegative val="0"/>
          <c:cat>
            <c:strRef>
              <c:f>Sheet1!$B$1:$G$1</c:f>
              <c:strCache>
                <c:ptCount val="6"/>
                <c:pt idx="0">
                  <c:v>S. aureus</c:v>
                </c:pt>
                <c:pt idx="1">
                  <c:v>P. aeruginosa</c:v>
                </c:pt>
                <c:pt idx="2">
                  <c:v>Proteus sp.</c:v>
                </c:pt>
                <c:pt idx="3">
                  <c:v>Salmonella sp.</c:v>
                </c:pt>
                <c:pt idx="4">
                  <c:v>Shigella sp</c:v>
                </c:pt>
                <c:pt idx="5">
                  <c:v>E. coli</c:v>
                </c:pt>
              </c:strCache>
            </c:strRef>
          </c:cat>
          <c:val>
            <c:numRef>
              <c:f>Sheet1!$B$5:$G$5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0560-460E-A8FF-1A8CF1D140B4}"/>
            </c:ext>
          </c:extLst>
        </c:ser>
        <c:ser>
          <c:idx val="4"/>
          <c:order val="4"/>
          <c:tx>
            <c:strRef>
              <c:f>Sheet1!$A$6</c:f>
              <c:strCache>
                <c:ptCount val="1"/>
                <c:pt idx="0">
                  <c:v>100</c:v>
                </c:pt>
              </c:strCache>
            </c:strRef>
          </c:tx>
          <c:spPr>
            <a:solidFill>
              <a:schemeClr val="accent5"/>
            </a:solidFill>
            <a:ln>
              <a:noFill/>
            </a:ln>
            <a:effectLst/>
          </c:spPr>
          <c:invertIfNegative val="0"/>
          <c:cat>
            <c:strRef>
              <c:f>Sheet1!$B$1:$G$1</c:f>
              <c:strCache>
                <c:ptCount val="6"/>
                <c:pt idx="0">
                  <c:v>S. aureus</c:v>
                </c:pt>
                <c:pt idx="1">
                  <c:v>P. aeruginosa</c:v>
                </c:pt>
                <c:pt idx="2">
                  <c:v>Proteus sp.</c:v>
                </c:pt>
                <c:pt idx="3">
                  <c:v>Salmonella sp.</c:v>
                </c:pt>
                <c:pt idx="4">
                  <c:v>Shigella sp</c:v>
                </c:pt>
                <c:pt idx="5">
                  <c:v>E. coli</c:v>
                </c:pt>
              </c:strCache>
            </c:strRef>
          </c:cat>
          <c:val>
            <c:numRef>
              <c:f>Sheet1!$B$6:$G$6</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0560-460E-A8FF-1A8CF1D140B4}"/>
            </c:ext>
          </c:extLst>
        </c:ser>
        <c:ser>
          <c:idx val="5"/>
          <c:order val="5"/>
          <c:tx>
            <c:strRef>
              <c:f>Sheet1!$A$7</c:f>
              <c:strCache>
                <c:ptCount val="1"/>
                <c:pt idx="0">
                  <c:v>Gentamycin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S. aureus</c:v>
                </c:pt>
                <c:pt idx="1">
                  <c:v>P. aeruginosa</c:v>
                </c:pt>
                <c:pt idx="2">
                  <c:v>Proteus sp.</c:v>
                </c:pt>
                <c:pt idx="3">
                  <c:v>Salmonella sp.</c:v>
                </c:pt>
                <c:pt idx="4">
                  <c:v>Shigella sp</c:v>
                </c:pt>
                <c:pt idx="5">
                  <c:v>E. coli</c:v>
                </c:pt>
              </c:strCache>
            </c:strRef>
          </c:cat>
          <c:val>
            <c:numRef>
              <c:f>Sheet1!$B$7:$G$7</c:f>
              <c:numCache>
                <c:formatCode>General</c:formatCode>
                <c:ptCount val="6"/>
                <c:pt idx="0">
                  <c:v>40</c:v>
                </c:pt>
                <c:pt idx="1">
                  <c:v>32</c:v>
                </c:pt>
                <c:pt idx="2">
                  <c:v>40</c:v>
                </c:pt>
                <c:pt idx="3">
                  <c:v>35</c:v>
                </c:pt>
                <c:pt idx="4">
                  <c:v>27</c:v>
                </c:pt>
                <c:pt idx="5">
                  <c:v>40</c:v>
                </c:pt>
              </c:numCache>
            </c:numRef>
          </c:val>
          <c:extLst>
            <c:ext xmlns:c16="http://schemas.microsoft.com/office/drawing/2014/chart" uri="{C3380CC4-5D6E-409C-BE32-E72D297353CC}">
              <c16:uniqueId val="{00000005-0560-460E-A8FF-1A8CF1D140B4}"/>
            </c:ext>
          </c:extLst>
        </c:ser>
        <c:dLbls>
          <c:showLegendKey val="0"/>
          <c:showVal val="0"/>
          <c:showCatName val="0"/>
          <c:showSerName val="0"/>
          <c:showPercent val="0"/>
          <c:showBubbleSize val="0"/>
        </c:dLbls>
        <c:gapWidth val="150"/>
        <c:axId val="2064788608"/>
        <c:axId val="146216864"/>
      </c:barChart>
      <c:catAx>
        <c:axId val="206478860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Pathogenic bacteria</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216864"/>
        <c:crosses val="autoZero"/>
        <c:auto val="1"/>
        <c:lblAlgn val="ctr"/>
        <c:lblOffset val="100"/>
        <c:noMultiLvlLbl val="0"/>
      </c:catAx>
      <c:valAx>
        <c:axId val="14621686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Zones of Inhibition (mm)</a:t>
                </a:r>
              </a:p>
            </c:rich>
          </c:tx>
          <c:layout>
            <c:manualLayout>
              <c:xMode val="edge"/>
              <c:yMode val="edge"/>
              <c:x val="2.8701891715590344E-2"/>
              <c:y val="5.4373522458628844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64788608"/>
        <c:crosses val="autoZero"/>
        <c:crossBetween val="between"/>
      </c:valAx>
      <c:spPr>
        <a:noFill/>
        <a:ln w="15875">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latin typeface="Arial" panose="020B0604020202020204" pitchFamily="34" charset="0"/>
                <a:cs typeface="Arial" panose="020B0604020202020204" pitchFamily="34" charset="0"/>
              </a:rPr>
              <a:t>Crude Alkaloids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Sheet1!$A$58</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Sheet1!$B$57:$G$57</c:f>
              <c:strCache>
                <c:ptCount val="6"/>
                <c:pt idx="0">
                  <c:v>S. aureus</c:v>
                </c:pt>
                <c:pt idx="1">
                  <c:v>P. aeruginosa</c:v>
                </c:pt>
                <c:pt idx="2">
                  <c:v>Proteus sp.</c:v>
                </c:pt>
                <c:pt idx="3">
                  <c:v>Salmonella sp.</c:v>
                </c:pt>
                <c:pt idx="4">
                  <c:v>Shigella sp</c:v>
                </c:pt>
                <c:pt idx="5">
                  <c:v>E. coli</c:v>
                </c:pt>
              </c:strCache>
            </c:strRef>
          </c:cat>
          <c:val>
            <c:numRef>
              <c:f>Sheet1!$B$58:$G$58</c:f>
              <c:numCache>
                <c:formatCode>General</c:formatCode>
                <c:ptCount val="6"/>
                <c:pt idx="0">
                  <c:v>15</c:v>
                </c:pt>
                <c:pt idx="1">
                  <c:v>12</c:v>
                </c:pt>
                <c:pt idx="2">
                  <c:v>15</c:v>
                </c:pt>
                <c:pt idx="3">
                  <c:v>0</c:v>
                </c:pt>
                <c:pt idx="4">
                  <c:v>17</c:v>
                </c:pt>
                <c:pt idx="5">
                  <c:v>14</c:v>
                </c:pt>
              </c:numCache>
            </c:numRef>
          </c:val>
          <c:extLst>
            <c:ext xmlns:c16="http://schemas.microsoft.com/office/drawing/2014/chart" uri="{C3380CC4-5D6E-409C-BE32-E72D297353CC}">
              <c16:uniqueId val="{00000000-53A6-4CC4-B2F4-6AFF2ABF8E0A}"/>
            </c:ext>
          </c:extLst>
        </c:ser>
        <c:ser>
          <c:idx val="1"/>
          <c:order val="1"/>
          <c:tx>
            <c:strRef>
              <c:f>Sheet1!$A$59</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Sheet1!$B$57:$G$57</c:f>
              <c:strCache>
                <c:ptCount val="6"/>
                <c:pt idx="0">
                  <c:v>S. aureus</c:v>
                </c:pt>
                <c:pt idx="1">
                  <c:v>P. aeruginosa</c:v>
                </c:pt>
                <c:pt idx="2">
                  <c:v>Proteus sp.</c:v>
                </c:pt>
                <c:pt idx="3">
                  <c:v>Salmonella sp.</c:v>
                </c:pt>
                <c:pt idx="4">
                  <c:v>Shigella sp</c:v>
                </c:pt>
                <c:pt idx="5">
                  <c:v>E. coli</c:v>
                </c:pt>
              </c:strCache>
            </c:strRef>
          </c:cat>
          <c:val>
            <c:numRef>
              <c:f>Sheet1!$B$59:$G$59</c:f>
              <c:numCache>
                <c:formatCode>General</c:formatCode>
                <c:ptCount val="6"/>
                <c:pt idx="0">
                  <c:v>13</c:v>
                </c:pt>
                <c:pt idx="1">
                  <c:v>10</c:v>
                </c:pt>
                <c:pt idx="2">
                  <c:v>11</c:v>
                </c:pt>
                <c:pt idx="3">
                  <c:v>0</c:v>
                </c:pt>
                <c:pt idx="4">
                  <c:v>14</c:v>
                </c:pt>
                <c:pt idx="5">
                  <c:v>11</c:v>
                </c:pt>
              </c:numCache>
            </c:numRef>
          </c:val>
          <c:extLst>
            <c:ext xmlns:c16="http://schemas.microsoft.com/office/drawing/2014/chart" uri="{C3380CC4-5D6E-409C-BE32-E72D297353CC}">
              <c16:uniqueId val="{00000001-53A6-4CC4-B2F4-6AFF2ABF8E0A}"/>
            </c:ext>
          </c:extLst>
        </c:ser>
        <c:ser>
          <c:idx val="2"/>
          <c:order val="2"/>
          <c:tx>
            <c:strRef>
              <c:f>Sheet1!$A$60</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Sheet1!$B$57:$G$57</c:f>
              <c:strCache>
                <c:ptCount val="6"/>
                <c:pt idx="0">
                  <c:v>S. aureus</c:v>
                </c:pt>
                <c:pt idx="1">
                  <c:v>P. aeruginosa</c:v>
                </c:pt>
                <c:pt idx="2">
                  <c:v>Proteus sp.</c:v>
                </c:pt>
                <c:pt idx="3">
                  <c:v>Salmonella sp.</c:v>
                </c:pt>
                <c:pt idx="4">
                  <c:v>Shigella sp</c:v>
                </c:pt>
                <c:pt idx="5">
                  <c:v>E. coli</c:v>
                </c:pt>
              </c:strCache>
            </c:strRef>
          </c:cat>
          <c:val>
            <c:numRef>
              <c:f>Sheet1!$B$60:$G$60</c:f>
              <c:numCache>
                <c:formatCode>General</c:formatCode>
                <c:ptCount val="6"/>
                <c:pt idx="0">
                  <c:v>10</c:v>
                </c:pt>
                <c:pt idx="1">
                  <c:v>0</c:v>
                </c:pt>
                <c:pt idx="2">
                  <c:v>9</c:v>
                </c:pt>
                <c:pt idx="3">
                  <c:v>0</c:v>
                </c:pt>
                <c:pt idx="4">
                  <c:v>11</c:v>
                </c:pt>
                <c:pt idx="5">
                  <c:v>8</c:v>
                </c:pt>
              </c:numCache>
            </c:numRef>
          </c:val>
          <c:extLst>
            <c:ext xmlns:c16="http://schemas.microsoft.com/office/drawing/2014/chart" uri="{C3380CC4-5D6E-409C-BE32-E72D297353CC}">
              <c16:uniqueId val="{00000002-53A6-4CC4-B2F4-6AFF2ABF8E0A}"/>
            </c:ext>
          </c:extLst>
        </c:ser>
        <c:ser>
          <c:idx val="3"/>
          <c:order val="3"/>
          <c:tx>
            <c:strRef>
              <c:f>Sheet1!$A$61</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Sheet1!$B$57:$G$57</c:f>
              <c:strCache>
                <c:ptCount val="6"/>
                <c:pt idx="0">
                  <c:v>S. aureus</c:v>
                </c:pt>
                <c:pt idx="1">
                  <c:v>P. aeruginosa</c:v>
                </c:pt>
                <c:pt idx="2">
                  <c:v>Proteus sp.</c:v>
                </c:pt>
                <c:pt idx="3">
                  <c:v>Salmonella sp.</c:v>
                </c:pt>
                <c:pt idx="4">
                  <c:v>Shigella sp</c:v>
                </c:pt>
                <c:pt idx="5">
                  <c:v>E. coli</c:v>
                </c:pt>
              </c:strCache>
            </c:strRef>
          </c:cat>
          <c:val>
            <c:numRef>
              <c:f>Sheet1!$B$61:$G$61</c:f>
              <c:numCache>
                <c:formatCode>General</c:formatCode>
                <c:ptCount val="6"/>
                <c:pt idx="0">
                  <c:v>0</c:v>
                </c:pt>
                <c:pt idx="1">
                  <c:v>0</c:v>
                </c:pt>
                <c:pt idx="2">
                  <c:v>0</c:v>
                </c:pt>
                <c:pt idx="3">
                  <c:v>0</c:v>
                </c:pt>
                <c:pt idx="4">
                  <c:v>9</c:v>
                </c:pt>
                <c:pt idx="5">
                  <c:v>0</c:v>
                </c:pt>
              </c:numCache>
            </c:numRef>
          </c:val>
          <c:extLst>
            <c:ext xmlns:c16="http://schemas.microsoft.com/office/drawing/2014/chart" uri="{C3380CC4-5D6E-409C-BE32-E72D297353CC}">
              <c16:uniqueId val="{00000003-53A6-4CC4-B2F4-6AFF2ABF8E0A}"/>
            </c:ext>
          </c:extLst>
        </c:ser>
        <c:ser>
          <c:idx val="4"/>
          <c:order val="4"/>
          <c:tx>
            <c:strRef>
              <c:f>Sheet1!$A$62</c:f>
              <c:strCache>
                <c:ptCount val="1"/>
                <c:pt idx="0">
                  <c:v>100</c:v>
                </c:pt>
              </c:strCache>
            </c:strRef>
          </c:tx>
          <c:spPr>
            <a:solidFill>
              <a:schemeClr val="accent5"/>
            </a:solidFill>
            <a:ln>
              <a:noFill/>
            </a:ln>
            <a:effectLst/>
          </c:spPr>
          <c:invertIfNegative val="0"/>
          <c:cat>
            <c:strRef>
              <c:f>Sheet1!$B$57:$G$57</c:f>
              <c:strCache>
                <c:ptCount val="6"/>
                <c:pt idx="0">
                  <c:v>S. aureus</c:v>
                </c:pt>
                <c:pt idx="1">
                  <c:v>P. aeruginosa</c:v>
                </c:pt>
                <c:pt idx="2">
                  <c:v>Proteus sp.</c:v>
                </c:pt>
                <c:pt idx="3">
                  <c:v>Salmonella sp.</c:v>
                </c:pt>
                <c:pt idx="4">
                  <c:v>Shigella sp</c:v>
                </c:pt>
                <c:pt idx="5">
                  <c:v>E. coli</c:v>
                </c:pt>
              </c:strCache>
            </c:strRef>
          </c:cat>
          <c:val>
            <c:numRef>
              <c:f>Sheet1!$B$62:$G$62</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53A6-4CC4-B2F4-6AFF2ABF8E0A}"/>
            </c:ext>
          </c:extLst>
        </c:ser>
        <c:ser>
          <c:idx val="5"/>
          <c:order val="5"/>
          <c:tx>
            <c:strRef>
              <c:f>Sheet1!$A$63</c:f>
              <c:strCache>
                <c:ptCount val="1"/>
                <c:pt idx="0">
                  <c:v>Gentamycin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Sheet1!$B$57:$G$57</c:f>
              <c:strCache>
                <c:ptCount val="6"/>
                <c:pt idx="0">
                  <c:v>S. aureus</c:v>
                </c:pt>
                <c:pt idx="1">
                  <c:v>P. aeruginosa</c:v>
                </c:pt>
                <c:pt idx="2">
                  <c:v>Proteus sp.</c:v>
                </c:pt>
                <c:pt idx="3">
                  <c:v>Salmonella sp.</c:v>
                </c:pt>
                <c:pt idx="4">
                  <c:v>Shigella sp</c:v>
                </c:pt>
                <c:pt idx="5">
                  <c:v>E. coli</c:v>
                </c:pt>
              </c:strCache>
            </c:strRef>
          </c:cat>
          <c:val>
            <c:numRef>
              <c:f>Sheet1!$B$63:$G$63</c:f>
              <c:numCache>
                <c:formatCode>General</c:formatCode>
                <c:ptCount val="6"/>
                <c:pt idx="0">
                  <c:v>40</c:v>
                </c:pt>
                <c:pt idx="1">
                  <c:v>32</c:v>
                </c:pt>
                <c:pt idx="2">
                  <c:v>40</c:v>
                </c:pt>
                <c:pt idx="3">
                  <c:v>35</c:v>
                </c:pt>
                <c:pt idx="4">
                  <c:v>27</c:v>
                </c:pt>
                <c:pt idx="5">
                  <c:v>40</c:v>
                </c:pt>
              </c:numCache>
            </c:numRef>
          </c:val>
          <c:extLst>
            <c:ext xmlns:c16="http://schemas.microsoft.com/office/drawing/2014/chart" uri="{C3380CC4-5D6E-409C-BE32-E72D297353CC}">
              <c16:uniqueId val="{00000005-53A6-4CC4-B2F4-6AFF2ABF8E0A}"/>
            </c:ext>
          </c:extLst>
        </c:ser>
        <c:dLbls>
          <c:showLegendKey val="0"/>
          <c:showVal val="0"/>
          <c:showCatName val="0"/>
          <c:showSerName val="0"/>
          <c:showPercent val="0"/>
          <c:showBubbleSize val="0"/>
        </c:dLbls>
        <c:gapWidth val="150"/>
        <c:axId val="145874160"/>
        <c:axId val="2068723504"/>
      </c:barChart>
      <c:catAx>
        <c:axId val="145874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Pathogenic bacteria </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723504"/>
        <c:crosses val="autoZero"/>
        <c:auto val="1"/>
        <c:lblAlgn val="ctr"/>
        <c:lblOffset val="100"/>
        <c:noMultiLvlLbl val="0"/>
      </c:catAx>
      <c:valAx>
        <c:axId val="20687235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Zones of Inhibition (mm)</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741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t>Crude Flavonoids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Sheet1!$A$22</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Sheet1!$B$22:$G$22</c:f>
              <c:numCache>
                <c:formatCode>General</c:formatCode>
                <c:ptCount val="6"/>
                <c:pt idx="0">
                  <c:v>20</c:v>
                </c:pt>
                <c:pt idx="1">
                  <c:v>18</c:v>
                </c:pt>
                <c:pt idx="2">
                  <c:v>14</c:v>
                </c:pt>
                <c:pt idx="3">
                  <c:v>20</c:v>
                </c:pt>
                <c:pt idx="4">
                  <c:v>0</c:v>
                </c:pt>
                <c:pt idx="5">
                  <c:v>0</c:v>
                </c:pt>
              </c:numCache>
            </c:numRef>
          </c:val>
          <c:extLst>
            <c:ext xmlns:c16="http://schemas.microsoft.com/office/drawing/2014/chart" uri="{C3380CC4-5D6E-409C-BE32-E72D297353CC}">
              <c16:uniqueId val="{00000000-4468-46F3-BD73-7EE55EA9221E}"/>
            </c:ext>
          </c:extLst>
        </c:ser>
        <c:ser>
          <c:idx val="1"/>
          <c:order val="1"/>
          <c:tx>
            <c:strRef>
              <c:f>Sheet1!$A$23</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Sheet1!$B$23:$G$23</c:f>
              <c:numCache>
                <c:formatCode>General</c:formatCode>
                <c:ptCount val="6"/>
                <c:pt idx="0">
                  <c:v>16</c:v>
                </c:pt>
                <c:pt idx="1">
                  <c:v>12</c:v>
                </c:pt>
                <c:pt idx="2">
                  <c:v>11</c:v>
                </c:pt>
                <c:pt idx="3">
                  <c:v>17</c:v>
                </c:pt>
                <c:pt idx="4">
                  <c:v>0</c:v>
                </c:pt>
                <c:pt idx="5">
                  <c:v>0</c:v>
                </c:pt>
              </c:numCache>
            </c:numRef>
          </c:val>
          <c:extLst>
            <c:ext xmlns:c16="http://schemas.microsoft.com/office/drawing/2014/chart" uri="{C3380CC4-5D6E-409C-BE32-E72D297353CC}">
              <c16:uniqueId val="{00000001-4468-46F3-BD73-7EE55EA9221E}"/>
            </c:ext>
          </c:extLst>
        </c:ser>
        <c:ser>
          <c:idx val="2"/>
          <c:order val="2"/>
          <c:tx>
            <c:strRef>
              <c:f>Sheet1!$A$24</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Sheet1!$B$24:$G$24</c:f>
              <c:numCache>
                <c:formatCode>General</c:formatCode>
                <c:ptCount val="6"/>
                <c:pt idx="0">
                  <c:v>13</c:v>
                </c:pt>
                <c:pt idx="1">
                  <c:v>8</c:v>
                </c:pt>
                <c:pt idx="2">
                  <c:v>9</c:v>
                </c:pt>
                <c:pt idx="3">
                  <c:v>14</c:v>
                </c:pt>
                <c:pt idx="4">
                  <c:v>0</c:v>
                </c:pt>
                <c:pt idx="5">
                  <c:v>0</c:v>
                </c:pt>
              </c:numCache>
            </c:numRef>
          </c:val>
          <c:extLst>
            <c:ext xmlns:c16="http://schemas.microsoft.com/office/drawing/2014/chart" uri="{C3380CC4-5D6E-409C-BE32-E72D297353CC}">
              <c16:uniqueId val="{00000002-4468-46F3-BD73-7EE55EA9221E}"/>
            </c:ext>
          </c:extLst>
        </c:ser>
        <c:ser>
          <c:idx val="3"/>
          <c:order val="3"/>
          <c:tx>
            <c:strRef>
              <c:f>Sheet1!$A$25</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Sheet1!$B$25:$G$25</c:f>
              <c:numCache>
                <c:formatCode>General</c:formatCode>
                <c:ptCount val="6"/>
                <c:pt idx="0">
                  <c:v>11</c:v>
                </c:pt>
                <c:pt idx="1">
                  <c:v>0</c:v>
                </c:pt>
                <c:pt idx="2">
                  <c:v>0</c:v>
                </c:pt>
                <c:pt idx="3">
                  <c:v>11</c:v>
                </c:pt>
                <c:pt idx="4">
                  <c:v>0</c:v>
                </c:pt>
                <c:pt idx="5">
                  <c:v>0</c:v>
                </c:pt>
              </c:numCache>
            </c:numRef>
          </c:val>
          <c:extLst>
            <c:ext xmlns:c16="http://schemas.microsoft.com/office/drawing/2014/chart" uri="{C3380CC4-5D6E-409C-BE32-E72D297353CC}">
              <c16:uniqueId val="{00000003-4468-46F3-BD73-7EE55EA9221E}"/>
            </c:ext>
          </c:extLst>
        </c:ser>
        <c:ser>
          <c:idx val="4"/>
          <c:order val="4"/>
          <c:tx>
            <c:strRef>
              <c:f>Sheet1!$A$26</c:f>
              <c:strCache>
                <c:ptCount val="1"/>
                <c:pt idx="0">
                  <c:v>100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Sheet1!$B$26:$G$26</c:f>
              <c:numCache>
                <c:formatCode>General</c:formatCode>
                <c:ptCount val="6"/>
                <c:pt idx="0">
                  <c:v>0</c:v>
                </c:pt>
                <c:pt idx="1">
                  <c:v>0</c:v>
                </c:pt>
                <c:pt idx="2">
                  <c:v>0</c:v>
                </c:pt>
                <c:pt idx="3">
                  <c:v>8</c:v>
                </c:pt>
                <c:pt idx="4">
                  <c:v>0</c:v>
                </c:pt>
                <c:pt idx="5">
                  <c:v>0</c:v>
                </c:pt>
              </c:numCache>
            </c:numRef>
          </c:val>
          <c:extLst>
            <c:ext xmlns:c16="http://schemas.microsoft.com/office/drawing/2014/chart" uri="{C3380CC4-5D6E-409C-BE32-E72D297353CC}">
              <c16:uniqueId val="{00000004-4468-46F3-BD73-7EE55EA9221E}"/>
            </c:ext>
          </c:extLst>
        </c:ser>
        <c:ser>
          <c:idx val="5"/>
          <c:order val="5"/>
          <c:tx>
            <c:strRef>
              <c:f>Sheet1!$A$27</c:f>
              <c:strCache>
                <c:ptCount val="1"/>
                <c:pt idx="0">
                  <c:v>Gentamycin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Sheet1!$B$21:$G$21</c:f>
              <c:strCache>
                <c:ptCount val="6"/>
                <c:pt idx="0">
                  <c:v>S. aureus</c:v>
                </c:pt>
                <c:pt idx="1">
                  <c:v>P. aeruginosa</c:v>
                </c:pt>
                <c:pt idx="2">
                  <c:v>Proteus sp.</c:v>
                </c:pt>
                <c:pt idx="3">
                  <c:v>Salmonella sp.</c:v>
                </c:pt>
                <c:pt idx="4">
                  <c:v>Shigella sp</c:v>
                </c:pt>
                <c:pt idx="5">
                  <c:v>E. coli</c:v>
                </c:pt>
              </c:strCache>
            </c:strRef>
          </c:cat>
          <c:val>
            <c:numRef>
              <c:f>Sheet1!$B$27:$G$27</c:f>
              <c:numCache>
                <c:formatCode>General</c:formatCode>
                <c:ptCount val="6"/>
                <c:pt idx="0">
                  <c:v>40</c:v>
                </c:pt>
                <c:pt idx="1">
                  <c:v>32</c:v>
                </c:pt>
                <c:pt idx="2">
                  <c:v>40</c:v>
                </c:pt>
                <c:pt idx="3">
                  <c:v>35</c:v>
                </c:pt>
                <c:pt idx="4">
                  <c:v>27</c:v>
                </c:pt>
                <c:pt idx="5">
                  <c:v>40</c:v>
                </c:pt>
              </c:numCache>
            </c:numRef>
          </c:val>
          <c:extLst>
            <c:ext xmlns:c16="http://schemas.microsoft.com/office/drawing/2014/chart" uri="{C3380CC4-5D6E-409C-BE32-E72D297353CC}">
              <c16:uniqueId val="{00000005-4468-46F3-BD73-7EE55EA9221E}"/>
            </c:ext>
          </c:extLst>
        </c:ser>
        <c:dLbls>
          <c:showLegendKey val="0"/>
          <c:showVal val="0"/>
          <c:showCatName val="0"/>
          <c:showSerName val="0"/>
          <c:showPercent val="0"/>
          <c:showBubbleSize val="0"/>
        </c:dLbls>
        <c:gapWidth val="150"/>
        <c:axId val="145874560"/>
        <c:axId val="227836832"/>
      </c:barChart>
      <c:catAx>
        <c:axId val="14587456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Pathogenic bacteria </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27836832"/>
        <c:crosses val="autoZero"/>
        <c:auto val="1"/>
        <c:lblAlgn val="ctr"/>
        <c:lblOffset val="100"/>
        <c:noMultiLvlLbl val="0"/>
      </c:catAx>
      <c:valAx>
        <c:axId val="22783683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Zones of Inhibition (mm</a:t>
                </a:r>
                <a:r>
                  <a:rPr lang="en-US"/>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58745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latin typeface="Arial" panose="020B0604020202020204" pitchFamily="34" charset="0"/>
                <a:cs typeface="Arial" panose="020B0604020202020204" pitchFamily="34" charset="0"/>
              </a:rPr>
              <a:t>Crude Cardiac glycosides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Sheet1!$A$41</c:f>
              <c:strCache>
                <c:ptCount val="1"/>
                <c:pt idx="0">
                  <c:v>500</c:v>
                </c:pt>
              </c:strCache>
            </c:strRef>
          </c:tx>
          <c:spPr>
            <a:solidFill>
              <a:schemeClr val="accent1"/>
            </a:solidFill>
            <a:ln>
              <a:noFill/>
            </a:ln>
            <a:effectLst/>
          </c:spPr>
          <c:invertIfNegative val="0"/>
          <c:cat>
            <c:strRef>
              <c:f>Sheet1!$B$40:$G$40</c:f>
              <c:strCache>
                <c:ptCount val="6"/>
                <c:pt idx="0">
                  <c:v>S. aureus</c:v>
                </c:pt>
                <c:pt idx="1">
                  <c:v>P. aeruginosa</c:v>
                </c:pt>
                <c:pt idx="2">
                  <c:v>Proteus sp.</c:v>
                </c:pt>
                <c:pt idx="3">
                  <c:v>Salmonella sp.</c:v>
                </c:pt>
                <c:pt idx="4">
                  <c:v>Shigella sp</c:v>
                </c:pt>
                <c:pt idx="5">
                  <c:v>E. coli</c:v>
                </c:pt>
              </c:strCache>
            </c:strRef>
          </c:cat>
          <c:val>
            <c:numRef>
              <c:f>Sheet1!$B$41:$G$41</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108F-45F7-8A99-C058843DEDAA}"/>
            </c:ext>
          </c:extLst>
        </c:ser>
        <c:ser>
          <c:idx val="1"/>
          <c:order val="1"/>
          <c:tx>
            <c:strRef>
              <c:f>Sheet1!$A$42</c:f>
              <c:strCache>
                <c:ptCount val="1"/>
                <c:pt idx="0">
                  <c:v>400</c:v>
                </c:pt>
              </c:strCache>
            </c:strRef>
          </c:tx>
          <c:spPr>
            <a:solidFill>
              <a:schemeClr val="accent2"/>
            </a:solidFill>
            <a:ln>
              <a:noFill/>
            </a:ln>
            <a:effectLst/>
          </c:spPr>
          <c:invertIfNegative val="0"/>
          <c:cat>
            <c:strRef>
              <c:f>Sheet1!$B$40:$G$40</c:f>
              <c:strCache>
                <c:ptCount val="6"/>
                <c:pt idx="0">
                  <c:v>S. aureus</c:v>
                </c:pt>
                <c:pt idx="1">
                  <c:v>P. aeruginosa</c:v>
                </c:pt>
                <c:pt idx="2">
                  <c:v>Proteus sp.</c:v>
                </c:pt>
                <c:pt idx="3">
                  <c:v>Salmonella sp.</c:v>
                </c:pt>
                <c:pt idx="4">
                  <c:v>Shigella sp</c:v>
                </c:pt>
                <c:pt idx="5">
                  <c:v>E. coli</c:v>
                </c:pt>
              </c:strCache>
            </c:strRef>
          </c:cat>
          <c:val>
            <c:numRef>
              <c:f>Sheet1!$B$42:$G$42</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1-108F-45F7-8A99-C058843DEDAA}"/>
            </c:ext>
          </c:extLst>
        </c:ser>
        <c:ser>
          <c:idx val="2"/>
          <c:order val="2"/>
          <c:tx>
            <c:strRef>
              <c:f>Sheet1!$A$43</c:f>
              <c:strCache>
                <c:ptCount val="1"/>
                <c:pt idx="0">
                  <c:v>300</c:v>
                </c:pt>
              </c:strCache>
            </c:strRef>
          </c:tx>
          <c:spPr>
            <a:solidFill>
              <a:schemeClr val="accent3"/>
            </a:solidFill>
            <a:ln>
              <a:noFill/>
            </a:ln>
            <a:effectLst/>
          </c:spPr>
          <c:invertIfNegative val="0"/>
          <c:cat>
            <c:strRef>
              <c:f>Sheet1!$B$40:$G$40</c:f>
              <c:strCache>
                <c:ptCount val="6"/>
                <c:pt idx="0">
                  <c:v>S. aureus</c:v>
                </c:pt>
                <c:pt idx="1">
                  <c:v>P. aeruginosa</c:v>
                </c:pt>
                <c:pt idx="2">
                  <c:v>Proteus sp.</c:v>
                </c:pt>
                <c:pt idx="3">
                  <c:v>Salmonella sp.</c:v>
                </c:pt>
                <c:pt idx="4">
                  <c:v>Shigella sp</c:v>
                </c:pt>
                <c:pt idx="5">
                  <c:v>E. coli</c:v>
                </c:pt>
              </c:strCache>
            </c:strRef>
          </c:cat>
          <c:val>
            <c:numRef>
              <c:f>Sheet1!$B$43:$G$43</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108F-45F7-8A99-C058843DEDAA}"/>
            </c:ext>
          </c:extLst>
        </c:ser>
        <c:ser>
          <c:idx val="3"/>
          <c:order val="3"/>
          <c:tx>
            <c:strRef>
              <c:f>Sheet1!$A$44</c:f>
              <c:strCache>
                <c:ptCount val="1"/>
                <c:pt idx="0">
                  <c:v>200</c:v>
                </c:pt>
              </c:strCache>
            </c:strRef>
          </c:tx>
          <c:spPr>
            <a:solidFill>
              <a:schemeClr val="accent4"/>
            </a:solidFill>
            <a:ln>
              <a:noFill/>
            </a:ln>
            <a:effectLst/>
          </c:spPr>
          <c:invertIfNegative val="0"/>
          <c:cat>
            <c:strRef>
              <c:f>Sheet1!$B$40:$G$40</c:f>
              <c:strCache>
                <c:ptCount val="6"/>
                <c:pt idx="0">
                  <c:v>S. aureus</c:v>
                </c:pt>
                <c:pt idx="1">
                  <c:v>P. aeruginosa</c:v>
                </c:pt>
                <c:pt idx="2">
                  <c:v>Proteus sp.</c:v>
                </c:pt>
                <c:pt idx="3">
                  <c:v>Salmonella sp.</c:v>
                </c:pt>
                <c:pt idx="4">
                  <c:v>Shigella sp</c:v>
                </c:pt>
                <c:pt idx="5">
                  <c:v>E. coli</c:v>
                </c:pt>
              </c:strCache>
            </c:strRef>
          </c:cat>
          <c:val>
            <c:numRef>
              <c:f>Sheet1!$B$44:$G$44</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108F-45F7-8A99-C058843DEDAA}"/>
            </c:ext>
          </c:extLst>
        </c:ser>
        <c:ser>
          <c:idx val="4"/>
          <c:order val="4"/>
          <c:tx>
            <c:strRef>
              <c:f>Sheet1!$A$45</c:f>
              <c:strCache>
                <c:ptCount val="1"/>
                <c:pt idx="0">
                  <c:v>100</c:v>
                </c:pt>
              </c:strCache>
            </c:strRef>
          </c:tx>
          <c:spPr>
            <a:solidFill>
              <a:schemeClr val="accent5"/>
            </a:solidFill>
            <a:ln>
              <a:noFill/>
            </a:ln>
            <a:effectLst/>
          </c:spPr>
          <c:invertIfNegative val="0"/>
          <c:cat>
            <c:strRef>
              <c:f>Sheet1!$B$40:$G$40</c:f>
              <c:strCache>
                <c:ptCount val="6"/>
                <c:pt idx="0">
                  <c:v>S. aureus</c:v>
                </c:pt>
                <c:pt idx="1">
                  <c:v>P. aeruginosa</c:v>
                </c:pt>
                <c:pt idx="2">
                  <c:v>Proteus sp.</c:v>
                </c:pt>
                <c:pt idx="3">
                  <c:v>Salmonella sp.</c:v>
                </c:pt>
                <c:pt idx="4">
                  <c:v>Shigella sp</c:v>
                </c:pt>
                <c:pt idx="5">
                  <c:v>E. coli</c:v>
                </c:pt>
              </c:strCache>
            </c:strRef>
          </c:cat>
          <c:val>
            <c:numRef>
              <c:f>Sheet1!$B$45:$G$45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108F-45F7-8A99-C058843DEDAA}"/>
            </c:ext>
          </c:extLst>
        </c:ser>
        <c:ser>
          <c:idx val="5"/>
          <c:order val="5"/>
          <c:tx>
            <c:strRef>
              <c:f>Sheet1!$A$46</c:f>
              <c:strCache>
                <c:ptCount val="1"/>
                <c:pt idx="0">
                  <c:v>Gentamycin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Sheet1!$B$40:$G$40</c:f>
              <c:strCache>
                <c:ptCount val="6"/>
                <c:pt idx="0">
                  <c:v>S. aureus</c:v>
                </c:pt>
                <c:pt idx="1">
                  <c:v>P. aeruginosa</c:v>
                </c:pt>
                <c:pt idx="2">
                  <c:v>Proteus sp.</c:v>
                </c:pt>
                <c:pt idx="3">
                  <c:v>Salmonella sp.</c:v>
                </c:pt>
                <c:pt idx="4">
                  <c:v>Shigella sp</c:v>
                </c:pt>
                <c:pt idx="5">
                  <c:v>E. coli</c:v>
                </c:pt>
              </c:strCache>
            </c:strRef>
          </c:cat>
          <c:val>
            <c:numRef>
              <c:f>Sheet1!$B$46:$G$46</c:f>
              <c:numCache>
                <c:formatCode>General</c:formatCode>
                <c:ptCount val="6"/>
                <c:pt idx="0">
                  <c:v>40</c:v>
                </c:pt>
                <c:pt idx="1">
                  <c:v>32</c:v>
                </c:pt>
                <c:pt idx="2">
                  <c:v>40</c:v>
                </c:pt>
                <c:pt idx="3">
                  <c:v>35</c:v>
                </c:pt>
                <c:pt idx="4">
                  <c:v>27</c:v>
                </c:pt>
                <c:pt idx="5">
                  <c:v>40</c:v>
                </c:pt>
              </c:numCache>
            </c:numRef>
          </c:val>
          <c:extLst>
            <c:ext xmlns:c16="http://schemas.microsoft.com/office/drawing/2014/chart" uri="{C3380CC4-5D6E-409C-BE32-E72D297353CC}">
              <c16:uniqueId val="{00000005-108F-45F7-8A99-C058843DEDAA}"/>
            </c:ext>
          </c:extLst>
        </c:ser>
        <c:dLbls>
          <c:showLegendKey val="0"/>
          <c:showVal val="0"/>
          <c:showCatName val="0"/>
          <c:showSerName val="0"/>
          <c:showPercent val="0"/>
          <c:showBubbleSize val="0"/>
        </c:dLbls>
        <c:gapWidth val="150"/>
        <c:axId val="348210720"/>
        <c:axId val="148295984"/>
      </c:barChart>
      <c:catAx>
        <c:axId val="348210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Pathogenic bacteria </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295984"/>
        <c:crosses val="autoZero"/>
        <c:auto val="1"/>
        <c:lblAlgn val="ctr"/>
        <c:lblOffset val="100"/>
        <c:noMultiLvlLbl val="0"/>
      </c:catAx>
      <c:valAx>
        <c:axId val="1482959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0">
                    <a:effectLst/>
                    <a:latin typeface="Arial" panose="020B0604020202020204" pitchFamily="34" charset="0"/>
                    <a:cs typeface="Arial" panose="020B0604020202020204" pitchFamily="34" charset="0"/>
                  </a:rPr>
                  <a:t>Zones of Inhibition (mm)</a:t>
                </a:r>
                <a:endParaRPr lang="en-US">
                  <a:latin typeface="Arial" panose="020B0604020202020204" pitchFamily="34" charset="0"/>
                  <a:cs typeface="Arial" panose="020B0604020202020204" pitchFamily="34" charset="0"/>
                </a:endParaRPr>
              </a:p>
            </c:rich>
          </c:tx>
          <c:layout>
            <c:manualLayout>
              <c:xMode val="edge"/>
              <c:yMode val="edge"/>
              <c:x val="3.1677465802735782E-2"/>
              <c:y val="5.066666666666666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210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Ethanol extract</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Sheet1!$A$77</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Sheet1!$B$76:$E$76</c:f>
              <c:strCache>
                <c:ptCount val="4"/>
                <c:pt idx="0">
                  <c:v>S. cerevisiae</c:v>
                </c:pt>
                <c:pt idx="1">
                  <c:v>C. albicans</c:v>
                </c:pt>
                <c:pt idx="2">
                  <c:v>A. flavus</c:v>
                </c:pt>
                <c:pt idx="3">
                  <c:v>A. niger</c:v>
                </c:pt>
              </c:strCache>
            </c:strRef>
          </c:cat>
          <c:val>
            <c:numRef>
              <c:f>Sheet1!$B$77:$E$77</c:f>
              <c:numCache>
                <c:formatCode>General</c:formatCode>
                <c:ptCount val="4"/>
                <c:pt idx="0">
                  <c:v>12</c:v>
                </c:pt>
                <c:pt idx="1">
                  <c:v>19</c:v>
                </c:pt>
                <c:pt idx="2">
                  <c:v>14</c:v>
                </c:pt>
                <c:pt idx="3">
                  <c:v>17</c:v>
                </c:pt>
              </c:numCache>
            </c:numRef>
          </c:val>
          <c:extLst>
            <c:ext xmlns:c16="http://schemas.microsoft.com/office/drawing/2014/chart" uri="{C3380CC4-5D6E-409C-BE32-E72D297353CC}">
              <c16:uniqueId val="{00000000-3298-47B7-8DE8-16F7ECDA6B55}"/>
            </c:ext>
          </c:extLst>
        </c:ser>
        <c:ser>
          <c:idx val="1"/>
          <c:order val="1"/>
          <c:tx>
            <c:strRef>
              <c:f>Sheet1!$A$78</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Sheet1!$B$76:$E$76</c:f>
              <c:strCache>
                <c:ptCount val="4"/>
                <c:pt idx="0">
                  <c:v>S. cerevisiae</c:v>
                </c:pt>
                <c:pt idx="1">
                  <c:v>C. albicans</c:v>
                </c:pt>
                <c:pt idx="2">
                  <c:v>A. flavus</c:v>
                </c:pt>
                <c:pt idx="3">
                  <c:v>A. niger</c:v>
                </c:pt>
              </c:strCache>
            </c:strRef>
          </c:cat>
          <c:val>
            <c:numRef>
              <c:f>Sheet1!$B$78:$E$78</c:f>
              <c:numCache>
                <c:formatCode>General</c:formatCode>
                <c:ptCount val="4"/>
                <c:pt idx="0">
                  <c:v>8</c:v>
                </c:pt>
                <c:pt idx="1">
                  <c:v>14</c:v>
                </c:pt>
                <c:pt idx="2">
                  <c:v>11</c:v>
                </c:pt>
                <c:pt idx="3">
                  <c:v>14</c:v>
                </c:pt>
              </c:numCache>
            </c:numRef>
          </c:val>
          <c:extLst>
            <c:ext xmlns:c16="http://schemas.microsoft.com/office/drawing/2014/chart" uri="{C3380CC4-5D6E-409C-BE32-E72D297353CC}">
              <c16:uniqueId val="{00000001-3298-47B7-8DE8-16F7ECDA6B55}"/>
            </c:ext>
          </c:extLst>
        </c:ser>
        <c:ser>
          <c:idx val="2"/>
          <c:order val="2"/>
          <c:tx>
            <c:strRef>
              <c:f>Sheet1!$A$79</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Sheet1!$B$76:$E$76</c:f>
              <c:strCache>
                <c:ptCount val="4"/>
                <c:pt idx="0">
                  <c:v>S. cerevisiae</c:v>
                </c:pt>
                <c:pt idx="1">
                  <c:v>C. albicans</c:v>
                </c:pt>
                <c:pt idx="2">
                  <c:v>A. flavus</c:v>
                </c:pt>
                <c:pt idx="3">
                  <c:v>A. niger</c:v>
                </c:pt>
              </c:strCache>
            </c:strRef>
          </c:cat>
          <c:val>
            <c:numRef>
              <c:f>Sheet1!$B$79:$E$79</c:f>
              <c:numCache>
                <c:formatCode>General</c:formatCode>
                <c:ptCount val="4"/>
                <c:pt idx="0">
                  <c:v>0</c:v>
                </c:pt>
                <c:pt idx="1">
                  <c:v>10</c:v>
                </c:pt>
                <c:pt idx="2">
                  <c:v>8</c:v>
                </c:pt>
                <c:pt idx="3">
                  <c:v>10</c:v>
                </c:pt>
              </c:numCache>
            </c:numRef>
          </c:val>
          <c:extLst>
            <c:ext xmlns:c16="http://schemas.microsoft.com/office/drawing/2014/chart" uri="{C3380CC4-5D6E-409C-BE32-E72D297353CC}">
              <c16:uniqueId val="{00000002-3298-47B7-8DE8-16F7ECDA6B55}"/>
            </c:ext>
          </c:extLst>
        </c:ser>
        <c:ser>
          <c:idx val="3"/>
          <c:order val="3"/>
          <c:tx>
            <c:strRef>
              <c:f>Sheet1!$A$80</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Sheet1!$B$76:$E$76</c:f>
              <c:strCache>
                <c:ptCount val="4"/>
                <c:pt idx="0">
                  <c:v>S. cerevisiae</c:v>
                </c:pt>
                <c:pt idx="1">
                  <c:v>C. albicans</c:v>
                </c:pt>
                <c:pt idx="2">
                  <c:v>A. flavus</c:v>
                </c:pt>
                <c:pt idx="3">
                  <c:v>A. niger</c:v>
                </c:pt>
              </c:strCache>
            </c:strRef>
          </c:cat>
          <c:val>
            <c:numRef>
              <c:f>Sheet1!$B$80:$E$80</c:f>
              <c:numCache>
                <c:formatCode>General</c:formatCode>
                <c:ptCount val="4"/>
                <c:pt idx="0">
                  <c:v>0</c:v>
                </c:pt>
                <c:pt idx="1">
                  <c:v>7</c:v>
                </c:pt>
                <c:pt idx="2">
                  <c:v>0</c:v>
                </c:pt>
                <c:pt idx="3">
                  <c:v>0</c:v>
                </c:pt>
              </c:numCache>
            </c:numRef>
          </c:val>
          <c:extLst>
            <c:ext xmlns:c16="http://schemas.microsoft.com/office/drawing/2014/chart" uri="{C3380CC4-5D6E-409C-BE32-E72D297353CC}">
              <c16:uniqueId val="{00000003-3298-47B7-8DE8-16F7ECDA6B55}"/>
            </c:ext>
          </c:extLst>
        </c:ser>
        <c:ser>
          <c:idx val="4"/>
          <c:order val="4"/>
          <c:tx>
            <c:strRef>
              <c:f>Sheet1!$A$81</c:f>
              <c:strCache>
                <c:ptCount val="1"/>
                <c:pt idx="0">
                  <c:v>100</c:v>
                </c:pt>
              </c:strCache>
            </c:strRef>
          </c:tx>
          <c:spPr>
            <a:solidFill>
              <a:schemeClr val="accent5"/>
            </a:solidFill>
            <a:ln>
              <a:noFill/>
            </a:ln>
            <a:effectLst/>
          </c:spPr>
          <c:invertIfNegative val="0"/>
          <c:cat>
            <c:strRef>
              <c:f>Sheet1!$B$76:$E$76</c:f>
              <c:strCache>
                <c:ptCount val="4"/>
                <c:pt idx="0">
                  <c:v>S. cerevisiae</c:v>
                </c:pt>
                <c:pt idx="1">
                  <c:v>C. albicans</c:v>
                </c:pt>
                <c:pt idx="2">
                  <c:v>A. flavus</c:v>
                </c:pt>
                <c:pt idx="3">
                  <c:v>A. niger</c:v>
                </c:pt>
              </c:strCache>
            </c:strRef>
          </c:cat>
          <c:val>
            <c:numRef>
              <c:f>Sheet1!$B$81:$E$81</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3298-47B7-8DE8-16F7ECDA6B55}"/>
            </c:ext>
          </c:extLst>
        </c:ser>
        <c:ser>
          <c:idx val="5"/>
          <c:order val="5"/>
          <c:tx>
            <c:strRef>
              <c:f>Sheet1!$A$82</c:f>
              <c:strCache>
                <c:ptCount val="1"/>
                <c:pt idx="0">
                  <c:v>Nystatin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Sheet1!$B$76:$E$76</c:f>
              <c:strCache>
                <c:ptCount val="4"/>
                <c:pt idx="0">
                  <c:v>S. cerevisiae</c:v>
                </c:pt>
                <c:pt idx="1">
                  <c:v>C. albicans</c:v>
                </c:pt>
                <c:pt idx="2">
                  <c:v>A. flavus</c:v>
                </c:pt>
                <c:pt idx="3">
                  <c:v>A. niger</c:v>
                </c:pt>
              </c:strCache>
            </c:strRef>
          </c:cat>
          <c:val>
            <c:numRef>
              <c:f>Sheet1!$B$82:$E$82</c:f>
              <c:numCache>
                <c:formatCode>General</c:formatCode>
                <c:ptCount val="4"/>
                <c:pt idx="0">
                  <c:v>37</c:v>
                </c:pt>
                <c:pt idx="1">
                  <c:v>41</c:v>
                </c:pt>
                <c:pt idx="2">
                  <c:v>30</c:v>
                </c:pt>
                <c:pt idx="3">
                  <c:v>32</c:v>
                </c:pt>
              </c:numCache>
            </c:numRef>
          </c:val>
          <c:extLst>
            <c:ext xmlns:c16="http://schemas.microsoft.com/office/drawing/2014/chart" uri="{C3380CC4-5D6E-409C-BE32-E72D297353CC}">
              <c16:uniqueId val="{00000005-3298-47B7-8DE8-16F7ECDA6B55}"/>
            </c:ext>
          </c:extLst>
        </c:ser>
        <c:dLbls>
          <c:showLegendKey val="0"/>
          <c:showVal val="0"/>
          <c:showCatName val="0"/>
          <c:showSerName val="0"/>
          <c:showPercent val="0"/>
          <c:showBubbleSize val="0"/>
        </c:dLbls>
        <c:gapWidth val="150"/>
        <c:axId val="251838928"/>
        <c:axId val="2067247568"/>
      </c:barChart>
      <c:catAx>
        <c:axId val="251838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Pathogenic fungi </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7247568"/>
        <c:crosses val="autoZero"/>
        <c:auto val="1"/>
        <c:lblAlgn val="ctr"/>
        <c:lblOffset val="100"/>
        <c:noMultiLvlLbl val="0"/>
      </c:catAx>
      <c:valAx>
        <c:axId val="2067247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Zones of Inhibition (mm)</a:t>
                </a:r>
                <a:endParaRPr lang="en-US" sz="1000">
                  <a:effectLst/>
                  <a:latin typeface="Arial" panose="020B0604020202020204" pitchFamily="34" charset="0"/>
                  <a:cs typeface="Arial" panose="020B0604020202020204" pitchFamily="34" charset="0"/>
                </a:endParaRPr>
              </a:p>
            </c:rich>
          </c:tx>
          <c:layout>
            <c:manualLayout>
              <c:xMode val="edge"/>
              <c:yMode val="edge"/>
              <c:x val="3.0555555555555555E-2"/>
              <c:y val="9.401709401709401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1838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Crude Alkaloids</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Sheet1!$A$94</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Sheet1!$B$94:$E$94</c:f>
              <c:numCache>
                <c:formatCode>General</c:formatCode>
                <c:ptCount val="4"/>
                <c:pt idx="0">
                  <c:v>20</c:v>
                </c:pt>
                <c:pt idx="1">
                  <c:v>13</c:v>
                </c:pt>
                <c:pt idx="2">
                  <c:v>17</c:v>
                </c:pt>
                <c:pt idx="3">
                  <c:v>10</c:v>
                </c:pt>
              </c:numCache>
            </c:numRef>
          </c:val>
          <c:extLst>
            <c:ext xmlns:c16="http://schemas.microsoft.com/office/drawing/2014/chart" uri="{C3380CC4-5D6E-409C-BE32-E72D297353CC}">
              <c16:uniqueId val="{00000000-7964-4DFC-9952-8507BE1DE71C}"/>
            </c:ext>
          </c:extLst>
        </c:ser>
        <c:ser>
          <c:idx val="1"/>
          <c:order val="1"/>
          <c:tx>
            <c:strRef>
              <c:f>Sheet1!$A$95</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Sheet1!$B$95:$E$95</c:f>
              <c:numCache>
                <c:formatCode>General</c:formatCode>
                <c:ptCount val="4"/>
                <c:pt idx="0">
                  <c:v>17</c:v>
                </c:pt>
                <c:pt idx="1">
                  <c:v>10</c:v>
                </c:pt>
                <c:pt idx="2">
                  <c:v>14</c:v>
                </c:pt>
                <c:pt idx="3">
                  <c:v>7</c:v>
                </c:pt>
              </c:numCache>
            </c:numRef>
          </c:val>
          <c:extLst>
            <c:ext xmlns:c16="http://schemas.microsoft.com/office/drawing/2014/chart" uri="{C3380CC4-5D6E-409C-BE32-E72D297353CC}">
              <c16:uniqueId val="{00000001-7964-4DFC-9952-8507BE1DE71C}"/>
            </c:ext>
          </c:extLst>
        </c:ser>
        <c:ser>
          <c:idx val="2"/>
          <c:order val="2"/>
          <c:tx>
            <c:strRef>
              <c:f>Sheet1!$A$96</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Sheet1!$B$96:$E$96</c:f>
              <c:numCache>
                <c:formatCode>General</c:formatCode>
                <c:ptCount val="4"/>
                <c:pt idx="0">
                  <c:v>14</c:v>
                </c:pt>
                <c:pt idx="1">
                  <c:v>8</c:v>
                </c:pt>
                <c:pt idx="2">
                  <c:v>11</c:v>
                </c:pt>
                <c:pt idx="3">
                  <c:v>0</c:v>
                </c:pt>
              </c:numCache>
            </c:numRef>
          </c:val>
          <c:extLst>
            <c:ext xmlns:c16="http://schemas.microsoft.com/office/drawing/2014/chart" uri="{C3380CC4-5D6E-409C-BE32-E72D297353CC}">
              <c16:uniqueId val="{00000002-7964-4DFC-9952-8507BE1DE71C}"/>
            </c:ext>
          </c:extLst>
        </c:ser>
        <c:ser>
          <c:idx val="3"/>
          <c:order val="3"/>
          <c:tx>
            <c:strRef>
              <c:f>Sheet1!$A$97</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Sheet1!$B$97:$E$97</c:f>
              <c:numCache>
                <c:formatCode>General</c:formatCode>
                <c:ptCount val="4"/>
                <c:pt idx="0">
                  <c:v>11</c:v>
                </c:pt>
                <c:pt idx="1">
                  <c:v>0</c:v>
                </c:pt>
                <c:pt idx="2">
                  <c:v>8</c:v>
                </c:pt>
                <c:pt idx="3">
                  <c:v>0</c:v>
                </c:pt>
              </c:numCache>
            </c:numRef>
          </c:val>
          <c:extLst>
            <c:ext xmlns:c16="http://schemas.microsoft.com/office/drawing/2014/chart" uri="{C3380CC4-5D6E-409C-BE32-E72D297353CC}">
              <c16:uniqueId val="{00000003-7964-4DFC-9952-8507BE1DE71C}"/>
            </c:ext>
          </c:extLst>
        </c:ser>
        <c:ser>
          <c:idx val="4"/>
          <c:order val="4"/>
          <c:tx>
            <c:strRef>
              <c:f>Sheet1!$A$98</c:f>
              <c:strCache>
                <c:ptCount val="1"/>
                <c:pt idx="0">
                  <c:v>100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Sheet1!$B$98:$E$98</c:f>
              <c:numCache>
                <c:formatCode>General</c:formatCode>
                <c:ptCount val="4"/>
                <c:pt idx="0">
                  <c:v>8</c:v>
                </c:pt>
                <c:pt idx="1">
                  <c:v>0</c:v>
                </c:pt>
                <c:pt idx="2">
                  <c:v>0</c:v>
                </c:pt>
                <c:pt idx="3">
                  <c:v>0</c:v>
                </c:pt>
              </c:numCache>
            </c:numRef>
          </c:val>
          <c:extLst>
            <c:ext xmlns:c16="http://schemas.microsoft.com/office/drawing/2014/chart" uri="{C3380CC4-5D6E-409C-BE32-E72D297353CC}">
              <c16:uniqueId val="{00000004-7964-4DFC-9952-8507BE1DE71C}"/>
            </c:ext>
          </c:extLst>
        </c:ser>
        <c:ser>
          <c:idx val="5"/>
          <c:order val="5"/>
          <c:tx>
            <c:strRef>
              <c:f>Sheet1!$A$99</c:f>
              <c:strCache>
                <c:ptCount val="1"/>
                <c:pt idx="0">
                  <c:v>Nystatin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Sheet1!$B$93:$E$93</c:f>
              <c:strCache>
                <c:ptCount val="4"/>
                <c:pt idx="0">
                  <c:v>S. cerevisiae</c:v>
                </c:pt>
                <c:pt idx="1">
                  <c:v>C. albicans</c:v>
                </c:pt>
                <c:pt idx="2">
                  <c:v>A. flavus</c:v>
                </c:pt>
                <c:pt idx="3">
                  <c:v>A. niger</c:v>
                </c:pt>
              </c:strCache>
            </c:strRef>
          </c:cat>
          <c:val>
            <c:numRef>
              <c:f>Sheet1!$B$99:$E$99</c:f>
              <c:numCache>
                <c:formatCode>General</c:formatCode>
                <c:ptCount val="4"/>
                <c:pt idx="0">
                  <c:v>37</c:v>
                </c:pt>
                <c:pt idx="1">
                  <c:v>41</c:v>
                </c:pt>
                <c:pt idx="2">
                  <c:v>30</c:v>
                </c:pt>
                <c:pt idx="3">
                  <c:v>32</c:v>
                </c:pt>
              </c:numCache>
            </c:numRef>
          </c:val>
          <c:extLst>
            <c:ext xmlns:c16="http://schemas.microsoft.com/office/drawing/2014/chart" uri="{C3380CC4-5D6E-409C-BE32-E72D297353CC}">
              <c16:uniqueId val="{00000005-7964-4DFC-9952-8507BE1DE71C}"/>
            </c:ext>
          </c:extLst>
        </c:ser>
        <c:dLbls>
          <c:showLegendKey val="0"/>
          <c:showVal val="0"/>
          <c:showCatName val="0"/>
          <c:showSerName val="0"/>
          <c:showPercent val="0"/>
          <c:showBubbleSize val="0"/>
        </c:dLbls>
        <c:gapWidth val="150"/>
        <c:axId val="448258992"/>
        <c:axId val="11824160"/>
      </c:barChart>
      <c:catAx>
        <c:axId val="448258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Pathogenic fungi </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24160"/>
        <c:crosses val="autoZero"/>
        <c:auto val="1"/>
        <c:lblAlgn val="ctr"/>
        <c:lblOffset val="100"/>
        <c:noMultiLvlLbl val="0"/>
      </c:catAx>
      <c:valAx>
        <c:axId val="118241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Zones of Inhibition (mm)</a:t>
                </a:r>
                <a:endParaRPr lang="en-US" sz="1000">
                  <a:effectLst/>
                  <a:latin typeface="Arial" panose="020B0604020202020204" pitchFamily="34" charset="0"/>
                  <a:cs typeface="Arial" panose="020B0604020202020204" pitchFamily="34" charset="0"/>
                </a:endParaRPr>
              </a:p>
            </c:rich>
          </c:tx>
          <c:layout>
            <c:manualLayout>
              <c:xMode val="edge"/>
              <c:yMode val="edge"/>
              <c:x val="3.0492030492030493E-2"/>
              <c:y val="6.22222222222222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8258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b="1"/>
              <a:t>Crude Flavonoids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Sheet1!$A$131</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S. cerevisiae</c:v>
                </c:pt>
                <c:pt idx="1">
                  <c:v>C. albicans</c:v>
                </c:pt>
                <c:pt idx="2">
                  <c:v>A. flavus</c:v>
                </c:pt>
                <c:pt idx="3">
                  <c:v>A. niger</c:v>
                </c:pt>
              </c:strCache>
            </c:strRef>
          </c:cat>
          <c:val>
            <c:numRef>
              <c:f>Sheet1!$B$131:$E$131</c:f>
              <c:numCache>
                <c:formatCode>General</c:formatCode>
                <c:ptCount val="4"/>
                <c:pt idx="0">
                  <c:v>0</c:v>
                </c:pt>
                <c:pt idx="1">
                  <c:v>0</c:v>
                </c:pt>
                <c:pt idx="2">
                  <c:v>18</c:v>
                </c:pt>
                <c:pt idx="3">
                  <c:v>12</c:v>
                </c:pt>
              </c:numCache>
            </c:numRef>
          </c:val>
          <c:extLst>
            <c:ext xmlns:c16="http://schemas.microsoft.com/office/drawing/2014/chart" uri="{C3380CC4-5D6E-409C-BE32-E72D297353CC}">
              <c16:uniqueId val="{00000000-6AA0-44B6-95C6-CE6D9BFC69B4}"/>
            </c:ext>
          </c:extLst>
        </c:ser>
        <c:ser>
          <c:idx val="1"/>
          <c:order val="1"/>
          <c:tx>
            <c:strRef>
              <c:f>Sheet1!$A$132</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S. cerevisiae</c:v>
                </c:pt>
                <c:pt idx="1">
                  <c:v>C. albicans</c:v>
                </c:pt>
                <c:pt idx="2">
                  <c:v>A. flavus</c:v>
                </c:pt>
                <c:pt idx="3">
                  <c:v>A. niger</c:v>
                </c:pt>
              </c:strCache>
            </c:strRef>
          </c:cat>
          <c:val>
            <c:numRef>
              <c:f>Sheet1!$B$132:$E$132</c:f>
              <c:numCache>
                <c:formatCode>General</c:formatCode>
                <c:ptCount val="4"/>
                <c:pt idx="0">
                  <c:v>0</c:v>
                </c:pt>
                <c:pt idx="1">
                  <c:v>0</c:v>
                </c:pt>
                <c:pt idx="2">
                  <c:v>15</c:v>
                </c:pt>
                <c:pt idx="3">
                  <c:v>9</c:v>
                </c:pt>
              </c:numCache>
            </c:numRef>
          </c:val>
          <c:extLst>
            <c:ext xmlns:c16="http://schemas.microsoft.com/office/drawing/2014/chart" uri="{C3380CC4-5D6E-409C-BE32-E72D297353CC}">
              <c16:uniqueId val="{00000001-6AA0-44B6-95C6-CE6D9BFC69B4}"/>
            </c:ext>
          </c:extLst>
        </c:ser>
        <c:ser>
          <c:idx val="2"/>
          <c:order val="2"/>
          <c:tx>
            <c:strRef>
              <c:f>Sheet1!$A$133</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S. cerevisiae</c:v>
                </c:pt>
                <c:pt idx="1">
                  <c:v>C. albicans</c:v>
                </c:pt>
                <c:pt idx="2">
                  <c:v>A. flavus</c:v>
                </c:pt>
                <c:pt idx="3">
                  <c:v>A. niger</c:v>
                </c:pt>
              </c:strCache>
            </c:strRef>
          </c:cat>
          <c:val>
            <c:numRef>
              <c:f>Sheet1!$B$133:$E$133</c:f>
              <c:numCache>
                <c:formatCode>General</c:formatCode>
                <c:ptCount val="4"/>
                <c:pt idx="0">
                  <c:v>0</c:v>
                </c:pt>
                <c:pt idx="1">
                  <c:v>0</c:v>
                </c:pt>
                <c:pt idx="2">
                  <c:v>13</c:v>
                </c:pt>
                <c:pt idx="3">
                  <c:v>0</c:v>
                </c:pt>
              </c:numCache>
            </c:numRef>
          </c:val>
          <c:extLst>
            <c:ext xmlns:c16="http://schemas.microsoft.com/office/drawing/2014/chart" uri="{C3380CC4-5D6E-409C-BE32-E72D297353CC}">
              <c16:uniqueId val="{00000002-6AA0-44B6-95C6-CE6D9BFC69B4}"/>
            </c:ext>
          </c:extLst>
        </c:ser>
        <c:ser>
          <c:idx val="3"/>
          <c:order val="3"/>
          <c:tx>
            <c:strRef>
              <c:f>Sheet1!$A$134</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S. cerevisiae</c:v>
                </c:pt>
                <c:pt idx="1">
                  <c:v>C. albicans</c:v>
                </c:pt>
                <c:pt idx="2">
                  <c:v>A. flavus</c:v>
                </c:pt>
                <c:pt idx="3">
                  <c:v>A. niger</c:v>
                </c:pt>
              </c:strCache>
            </c:strRef>
          </c:cat>
          <c:val>
            <c:numRef>
              <c:f>Sheet1!$B$134:$E$134</c:f>
              <c:numCache>
                <c:formatCode>General</c:formatCode>
                <c:ptCount val="4"/>
                <c:pt idx="0">
                  <c:v>0</c:v>
                </c:pt>
                <c:pt idx="1">
                  <c:v>0</c:v>
                </c:pt>
                <c:pt idx="2">
                  <c:v>9</c:v>
                </c:pt>
                <c:pt idx="3">
                  <c:v>0</c:v>
                </c:pt>
              </c:numCache>
            </c:numRef>
          </c:val>
          <c:extLst>
            <c:ext xmlns:c16="http://schemas.microsoft.com/office/drawing/2014/chart" uri="{C3380CC4-5D6E-409C-BE32-E72D297353CC}">
              <c16:uniqueId val="{00000003-6AA0-44B6-95C6-CE6D9BFC69B4}"/>
            </c:ext>
          </c:extLst>
        </c:ser>
        <c:ser>
          <c:idx val="4"/>
          <c:order val="4"/>
          <c:tx>
            <c:strRef>
              <c:f>Sheet1!$A$135</c:f>
              <c:strCache>
                <c:ptCount val="1"/>
                <c:pt idx="0">
                  <c:v>100</c:v>
                </c:pt>
              </c:strCache>
            </c:strRef>
          </c:tx>
          <c:spPr>
            <a:solidFill>
              <a:schemeClr val="accent5"/>
            </a:solidFill>
            <a:ln>
              <a:noFill/>
            </a:ln>
            <a:effectLst/>
          </c:spPr>
          <c:invertIfNegative val="0"/>
          <c:cat>
            <c:strRef>
              <c:f>Sheet1!$B$130:$E$130</c:f>
              <c:strCache>
                <c:ptCount val="4"/>
                <c:pt idx="0">
                  <c:v>S. cerevisiae</c:v>
                </c:pt>
                <c:pt idx="1">
                  <c:v>C. albicans</c:v>
                </c:pt>
                <c:pt idx="2">
                  <c:v>A. flavus</c:v>
                </c:pt>
                <c:pt idx="3">
                  <c:v>A. niger</c:v>
                </c:pt>
              </c:strCache>
            </c:strRef>
          </c:cat>
          <c:val>
            <c:numRef>
              <c:f>Sheet1!$B$135:$E$135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4-6AA0-44B6-95C6-CE6D9BFC69B4}"/>
            </c:ext>
          </c:extLst>
        </c:ser>
        <c:ser>
          <c:idx val="5"/>
          <c:order val="5"/>
          <c:tx>
            <c:strRef>
              <c:f>Sheet1!$A$136</c:f>
              <c:strCache>
                <c:ptCount val="1"/>
                <c:pt idx="0">
                  <c:v>Nystatin</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Sheet1!$B$130:$E$130</c:f>
              <c:strCache>
                <c:ptCount val="4"/>
                <c:pt idx="0">
                  <c:v>S. cerevisiae</c:v>
                </c:pt>
                <c:pt idx="1">
                  <c:v>C. albicans</c:v>
                </c:pt>
                <c:pt idx="2">
                  <c:v>A. flavus</c:v>
                </c:pt>
                <c:pt idx="3">
                  <c:v>A. niger</c:v>
                </c:pt>
              </c:strCache>
            </c:strRef>
          </c:cat>
          <c:val>
            <c:numRef>
              <c:f>Sheet1!$B$136:$E$136</c:f>
              <c:numCache>
                <c:formatCode>General</c:formatCode>
                <c:ptCount val="4"/>
                <c:pt idx="0">
                  <c:v>37</c:v>
                </c:pt>
                <c:pt idx="1">
                  <c:v>41</c:v>
                </c:pt>
                <c:pt idx="2">
                  <c:v>30</c:v>
                </c:pt>
                <c:pt idx="3">
                  <c:v>32</c:v>
                </c:pt>
              </c:numCache>
            </c:numRef>
          </c:val>
          <c:extLst>
            <c:ext xmlns:c16="http://schemas.microsoft.com/office/drawing/2014/chart" uri="{C3380CC4-5D6E-409C-BE32-E72D297353CC}">
              <c16:uniqueId val="{00000005-6AA0-44B6-95C6-CE6D9BFC69B4}"/>
            </c:ext>
          </c:extLst>
        </c:ser>
        <c:dLbls>
          <c:showLegendKey val="0"/>
          <c:showVal val="0"/>
          <c:showCatName val="0"/>
          <c:showSerName val="0"/>
          <c:showPercent val="0"/>
          <c:showBubbleSize val="0"/>
        </c:dLbls>
        <c:gapWidth val="150"/>
        <c:axId val="740176416"/>
        <c:axId val="227845984"/>
      </c:barChart>
      <c:catAx>
        <c:axId val="74017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Pathogenic fungi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27845984"/>
        <c:crosses val="autoZero"/>
        <c:auto val="1"/>
        <c:lblAlgn val="ctr"/>
        <c:lblOffset val="100"/>
        <c:noMultiLvlLbl val="0"/>
      </c:catAx>
      <c:valAx>
        <c:axId val="2278459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t>Zones of Inhibition (mm)</a:t>
                </a:r>
              </a:p>
            </c:rich>
          </c:tx>
          <c:layout>
            <c:manualLayout>
              <c:xMode val="edge"/>
              <c:yMode val="edge"/>
              <c:x val="2.9131355932203389E-2"/>
              <c:y val="5.531295487627365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40176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Crude Cardiac glycosides</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Sheet1!$A$111</c:f>
              <c:strCache>
                <c:ptCount val="1"/>
                <c:pt idx="0">
                  <c:v>500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Sheet1!$B$111:$E$111</c:f>
              <c:numCache>
                <c:formatCode>General</c:formatCode>
                <c:ptCount val="4"/>
                <c:pt idx="0">
                  <c:v>19</c:v>
                </c:pt>
                <c:pt idx="1">
                  <c:v>21</c:v>
                </c:pt>
                <c:pt idx="2">
                  <c:v>17</c:v>
                </c:pt>
                <c:pt idx="3">
                  <c:v>20</c:v>
                </c:pt>
              </c:numCache>
            </c:numRef>
          </c:val>
          <c:extLst>
            <c:ext xmlns:c16="http://schemas.microsoft.com/office/drawing/2014/chart" uri="{C3380CC4-5D6E-409C-BE32-E72D297353CC}">
              <c16:uniqueId val="{00000000-0957-4FEB-83F6-68312E4C11BB}"/>
            </c:ext>
          </c:extLst>
        </c:ser>
        <c:ser>
          <c:idx val="1"/>
          <c:order val="1"/>
          <c:tx>
            <c:strRef>
              <c:f>Sheet1!$A$112</c:f>
              <c:strCache>
                <c:ptCount val="1"/>
                <c:pt idx="0">
                  <c:v>400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Sheet1!$B$112:$E$112</c:f>
              <c:numCache>
                <c:formatCode>General</c:formatCode>
                <c:ptCount val="4"/>
                <c:pt idx="0">
                  <c:v>14</c:v>
                </c:pt>
                <c:pt idx="1">
                  <c:v>17</c:v>
                </c:pt>
                <c:pt idx="2">
                  <c:v>14</c:v>
                </c:pt>
                <c:pt idx="3">
                  <c:v>16</c:v>
                </c:pt>
              </c:numCache>
            </c:numRef>
          </c:val>
          <c:extLst>
            <c:ext xmlns:c16="http://schemas.microsoft.com/office/drawing/2014/chart" uri="{C3380CC4-5D6E-409C-BE32-E72D297353CC}">
              <c16:uniqueId val="{00000001-0957-4FEB-83F6-68312E4C11BB}"/>
            </c:ext>
          </c:extLst>
        </c:ser>
        <c:ser>
          <c:idx val="2"/>
          <c:order val="2"/>
          <c:tx>
            <c:strRef>
              <c:f>Sheet1!$A$113</c:f>
              <c:strCache>
                <c:ptCount val="1"/>
                <c:pt idx="0">
                  <c:v>300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Sheet1!$B$113:$E$113</c:f>
              <c:numCache>
                <c:formatCode>General</c:formatCode>
                <c:ptCount val="4"/>
                <c:pt idx="0">
                  <c:v>11</c:v>
                </c:pt>
                <c:pt idx="1">
                  <c:v>14</c:v>
                </c:pt>
                <c:pt idx="2">
                  <c:v>11</c:v>
                </c:pt>
                <c:pt idx="3">
                  <c:v>13</c:v>
                </c:pt>
              </c:numCache>
            </c:numRef>
          </c:val>
          <c:extLst>
            <c:ext xmlns:c16="http://schemas.microsoft.com/office/drawing/2014/chart" uri="{C3380CC4-5D6E-409C-BE32-E72D297353CC}">
              <c16:uniqueId val="{00000002-0957-4FEB-83F6-68312E4C11BB}"/>
            </c:ext>
          </c:extLst>
        </c:ser>
        <c:ser>
          <c:idx val="3"/>
          <c:order val="3"/>
          <c:tx>
            <c:strRef>
              <c:f>Sheet1!$A$114</c:f>
              <c:strCache>
                <c:ptCount val="1"/>
                <c:pt idx="0">
                  <c:v>200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Sheet1!$B$114:$E$114</c:f>
              <c:numCache>
                <c:formatCode>General</c:formatCode>
                <c:ptCount val="4"/>
                <c:pt idx="0">
                  <c:v>9</c:v>
                </c:pt>
                <c:pt idx="1">
                  <c:v>10</c:v>
                </c:pt>
                <c:pt idx="2">
                  <c:v>8</c:v>
                </c:pt>
                <c:pt idx="3">
                  <c:v>10</c:v>
                </c:pt>
              </c:numCache>
            </c:numRef>
          </c:val>
          <c:extLst>
            <c:ext xmlns:c16="http://schemas.microsoft.com/office/drawing/2014/chart" uri="{C3380CC4-5D6E-409C-BE32-E72D297353CC}">
              <c16:uniqueId val="{00000003-0957-4FEB-83F6-68312E4C11BB}"/>
            </c:ext>
          </c:extLst>
        </c:ser>
        <c:ser>
          <c:idx val="4"/>
          <c:order val="4"/>
          <c:tx>
            <c:strRef>
              <c:f>Sheet1!$A$115</c:f>
              <c:strCache>
                <c:ptCount val="1"/>
                <c:pt idx="0">
                  <c:v>100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Sheet1!$B$115:$E$115</c:f>
              <c:numCache>
                <c:formatCode>General</c:formatCode>
                <c:ptCount val="4"/>
                <c:pt idx="0">
                  <c:v>0</c:v>
                </c:pt>
                <c:pt idx="1">
                  <c:v>8</c:v>
                </c:pt>
                <c:pt idx="2">
                  <c:v>0</c:v>
                </c:pt>
                <c:pt idx="3">
                  <c:v>7</c:v>
                </c:pt>
              </c:numCache>
            </c:numRef>
          </c:val>
          <c:extLst>
            <c:ext xmlns:c16="http://schemas.microsoft.com/office/drawing/2014/chart" uri="{C3380CC4-5D6E-409C-BE32-E72D297353CC}">
              <c16:uniqueId val="{00000004-0957-4FEB-83F6-68312E4C11BB}"/>
            </c:ext>
          </c:extLst>
        </c:ser>
        <c:ser>
          <c:idx val="5"/>
          <c:order val="5"/>
          <c:tx>
            <c:strRef>
              <c:f>Sheet1!$A$116</c:f>
              <c:strCache>
                <c:ptCount val="1"/>
                <c:pt idx="0">
                  <c:v>Nystatin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Sheet1!$B$110:$E$110</c:f>
              <c:strCache>
                <c:ptCount val="4"/>
                <c:pt idx="0">
                  <c:v>S. cerevisiae</c:v>
                </c:pt>
                <c:pt idx="1">
                  <c:v>C. albicans</c:v>
                </c:pt>
                <c:pt idx="2">
                  <c:v>A. flavus</c:v>
                </c:pt>
                <c:pt idx="3">
                  <c:v>A. niger</c:v>
                </c:pt>
              </c:strCache>
            </c:strRef>
          </c:cat>
          <c:val>
            <c:numRef>
              <c:f>Sheet1!$B$116:$E$116</c:f>
              <c:numCache>
                <c:formatCode>General</c:formatCode>
                <c:ptCount val="4"/>
                <c:pt idx="0">
                  <c:v>37</c:v>
                </c:pt>
                <c:pt idx="1">
                  <c:v>41</c:v>
                </c:pt>
                <c:pt idx="2">
                  <c:v>30</c:v>
                </c:pt>
                <c:pt idx="3">
                  <c:v>32</c:v>
                </c:pt>
              </c:numCache>
            </c:numRef>
          </c:val>
          <c:extLst>
            <c:ext xmlns:c16="http://schemas.microsoft.com/office/drawing/2014/chart" uri="{C3380CC4-5D6E-409C-BE32-E72D297353CC}">
              <c16:uniqueId val="{00000005-0957-4FEB-83F6-68312E4C11BB}"/>
            </c:ext>
          </c:extLst>
        </c:ser>
        <c:dLbls>
          <c:showLegendKey val="0"/>
          <c:showVal val="0"/>
          <c:showCatName val="0"/>
          <c:showSerName val="0"/>
          <c:showPercent val="0"/>
          <c:showBubbleSize val="0"/>
        </c:dLbls>
        <c:gapWidth val="150"/>
        <c:axId val="12808432"/>
        <c:axId val="148291824"/>
      </c:barChart>
      <c:catAx>
        <c:axId val="12808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Pathogenic fungi </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291824"/>
        <c:crosses val="autoZero"/>
        <c:auto val="1"/>
        <c:lblAlgn val="ctr"/>
        <c:lblOffset val="100"/>
        <c:noMultiLvlLbl val="0"/>
      </c:catAx>
      <c:valAx>
        <c:axId val="1482918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effectLst/>
                    <a:latin typeface="Arial" panose="020B0604020202020204" pitchFamily="34" charset="0"/>
                    <a:cs typeface="Arial" panose="020B0604020202020204" pitchFamily="34" charset="0"/>
                  </a:rPr>
                  <a:t>Zones of Inhibition (mm)</a:t>
                </a:r>
                <a:endParaRPr lang="en-US" sz="1000">
                  <a:effectLst/>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587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08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9398FC-9E37-49C6-B3A4-03A1E842643E}">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1046</TotalTime>
  <Pages>25</Pages>
  <Words>11561</Words>
  <Characters>65899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Itohowo Okon Akpan</dc:creator>
  <cp:keywords/>
  <dc:description/>
  <cp:lastModifiedBy>SDI 1020</cp:lastModifiedBy>
  <cp:revision>150</cp:revision>
  <dcterms:created xsi:type="dcterms:W3CDTF">2026-06-29T13:22:00Z</dcterms:created>
  <dcterms:modified xsi:type="dcterms:W3CDTF">2026-07-09T13:38:00Z</dcterms:modified>
</cp:coreProperties>
</file>